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719.xml" ContentType="application/vnd.openxmlformats-officedocument.wordprocessingml.footer+xml"/>
  <Override PartName="/word/footer533.xml" ContentType="application/vnd.openxmlformats-officedocument.wordprocessingml.footer+xml"/>
  <Override PartName="/word/footer718.xml" ContentType="application/vnd.openxmlformats-officedocument.wordprocessingml.footer+xml"/>
  <Override PartName="/word/footer532.xml" ContentType="application/vnd.openxmlformats-officedocument.wordprocessingml.footer+xml"/>
  <Override PartName="/word/footer717.xml" ContentType="application/vnd.openxmlformats-officedocument.wordprocessingml.footer+xml"/>
  <Override PartName="/word/footer531.xml" ContentType="application/vnd.openxmlformats-officedocument.wordprocessingml.footer+xml"/>
  <Override PartName="/word/footer716.xml" ContentType="application/vnd.openxmlformats-officedocument.wordprocessingml.footer+xml"/>
  <Override PartName="/word/footer530.xml" ContentType="application/vnd.openxmlformats-officedocument.wordprocessingml.footer+xml"/>
  <Override PartName="/word/footer715.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709.xml" ContentType="application/vnd.openxmlformats-officedocument.wordprocessingml.footer+xml"/>
  <Override PartName="/word/footer523.xml" ContentType="application/vnd.openxmlformats-officedocument.wordprocessingml.footer+xml"/>
  <Override PartName="/word/footer708.xml" ContentType="application/vnd.openxmlformats-officedocument.wordprocessingml.footer+xml"/>
  <Override PartName="/word/footer522.xml" ContentType="application/vnd.openxmlformats-officedocument.wordprocessingml.footer+xml"/>
  <Override PartName="/word/footer707.xml" ContentType="application/vnd.openxmlformats-officedocument.wordprocessingml.footer+xml"/>
  <Override PartName="/word/footer521.xml" ContentType="application/vnd.openxmlformats-officedocument.wordprocessingml.footer+xml"/>
  <Override PartName="/word/footer706.xml" ContentType="application/vnd.openxmlformats-officedocument.wordprocessingml.footer+xml"/>
  <Override PartName="/word/footer520.xml" ContentType="application/vnd.openxmlformats-officedocument.wordprocessingml.footer+xml"/>
  <Override PartName="/word/footer705.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538.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537.xml" ContentType="application/vnd.openxmlformats-officedocument.wordprocessingml.footer+xml"/>
  <Override PartName="/word/footer371.xml" ContentType="application/vnd.openxmlformats-officedocument.wordprocessingml.footer+xml"/>
  <Override PartName="/word/footer536.xml" ContentType="application/vnd.openxmlformats-officedocument.wordprocessingml.footer+xml"/>
  <Override PartName="/word/footer370.xml" ContentType="application/vnd.openxmlformats-officedocument.wordprocessingml.footer+xml"/>
  <Override PartName="/word/footer402.xml" ContentType="application/vnd.openxmlformats-officedocument.wordprocessingml.footer+xml"/>
  <Override PartName="/word/footer91.xml" ContentType="application/vnd.openxmlformats-officedocument.wordprocessingml.footer+xml"/>
  <Override PartName="/word/footer364.xml" ContentType="application/vnd.openxmlformats-officedocument.wordprocessingml.footer+xml"/>
  <Override PartName="/word/footer529.xml" ContentType="application/vnd.openxmlformats-officedocument.wordprocessingml.footer+xml"/>
  <Override PartName="/word/footer401.xml" ContentType="application/vnd.openxmlformats-officedocument.wordprocessingml.footer+xml"/>
  <Override PartName="/word/footer90.xml" ContentType="application/vnd.openxmlformats-officedocument.wordprocessingml.footer+xml"/>
  <Override PartName="/word/footer363.xml" ContentType="application/vnd.openxmlformats-officedocument.wordprocessingml.footer+xml"/>
  <Override PartName="/word/footer5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527.xml" ContentType="application/vnd.openxmlformats-officedocument.wordprocessingml.footer+xml"/>
  <Override PartName="/word/footer361.xml" ContentType="application/vnd.openxmlformats-officedocument.wordprocessingml.footer+xml"/>
  <Override PartName="/word/footer526.xml" ContentType="application/vnd.openxmlformats-officedocument.wordprocessingml.footer+xml"/>
  <Override PartName="/word/footer360.xml" ContentType="application/vnd.openxmlformats-officedocument.wordprocessingml.footer+xml"/>
  <Override PartName="/word/footer355.xml" ContentType="application/vnd.openxmlformats-officedocument.wordprocessingml.footer+xml"/>
  <Override PartName="/word/footer354.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518.xml" ContentType="application/vnd.openxmlformats-officedocument.wordprocessingml.footer+xml"/>
  <Override PartName="/word/footer352.xml" ContentType="application/vnd.openxmlformats-officedocument.wordprocessingml.footer+xml"/>
  <Override PartName="/word/footer517.xml" ContentType="application/vnd.openxmlformats-officedocument.wordprocessingml.footer+xml"/>
  <Override PartName="/word/footer351.xml" ContentType="application/vnd.openxmlformats-officedocument.wordprocessingml.footer+xml"/>
  <Override PartName="/word/footer516.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509.xml" ContentType="application/vnd.openxmlformats-officedocument.wordprocessingml.footer+xml"/>
  <Override PartName="/word/footer343.xml" ContentType="application/vnd.openxmlformats-officedocument.wordprocessingml.footer+xml"/>
  <Override PartName="/word/footer508.xml" ContentType="application/vnd.openxmlformats-officedocument.wordprocessingml.footer+xml"/>
  <Override PartName="/word/footer342.xml" ContentType="application/vnd.openxmlformats-officedocument.wordprocessingml.footer+xml"/>
  <Override PartName="/word/footer507.xml" ContentType="application/vnd.openxmlformats-officedocument.wordprocessingml.footer+xml"/>
  <Override PartName="/word/footer341.xml" ContentType="application/vnd.openxmlformats-officedocument.wordprocessingml.footer+xml"/>
  <Override PartName="/word/footer506.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5.xml" ContentType="application/vnd.openxmlformats-officedocument.wordprocessingml.footer+xml"/>
  <Override PartName="/word/footer324.xml" ContentType="application/vnd.openxmlformats-officedocument.wordprocessingml.footer+xml"/>
  <Override PartName="/word/footer323.xml" ContentType="application/vnd.openxmlformats-officedocument.wordprocessingml.footer+xml"/>
  <Override PartName="/word/footer322.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5.xml" ContentType="application/vnd.openxmlformats-officedocument.wordprocessingml.footer+xml"/>
  <Override PartName="/word/footer794.xml" ContentType="application/vnd.openxmlformats-officedocument.wordprocessingml.footer+xml"/>
  <Override PartName="/word/footer314.xml" ContentType="application/vnd.openxmlformats-officedocument.wordprocessingml.footer+xml"/>
  <Override PartName="/word/footer793.xml" ContentType="application/vnd.openxmlformats-officedocument.wordprocessingml.footer+xml"/>
  <Override PartName="/word/footer313.xml" ContentType="application/vnd.openxmlformats-officedocument.wordprocessingml.footer+xml"/>
  <Override PartName="/word/footer792.xml" ContentType="application/vnd.openxmlformats-officedocument.wordprocessingml.footer+xml"/>
  <Override PartName="/word/footer312.xml" ContentType="application/vnd.openxmlformats-officedocument.wordprocessingml.footer+xml"/>
  <Override PartName="/word/footer791.xml" ContentType="application/vnd.openxmlformats-officedocument.wordprocessingml.footer+xml"/>
  <Override PartName="/word/footer311.xml" ContentType="application/vnd.openxmlformats-officedocument.wordprocessingml.footer+xml"/>
  <Override PartName="/word/footer790.xml" ContentType="application/vnd.openxmlformats-officedocument.wordprocessingml.footer+xml"/>
  <Override PartName="/word/footer310.xml" ContentType="application/vnd.openxmlformats-officedocument.wordprocessingml.footer+xml"/>
  <Override PartName="/word/footer305.xml" ContentType="application/vnd.openxmlformats-officedocument.wordprocessingml.footer+xml"/>
  <Override PartName="/word/footer784.xml" ContentType="application/vnd.openxmlformats-officedocument.wordprocessingml.footer+xml"/>
  <Override PartName="/word/footer304.xml" ContentType="application/vnd.openxmlformats-officedocument.wordprocessingml.footer+xml"/>
  <Override PartName="/word/footer783.xml" ContentType="application/vnd.openxmlformats-officedocument.wordprocessingml.footer+xml"/>
  <Override PartName="/word/footer303.xml" ContentType="application/vnd.openxmlformats-officedocument.wordprocessingml.footer+xml"/>
  <Override PartName="/word/footer782.xml" ContentType="application/vnd.openxmlformats-officedocument.wordprocessingml.footer+xml"/>
  <Override PartName="/word/footer302.xml" ContentType="application/vnd.openxmlformats-officedocument.wordprocessingml.footer+xml"/>
  <Override PartName="/word/footer781.xml" ContentType="application/vnd.openxmlformats-officedocument.wordprocessingml.footer+xml"/>
  <Override PartName="/word/footer301.xml" ContentType="application/vnd.openxmlformats-officedocument.wordprocessingml.footer+xml"/>
  <Override PartName="/word/footer780.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5.xml" ContentType="application/vnd.openxmlformats-officedocument.wordprocessingml.footer+xml"/>
  <Override PartName="/word/footer298.xml" ContentType="application/vnd.openxmlformats-officedocument.wordprocessingml.footer+xml"/>
  <Override PartName="/word/footer4.xml" ContentType="application/vnd.openxmlformats-officedocument.wordprocessingml.footer+xml"/>
  <Override PartName="/word/footer297.xml" ContentType="application/vnd.openxmlformats-officedocument.wordprocessingml.footer+xml"/>
  <Override PartName="/word/footer3.xml" ContentType="application/vnd.openxmlformats-officedocument.wordprocessingml.footer+xml"/>
  <Override PartName="/word/footer296.xml" ContentType="application/vnd.openxmlformats-officedocument.wordprocessingml.footer+xml"/>
  <Override PartName="/word/footer2.xml" ContentType="application/vnd.openxmlformats-officedocument.wordprocessingml.footer+xml"/>
  <Override PartName="/word/footer295.xml" ContentType="application/vnd.openxmlformats-officedocument.wordprocessingml.footer+xml"/>
  <Override PartName="/word/footer1.xml" ContentType="application/vnd.openxmlformats-officedocument.wordprocessingml.footer+xml"/>
  <Override PartName="/word/footer294.xml" ContentType="application/vnd.openxmlformats-officedocument.wordprocessingml.footer+xml"/>
  <Override PartName="/word/footer459.xml" ContentType="application/vnd.openxmlformats-officedocument.wordprocessingml.footer+xml"/>
  <Override PartName="/word/footer293.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theme/theme1.xml" ContentType="application/vnd.openxmlformats-officedocument.theme+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6.xml" ContentType="application/vnd.openxmlformats-officedocument.wordprocessingml.footer+xml"/>
  <Override PartName="/word/footer285.xml" ContentType="application/vnd.openxmlformats-officedocument.wordprocessingml.footer+xml"/>
  <Override PartName="/word/footer284.xml" ContentType="application/vnd.openxmlformats-officedocument.wordprocessingml.footer+xml"/>
  <Override PartName="/word/footer449.xml" ContentType="application/vnd.openxmlformats-officedocument.wordprocessingml.footer+xml"/>
  <Override PartName="/word/footer283.xml" ContentType="application/vnd.openxmlformats-officedocument.wordprocessingml.footer+xml"/>
  <Override PartName="/word/footer448.xml" ContentType="application/vnd.openxmlformats-officedocument.wordprocessingml.footer+xml"/>
  <Override PartName="/word/footer282.xml" ContentType="application/vnd.openxmlformats-officedocument.wordprocessingml.footer+xml"/>
  <Override PartName="/word/footer447.xml" ContentType="application/vnd.openxmlformats-officedocument.wordprocessingml.footer+xml"/>
  <Override PartName="/word/footer281.xml" ContentType="application/vnd.openxmlformats-officedocument.wordprocessingml.footer+xml"/>
  <Override PartName="/word/footer446.xml" ContentType="application/vnd.openxmlformats-officedocument.wordprocessingml.footer+xml"/>
  <Override PartName="/word/footer28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05.xml" ContentType="application/vnd.openxmlformats-officedocument.wordprocessingml.footer+xml"/>
  <Override PartName="/word/footer94.xml" ContentType="application/vnd.openxmlformats-officedocument.wordprocessingml.footer+xml"/>
  <Override PartName="/word/footer191.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56.xml" ContentType="application/vnd.openxmlformats-officedocument.wordprocessingml.footer+xml"/>
  <Override PartName="/word/footer404.xml" ContentType="application/vnd.openxmlformats-officedocument.wordprocessingml.footer+xml"/>
  <Override PartName="/word/footer93.xml" ContentType="application/vnd.openxmlformats-officedocument.wordprocessingml.footer+xml"/>
  <Override PartName="/word/footer190.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92.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196.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29.xml" ContentType="application/vnd.openxmlformats-officedocument.wordprocessingml.footer+xml"/>
  <Override PartName="/word/footer63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89.xml" ContentType="application/vnd.openxmlformats-officedocument.wordprocessingml.footer+xml"/>
  <Override PartName="/word/footer186.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18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84.xml" ContentType="application/vnd.openxmlformats-officedocument.wordprocessingml.footer+xml"/>
  <Override PartName="/word/footer19.xml" ContentType="application/vnd.openxmlformats-officedocument.wordprocessingml.footer+xml"/>
  <Override PartName="/word/footer624.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3.xml" ContentType="application/vnd.openxmlformats-officedocument.wordprocessingml.footer+xml"/>
  <Override PartName="/word/footer18.xml" ContentType="application/vnd.openxmlformats-officedocument.wordprocessingml.footer+xml"/>
  <Override PartName="/word/footer623.xml" ContentType="application/vnd.openxmlformats-officedocument.wordprocessingml.footer+xml"/>
  <Override PartName="/word/footer17.xml" ContentType="application/vnd.openxmlformats-officedocument.wordprocessingml.footer+xml"/>
  <Override PartName="/word/footer622.xml" ContentType="application/vnd.openxmlformats-officedocument.wordprocessingml.footer+xml"/>
  <Override PartName="/word/footer79.xml" ContentType="application/vnd.openxmlformats-officedocument.wordprocessingml.footer+xml"/>
  <Override PartName="/word/footer176.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75.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74.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173.xml" ContentType="application/vnd.openxmlformats-officedocument.wordprocessingml.footer+xml"/>
  <Override PartName="/word/footer71.xml" ContentType="application/vnd.openxmlformats-officedocument.wordprocessingml.footer+xml"/>
  <Override PartName="/word/footer252.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687.xml" ContentType="application/vnd.openxmlformats-officedocument.wordprocessingml.footer+xml"/>
  <Override PartName="/word/footer688.xml" ContentType="application/vnd.openxmlformats-officedocument.wordprocessingml.footer+xml"/>
  <Override PartName="/word/footer689.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547.xml" ContentType="application/vnd.openxmlformats-officedocument.wordprocessingml.footer+xml"/>
  <Override PartName="/word/footer722.xml" ContentType="application/vnd.openxmlformats-officedocument.wordprocessingml.footer+xml"/>
  <Override PartName="/word/footer684.xml" ContentType="application/vnd.openxmlformats-officedocument.wordprocessingml.footer+xml"/>
  <Override PartName="/word/footer548.xml" ContentType="application/vnd.openxmlformats-officedocument.wordprocessingml.footer+xml"/>
  <Override PartName="/word/footer685.xml" ContentType="application/vnd.openxmlformats-officedocument.wordprocessingml.footer+xml"/>
  <Override PartName="/word/footer723.xml" ContentType="application/vnd.openxmlformats-officedocument.wordprocessingml.footer+xml"/>
  <Override PartName="/word/footer549.xml" ContentType="application/vnd.openxmlformats-officedocument.wordprocessingml.footer+xml"/>
  <Override PartName="/word/footer724.xml" ContentType="application/vnd.openxmlformats-officedocument.wordprocessingml.footer+xml"/>
  <Override PartName="/word/footer686.xml" ContentType="application/vnd.openxmlformats-officedocument.wordprocessingml.footer+xml"/>
  <Override PartName="/word/footer727.xml" ContentType="application/vnd.openxmlformats-officedocument.wordprocessingml.footer+xml"/>
  <Override PartName="/word/footer542.xml" ContentType="application/vnd.openxmlformats-officedocument.wordprocessingml.footer+xml"/>
  <Override PartName="/word/footer697.xml" ContentType="application/vnd.openxmlformats-officedocument.wordprocessingml.footer+xml"/>
  <Override PartName="/word/footer728.xml" ContentType="application/vnd.openxmlformats-officedocument.wordprocessingml.footer+xml"/>
  <Override PartName="/word/footer543.xml" ContentType="application/vnd.openxmlformats-officedocument.wordprocessingml.footer+xml"/>
  <Override PartName="/word/footer680.xml" ContentType="application/vnd.openxmlformats-officedocument.wordprocessingml.footer+xml"/>
  <Override PartName="/word/footer698.xml" ContentType="application/vnd.openxmlformats-officedocument.wordprocessingml.footer+xml"/>
  <Override PartName="/word/footer729.xml" ContentType="application/vnd.openxmlformats-officedocument.wordprocessingml.footer+xml"/>
  <Override PartName="/word/footer544.xml" ContentType="application/vnd.openxmlformats-officedocument.wordprocessingml.footer+xml"/>
  <Override PartName="/word/footer681.xml" ContentType="application/vnd.openxmlformats-officedocument.wordprocessingml.footer+xml"/>
  <Override PartName="/word/footer699.xml" ContentType="application/vnd.openxmlformats-officedocument.wordprocessingml.footer+xml"/>
  <Override PartName="/word/footer545.xml" ContentType="application/vnd.openxmlformats-officedocument.wordprocessingml.footer+xml"/>
  <Override PartName="/word/footer720.xml" ContentType="application/vnd.openxmlformats-officedocument.wordprocessingml.footer+xml"/>
  <Override PartName="/word/footer682.xml" ContentType="application/vnd.openxmlformats-officedocument.wordprocessingml.footer+xml"/>
  <Override PartName="/word/footer546.xml" ContentType="application/vnd.openxmlformats-officedocument.wordprocessingml.footer+xml"/>
  <Override PartName="/word/footer721.xml" ContentType="application/vnd.openxmlformats-officedocument.wordprocessingml.footer+xml"/>
  <Override PartName="/word/footer683.xml" ContentType="application/vnd.openxmlformats-officedocument.wordprocessingml.footer+xml"/>
  <Override PartName="/word/footer557.xml" ContentType="application/vnd.openxmlformats-officedocument.wordprocessingml.footer+xml"/>
  <Override PartName="/word/footer732.xml" ContentType="application/vnd.openxmlformats-officedocument.wordprocessingml.footer+xml"/>
  <Override PartName="/word/footer694.xml" ContentType="application/vnd.openxmlformats-officedocument.wordprocessingml.footer+xml"/>
  <Override PartName="/word/footer558.xml" ContentType="application/vnd.openxmlformats-officedocument.wordprocessingml.footer+xml"/>
  <Override PartName="/word/footer733.xml" ContentType="application/vnd.openxmlformats-officedocument.wordprocessingml.footer+xml"/>
  <Override PartName="/word/footer695.xml" ContentType="application/vnd.openxmlformats-officedocument.wordprocessingml.footer+xml"/>
  <Override PartName="/word/footer559.xml" ContentType="application/vnd.openxmlformats-officedocument.wordprocessingml.footer+xml"/>
  <Override PartName="/word/footer734.xml" ContentType="application/vnd.openxmlformats-officedocument.wordprocessingml.footer+xml"/>
  <Override PartName="/word/footer696.xml" ContentType="application/vnd.openxmlformats-officedocument.wordprocessingml.footer+xml"/>
  <Override PartName="/word/footer737.xml" ContentType="application/vnd.openxmlformats-officedocument.wordprocessingml.footer+xml"/>
  <Override PartName="/word/footer552.xml" ContentType="application/vnd.openxmlformats-officedocument.wordprocessingml.footer+xml"/>
  <Override PartName="/word/footer738.xml" ContentType="application/vnd.openxmlformats-officedocument.wordprocessingml.footer+xml"/>
  <Override PartName="/word/footer553.xml" ContentType="application/vnd.openxmlformats-officedocument.wordprocessingml.footer+xml"/>
  <Override PartName="/word/footer690.xml" ContentType="application/vnd.openxmlformats-officedocument.wordprocessingml.footer+xml"/>
  <Override PartName="/word/footer739.xml" ContentType="application/vnd.openxmlformats-officedocument.wordprocessingml.footer+xml"/>
  <Override PartName="/word/footer554.xml" ContentType="application/vnd.openxmlformats-officedocument.wordprocessingml.footer+xml"/>
  <Override PartName="/word/footer691.xml" ContentType="application/vnd.openxmlformats-officedocument.wordprocessingml.footer+xml"/>
  <Override PartName="/word/footer555.xml" ContentType="application/vnd.openxmlformats-officedocument.wordprocessingml.footer+xml"/>
  <Override PartName="/word/footer692.xml" ContentType="application/vnd.openxmlformats-officedocument.wordprocessingml.footer+xml"/>
  <Override PartName="/word/footer730.xml" ContentType="application/vnd.openxmlformats-officedocument.wordprocessingml.footer+xml"/>
  <Override PartName="/word/footer556.xml" ContentType="application/vnd.openxmlformats-officedocument.wordprocessingml.footer+xml"/>
  <Override PartName="/word/footer731.xml" ContentType="application/vnd.openxmlformats-officedocument.wordprocessingml.footer+xml"/>
  <Override PartName="/word/footer693.xml" ContentType="application/vnd.openxmlformats-officedocument.wordprocessingml.footer+xml"/>
  <Override PartName="/word/footer567.xml" ContentType="application/vnd.openxmlformats-officedocument.wordprocessingml.footer+xml"/>
  <Override PartName="/word/footer742.xml" ContentType="application/vnd.openxmlformats-officedocument.wordprocessingml.footer+xml"/>
  <Override PartName="/word/footer568.xml" ContentType="application/vnd.openxmlformats-officedocument.wordprocessingml.footer+xml"/>
  <Override PartName="/word/footer743.xml" ContentType="application/vnd.openxmlformats-officedocument.wordprocessingml.footer+xml"/>
  <Override PartName="/word/footer569.xml" ContentType="application/vnd.openxmlformats-officedocument.wordprocessingml.footer+xml"/>
  <Override PartName="/word/footer744.xml" ContentType="application/vnd.openxmlformats-officedocument.wordprocessingml.footer+xml"/>
  <Override PartName="/word/footer747.xml" ContentType="application/vnd.openxmlformats-officedocument.wordprocessingml.footer+xml"/>
  <Override PartName="/word/footer562.xml" ContentType="application/vnd.openxmlformats-officedocument.wordprocessingml.footer+xml"/>
  <Override PartName="/word/footer600.xml" ContentType="application/vnd.openxmlformats-officedocument.wordprocessingml.footer+xml"/>
  <Override PartName="/word/footer618.xml" ContentType="application/vnd.openxmlformats-officedocument.wordprocessingml.footer+xml"/>
  <Override PartName="/word/footer748.xml" ContentType="application/vnd.openxmlformats-officedocument.wordprocessingml.footer+xml"/>
  <Override PartName="/word/footer563.xml" ContentType="application/vnd.openxmlformats-officedocument.wordprocessingml.footer+xml"/>
  <Override PartName="/word/footer601.xml" ContentType="application/vnd.openxmlformats-officedocument.wordprocessingml.footer+xml"/>
  <Override PartName="/word/footer619.xml" ContentType="application/vnd.openxmlformats-officedocument.wordprocessingml.footer+xml"/>
  <Override PartName="/word/footer749.xml" ContentType="application/vnd.openxmlformats-officedocument.wordprocessingml.footer+xml"/>
  <Override PartName="/word/footer564.xml" ContentType="application/vnd.openxmlformats-officedocument.wordprocessingml.footer+xml"/>
  <Override PartName="/word/footer602.xml" ContentType="application/vnd.openxmlformats-officedocument.wordprocessingml.footer+xml"/>
  <Override PartName="/word/footer565.xml" ContentType="application/vnd.openxmlformats-officedocument.wordprocessingml.footer+xml"/>
  <Override PartName="/word/footer603.xml" ContentType="application/vnd.openxmlformats-officedocument.wordprocessingml.footer+xml"/>
  <Override PartName="/word/footer740.xml" ContentType="application/vnd.openxmlformats-officedocument.wordprocessingml.footer+xml"/>
  <Override PartName="/word/footer566.xml" ContentType="application/vnd.openxmlformats-officedocument.wordprocessingml.footer+xml"/>
  <Override PartName="/word/footer741.xml" ContentType="application/vnd.openxmlformats-officedocument.wordprocessingml.footer+xml"/>
  <Override PartName="/word/footer577.xml" ContentType="application/vnd.openxmlformats-officedocument.wordprocessingml.footer+xml"/>
  <Override PartName="/word/footer615.xml" ContentType="application/vnd.openxmlformats-officedocument.wordprocessingml.footer+xml"/>
  <Override PartName="/word/footer752.xml" ContentType="application/vnd.openxmlformats-officedocument.wordprocessingml.footer+xml"/>
  <Override PartName="/word/footer579.xml" ContentType="application/vnd.openxmlformats-officedocument.wordprocessingml.footer+xml"/>
  <Override PartName="/word/footer617.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572.xml" ContentType="application/vnd.openxmlformats-officedocument.wordprocessingml.footer+xml"/>
  <Override PartName="/word/footer610.xml" ContentType="application/vnd.openxmlformats-officedocument.wordprocessingml.footer+xml"/>
  <Override PartName="/word/footer628.xml" ContentType="application/vnd.openxmlformats-officedocument.wordprocessingml.footer+xml"/>
  <Override PartName="/word/footer758.xml" ContentType="application/vnd.openxmlformats-officedocument.wordprocessingml.footer+xml"/>
  <Override PartName="/word/footer573.xml" ContentType="application/vnd.openxmlformats-officedocument.wordprocessingml.footer+xml"/>
  <Override PartName="/word/footer611.xml" ContentType="application/vnd.openxmlformats-officedocument.wordprocessingml.footer+xml"/>
  <Override PartName="/word/footer629.xml" ContentType="application/vnd.openxmlformats-officedocument.wordprocessingml.footer+xml"/>
  <Override PartName="/word/footer759.xml" ContentType="application/vnd.openxmlformats-officedocument.wordprocessingml.footer+xml"/>
  <Override PartName="/word/footer574.xml" ContentType="application/vnd.openxmlformats-officedocument.wordprocessingml.footer+xml"/>
  <Override PartName="/word/footer612.xml" ContentType="application/vnd.openxmlformats-officedocument.wordprocessingml.footer+xml"/>
  <Override PartName="/word/footer575.xml" ContentType="application/vnd.openxmlformats-officedocument.wordprocessingml.footer+xml"/>
  <Override PartName="/word/footer613.xml" ContentType="application/vnd.openxmlformats-officedocument.wordprocessingml.footer+xml"/>
  <Override PartName="/word/footer750.xml" ContentType="application/vnd.openxmlformats-officedocument.wordprocessingml.footer+xml"/>
  <Override PartName="/word/footer576.xml" ContentType="application/vnd.openxmlformats-officedocument.wordprocessingml.footer+xml"/>
  <Override PartName="/word/footer614.xml" ContentType="application/vnd.openxmlformats-officedocument.wordprocessingml.footer+xml"/>
  <Override PartName="/word/footer751.xml" ContentType="application/vnd.openxmlformats-officedocument.wordprocessingml.footer+xml"/>
  <Override PartName="/word/footer587.xml" ContentType="application/vnd.openxmlformats-officedocument.wordprocessingml.footer+xml"/>
  <Override PartName="/word/footer762.xml" ContentType="application/vnd.openxmlformats-officedocument.wordprocessingml.footer+xml"/>
  <Override PartName="/word/footer588.xml" ContentType="application/vnd.openxmlformats-officedocument.wordprocessingml.footer+xml"/>
  <Override PartName="/word/footer626.xml" ContentType="application/vnd.openxmlformats-officedocument.wordprocessingml.footer+xml"/>
  <Override PartName="/word/footer763.xml" ContentType="application/vnd.openxmlformats-officedocument.wordprocessingml.footer+xml"/>
  <Override PartName="/word/footer589.xml" ContentType="application/vnd.openxmlformats-officedocument.wordprocessingml.footer+xml"/>
  <Override PartName="/word/footer627.xml" ContentType="application/vnd.openxmlformats-officedocument.wordprocessingml.footer+xml"/>
  <Override PartName="/word/footer764.xml" ContentType="application/vnd.openxmlformats-officedocument.wordprocessingml.footer+xml"/>
  <Override PartName="/word/footer767.xml" ContentType="application/vnd.openxmlformats-officedocument.wordprocessingml.footer+xml"/>
  <Override PartName="/word/footer582.xml" ContentType="application/vnd.openxmlformats-officedocument.wordprocessingml.footer+xml"/>
  <Override PartName="/word/footer590.xml" ContentType="application/vnd.openxmlformats-officedocument.wordprocessingml.footer+xml"/>
  <Override PartName="/word/footer775.xml" ContentType="application/vnd.openxmlformats-officedocument.wordprocessingml.footer+xml"/>
  <Override PartName="/word/footer638.xml" ContentType="application/vnd.openxmlformats-officedocument.wordprocessingml.footer+xml"/>
  <Override PartName="/word/footer768.xml" ContentType="application/vnd.openxmlformats-officedocument.wordprocessingml.footer+xml"/>
  <Override PartName="/word/footer583.xml" ContentType="application/vnd.openxmlformats-officedocument.wordprocessingml.footer+xml"/>
  <Override PartName="/word/footer591.xml" ContentType="application/vnd.openxmlformats-officedocument.wordprocessingml.footer+xml"/>
  <Override PartName="/word/footer776.xml" ContentType="application/vnd.openxmlformats-officedocument.wordprocessingml.footer+xml"/>
  <Override PartName="/word/footer639.xml" ContentType="application/vnd.openxmlformats-officedocument.wordprocessingml.footer+xml"/>
  <Override PartName="/word/footer769.xml" ContentType="application/vnd.openxmlformats-officedocument.wordprocessingml.footer+xml"/>
  <Override PartName="/word/footer584.xml" ContentType="application/vnd.openxmlformats-officedocument.wordprocessingml.footer+xml"/>
  <Override PartName="/word/footer592.xml" ContentType="application/vnd.openxmlformats-officedocument.wordprocessingml.footer+xml"/>
  <Override PartName="/word/footer777.xml" ContentType="application/vnd.openxmlformats-officedocument.wordprocessingml.footer+xml"/>
  <Override PartName="/word/footer585.xml" ContentType="application/vnd.openxmlformats-officedocument.wordprocessingml.footer+xml"/>
  <Override PartName="/word/footer760.xml" ContentType="application/vnd.openxmlformats-officedocument.wordprocessingml.footer+xml"/>
  <Override PartName="/word/footer593.xml" ContentType="application/vnd.openxmlformats-officedocument.wordprocessingml.footer+xml"/>
  <Override PartName="/word/footer778.xml" ContentType="application/vnd.openxmlformats-officedocument.wordprocessingml.footer+xml"/>
  <Override PartName="/word/footer586.xml" ContentType="application/vnd.openxmlformats-officedocument.wordprocessingml.footer+xml"/>
  <Override PartName="/word/footer761.xml" ContentType="application/vnd.openxmlformats-officedocument.wordprocessingml.footer+xml"/>
  <Override PartName="/word/footer594.xml" ContentType="application/vnd.openxmlformats-officedocument.wordprocessingml.footer+xml"/>
  <Override PartName="/word/footer779.xml" ContentType="application/vnd.openxmlformats-officedocument.wordprocessingml.footer+xml"/>
  <Override PartName="/word/footer595.xml" ContentType="application/vnd.openxmlformats-officedocument.wordprocessingml.footer+xml"/>
  <Override PartName="/word/footer770.xml" ContentType="application/vnd.openxmlformats-officedocument.wordprocessingml.footer+xml"/>
  <Override PartName="/word/footer597.xml" ContentType="application/vnd.openxmlformats-officedocument.wordprocessingml.footer+xml"/>
  <Override PartName="/word/footer635.xml" ContentType="application/vnd.openxmlformats-officedocument.wordprocessingml.footer+xml"/>
  <Override PartName="/word/footer772.xml" ContentType="application/vnd.openxmlformats-officedocument.wordprocessingml.footer+xml"/>
  <Override PartName="/word/footer598.xml" ContentType="application/vnd.openxmlformats-officedocument.wordprocessingml.footer+xml"/>
  <Override PartName="/word/footer636.xml" ContentType="application/vnd.openxmlformats-officedocument.wordprocessingml.footer+xml"/>
  <Override PartName="/word/footer773.xml" ContentType="application/vnd.openxmlformats-officedocument.wordprocessingml.footer+xml"/>
  <Override PartName="/word/footer599.xml" ContentType="application/vnd.openxmlformats-officedocument.wordprocessingml.footer+xml"/>
  <Override PartName="/word/footer637.xml" ContentType="application/vnd.openxmlformats-officedocument.wordprocessingml.footer+xml"/>
  <Override PartName="/word/footer774.xml" ContentType="application/vnd.openxmlformats-officedocument.wordprocessingml.footer+xml"/>
  <Override PartName="/word/footer616.xml" ContentType="application/vnd.openxmlformats-officedocument.wordprocessingml.footer+xml"/>
  <Override PartName="/word/footer753.xml" ContentType="application/vnd.openxmlformats-officedocument.wordprocessingml.footer+xml"/>
  <Override PartName="/word/footer625.xml" ContentType="application/vnd.openxmlformats-officedocument.wordprocessingml.footer+xml"/>
  <Override PartName="/word/fontTable.xml" ContentType="application/vnd.openxmlformats-officedocument.wordprocessingml.fontTable+xml"/>
  <Override PartName="/word/footer253.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oter72.xml" ContentType="application/vnd.openxmlformats-officedocument.wordprocessingml.footer+xml"/>
  <Override PartName="/word/footer641.xml" ContentType="application/vnd.openxmlformats-officedocument.wordprocessingml.footer+xml"/>
  <Override PartName="/word/footer807.xml" ContentType="application/vnd.openxmlformats-officedocument.wordprocessingml.footer+xml"/>
  <Override PartName="/word/footer642.xml" ContentType="application/vnd.openxmlformats-officedocument.wordprocessingml.footer+xml"/>
  <Override PartName="/word/footer808.xml" ContentType="application/vnd.openxmlformats-officedocument.wordprocessingml.footer+xml"/>
  <Override PartName="/word/footer643.xml" ContentType="application/vnd.openxmlformats-officedocument.wordprocessingml.footer+xml"/>
  <Override PartName="/word/footer809.xml" ContentType="application/vnd.openxmlformats-officedocument.wordprocessingml.footer+xml"/>
  <Override PartName="/word/footer644.xml" ContentType="application/vnd.openxmlformats-officedocument.wordprocessingml.footer+xml"/>
  <Override PartName="/word/footer645.xml" ContentType="application/vnd.openxmlformats-officedocument.wordprocessingml.footer+xml"/>
  <Override PartName="/word/footer646.xml" ContentType="application/vnd.openxmlformats-officedocument.wordprocessingml.footer+xml"/>
  <Override PartName="/word/footer647.xml" ContentType="application/vnd.openxmlformats-officedocument.wordprocessingml.footer+xml"/>
  <Override PartName="/word/footer725.xml" ContentType="application/vnd.openxmlformats-officedocument.wordprocessingml.footer+xml"/>
  <Override PartName="/word/footer540.xml" ContentType="application/vnd.openxmlformats-officedocument.wordprocessingml.footer+xml"/>
  <Override PartName="/word/footer726.xml" ContentType="application/vnd.openxmlformats-officedocument.wordprocessingml.footer+xml"/>
  <Override PartName="/word/footer541.xml" ContentType="application/vnd.openxmlformats-officedocument.wordprocessingml.footer+xml"/>
  <Override PartName="/word/footer648.xml" ContentType="application/vnd.openxmlformats-officedocument.wordprocessingml.footer+xml"/>
  <Override PartName="/word/footer735.xml" ContentType="application/vnd.openxmlformats-officedocument.wordprocessingml.footer+xml"/>
  <Override PartName="/word/footer550.xml" ContentType="application/vnd.openxmlformats-officedocument.wordprocessingml.footer+xml"/>
  <Override PartName="/word/footer649.xml" ContentType="application/vnd.openxmlformats-officedocument.wordprocessingml.footer+xml"/>
  <Override PartName="/word/footer346.xml" ContentType="application/vnd.openxmlformats-officedocument.wordprocessingml.footer+xml"/>
  <Override PartName="/word/footer736.xml" ContentType="application/vnd.openxmlformats-officedocument.wordprocessingml.footer+xml"/>
  <Override PartName="/word/footer551.xml" ContentType="application/vnd.openxmlformats-officedocument.wordprocessingml.footer+xml"/>
  <Override PartName="/word/footer800.xml" ContentType="application/vnd.openxmlformats-officedocument.wordprocessingml.footer+xml"/>
  <Override PartName="/word/footer801.xml" ContentType="application/vnd.openxmlformats-officedocument.wordprocessingml.footer+xml"/>
  <Override PartName="/word/footer802.xml" ContentType="application/vnd.openxmlformats-officedocument.wordprocessingml.footer+xml"/>
  <Override PartName="/word/footer656.xml" ContentType="application/vnd.openxmlformats-officedocument.wordprocessingml.footer+xml"/>
  <Override PartName="/word/footer803.xml" ContentType="application/vnd.openxmlformats-officedocument.wordprocessingml.footer+xml"/>
  <Override PartName="/word/footer820.xml" ContentType="application/vnd.openxmlformats-officedocument.wordprocessingml.footer+xml"/>
  <Override PartName="/word/footer713.xml" ContentType="application/vnd.openxmlformats-officedocument.wordprocessingml.footer+xml"/>
  <Override PartName="/word/footer675.xml" ContentType="application/vnd.openxmlformats-officedocument.wordprocessingml.footer+xml"/>
  <Override PartName="/word/footer821.xml" ContentType="application/vnd.openxmlformats-officedocument.wordprocessingml.footer+xml"/>
  <Override PartName="/word/footer714.xml" ContentType="application/vnd.openxmlformats-officedocument.wordprocessingml.footer+xml"/>
  <Override PartName="/word/footer676.xml" ContentType="application/vnd.openxmlformats-officedocument.wordprocessingml.footer+xml"/>
  <Override PartName="/word/footer539.xml" ContentType="application/vnd.openxmlformats-officedocument.wordprocessingml.footer+xml"/>
  <Override PartName="/word/footer822.xml" ContentType="application/vnd.openxmlformats-officedocument.wordprocessingml.footer+xml"/>
  <Override PartName="/word/footer823.xml" ContentType="application/vnd.openxmlformats-officedocument.wordprocessingml.footer+xml"/>
  <Override PartName="/word/footer677.xml" ContentType="application/vnd.openxmlformats-officedocument.wordprocessingml.footer+xml"/>
  <Override PartName="/word/footer824.xml" ContentType="application/vnd.openxmlformats-officedocument.wordprocessingml.footer+xml"/>
  <Override PartName="/word/footer67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825.xml" ContentType="application/vnd.openxmlformats-officedocument.wordprocessingml.footer+xml"/>
  <Override PartName="/word/footer765.xml" ContentType="application/vnd.openxmlformats-officedocument.wordprocessingml.footer+xml"/>
  <Override PartName="/word/footer580.xml" ContentType="application/vnd.openxmlformats-officedocument.wordprocessingml.footer+xml"/>
  <Override PartName="/word/footer679.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826.xml" ContentType="application/vnd.openxmlformats-officedocument.wordprocessingml.footer+xml"/>
  <Override PartName="/word/footer660.xml" ContentType="application/vnd.openxmlformats-officedocument.wordprocessingml.footer+xml"/>
  <Override PartName="/word/footer766.xml" ContentType="application/vnd.openxmlformats-officedocument.wordprocessingml.footer+xml"/>
  <Override PartName="/word/footer581.xml" ContentType="application/vnd.openxmlformats-officedocument.wordprocessingml.footer+xml"/>
  <Override PartName="/word/footer827.xml" ContentType="application/vnd.openxmlformats-officedocument.wordprocessingml.footer+xml"/>
  <Override PartName="/word/footer661.xml" ContentType="application/vnd.openxmlformats-officedocument.wordprocessingml.footer+xml"/>
  <Override PartName="/word/footer818.xml" ContentType="application/vnd.openxmlformats-officedocument.wordprocessingml.footer+xml"/>
  <Override PartName="/word/footer652.xml" ContentType="application/vnd.openxmlformats-officedocument.wordprocessingml.footer+xml"/>
  <Override PartName="/word/footer828.xml" ContentType="application/vnd.openxmlformats-officedocument.wordprocessingml.footer+xml"/>
  <Override PartName="/word/footer700.xml" ContentType="application/vnd.openxmlformats-officedocument.wordprocessingml.footer+xml"/>
  <Override PartName="/word/footer662.xml" ContentType="application/vnd.openxmlformats-officedocument.wordprocessingml.footer+xml"/>
  <Override PartName="/word/footer819.xml" ContentType="application/vnd.openxmlformats-officedocument.wordprocessingml.footer+xml"/>
  <Override PartName="/word/footer653.xml" ContentType="application/vnd.openxmlformats-officedocument.wordprocessingml.footer+xml"/>
  <Override PartName="/word/footer830.xml" ContentType="application/vnd.openxmlformats-officedocument.wordprocessingml.footer+xml"/>
  <Override PartName="/word/footer829.xml" ContentType="application/vnd.openxmlformats-officedocument.wordprocessingml.footer+xml"/>
  <Override PartName="/word/footer701.xml" ContentType="application/vnd.openxmlformats-officedocument.wordprocessingml.footer+xml"/>
  <Override PartName="/word/footer663.xml" ContentType="application/vnd.openxmlformats-officedocument.wordprocessingml.footer+xml"/>
  <Override PartName="/word/footer831.xml" ContentType="application/vnd.openxmlformats-officedocument.wordprocessingml.footer+xml"/>
  <Override PartName="/word/footer756.xml" ContentType="application/vnd.openxmlformats-officedocument.wordprocessingml.footer+xml"/>
  <Override PartName="/word/footer571.xml" ContentType="application/vnd.openxmlformats-officedocument.wordprocessingml.footer+xml"/>
  <Override PartName="/word/footer817.xml" ContentType="application/vnd.openxmlformats-officedocument.wordprocessingml.footer+xml"/>
  <Override PartName="/word/footer651.xml" ContentType="application/vnd.openxmlformats-officedocument.wordprocessingml.footer+xml"/>
  <Override PartName="/word/footer712.xml" ContentType="application/vnd.openxmlformats-officedocument.wordprocessingml.footer+xml"/>
  <Override PartName="/word/footer674.xml" ContentType="application/vnd.openxmlformats-officedocument.wordprocessingml.footer+xml"/>
  <Override PartName="/word/footer755.xml" ContentType="application/vnd.openxmlformats-officedocument.wordprocessingml.footer+xml"/>
  <Override PartName="/word/footer570.xml" ContentType="application/vnd.openxmlformats-officedocument.wordprocessingml.footer+xml"/>
  <Override PartName="/word/footer669.xml" ContentType="application/vnd.openxmlformats-officedocument.wordprocessingml.footer+xml"/>
  <Override PartName="/word/footer816.xml" ContentType="application/vnd.openxmlformats-officedocument.wordprocessingml.footer+xml"/>
  <Override PartName="/word/footer650.xml" ContentType="application/vnd.openxmlformats-officedocument.wordprocessingml.footer+xml"/>
  <Override PartName="/word/footer711.xml" ContentType="application/vnd.openxmlformats-officedocument.wordprocessingml.footer+xml"/>
  <Override PartName="/word/footer673.xml" ContentType="application/vnd.openxmlformats-officedocument.wordprocessingml.footer+xml"/>
  <Override PartName="/word/settings.xml" ContentType="application/vnd.openxmlformats-officedocument.wordprocessingml.settings+xml"/>
  <Override PartName="/word/footer668.xml" ContentType="application/vnd.openxmlformats-officedocument.wordprocessingml.footer+xml"/>
  <Override PartName="/word/footer799.xml" ContentType="application/vnd.openxmlformats-officedocument.wordprocessingml.footer+xml"/>
  <Override PartName="/word/footer815.xml" ContentType="application/vnd.openxmlformats-officedocument.wordprocessingml.footer+xml"/>
  <Override PartName="/word/footer710.xml" ContentType="application/vnd.openxmlformats-officedocument.wordprocessingml.footer+xml"/>
  <Override PartName="/word/footer672.xml" ContentType="application/vnd.openxmlformats-officedocument.wordprocessingml.footer+xml"/>
  <Override PartName="/word/footer667.xml" ContentType="application/vnd.openxmlformats-officedocument.wordprocessingml.footer+xml"/>
  <Override PartName="/word/footer814.xml" ContentType="application/vnd.openxmlformats-officedocument.wordprocessingml.footer+xml"/>
  <Override PartName="/word/footer666.xml" ContentType="application/vnd.openxmlformats-officedocument.wordprocessingml.footer+xml"/>
  <Override PartName="/word/footer704.xml" ContentType="application/vnd.openxmlformats-officedocument.wordprocessingml.footer+xml"/>
  <Override PartName="/word/footer813.xml" ContentType="application/vnd.openxmlformats-officedocument.wordprocessingml.footer+xml"/>
  <Override PartName="/word/footer812.xml" ContentType="application/vnd.openxmlformats-officedocument.wordprocessingml.footer+xml"/>
  <Override PartName="/word/footer811.xml" ContentType="application/vnd.openxmlformats-officedocument.wordprocessingml.footer+xml"/>
  <Override PartName="/word/footer810.xml" ContentType="application/vnd.openxmlformats-officedocument.wordprocessingml.footer+xml"/>
  <Override PartName="/word/footer771.xml" ContentType="application/vnd.openxmlformats-officedocument.wordprocessingml.footer+xml"/>
  <Override PartName="/word/footer596.xml" ContentType="application/vnd.openxmlformats-officedocument.wordprocessingml.footer+xml"/>
  <Override PartName="/word/footer703.xml" ContentType="application/vnd.openxmlformats-officedocument.wordprocessingml.footer+xml"/>
  <Override PartName="/word/footer665.xml" ContentType="application/vnd.openxmlformats-officedocument.wordprocessingml.footer+xml"/>
  <Override PartName="/word/footer746.xml" ContentType="application/vnd.openxmlformats-officedocument.wordprocessingml.footer+xml"/>
  <Override PartName="/word/footer561.xml" ContentType="application/vnd.openxmlformats-officedocument.wordprocessingml.footer+xml"/>
  <Override PartName="/word/footer702.xml" ContentType="application/vnd.openxmlformats-officedocument.wordprocessingml.footer+xml"/>
  <Override PartName="/word/footer664.xml" ContentType="application/vnd.openxmlformats-officedocument.wordprocessingml.footer+xml"/>
  <Override PartName="/word/footer745.xml" ContentType="application/vnd.openxmlformats-officedocument.wordprocessingml.footer+xml"/>
  <Override PartName="/word/footer560.xml" ContentType="application/vnd.openxmlformats-officedocument.wordprocessingml.footer+xml"/>
  <Override PartName="/word/footer659.xml" ContentType="application/vnd.openxmlformats-officedocument.wordprocessingml.footer+xml"/>
  <Override PartName="/word/footer356.xml" ContentType="application/vnd.openxmlformats-officedocument.wordprocessingml.footer+xml"/>
  <Override PartName="/word/footer806.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658.xml" ContentType="application/vnd.openxmlformats-officedocument.wordprocessingml.footer+xml"/>
  <Override PartName="/word/footer789.xml" ContentType="application/vnd.openxmlformats-officedocument.wordprocessingml.footer+xml"/>
  <Override PartName="/word/footer805.xml" ContentType="application/vnd.openxmlformats-officedocument.wordprocessingml.footer+xml"/>
  <Override PartName="/word/footer671.xml" ContentType="application/vnd.openxmlformats-officedocument.wordprocessingml.footer+xml"/>
  <Override PartName="/word/footer657.xml" ContentType="application/vnd.openxmlformats-officedocument.wordprocessingml.footer+xml"/>
  <Override PartName="/word/footer804.xml" ContentType="application/vnd.openxmlformats-officedocument.wordprocessingml.footer+xml"/>
  <Override PartName="/word/footer670.xml" ContentType="application/vnd.openxmlformats-officedocument.wordprocessingml.footer+xml"/>
  <Override PartName="/word/footer655.xml" ContentType="application/vnd.openxmlformats-officedocument.wordprocessingml.footer+xml"/>
  <Override PartName="/word/footer654.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234.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21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152.xml" ContentType="application/vnd.openxmlformats-officedocument.wordprocessingml.footer+xml"/>
  <Override PartName="/word/footer55.xml" ContentType="application/vnd.openxmlformats-officedocument.wordprocessingml.footer+xml"/>
  <Override PartName="/word/footer357.xml" ContentType="application/vnd.openxmlformats-officedocument.wordprocessingml.footer+xml"/>
  <Override PartName="/word/footer347.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631.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630.xml" ContentType="application/vnd.openxmlformats-officedocument.wordprocessingml.footer+xml"/>
  <Override PartName="/word/footer25.xml" ContentType="application/vnd.openxmlformats-officedocument.wordprocessingml.footer+xml"/>
  <Override PartName="/word/footer327.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621.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59.jpeg" ContentType="image/jpeg"/>
  <Override PartName="/word/media/image42.jpeg" ContentType="image/jpeg"/>
  <Override PartName="/word/media/image38.jpeg" ContentType="image/jpeg"/>
  <Override PartName="/word/media/image7.jpeg" ContentType="image/jpeg"/>
  <Override PartName="/word/media/image51.jpeg" ContentType="image/jpeg"/>
  <Override PartName="/word/media/image6.jpeg" ContentType="image/jpeg"/>
  <Override PartName="/word/media/image5.jpeg" ContentType="image/jpeg"/>
  <Override PartName="/word/media/image26.jpeg" ContentType="image/jpeg"/>
  <Override PartName="/word/media/image4.jpeg" ContentType="image/jpeg"/>
  <Override PartName="/word/media/image61.jpeg" ContentType="image/jpeg"/>
  <Override PartName="/word/media/image25.jpeg" ContentType="image/jpeg"/>
  <Override PartName="/word/media/image36.jpeg" ContentType="image/jpeg"/>
  <Override PartName="/word/media/image2.jpeg" ContentType="image/jpeg"/>
  <Override PartName="/word/media/image23.jpeg" ContentType="image/jpeg"/>
  <Override PartName="/word/media/image29.jpeg" ContentType="image/jpeg"/>
  <Override PartName="/word/media/image12.jpeg" ContentType="image/jpeg"/>
  <Override PartName="/word/media/image50.jpeg" ContentType="image/jpeg"/>
  <Override PartName="/word/media/image37.jpeg" ContentType="image/jpeg"/>
  <Override PartName="/word/media/image60.jpeg" ContentType="image/jpeg"/>
  <Override PartName="/word/media/image3.jpeg" ContentType="image/jpeg"/>
  <Override PartName="/word/media/image22.jpeg" ContentType="image/jpeg"/>
  <Override PartName="/word/media/image17.jpeg" ContentType="image/jpeg"/>
  <Override PartName="/word/media/image21.jpeg" ContentType="image/jpeg"/>
  <Override PartName="/word/media/image16.jpeg" ContentType="image/jpeg"/>
  <Override PartName="/word/media/image20.jpeg" ContentType="image/jpeg"/>
  <Override PartName="/word/media/image15.jpeg" ContentType="image/jpeg"/>
  <Override PartName="/word/media/image19.jpeg" ContentType="image/jpeg"/>
  <Override PartName="/word/media/image24.jpeg" ContentType="image/jpeg"/>
  <Override PartName="/word/media/image18.jpeg" ContentType="image/jpeg"/>
  <Override PartName="/word/media/image14.jpeg" ContentType="image/jpeg"/>
  <Override PartName="/word/media/image41.jpeg" ContentType="image/jpeg"/>
  <Override PartName="/word/media/image52.jpeg" ContentType="image/jpeg"/>
  <Override PartName="/word/media/image1.png" ContentType="image/png"/>
  <Override PartName="/word/media/image27.jpeg" ContentType="image/jpeg"/>
  <Override PartName="/word/media/image10.jpeg" ContentType="image/jpeg"/>
  <Override PartName="/word/media/image8.jpeg" ContentType="image/jpeg"/>
  <Override PartName="/word/media/image39.jpeg" ContentType="image/jpeg"/>
  <Override PartName="/word/media/image13.jpeg" ContentType="image/jpeg"/>
  <Override PartName="/word/media/image40.jpeg" ContentType="image/jpeg"/>
  <Override PartName="/word/media/image28.jpeg" ContentType="image/jpeg"/>
  <Override PartName="/word/media/image11.jpeg" ContentType="image/jpeg"/>
  <Override PartName="/word/media/image9.jpeg" ContentType="image/jpeg"/>
  <Override PartName="/word/media/image30.jpeg" ContentType="image/jpeg"/>
  <Override PartName="/word/media/image31.jpeg" ContentType="image/jpeg"/>
  <Override PartName="/word/media/image32.jpeg" ContentType="image/jpeg"/>
  <Override PartName="/word/media/image33.jpeg" ContentType="image/jpeg"/>
  <Override PartName="/word/media/image34.jpeg" ContentType="image/jpeg"/>
  <Override PartName="/word/media/image35.jpeg" ContentType="image/jpeg"/>
  <Override PartName="/word/media/image43.jpeg" ContentType="image/jpeg"/>
  <Override PartName="/word/media/image44.jpeg" ContentType="image/jpeg"/>
  <Override PartName="/word/media/image45.jpeg" ContentType="image/jpeg"/>
  <Override PartName="/word/media/image46.jpeg" ContentType="image/jpeg"/>
  <Override PartName="/word/media/image47.jpeg" ContentType="image/jpeg"/>
  <Override PartName="/word/media/image48.jpeg" ContentType="image/jpeg"/>
  <Override PartName="/word/media/image49.jpeg" ContentType="image/jpeg"/>
  <Override PartName="/word/media/image53.jpeg" ContentType="image/jpeg"/>
  <Override PartName="/word/media/image54.jpeg" ContentType="image/jpeg"/>
  <Override PartName="/word/media/image55.jpeg" ContentType="image/jpeg"/>
  <Override PartName="/word/media/image56.jpeg" ContentType="image/jpeg"/>
  <Override PartName="/word/media/image57.jpeg" ContentType="image/jpeg"/>
  <Override PartName="/word/media/image58.jpeg" ContentType="image/jpeg"/>
  <Override PartName="/word/footer620.xml" ContentType="application/vnd.openxmlformats-officedocument.wordprocessingml.footer+xml"/>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3.xml" ContentType="application/vnd.openxmlformats-officedocument.wordprocessingml.footer+xml"/>
  <Override PartName="/word/footer12.xml" ContentType="application/vnd.openxmlformats-officedocument.wordprocessingml.footer+xml"/>
  <Override PartName="/word/footer11.xml" ContentType="application/vnd.openxmlformats-officedocument.wordprocessingml.footer+xml"/>
  <Override PartName="/word/footer56.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798.xml" ContentType="application/vnd.openxmlformats-officedocument.wordprocessingml.footer+xml"/>
  <Override PartName="/word/footer318.xml" ContentType="application/vnd.openxmlformats-officedocument.wordprocessingml.footer+xml"/>
  <Override PartName="/word/footer797.xml" ContentType="application/vnd.openxmlformats-officedocument.wordprocessingml.footer+xml"/>
  <Override PartName="/word/footer54.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796.xml" ContentType="application/vnd.openxmlformats-officedocument.wordprocessingml.footer+xml"/>
  <Override PartName="/word/footer53.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795.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788.xml" ContentType="application/vnd.openxmlformats-officedocument.wordprocessingml.footer+xml"/>
  <Override PartName="/word/footer309.xml" ContentType="application/vnd.openxmlformats-officedocument.wordprocessingml.footer+xml"/>
  <Override PartName="/word/footer787.xml" ContentType="application/vnd.openxmlformats-officedocument.wordprocessingml.footer+xml"/>
  <Override PartName="/word/footer308.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786.xml" ContentType="application/vnd.openxmlformats-officedocument.wordprocessingml.footer+xml"/>
  <Override PartName="/word/footer43.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785.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182.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العده فی اصول الفقه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757155_653776707">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1757157_653776707">
            <w:r>
              <w:rPr>
                <w:webHidden/>
                <w:rStyle w:val="IndexLink"/>
                <w:rtl w:val="true"/>
              </w:rPr>
              <w:t xml:space="preserve">المجلد </w:t>
            </w:r>
            <w:r>
              <w:rPr>
                <w:rStyle w:val="IndexLink"/>
              </w:rPr>
              <w:t>1</w:t>
            </w:r>
            <w:r>
              <w:rPr>
                <w:rStyle w:val="IndexLink"/>
                <w:rtl w:val="true"/>
              </w:rPr>
              <w:tab/>
            </w:r>
            <w:r>
              <w:rPr>
                <w:rStyle w:val="IndexLink"/>
              </w:rPr>
              <w:t>7</w:t>
            </w:r>
          </w:hyperlink>
        </w:p>
        <w:p>
          <w:pPr>
            <w:pStyle w:val="Contents3"/>
            <w:tabs>
              <w:tab w:val="clear" w:pos="8459"/>
              <w:tab w:val="right" w:pos="9026" w:leader="dot"/>
            </w:tabs>
            <w:rPr/>
          </w:pPr>
          <w:hyperlink w:anchor="__RefHeading___Toc1757159_653776707">
            <w:r>
              <w:rPr>
                <w:webHidden/>
                <w:rStyle w:val="IndexLink"/>
                <w:rtl w:val="true"/>
              </w:rPr>
              <w:t>اشارة</w:t>
            </w:r>
            <w:r>
              <w:rPr>
                <w:rStyle w:val="IndexLink"/>
                <w:rtl w:val="true"/>
              </w:rPr>
              <w:tab/>
            </w:r>
            <w:r>
              <w:rPr>
                <w:rStyle w:val="IndexLink"/>
              </w:rPr>
              <w:t>7</w:t>
            </w:r>
          </w:hyperlink>
        </w:p>
        <w:p>
          <w:pPr>
            <w:pStyle w:val="Contents3"/>
            <w:tabs>
              <w:tab w:val="clear" w:pos="8459"/>
              <w:tab w:val="right" w:pos="9026" w:leader="dot"/>
            </w:tabs>
            <w:rPr/>
          </w:pPr>
          <w:hyperlink w:anchor="__RefHeading___Toc1757161_653776707">
            <w:r>
              <w:rPr>
                <w:webHidden/>
                <w:rStyle w:val="IndexLink"/>
                <w:rtl w:val="true"/>
              </w:rPr>
              <w:t>الباب الأول</w:t>
            </w:r>
            <w:r>
              <w:rPr>
                <w:rStyle w:val="IndexLink"/>
                <w:rtl w:val="true"/>
              </w:rPr>
              <w:tab/>
            </w:r>
            <w:r>
              <w:rPr>
                <w:rStyle w:val="IndexLink"/>
              </w:rPr>
              <w:t>11</w:t>
            </w:r>
          </w:hyperlink>
        </w:p>
        <w:p>
          <w:pPr>
            <w:pStyle w:val="Contents4"/>
            <w:tabs>
              <w:tab w:val="clear" w:pos="8176"/>
              <w:tab w:val="right" w:pos="9026" w:leader="dot"/>
            </w:tabs>
            <w:rPr/>
          </w:pPr>
          <w:hyperlink w:anchor="__RefHeading___Toc1757163_653776707">
            <w:r>
              <w:rPr>
                <w:webHidden/>
                <w:rStyle w:val="IndexLink"/>
                <w:rtl w:val="true"/>
              </w:rPr>
              <w:t>اشارة</w:t>
            </w:r>
            <w:r>
              <w:rPr>
                <w:rStyle w:val="IndexLink"/>
                <w:rtl w:val="true"/>
              </w:rPr>
              <w:tab/>
            </w:r>
            <w:r>
              <w:rPr>
                <w:rStyle w:val="IndexLink"/>
              </w:rPr>
              <w:t>11</w:t>
            </w:r>
          </w:hyperlink>
        </w:p>
        <w:p>
          <w:pPr>
            <w:pStyle w:val="Contents4"/>
            <w:tabs>
              <w:tab w:val="clear" w:pos="8176"/>
              <w:tab w:val="right" w:pos="9026" w:leader="dot"/>
            </w:tabs>
            <w:rPr/>
          </w:pPr>
          <w:hyperlink w:anchor="__RefHeading___Toc1757165_653776707">
            <w:r>
              <w:rPr>
                <w:webHidden/>
                <w:rStyle w:val="IndexLink"/>
              </w:rPr>
              <w:t>1</w:t>
            </w:r>
            <w:r>
              <w:rPr>
                <w:rStyle w:val="IndexLink"/>
                <w:rtl w:val="true"/>
              </w:rPr>
              <w:t xml:space="preserve">- </w:t>
            </w:r>
            <w:r>
              <w:rPr>
                <w:rStyle w:val="IndexLink"/>
                <w:rtl w:val="true"/>
              </w:rPr>
              <w:t xml:space="preserve">فصل </w:t>
            </w:r>
            <w:r>
              <w:rPr>
                <w:rStyle w:val="IndexLink"/>
                <w:rtl w:val="true"/>
              </w:rPr>
              <w:t>«</w:t>
            </w:r>
            <w:r>
              <w:rPr>
                <w:rStyle w:val="IndexLink"/>
                <w:rtl w:val="true"/>
              </w:rPr>
              <w:t>فی ماهیة أصول الفقه، و انقسامها، و کیفیة ترتیب أبوابها</w:t>
            </w:r>
            <w:r>
              <w:rPr>
                <w:rStyle w:val="IndexLink"/>
                <w:rtl w:val="true"/>
              </w:rPr>
              <w:t>»</w:t>
              <w:tab/>
            </w:r>
            <w:r>
              <w:rPr>
                <w:rStyle w:val="IndexLink"/>
              </w:rPr>
              <w:t>13</w:t>
            </w:r>
          </w:hyperlink>
        </w:p>
        <w:p>
          <w:pPr>
            <w:pStyle w:val="Contents4"/>
            <w:tabs>
              <w:tab w:val="clear" w:pos="8176"/>
              <w:tab w:val="right" w:pos="9026" w:leader="dot"/>
            </w:tabs>
            <w:rPr/>
          </w:pPr>
          <w:hyperlink w:anchor="__RefHeading___Toc1757167_653776707">
            <w:r>
              <w:rPr>
                <w:webHidden/>
                <w:rStyle w:val="IndexLink"/>
              </w:rPr>
              <w:t>2</w:t>
            </w:r>
            <w:r>
              <w:rPr>
                <w:rStyle w:val="IndexLink"/>
                <w:rtl w:val="true"/>
              </w:rPr>
              <w:t xml:space="preserve">- </w:t>
            </w:r>
            <w:r>
              <w:rPr>
                <w:rStyle w:val="IndexLink"/>
                <w:rtl w:val="true"/>
              </w:rPr>
              <w:t xml:space="preserve">فصل </w:t>
            </w:r>
            <w:r>
              <w:rPr>
                <w:rStyle w:val="IndexLink"/>
                <w:rtl w:val="true"/>
              </w:rPr>
              <w:t>«</w:t>
            </w:r>
            <w:r>
              <w:rPr>
                <w:rStyle w:val="IndexLink"/>
                <w:rtl w:val="true"/>
              </w:rPr>
              <w:t>فی بیان حقیقة العلم، و أقسامه، و معنی الدّلالة، و ما یتصرّف منها</w:t>
            </w:r>
            <w:r>
              <w:rPr>
                <w:rStyle w:val="IndexLink"/>
                <w:rtl w:val="true"/>
              </w:rPr>
              <w:t>»</w:t>
              <w:tab/>
            </w:r>
            <w:r>
              <w:rPr>
                <w:rStyle w:val="IndexLink"/>
              </w:rPr>
              <w:t>18</w:t>
            </w:r>
          </w:hyperlink>
        </w:p>
        <w:p>
          <w:pPr>
            <w:pStyle w:val="Contents4"/>
            <w:tabs>
              <w:tab w:val="clear" w:pos="8176"/>
              <w:tab w:val="right" w:pos="9026" w:leader="dot"/>
            </w:tabs>
            <w:rPr/>
          </w:pPr>
          <w:hyperlink w:anchor="__RefHeading___Toc1757169_653776707">
            <w:r>
              <w:rPr>
                <w:webHidden/>
                <w:rStyle w:val="IndexLink"/>
              </w:rPr>
              <w:t>3</w:t>
            </w:r>
            <w:r>
              <w:rPr>
                <w:rStyle w:val="IndexLink"/>
                <w:rtl w:val="true"/>
              </w:rPr>
              <w:t xml:space="preserve">- </w:t>
            </w:r>
            <w:r>
              <w:rPr>
                <w:rStyle w:val="IndexLink"/>
                <w:rtl w:val="true"/>
              </w:rPr>
              <w:t xml:space="preserve">فصل </w:t>
            </w:r>
            <w:r>
              <w:rPr>
                <w:rStyle w:val="IndexLink"/>
                <w:rtl w:val="true"/>
              </w:rPr>
              <w:t>«</w:t>
            </w:r>
            <w:r>
              <w:rPr>
                <w:rStyle w:val="IndexLink"/>
                <w:rtl w:val="true"/>
              </w:rPr>
              <w:t>فی ذکر أقسام أفعال المکلف</w:t>
            </w:r>
            <w:r>
              <w:rPr>
                <w:rStyle w:val="IndexLink"/>
                <w:rtl w:val="true"/>
              </w:rPr>
              <w:t>»</w:t>
              <w:tab/>
            </w:r>
            <w:r>
              <w:rPr>
                <w:rStyle w:val="IndexLink"/>
              </w:rPr>
              <w:t>31</w:t>
            </w:r>
          </w:hyperlink>
        </w:p>
        <w:p>
          <w:pPr>
            <w:pStyle w:val="Contents4"/>
            <w:tabs>
              <w:tab w:val="clear" w:pos="8176"/>
              <w:tab w:val="right" w:pos="9026" w:leader="dot"/>
            </w:tabs>
            <w:rPr/>
          </w:pPr>
          <w:hyperlink w:anchor="__RefHeading___Toc1757171_653776707">
            <w:r>
              <w:rPr>
                <w:webHidden/>
                <w:rStyle w:val="IndexLink"/>
              </w:rPr>
              <w:t>4</w:t>
            </w:r>
            <w:r>
              <w:rPr>
                <w:rStyle w:val="IndexLink"/>
                <w:rtl w:val="true"/>
              </w:rPr>
              <w:t xml:space="preserve">- </w:t>
            </w:r>
            <w:r>
              <w:rPr>
                <w:rStyle w:val="IndexLink"/>
                <w:rtl w:val="true"/>
              </w:rPr>
              <w:t xml:space="preserve">فصل </w:t>
            </w:r>
            <w:r>
              <w:rPr>
                <w:rStyle w:val="IndexLink"/>
                <w:rtl w:val="true"/>
              </w:rPr>
              <w:t>«</w:t>
            </w:r>
            <w:r>
              <w:rPr>
                <w:rStyle w:val="IndexLink"/>
                <w:rtl w:val="true"/>
              </w:rPr>
              <w:t>فی حقیقة الکلام، و بیان أقسامه، و جملة من أحکامه، و ترتیب الأسماء</w:t>
            </w:r>
            <w:r>
              <w:rPr>
                <w:rStyle w:val="IndexLink"/>
                <w:rtl w:val="true"/>
              </w:rPr>
              <w:t>»</w:t>
              <w:tab/>
            </w:r>
            <w:r>
              <w:rPr>
                <w:rStyle w:val="IndexLink"/>
              </w:rPr>
              <w:t>34</w:t>
            </w:r>
          </w:hyperlink>
        </w:p>
        <w:p>
          <w:pPr>
            <w:pStyle w:val="Contents4"/>
            <w:tabs>
              <w:tab w:val="clear" w:pos="8176"/>
              <w:tab w:val="right" w:pos="9026" w:leader="dot"/>
            </w:tabs>
            <w:rPr/>
          </w:pPr>
          <w:hyperlink w:anchor="__RefHeading___Toc1757173_653776707">
            <w:r>
              <w:rPr>
                <w:webHidden/>
                <w:rStyle w:val="IndexLink"/>
              </w:rPr>
              <w:t>5</w:t>
            </w:r>
            <w:r>
              <w:rPr>
                <w:rStyle w:val="IndexLink"/>
                <w:rtl w:val="true"/>
              </w:rPr>
              <w:t xml:space="preserve">- </w:t>
            </w:r>
            <w:r>
              <w:rPr>
                <w:rStyle w:val="IndexLink"/>
                <w:rtl w:val="true"/>
              </w:rPr>
              <w:t xml:space="preserve">فصل </w:t>
            </w:r>
            <w:r>
              <w:rPr>
                <w:rStyle w:val="IndexLink"/>
                <w:rtl w:val="true"/>
              </w:rPr>
              <w:t>«</w:t>
            </w:r>
            <w:r>
              <w:rPr>
                <w:rStyle w:val="IndexLink"/>
                <w:rtl w:val="true"/>
              </w:rPr>
              <w:t>فی ذکر ما یجب معرفته من صفات اللّه تعالی، و صفات النبی صلی اللّه علیه و آله و سلم و صفات الأئمة علیهم السلام حتی یصح معرفة مرادهم</w:t>
            </w:r>
            <w:r>
              <w:rPr>
                <w:rStyle w:val="IndexLink"/>
                <w:rtl w:val="true"/>
              </w:rPr>
              <w:t>»</w:t>
              <w:tab/>
            </w:r>
            <w:r>
              <w:rPr>
                <w:rStyle w:val="IndexLink"/>
              </w:rPr>
              <w:t>48</w:t>
            </w:r>
          </w:hyperlink>
        </w:p>
        <w:p>
          <w:pPr>
            <w:pStyle w:val="Contents4"/>
            <w:tabs>
              <w:tab w:val="clear" w:pos="8176"/>
              <w:tab w:val="right" w:pos="9026" w:leader="dot"/>
            </w:tabs>
            <w:rPr/>
          </w:pPr>
          <w:hyperlink w:anchor="__RefHeading___Toc1757175_653776707">
            <w:r>
              <w:rPr>
                <w:webHidden/>
                <w:rStyle w:val="IndexLink"/>
              </w:rPr>
              <w:t>6</w:t>
            </w:r>
            <w:r>
              <w:rPr>
                <w:rStyle w:val="IndexLink"/>
                <w:rtl w:val="true"/>
              </w:rPr>
              <w:t xml:space="preserve">- </w:t>
            </w:r>
            <w:r>
              <w:rPr>
                <w:rStyle w:val="IndexLink"/>
                <w:rtl w:val="true"/>
              </w:rPr>
              <w:t xml:space="preserve">فصل </w:t>
            </w:r>
            <w:r>
              <w:rPr>
                <w:rStyle w:val="IndexLink"/>
                <w:rtl w:val="true"/>
              </w:rPr>
              <w:t>«</w:t>
            </w:r>
            <w:r>
              <w:rPr>
                <w:rStyle w:val="IndexLink"/>
                <w:rtl w:val="true"/>
              </w:rPr>
              <w:t>فی ذکر الوجه الّذی یجب أن یحمل علیه مراد اللّه بخطابه</w:t>
            </w:r>
            <w:r>
              <w:rPr>
                <w:rStyle w:val="IndexLink"/>
                <w:rtl w:val="true"/>
              </w:rPr>
              <w:t>»</w:t>
              <w:tab/>
            </w:r>
            <w:r>
              <w:rPr>
                <w:rStyle w:val="IndexLink"/>
              </w:rPr>
              <w:t>55</w:t>
            </w:r>
          </w:hyperlink>
        </w:p>
        <w:p>
          <w:pPr>
            <w:pStyle w:val="Contents3"/>
            <w:tabs>
              <w:tab w:val="clear" w:pos="8459"/>
              <w:tab w:val="right" w:pos="9026" w:leader="dot"/>
            </w:tabs>
            <w:rPr/>
          </w:pPr>
          <w:hyperlink w:anchor="__RefHeading___Toc1757177_653776707">
            <w:r>
              <w:rPr>
                <w:webHidden/>
                <w:rStyle w:val="IndexLink"/>
                <w:rtl w:val="true"/>
              </w:rPr>
              <w:t>الباب الثانی</w:t>
            </w:r>
            <w:r>
              <w:rPr>
                <w:rStyle w:val="IndexLink"/>
                <w:rtl w:val="true"/>
              </w:rPr>
              <w:t xml:space="preserve">: </w:t>
            </w:r>
            <w:r>
              <w:rPr>
                <w:rStyle w:val="IndexLink"/>
                <w:rtl w:val="true"/>
              </w:rPr>
              <w:t>الکلام فی الأخبار</w:t>
            </w:r>
            <w:r>
              <w:rPr>
                <w:rStyle w:val="IndexLink"/>
                <w:rtl w:val="true"/>
              </w:rPr>
              <w:tab/>
            </w:r>
            <w:r>
              <w:rPr>
                <w:rStyle w:val="IndexLink"/>
              </w:rPr>
              <w:t>67</w:t>
            </w:r>
          </w:hyperlink>
        </w:p>
        <w:p>
          <w:pPr>
            <w:pStyle w:val="Contents4"/>
            <w:tabs>
              <w:tab w:val="clear" w:pos="8176"/>
              <w:tab w:val="right" w:pos="9026" w:leader="dot"/>
            </w:tabs>
            <w:rPr/>
          </w:pPr>
          <w:hyperlink w:anchor="__RefHeading___Toc1757179_653776707">
            <w:r>
              <w:rPr>
                <w:webHidden/>
                <w:rStyle w:val="IndexLink"/>
                <w:rtl w:val="true"/>
              </w:rPr>
              <w:t>اشارة</w:t>
            </w:r>
            <w:r>
              <w:rPr>
                <w:rStyle w:val="IndexLink"/>
                <w:rtl w:val="true"/>
              </w:rPr>
              <w:tab/>
            </w:r>
            <w:r>
              <w:rPr>
                <w:rStyle w:val="IndexLink"/>
              </w:rPr>
              <w:t>67</w:t>
            </w:r>
          </w:hyperlink>
        </w:p>
        <w:p>
          <w:pPr>
            <w:pStyle w:val="Contents4"/>
            <w:tabs>
              <w:tab w:val="clear" w:pos="8176"/>
              <w:tab w:val="right" w:pos="9026" w:leader="dot"/>
            </w:tabs>
            <w:rPr/>
          </w:pPr>
          <w:hyperlink w:anchor="__RefHeading___Toc1757181_653776707">
            <w:r>
              <w:rPr>
                <w:webHidden/>
                <w:rStyle w:val="IndexLink"/>
              </w:rPr>
              <w:t>1</w:t>
            </w:r>
            <w:r>
              <w:rPr>
                <w:rStyle w:val="IndexLink"/>
                <w:rtl w:val="true"/>
              </w:rPr>
              <w:t xml:space="preserve">- </w:t>
            </w:r>
            <w:r>
              <w:rPr>
                <w:rStyle w:val="IndexLink"/>
                <w:rtl w:val="true"/>
              </w:rPr>
              <w:t xml:space="preserve">فصل </w:t>
            </w:r>
            <w:r>
              <w:rPr>
                <w:rStyle w:val="IndexLink"/>
                <w:rtl w:val="true"/>
              </w:rPr>
              <w:t>«</w:t>
            </w:r>
            <w:r>
              <w:rPr>
                <w:rStyle w:val="IndexLink"/>
                <w:rtl w:val="true"/>
              </w:rPr>
              <w:t>فی حقیقة الخبر، و ما به یصیر خبرا، و بیان أقسامه</w:t>
            </w:r>
            <w:r>
              <w:rPr>
                <w:rStyle w:val="IndexLink"/>
                <w:rtl w:val="true"/>
              </w:rPr>
              <w:t>»</w:t>
              <w:tab/>
            </w:r>
            <w:r>
              <w:rPr>
                <w:rStyle w:val="IndexLink"/>
              </w:rPr>
              <w:t>69</w:t>
            </w:r>
          </w:hyperlink>
        </w:p>
        <w:p>
          <w:pPr>
            <w:pStyle w:val="Contents4"/>
            <w:tabs>
              <w:tab w:val="clear" w:pos="8176"/>
              <w:tab w:val="right" w:pos="9026" w:leader="dot"/>
            </w:tabs>
            <w:rPr/>
          </w:pPr>
          <w:hyperlink w:anchor="__RefHeading___Toc1757183_653776707">
            <w:r>
              <w:rPr>
                <w:webHidden/>
                <w:rStyle w:val="IndexLink"/>
              </w:rPr>
              <w:t>2</w:t>
            </w:r>
            <w:r>
              <w:rPr>
                <w:rStyle w:val="IndexLink"/>
                <w:rtl w:val="true"/>
              </w:rPr>
              <w:t xml:space="preserve">- </w:t>
            </w:r>
            <w:r>
              <w:rPr>
                <w:rStyle w:val="IndexLink"/>
                <w:rtl w:val="true"/>
              </w:rPr>
              <w:t xml:space="preserve">فصل </w:t>
            </w:r>
            <w:r>
              <w:rPr>
                <w:rStyle w:val="IndexLink"/>
                <w:rtl w:val="true"/>
              </w:rPr>
              <w:t>«</w:t>
            </w:r>
            <w:r>
              <w:rPr>
                <w:rStyle w:val="IndexLink"/>
                <w:rtl w:val="true"/>
              </w:rPr>
              <w:t>فی أن الأخبار قد یحصل عندها العلم، و کیفیة حصوله، و أقسام ذلک</w:t>
            </w:r>
            <w:r>
              <w:rPr>
                <w:rStyle w:val="IndexLink"/>
                <w:rtl w:val="true"/>
              </w:rPr>
              <w:t>»</w:t>
              <w:tab/>
            </w:r>
            <w:r>
              <w:rPr>
                <w:rStyle w:val="IndexLink"/>
              </w:rPr>
              <w:t>75</w:t>
            </w:r>
          </w:hyperlink>
        </w:p>
        <w:p>
          <w:pPr>
            <w:pStyle w:val="Contents4"/>
            <w:tabs>
              <w:tab w:val="clear" w:pos="8176"/>
              <w:tab w:val="right" w:pos="9026" w:leader="dot"/>
            </w:tabs>
            <w:rPr/>
          </w:pPr>
          <w:hyperlink w:anchor="__RefHeading___Toc1757185_653776707">
            <w:r>
              <w:rPr>
                <w:webHidden/>
                <w:rStyle w:val="IndexLink"/>
              </w:rPr>
              <w:t>3</w:t>
            </w:r>
            <w:r>
              <w:rPr>
                <w:rStyle w:val="IndexLink"/>
                <w:rtl w:val="true"/>
              </w:rPr>
              <w:t xml:space="preserve">- </w:t>
            </w:r>
            <w:r>
              <w:rPr>
                <w:rStyle w:val="IndexLink"/>
                <w:rtl w:val="true"/>
              </w:rPr>
              <w:t xml:space="preserve">فصل </w:t>
            </w:r>
            <w:r>
              <w:rPr>
                <w:rStyle w:val="IndexLink"/>
                <w:rtl w:val="true"/>
              </w:rPr>
              <w:t>«</w:t>
            </w:r>
            <w:r>
              <w:rPr>
                <w:rStyle w:val="IndexLink"/>
                <w:rtl w:val="true"/>
              </w:rPr>
              <w:t>فی أن فی الأخبار المرویة ما هو کذب ، و الطریق الّذی یعلم به ذلک من المعلوم الّذی لا یتخالج فیه شک</w:t>
            </w:r>
            <w:r>
              <w:rPr>
                <w:rStyle w:val="IndexLink"/>
                <w:rtl w:val="true"/>
              </w:rPr>
              <w:t>»</w:t>
              <w:tab/>
            </w:r>
            <w:r>
              <w:rPr>
                <w:rStyle w:val="IndexLink"/>
              </w:rPr>
              <w:t>95</w:t>
            </w:r>
          </w:hyperlink>
        </w:p>
        <w:p>
          <w:pPr>
            <w:pStyle w:val="Contents4"/>
            <w:tabs>
              <w:tab w:val="clear" w:pos="8176"/>
              <w:tab w:val="right" w:pos="9026" w:leader="dot"/>
            </w:tabs>
            <w:rPr/>
          </w:pPr>
          <w:hyperlink w:anchor="__RefHeading___Toc1757187_653776707">
            <w:r>
              <w:rPr>
                <w:webHidden/>
                <w:rStyle w:val="IndexLink"/>
              </w:rPr>
              <w:t>4</w:t>
            </w:r>
            <w:r>
              <w:rPr>
                <w:rStyle w:val="IndexLink"/>
                <w:rtl w:val="true"/>
              </w:rPr>
              <w:t xml:space="preserve">- </w:t>
            </w:r>
            <w:r>
              <w:rPr>
                <w:rStyle w:val="IndexLink"/>
                <w:rtl w:val="true"/>
              </w:rPr>
              <w:t xml:space="preserve">فصل </w:t>
            </w:r>
            <w:r>
              <w:rPr>
                <w:rStyle w:val="IndexLink"/>
                <w:rtl w:val="true"/>
              </w:rPr>
              <w:t>«</w:t>
            </w:r>
            <w:r>
              <w:rPr>
                <w:rStyle w:val="IndexLink"/>
                <w:rtl w:val="true"/>
              </w:rPr>
              <w:t>فی ذکر الخبر الواحد و جملة من القول فی أحکامه</w:t>
            </w:r>
            <w:r>
              <w:rPr>
                <w:rStyle w:val="IndexLink"/>
                <w:rtl w:val="true"/>
              </w:rPr>
              <w:t>»</w:t>
              <w:tab/>
            </w:r>
            <w:r>
              <w:rPr>
                <w:rStyle w:val="IndexLink"/>
              </w:rPr>
              <w:t>103</w:t>
            </w:r>
          </w:hyperlink>
        </w:p>
        <w:p>
          <w:pPr>
            <w:pStyle w:val="Contents5"/>
            <w:tabs>
              <w:tab w:val="clear" w:pos="7892"/>
              <w:tab w:val="right" w:pos="9026" w:leader="dot"/>
            </w:tabs>
            <w:rPr/>
          </w:pPr>
          <w:hyperlink w:anchor="__RefHeading___Toc1757189_653776707">
            <w:r>
              <w:rPr>
                <w:webHidden/>
                <w:rStyle w:val="IndexLink"/>
                <w:rtl w:val="true"/>
              </w:rPr>
              <w:t>اشارة</w:t>
            </w:r>
            <w:r>
              <w:rPr>
                <w:rStyle w:val="IndexLink"/>
                <w:rtl w:val="true"/>
              </w:rPr>
              <w:tab/>
            </w:r>
            <w:r>
              <w:rPr>
                <w:rStyle w:val="IndexLink"/>
              </w:rPr>
              <w:t>103</w:t>
            </w:r>
          </w:hyperlink>
        </w:p>
        <w:p>
          <w:pPr>
            <w:pStyle w:val="Contents5"/>
            <w:tabs>
              <w:tab w:val="clear" w:pos="7892"/>
              <w:tab w:val="right" w:pos="9026" w:leader="dot"/>
            </w:tabs>
            <w:rPr/>
          </w:pPr>
          <w:hyperlink w:anchor="__RefHeading___Toc1757191_653776707">
            <w:r>
              <w:rPr>
                <w:webHidden/>
                <w:rStyle w:val="IndexLink"/>
                <w:rtl w:val="true"/>
              </w:rPr>
              <w:t>ما استدلوا به علی وجوب العمل بخبر الواحد</w:t>
            </w:r>
            <w:r>
              <w:rPr>
                <w:rStyle w:val="IndexLink"/>
                <w:rtl w:val="true"/>
              </w:rPr>
              <w:tab/>
            </w:r>
            <w:r>
              <w:rPr>
                <w:rStyle w:val="IndexLink"/>
              </w:rPr>
              <w:t>114</w:t>
            </w:r>
          </w:hyperlink>
        </w:p>
        <w:p>
          <w:pPr>
            <w:pStyle w:val="Contents6"/>
            <w:tabs>
              <w:tab w:val="clear" w:pos="7609"/>
              <w:tab w:val="right" w:pos="9026" w:leader="dot"/>
            </w:tabs>
            <w:rPr/>
          </w:pPr>
          <w:hyperlink w:anchor="__RefHeading___Toc1757193_653776707">
            <w:r>
              <w:rPr>
                <w:webHidden/>
                <w:rStyle w:val="IndexLink"/>
                <w:rtl w:val="true"/>
              </w:rPr>
              <w:t>الاستدلال بآیة النفر</w:t>
            </w:r>
            <w:r>
              <w:rPr>
                <w:rStyle w:val="IndexLink"/>
                <w:rtl w:val="true"/>
              </w:rPr>
              <w:tab/>
            </w:r>
            <w:r>
              <w:rPr>
                <w:rStyle w:val="IndexLink"/>
              </w:rPr>
              <w:t>114</w:t>
            </w:r>
          </w:hyperlink>
        </w:p>
        <w:p>
          <w:pPr>
            <w:pStyle w:val="Contents6"/>
            <w:tabs>
              <w:tab w:val="clear" w:pos="7609"/>
              <w:tab w:val="right" w:pos="9026" w:leader="dot"/>
            </w:tabs>
            <w:rPr/>
          </w:pPr>
          <w:hyperlink w:anchor="__RefHeading___Toc1757195_653776707">
            <w:r>
              <w:rPr>
                <w:webHidden/>
                <w:rStyle w:val="IndexLink"/>
                <w:rtl w:val="true"/>
              </w:rPr>
              <w:t>الاستدلال بآیة النبأ</w:t>
            </w:r>
            <w:r>
              <w:rPr>
                <w:rStyle w:val="IndexLink"/>
                <w:rtl w:val="true"/>
              </w:rPr>
              <w:tab/>
            </w:r>
            <w:r>
              <w:rPr>
                <w:rStyle w:val="IndexLink"/>
              </w:rPr>
              <w:t>116</w:t>
            </w:r>
          </w:hyperlink>
        </w:p>
        <w:p>
          <w:pPr>
            <w:pStyle w:val="Contents6"/>
            <w:tabs>
              <w:tab w:val="clear" w:pos="7609"/>
              <w:tab w:val="right" w:pos="9026" w:leader="dot"/>
            </w:tabs>
            <w:rPr/>
          </w:pPr>
          <w:hyperlink w:anchor="__RefHeading___Toc1757197_653776707">
            <w:r>
              <w:rPr>
                <w:webHidden/>
                <w:rStyle w:val="IndexLink"/>
                <w:rtl w:val="true"/>
              </w:rPr>
              <w:t>الاستدلال بآیة إِنَّ الَّذِینَ یَکْتُمُونَ ما أَنْزَلْنا مِنَ الْبَیِّناتِ</w:t>
            </w:r>
            <w:r>
              <w:rPr>
                <w:rStyle w:val="IndexLink"/>
                <w:rtl w:val="true"/>
              </w:rPr>
              <w:tab/>
            </w:r>
            <w:r>
              <w:rPr>
                <w:rStyle w:val="IndexLink"/>
              </w:rPr>
              <w:t>119</w:t>
            </w:r>
          </w:hyperlink>
        </w:p>
        <w:p>
          <w:pPr>
            <w:pStyle w:val="Contents5"/>
            <w:tabs>
              <w:tab w:val="clear" w:pos="7892"/>
              <w:tab w:val="right" w:pos="9026" w:leader="dot"/>
            </w:tabs>
            <w:rPr/>
          </w:pPr>
          <w:hyperlink w:anchor="__RefHeading___Toc1757199_653776707">
            <w:r>
              <w:rPr>
                <w:webHidden/>
                <w:rStyle w:val="IndexLink"/>
                <w:rtl w:val="true"/>
              </w:rPr>
              <w:t xml:space="preserve">و قد استدل الخلق منهم من الفقهاء، و المتکلمین </w:t>
            </w:r>
            <w:r>
              <w:rPr>
                <w:rStyle w:val="IndexLink"/>
              </w:rPr>
              <w:t>2</w:t>
            </w:r>
            <w:r>
              <w:rPr>
                <w:rStyle w:val="IndexLink"/>
                <w:rtl w:val="true"/>
              </w:rPr>
              <w:t xml:space="preserve"> </w:t>
            </w:r>
            <w:r>
              <w:rPr>
                <w:rStyle w:val="IndexLink"/>
                <w:rtl w:val="true"/>
              </w:rPr>
              <w:t>بإجماع الصحابة</w:t>
            </w:r>
            <w:r>
              <w:rPr>
                <w:rStyle w:val="IndexLink"/>
                <w:rtl w:val="true"/>
              </w:rPr>
              <w:tab/>
            </w:r>
            <w:r>
              <w:rPr>
                <w:rStyle w:val="IndexLink"/>
              </w:rPr>
              <w:t>120</w:t>
            </w:r>
          </w:hyperlink>
        </w:p>
        <w:p>
          <w:pPr>
            <w:pStyle w:val="Contents5"/>
            <w:tabs>
              <w:tab w:val="clear" w:pos="7892"/>
              <w:tab w:val="right" w:pos="9026" w:leader="dot"/>
            </w:tabs>
            <w:rPr/>
          </w:pPr>
          <w:hyperlink w:anchor="__RefHeading___Toc1757201_653776707">
            <w:r>
              <w:rPr>
                <w:webHidden/>
                <w:rStyle w:val="IndexLink"/>
                <w:rtl w:val="true"/>
              </w:rPr>
              <w:t>و استدلوا أیضا بأن قالوا</w:t>
            </w:r>
            <w:r>
              <w:rPr>
                <w:rStyle w:val="IndexLink"/>
                <w:rtl w:val="true"/>
              </w:rPr>
              <w:t xml:space="preserve">: </w:t>
            </w:r>
            <w:r>
              <w:rPr>
                <w:rStyle w:val="IndexLink"/>
                <w:rtl w:val="true"/>
              </w:rPr>
              <w:t>لا خلاف فی أنه یجب علی المستفتی الرجوع إلی المفتی</w:t>
            </w:r>
            <w:r>
              <w:rPr>
                <w:rStyle w:val="IndexLink"/>
                <w:rtl w:val="true"/>
              </w:rPr>
              <w:tab/>
            </w:r>
            <w:r>
              <w:rPr>
                <w:rStyle w:val="IndexLink"/>
              </w:rPr>
              <w:t>129</w:t>
            </w:r>
          </w:hyperlink>
        </w:p>
        <w:p>
          <w:pPr>
            <w:pStyle w:val="Contents5"/>
            <w:tabs>
              <w:tab w:val="clear" w:pos="7892"/>
              <w:tab w:val="right" w:pos="9026" w:leader="dot"/>
            </w:tabs>
            <w:rPr/>
          </w:pPr>
          <w:hyperlink w:anchor="__RefHeading___Toc1757203_653776707">
            <w:r>
              <w:rPr>
                <w:webHidden/>
                <w:rStyle w:val="IndexLink"/>
                <w:rtl w:val="true"/>
              </w:rPr>
              <w:t>مختار المصنف</w:t>
            </w:r>
            <w:r>
              <w:rPr>
                <w:rStyle w:val="IndexLink"/>
                <w:rtl w:val="true"/>
              </w:rPr>
              <w:tab/>
            </w:r>
            <w:r>
              <w:rPr>
                <w:rStyle w:val="IndexLink"/>
              </w:rPr>
              <w:t>132</w:t>
            </w:r>
          </w:hyperlink>
        </w:p>
        <w:p>
          <w:pPr>
            <w:pStyle w:val="Contents4"/>
            <w:tabs>
              <w:tab w:val="clear" w:pos="8176"/>
              <w:tab w:val="right" w:pos="9026" w:leader="dot"/>
            </w:tabs>
            <w:rPr/>
          </w:pPr>
          <w:hyperlink w:anchor="__RefHeading___Toc1757205_653776707">
            <w:r>
              <w:rPr>
                <w:webHidden/>
                <w:rStyle w:val="IndexLink"/>
              </w:rPr>
              <w:t>5</w:t>
            </w:r>
            <w:r>
              <w:rPr>
                <w:rStyle w:val="IndexLink"/>
                <w:rtl w:val="true"/>
              </w:rPr>
              <w:t xml:space="preserve">- </w:t>
            </w:r>
            <w:r>
              <w:rPr>
                <w:rStyle w:val="IndexLink"/>
                <w:rtl w:val="true"/>
              </w:rPr>
              <w:t xml:space="preserve">فصل </w:t>
            </w:r>
            <w:r>
              <w:rPr>
                <w:rStyle w:val="IndexLink"/>
                <w:rtl w:val="true"/>
              </w:rPr>
              <w:t>«</w:t>
            </w:r>
            <w:r>
              <w:rPr>
                <w:rStyle w:val="IndexLink"/>
                <w:rtl w:val="true"/>
              </w:rPr>
              <w:t>فی ذکر القرائن التی تدل علی صحة أخبار الآحاد أو علی بطلانها</w:t>
            </w:r>
            <w:r>
              <w:rPr>
                <w:rStyle w:val="IndexLink"/>
                <w:rtl w:val="true"/>
              </w:rPr>
              <w:tab/>
            </w:r>
            <w:r>
              <w:rPr>
                <w:rStyle w:val="IndexLink"/>
              </w:rPr>
              <w:t>149</w:t>
            </w:r>
          </w:hyperlink>
        </w:p>
        <w:p>
          <w:pPr>
            <w:pStyle w:val="Contents3"/>
            <w:tabs>
              <w:tab w:val="clear" w:pos="8459"/>
              <w:tab w:val="right" w:pos="9026" w:leader="dot"/>
            </w:tabs>
            <w:rPr/>
          </w:pPr>
          <w:hyperlink w:anchor="__RefHeading___Toc1757207_653776707">
            <w:r>
              <w:rPr>
                <w:webHidden/>
                <w:rStyle w:val="IndexLink"/>
                <w:rtl w:val="true"/>
              </w:rPr>
              <w:t>الباب الثالث</w:t>
            </w:r>
            <w:r>
              <w:rPr>
                <w:rStyle w:val="IndexLink"/>
                <w:rtl w:val="true"/>
              </w:rPr>
              <w:t xml:space="preserve">: </w:t>
            </w:r>
            <w:r>
              <w:rPr>
                <w:rStyle w:val="IndexLink"/>
                <w:rtl w:val="true"/>
              </w:rPr>
              <w:t>الکلام فی الأوامر</w:t>
            </w:r>
            <w:r>
              <w:rPr>
                <w:rStyle w:val="IndexLink"/>
                <w:rtl w:val="true"/>
              </w:rPr>
              <w:tab/>
            </w:r>
            <w:r>
              <w:rPr>
                <w:rStyle w:val="IndexLink"/>
              </w:rPr>
              <w:t>163</w:t>
            </w:r>
          </w:hyperlink>
        </w:p>
        <w:p>
          <w:pPr>
            <w:pStyle w:val="Contents4"/>
            <w:tabs>
              <w:tab w:val="clear" w:pos="8176"/>
              <w:tab w:val="right" w:pos="9026" w:leader="dot"/>
            </w:tabs>
            <w:rPr/>
          </w:pPr>
          <w:hyperlink w:anchor="__RefHeading___Toc1757209_653776707">
            <w:r>
              <w:rPr>
                <w:webHidden/>
                <w:rStyle w:val="IndexLink"/>
                <w:rtl w:val="true"/>
              </w:rPr>
              <w:t>اشارة</w:t>
            </w:r>
            <w:r>
              <w:rPr>
                <w:rStyle w:val="IndexLink"/>
                <w:rtl w:val="true"/>
              </w:rPr>
              <w:tab/>
            </w:r>
            <w:r>
              <w:rPr>
                <w:rStyle w:val="IndexLink"/>
              </w:rPr>
              <w:t>163</w:t>
            </w:r>
          </w:hyperlink>
        </w:p>
        <w:p>
          <w:pPr>
            <w:pStyle w:val="Contents4"/>
            <w:tabs>
              <w:tab w:val="clear" w:pos="8176"/>
              <w:tab w:val="right" w:pos="9026" w:leader="dot"/>
            </w:tabs>
            <w:rPr/>
          </w:pPr>
          <w:hyperlink w:anchor="__RefHeading___Toc1757211_653776707">
            <w:r>
              <w:rPr>
                <w:webHidden/>
                <w:rStyle w:val="IndexLink"/>
                <w:rtl w:val="true"/>
              </w:rPr>
              <w:t xml:space="preserve">فصل </w:t>
            </w:r>
            <w:r>
              <w:rPr>
                <w:rStyle w:val="IndexLink"/>
                <w:rtl w:val="true"/>
              </w:rPr>
              <w:t xml:space="preserve">- </w:t>
            </w:r>
            <w:r>
              <w:rPr>
                <w:rStyle w:val="IndexLink"/>
              </w:rPr>
              <w:t>1</w:t>
            </w:r>
            <w:r>
              <w:rPr>
                <w:rStyle w:val="IndexLink"/>
                <w:rtl w:val="true"/>
              </w:rPr>
              <w:t xml:space="preserve"> «</w:t>
            </w:r>
            <w:r>
              <w:rPr>
                <w:rStyle w:val="IndexLink"/>
                <w:rtl w:val="true"/>
              </w:rPr>
              <w:t>فی ذکر حقیقة الأمر و ما به یصیر أمرا</w:t>
            </w:r>
            <w:r>
              <w:rPr>
                <w:rStyle w:val="IndexLink"/>
                <w:rtl w:val="true"/>
              </w:rPr>
              <w:t>»</w:t>
              <w:tab/>
            </w:r>
            <w:r>
              <w:rPr>
                <w:rStyle w:val="IndexLink"/>
              </w:rPr>
              <w:t>165</w:t>
            </w:r>
          </w:hyperlink>
        </w:p>
        <w:p>
          <w:pPr>
            <w:pStyle w:val="Contents4"/>
            <w:tabs>
              <w:tab w:val="clear" w:pos="8176"/>
              <w:tab w:val="right" w:pos="9026" w:leader="dot"/>
            </w:tabs>
            <w:rPr/>
          </w:pPr>
          <w:hyperlink w:anchor="__RefHeading___Toc1757213_653776707">
            <w:r>
              <w:rPr>
                <w:webHidden/>
                <w:rStyle w:val="IndexLink"/>
                <w:rtl w:val="true"/>
              </w:rPr>
              <w:t xml:space="preserve">فصل </w:t>
            </w:r>
            <w:r>
              <w:rPr>
                <w:rStyle w:val="IndexLink"/>
                <w:rtl w:val="true"/>
              </w:rPr>
              <w:t xml:space="preserve">- </w:t>
            </w:r>
            <w:r>
              <w:rPr>
                <w:rStyle w:val="IndexLink"/>
              </w:rPr>
              <w:t>2</w:t>
            </w:r>
            <w:r>
              <w:rPr>
                <w:rStyle w:val="IndexLink"/>
                <w:rtl w:val="true"/>
              </w:rPr>
              <w:t xml:space="preserve"> «</w:t>
            </w:r>
            <w:r>
              <w:rPr>
                <w:rStyle w:val="IndexLink"/>
                <w:rtl w:val="true"/>
              </w:rPr>
              <w:t>فی ذکر مقتضی الأمر هل هو الوجوب، أو الندب، أو الوقف، و الخلاف فیه</w:t>
            </w:r>
            <w:r>
              <w:rPr>
                <w:rStyle w:val="IndexLink"/>
                <w:rtl w:val="true"/>
              </w:rPr>
              <w:t>».</w:t>
              <w:tab/>
            </w:r>
            <w:r>
              <w:rPr>
                <w:rStyle w:val="IndexLink"/>
              </w:rPr>
              <w:t>176</w:t>
            </w:r>
          </w:hyperlink>
        </w:p>
        <w:p>
          <w:pPr>
            <w:pStyle w:val="Contents4"/>
            <w:tabs>
              <w:tab w:val="clear" w:pos="8176"/>
              <w:tab w:val="right" w:pos="9026" w:leader="dot"/>
            </w:tabs>
            <w:rPr/>
          </w:pPr>
          <w:hyperlink w:anchor="__RefHeading___Toc1757215_653776707">
            <w:r>
              <w:rPr>
                <w:webHidden/>
                <w:rStyle w:val="IndexLink"/>
                <w:rtl w:val="true"/>
              </w:rPr>
              <w:t xml:space="preserve">فصل </w:t>
            </w:r>
            <w:r>
              <w:rPr>
                <w:rStyle w:val="IndexLink"/>
                <w:rtl w:val="true"/>
              </w:rPr>
              <w:t xml:space="preserve">- </w:t>
            </w:r>
            <w:r>
              <w:rPr>
                <w:rStyle w:val="IndexLink"/>
              </w:rPr>
              <w:t>3</w:t>
            </w:r>
            <w:r>
              <w:rPr>
                <w:rStyle w:val="IndexLink"/>
                <w:rtl w:val="true"/>
              </w:rPr>
              <w:t xml:space="preserve"> «</w:t>
            </w:r>
            <w:r>
              <w:rPr>
                <w:rStyle w:val="IndexLink"/>
                <w:rtl w:val="true"/>
              </w:rPr>
              <w:t>فی حکم الأمر الوارد عقیب الحظر</w:t>
            </w:r>
            <w:r>
              <w:rPr>
                <w:rStyle w:val="IndexLink"/>
                <w:rtl w:val="true"/>
              </w:rPr>
              <w:t>»</w:t>
              <w:tab/>
            </w:r>
            <w:r>
              <w:rPr>
                <w:rStyle w:val="IndexLink"/>
              </w:rPr>
              <w:t>189</w:t>
            </w:r>
          </w:hyperlink>
        </w:p>
        <w:p>
          <w:pPr>
            <w:pStyle w:val="Contents4"/>
            <w:tabs>
              <w:tab w:val="clear" w:pos="8176"/>
              <w:tab w:val="right" w:pos="9026" w:leader="dot"/>
            </w:tabs>
            <w:rPr/>
          </w:pPr>
          <w:hyperlink w:anchor="__RefHeading___Toc1757217_653776707">
            <w:r>
              <w:rPr>
                <w:webHidden/>
                <w:rStyle w:val="IndexLink"/>
                <w:rtl w:val="true"/>
              </w:rPr>
              <w:t xml:space="preserve">فصل </w:t>
            </w:r>
            <w:r>
              <w:rPr>
                <w:rStyle w:val="IndexLink"/>
                <w:rtl w:val="true"/>
              </w:rPr>
              <w:t xml:space="preserve">- </w:t>
            </w:r>
            <w:r>
              <w:rPr>
                <w:rStyle w:val="IndexLink"/>
              </w:rPr>
              <w:t>4</w:t>
            </w:r>
            <w:r>
              <w:rPr>
                <w:rStyle w:val="IndexLink"/>
                <w:rtl w:val="true"/>
              </w:rPr>
              <w:t xml:space="preserve"> «</w:t>
            </w:r>
            <w:r>
              <w:rPr>
                <w:rStyle w:val="IndexLink"/>
                <w:rtl w:val="true"/>
              </w:rPr>
              <w:t>فی أن الأمر بالشیء هل هو أمر بما لا یتم إلا به أم لا ؟</w:t>
            </w:r>
            <w:r>
              <w:rPr>
                <w:rStyle w:val="IndexLink"/>
                <w:rtl w:val="true"/>
              </w:rPr>
              <w:t>»</w:t>
              <w:tab/>
            </w:r>
            <w:r>
              <w:rPr>
                <w:rStyle w:val="IndexLink"/>
              </w:rPr>
              <w:t>192</w:t>
            </w:r>
          </w:hyperlink>
        </w:p>
        <w:p>
          <w:pPr>
            <w:pStyle w:val="Contents4"/>
            <w:tabs>
              <w:tab w:val="clear" w:pos="8176"/>
              <w:tab w:val="right" w:pos="9026" w:leader="dot"/>
            </w:tabs>
            <w:rPr/>
          </w:pPr>
          <w:hyperlink w:anchor="__RefHeading___Toc1757219_653776707">
            <w:r>
              <w:rPr>
                <w:webHidden/>
                <w:rStyle w:val="IndexLink"/>
                <w:rtl w:val="true"/>
              </w:rPr>
              <w:t xml:space="preserve">فصل </w:t>
            </w:r>
            <w:r>
              <w:rPr>
                <w:rStyle w:val="IndexLink"/>
                <w:rtl w:val="true"/>
              </w:rPr>
              <w:t xml:space="preserve">- </w:t>
            </w:r>
            <w:r>
              <w:rPr>
                <w:rStyle w:val="IndexLink"/>
              </w:rPr>
              <w:t>5</w:t>
            </w:r>
            <w:r>
              <w:rPr>
                <w:rStyle w:val="IndexLink"/>
                <w:rtl w:val="true"/>
              </w:rPr>
              <w:t xml:space="preserve"> «</w:t>
            </w:r>
            <w:r>
              <w:rPr>
                <w:rStyle w:val="IndexLink"/>
                <w:rtl w:val="true"/>
              </w:rPr>
              <w:t>فی أن الأمر یتناول الکافر و العبد کما یتناول المسلم و الحر</w:t>
            </w:r>
            <w:r>
              <w:rPr>
                <w:rStyle w:val="IndexLink"/>
                <w:rtl w:val="true"/>
              </w:rPr>
              <w:t>»</w:t>
              <w:tab/>
            </w:r>
            <w:r>
              <w:rPr>
                <w:rStyle w:val="IndexLink"/>
              </w:rPr>
              <w:t>196</w:t>
            </w:r>
          </w:hyperlink>
        </w:p>
        <w:p>
          <w:pPr>
            <w:pStyle w:val="Contents4"/>
            <w:tabs>
              <w:tab w:val="clear" w:pos="8176"/>
              <w:tab w:val="right" w:pos="9026" w:leader="dot"/>
            </w:tabs>
            <w:rPr/>
          </w:pPr>
          <w:hyperlink w:anchor="__RefHeading___Toc1757221_653776707">
            <w:r>
              <w:rPr>
                <w:webHidden/>
                <w:rStyle w:val="IndexLink"/>
                <w:rtl w:val="true"/>
              </w:rPr>
              <w:t xml:space="preserve">فصل </w:t>
            </w:r>
            <w:r>
              <w:rPr>
                <w:rStyle w:val="IndexLink"/>
                <w:rtl w:val="true"/>
              </w:rPr>
              <w:t xml:space="preserve">- </w:t>
            </w:r>
            <w:r>
              <w:rPr>
                <w:rStyle w:val="IndexLink"/>
              </w:rPr>
              <w:t>6</w:t>
            </w:r>
            <w:r>
              <w:rPr>
                <w:rStyle w:val="IndexLink"/>
                <w:rtl w:val="true"/>
              </w:rPr>
              <w:t xml:space="preserve"> «</w:t>
            </w:r>
            <w:r>
              <w:rPr>
                <w:rStyle w:val="IndexLink"/>
                <w:rtl w:val="true"/>
              </w:rPr>
              <w:t>فی أن الأمر بالشیء هل هو نهی عن ضده أم لا</w:t>
            </w:r>
            <w:r>
              <w:rPr>
                <w:rStyle w:val="IndexLink"/>
                <w:rtl w:val="true"/>
              </w:rPr>
              <w:t>»</w:t>
              <w:tab/>
            </w:r>
            <w:r>
              <w:rPr>
                <w:rStyle w:val="IndexLink"/>
              </w:rPr>
              <w:t>202</w:t>
            </w:r>
          </w:hyperlink>
        </w:p>
        <w:p>
          <w:pPr>
            <w:pStyle w:val="Contents4"/>
            <w:tabs>
              <w:tab w:val="clear" w:pos="8176"/>
              <w:tab w:val="right" w:pos="9026" w:leader="dot"/>
            </w:tabs>
            <w:rPr/>
          </w:pPr>
          <w:hyperlink w:anchor="__RefHeading___Toc1757223_653776707">
            <w:r>
              <w:rPr>
                <w:webHidden/>
                <w:rStyle w:val="IndexLink"/>
                <w:rtl w:val="true"/>
              </w:rPr>
              <w:t xml:space="preserve">فصل </w:t>
            </w:r>
            <w:r>
              <w:rPr>
                <w:rStyle w:val="IndexLink"/>
                <w:rtl w:val="true"/>
              </w:rPr>
              <w:t xml:space="preserve">- </w:t>
            </w:r>
            <w:r>
              <w:rPr>
                <w:rStyle w:val="IndexLink"/>
              </w:rPr>
              <w:t>7</w:t>
            </w:r>
            <w:r>
              <w:rPr>
                <w:rStyle w:val="IndexLink"/>
                <w:rtl w:val="true"/>
              </w:rPr>
              <w:t xml:space="preserve"> «</w:t>
            </w:r>
            <w:r>
              <w:rPr>
                <w:rStyle w:val="IndexLink"/>
                <w:rtl w:val="true"/>
              </w:rPr>
              <w:t>فی أن الأمر بالشیء یقتضی الفعل مرة، أو یقتضی التکرار ؟</w:t>
            </w:r>
            <w:r>
              <w:rPr>
                <w:rStyle w:val="IndexLink"/>
                <w:rtl w:val="true"/>
              </w:rPr>
              <w:t>»</w:t>
              <w:tab/>
            </w:r>
            <w:r>
              <w:rPr>
                <w:rStyle w:val="IndexLink"/>
              </w:rPr>
              <w:t>205</w:t>
            </w:r>
          </w:hyperlink>
        </w:p>
        <w:p>
          <w:pPr>
            <w:pStyle w:val="Contents4"/>
            <w:tabs>
              <w:tab w:val="clear" w:pos="8176"/>
              <w:tab w:val="right" w:pos="9026" w:leader="dot"/>
            </w:tabs>
            <w:rPr/>
          </w:pPr>
          <w:hyperlink w:anchor="__RefHeading___Toc1757225_653776707">
            <w:r>
              <w:rPr>
                <w:webHidden/>
                <w:rStyle w:val="IndexLink"/>
                <w:rtl w:val="true"/>
              </w:rPr>
              <w:t xml:space="preserve">فصل </w:t>
            </w:r>
            <w:r>
              <w:rPr>
                <w:rStyle w:val="IndexLink"/>
                <w:rtl w:val="true"/>
              </w:rPr>
              <w:t xml:space="preserve">- </w:t>
            </w:r>
            <w:r>
              <w:rPr>
                <w:rStyle w:val="IndexLink"/>
              </w:rPr>
              <w:t>8</w:t>
            </w:r>
            <w:r>
              <w:rPr>
                <w:rStyle w:val="IndexLink"/>
                <w:rtl w:val="true"/>
              </w:rPr>
              <w:t xml:space="preserve"> «</w:t>
            </w:r>
            <w:r>
              <w:rPr>
                <w:rStyle w:val="IndexLink"/>
                <w:rtl w:val="true"/>
              </w:rPr>
              <w:t>فی أن الأمر المعلق بصفة أو شرط هل یتکرر بتکررهما أم لا؟</w:t>
            </w:r>
            <w:r>
              <w:rPr>
                <w:rStyle w:val="IndexLink"/>
                <w:rtl w:val="true"/>
              </w:rPr>
              <w:t>»</w:t>
              <w:tab/>
            </w:r>
            <w:r>
              <w:rPr>
                <w:rStyle w:val="IndexLink"/>
              </w:rPr>
              <w:t>211</w:t>
            </w:r>
          </w:hyperlink>
        </w:p>
        <w:p>
          <w:pPr>
            <w:pStyle w:val="Contents4"/>
            <w:tabs>
              <w:tab w:val="clear" w:pos="8176"/>
              <w:tab w:val="right" w:pos="9026" w:leader="dot"/>
            </w:tabs>
            <w:rPr/>
          </w:pPr>
          <w:hyperlink w:anchor="__RefHeading___Toc1757227_653776707">
            <w:r>
              <w:rPr>
                <w:webHidden/>
                <w:rStyle w:val="IndexLink"/>
                <w:rtl w:val="true"/>
              </w:rPr>
              <w:t xml:space="preserve">فصل </w:t>
            </w:r>
            <w:r>
              <w:rPr>
                <w:rStyle w:val="IndexLink"/>
                <w:rtl w:val="true"/>
              </w:rPr>
              <w:t xml:space="preserve">- </w:t>
            </w:r>
            <w:r>
              <w:rPr>
                <w:rStyle w:val="IndexLink"/>
              </w:rPr>
              <w:t>9</w:t>
            </w:r>
            <w:r>
              <w:rPr>
                <w:rStyle w:val="IndexLink"/>
                <w:rtl w:val="true"/>
              </w:rPr>
              <w:t xml:space="preserve"> «</w:t>
            </w:r>
            <w:r>
              <w:rPr>
                <w:rStyle w:val="IndexLink"/>
                <w:rtl w:val="true"/>
              </w:rPr>
              <w:t>فی الأمر المعلق بوقت متی لم یفعل المأمور به فیه هل یحتاج إلی دلیل فی إیقاعه فی الثانی أم لا؟</w:t>
            </w:r>
            <w:r>
              <w:rPr>
                <w:rStyle w:val="IndexLink"/>
                <w:rtl w:val="true"/>
              </w:rPr>
              <w:t>»</w:t>
              <w:tab/>
            </w:r>
            <w:r>
              <w:rPr>
                <w:rStyle w:val="IndexLink"/>
              </w:rPr>
              <w:t>215</w:t>
            </w:r>
          </w:hyperlink>
        </w:p>
        <w:p>
          <w:pPr>
            <w:pStyle w:val="Contents4"/>
            <w:tabs>
              <w:tab w:val="clear" w:pos="8176"/>
              <w:tab w:val="right" w:pos="9026" w:leader="dot"/>
            </w:tabs>
            <w:rPr/>
          </w:pPr>
          <w:hyperlink w:anchor="__RefHeading___Toc1757229_653776707">
            <w:r>
              <w:rPr>
                <w:webHidden/>
                <w:rStyle w:val="IndexLink"/>
                <w:rtl w:val="true"/>
              </w:rPr>
              <w:t xml:space="preserve">فصل </w:t>
            </w:r>
            <w:r>
              <w:rPr>
                <w:rStyle w:val="IndexLink"/>
                <w:rtl w:val="true"/>
              </w:rPr>
              <w:t xml:space="preserve">- </w:t>
            </w:r>
            <w:r>
              <w:rPr>
                <w:rStyle w:val="IndexLink"/>
              </w:rPr>
              <w:t>10</w:t>
            </w:r>
            <w:r>
              <w:rPr>
                <w:rStyle w:val="IndexLink"/>
                <w:rtl w:val="true"/>
              </w:rPr>
              <w:t xml:space="preserve"> «</w:t>
            </w:r>
            <w:r>
              <w:rPr>
                <w:rStyle w:val="IndexLink"/>
                <w:rtl w:val="true"/>
              </w:rPr>
              <w:t>فی أن الأمر هل یقتضی کون المأمور به مجزیا أم لا؟</w:t>
            </w:r>
            <w:r>
              <w:rPr>
                <w:rStyle w:val="IndexLink"/>
                <w:rtl w:val="true"/>
              </w:rPr>
              <w:tab/>
            </w:r>
            <w:r>
              <w:rPr>
                <w:rStyle w:val="IndexLink"/>
              </w:rPr>
              <w:t>218</w:t>
            </w:r>
          </w:hyperlink>
        </w:p>
        <w:p>
          <w:pPr>
            <w:pStyle w:val="Contents4"/>
            <w:tabs>
              <w:tab w:val="clear" w:pos="8176"/>
              <w:tab w:val="right" w:pos="9026" w:leader="dot"/>
            </w:tabs>
            <w:rPr/>
          </w:pPr>
          <w:hyperlink w:anchor="__RefHeading___Toc1757231_653776707">
            <w:r>
              <w:rPr>
                <w:webHidden/>
                <w:rStyle w:val="IndexLink"/>
                <w:rtl w:val="true"/>
              </w:rPr>
              <w:t xml:space="preserve">فصل </w:t>
            </w:r>
            <w:r>
              <w:rPr>
                <w:rStyle w:val="IndexLink"/>
                <w:rtl w:val="true"/>
              </w:rPr>
              <w:t xml:space="preserve">- </w:t>
            </w:r>
            <w:r>
              <w:rPr>
                <w:rStyle w:val="IndexLink"/>
              </w:rPr>
              <w:t>11</w:t>
            </w:r>
            <w:r>
              <w:rPr>
                <w:rStyle w:val="IndexLink"/>
                <w:rtl w:val="true"/>
              </w:rPr>
              <w:t xml:space="preserve"> «</w:t>
            </w:r>
            <w:r>
              <w:rPr>
                <w:rStyle w:val="IndexLink"/>
                <w:rtl w:val="true"/>
              </w:rPr>
              <w:t>فی حکم الأمر إذا تکرر بغیر واو العطف، و بواو العطف، ما القول فیه</w:t>
            </w:r>
            <w:r>
              <w:rPr>
                <w:rStyle w:val="IndexLink"/>
                <w:rtl w:val="true"/>
              </w:rPr>
              <w:tab/>
            </w:r>
            <w:r>
              <w:rPr>
                <w:rStyle w:val="IndexLink"/>
              </w:rPr>
              <w:t>221</w:t>
            </w:r>
          </w:hyperlink>
        </w:p>
        <w:p>
          <w:pPr>
            <w:pStyle w:val="Contents4"/>
            <w:tabs>
              <w:tab w:val="clear" w:pos="8176"/>
              <w:tab w:val="right" w:pos="9026" w:leader="dot"/>
            </w:tabs>
            <w:rPr/>
          </w:pPr>
          <w:hyperlink w:anchor="__RefHeading___Toc1757233_653776707">
            <w:r>
              <w:rPr>
                <w:webHidden/>
                <w:rStyle w:val="IndexLink"/>
                <w:rtl w:val="true"/>
              </w:rPr>
              <w:t xml:space="preserve">فصل </w:t>
            </w:r>
            <w:r>
              <w:rPr>
                <w:rStyle w:val="IndexLink"/>
                <w:rtl w:val="true"/>
              </w:rPr>
              <w:t xml:space="preserve">- </w:t>
            </w:r>
            <w:r>
              <w:rPr>
                <w:rStyle w:val="IndexLink"/>
              </w:rPr>
              <w:t>12</w:t>
            </w:r>
            <w:r>
              <w:rPr>
                <w:rStyle w:val="IndexLink"/>
                <w:rtl w:val="true"/>
              </w:rPr>
              <w:t xml:space="preserve"> «</w:t>
            </w:r>
            <w:r>
              <w:rPr>
                <w:rStyle w:val="IndexLink"/>
                <w:rtl w:val="true"/>
              </w:rPr>
              <w:t>فی ذکر الأمر بالأشیاء علی جهة التخییر، کیف القول فیه ؟</w:t>
            </w:r>
            <w:r>
              <w:rPr>
                <w:rStyle w:val="IndexLink"/>
                <w:rtl w:val="true"/>
              </w:rPr>
              <w:tab/>
            </w:r>
            <w:r>
              <w:rPr>
                <w:rStyle w:val="IndexLink"/>
              </w:rPr>
              <w:t>225</w:t>
            </w:r>
          </w:hyperlink>
        </w:p>
        <w:p>
          <w:pPr>
            <w:pStyle w:val="Contents4"/>
            <w:tabs>
              <w:tab w:val="clear" w:pos="8176"/>
              <w:tab w:val="right" w:pos="9026" w:leader="dot"/>
            </w:tabs>
            <w:rPr/>
          </w:pPr>
          <w:hyperlink w:anchor="__RefHeading___Toc1757235_653776707">
            <w:r>
              <w:rPr>
                <w:webHidden/>
                <w:rStyle w:val="IndexLink"/>
                <w:rtl w:val="true"/>
              </w:rPr>
              <w:t xml:space="preserve">فصل </w:t>
            </w:r>
            <w:r>
              <w:rPr>
                <w:rStyle w:val="IndexLink"/>
                <w:rtl w:val="true"/>
              </w:rPr>
              <w:t xml:space="preserve">- </w:t>
            </w:r>
            <w:r>
              <w:rPr>
                <w:rStyle w:val="IndexLink"/>
              </w:rPr>
              <w:t>13</w:t>
            </w:r>
            <w:r>
              <w:rPr>
                <w:rStyle w:val="IndexLink"/>
                <w:rtl w:val="true"/>
              </w:rPr>
              <w:t xml:space="preserve"> «</w:t>
            </w:r>
            <w:r>
              <w:rPr>
                <w:rStyle w:val="IndexLink"/>
                <w:rtl w:val="true"/>
              </w:rPr>
              <w:t>فی أن الأمر هل یقتضی الفور أو التراخی ؟</w:t>
            </w:r>
            <w:r>
              <w:rPr>
                <w:rStyle w:val="IndexLink"/>
                <w:rtl w:val="true"/>
              </w:rPr>
              <w:t>»</w:t>
              <w:tab/>
            </w:r>
            <w:r>
              <w:rPr>
                <w:rStyle w:val="IndexLink"/>
              </w:rPr>
              <w:t>231</w:t>
            </w:r>
          </w:hyperlink>
        </w:p>
        <w:p>
          <w:pPr>
            <w:pStyle w:val="Contents4"/>
            <w:tabs>
              <w:tab w:val="clear" w:pos="8176"/>
              <w:tab w:val="right" w:pos="9026" w:leader="dot"/>
            </w:tabs>
            <w:rPr/>
          </w:pPr>
          <w:hyperlink w:anchor="__RefHeading___Toc1757237_653776707">
            <w:r>
              <w:rPr>
                <w:webHidden/>
                <w:rStyle w:val="IndexLink"/>
                <w:rtl w:val="true"/>
              </w:rPr>
              <w:t xml:space="preserve">فصل </w:t>
            </w:r>
            <w:r>
              <w:rPr>
                <w:rStyle w:val="IndexLink"/>
                <w:rtl w:val="true"/>
              </w:rPr>
              <w:t xml:space="preserve">- </w:t>
            </w:r>
            <w:r>
              <w:rPr>
                <w:rStyle w:val="IndexLink"/>
              </w:rPr>
              <w:t>14</w:t>
            </w:r>
            <w:r>
              <w:rPr>
                <w:rStyle w:val="IndexLink"/>
                <w:rtl w:val="true"/>
              </w:rPr>
              <w:t xml:space="preserve"> «</w:t>
            </w:r>
            <w:r>
              <w:rPr>
                <w:rStyle w:val="IndexLink"/>
                <w:rtl w:val="true"/>
              </w:rPr>
              <w:t xml:space="preserve">فی الأمر المؤقّت، ما حکمه ؟ </w:t>
            </w:r>
            <w:r>
              <w:rPr>
                <w:rStyle w:val="IndexLink"/>
                <w:rtl w:val="true"/>
              </w:rPr>
              <w:t>»</w:t>
              <w:tab/>
            </w:r>
            <w:r>
              <w:rPr>
                <w:rStyle w:val="IndexLink"/>
              </w:rPr>
              <w:t>239</w:t>
            </w:r>
          </w:hyperlink>
        </w:p>
        <w:p>
          <w:pPr>
            <w:pStyle w:val="Contents4"/>
            <w:tabs>
              <w:tab w:val="clear" w:pos="8176"/>
              <w:tab w:val="right" w:pos="9026" w:leader="dot"/>
            </w:tabs>
            <w:rPr/>
          </w:pPr>
          <w:hyperlink w:anchor="__RefHeading___Toc1757239_653776707">
            <w:r>
              <w:rPr>
                <w:webHidden/>
                <w:rStyle w:val="IndexLink"/>
                <w:rtl w:val="true"/>
              </w:rPr>
              <w:t xml:space="preserve">فصل </w:t>
            </w:r>
            <w:r>
              <w:rPr>
                <w:rStyle w:val="IndexLink"/>
                <w:rtl w:val="true"/>
              </w:rPr>
              <w:t xml:space="preserve">- </w:t>
            </w:r>
            <w:r>
              <w:rPr>
                <w:rStyle w:val="IndexLink"/>
              </w:rPr>
              <w:t>15</w:t>
            </w:r>
            <w:r>
              <w:rPr>
                <w:rStyle w:val="IndexLink"/>
                <w:rtl w:val="true"/>
              </w:rPr>
              <w:t xml:space="preserve"> «</w:t>
            </w:r>
            <w:r>
              <w:rPr>
                <w:rStyle w:val="IndexLink"/>
                <w:rtl w:val="true"/>
              </w:rPr>
              <w:t xml:space="preserve">فی أنّ الآمر هل یدخل تحت أمره أم لا </w:t>
            </w:r>
            <w:r>
              <w:rPr>
                <w:rStyle w:val="IndexLink"/>
                <w:rtl w:val="true"/>
              </w:rPr>
              <w:t>»</w:t>
              <w:tab/>
            </w:r>
            <w:r>
              <w:rPr>
                <w:rStyle w:val="IndexLink"/>
              </w:rPr>
              <w:t>248</w:t>
            </w:r>
          </w:hyperlink>
        </w:p>
        <w:p>
          <w:pPr>
            <w:pStyle w:val="Contents4"/>
            <w:tabs>
              <w:tab w:val="clear" w:pos="8176"/>
              <w:tab w:val="right" w:pos="9026" w:leader="dot"/>
            </w:tabs>
            <w:rPr/>
          </w:pPr>
          <w:hyperlink w:anchor="__RefHeading___Toc1757241_653776707">
            <w:r>
              <w:rPr>
                <w:webHidden/>
                <w:rStyle w:val="IndexLink"/>
                <w:rtl w:val="true"/>
              </w:rPr>
              <w:t xml:space="preserve">فصل </w:t>
            </w:r>
            <w:r>
              <w:rPr>
                <w:rStyle w:val="IndexLink"/>
                <w:rtl w:val="true"/>
              </w:rPr>
              <w:t xml:space="preserve">- </w:t>
            </w:r>
            <w:r>
              <w:rPr>
                <w:rStyle w:val="IndexLink"/>
              </w:rPr>
              <w:t>16</w:t>
            </w:r>
            <w:r>
              <w:rPr>
                <w:rStyle w:val="IndexLink"/>
                <w:rtl w:val="true"/>
              </w:rPr>
              <w:t xml:space="preserve"> «</w:t>
            </w:r>
            <w:r>
              <w:rPr>
                <w:rStyle w:val="IndexLink"/>
                <w:rtl w:val="true"/>
              </w:rPr>
              <w:t>فی ذکر الشّروط الّتی یحسن معها الأمر</w:t>
            </w:r>
            <w:r>
              <w:rPr>
                <w:rStyle w:val="IndexLink"/>
                <w:rtl w:val="true"/>
              </w:rPr>
              <w:t>».</w:t>
              <w:tab/>
            </w:r>
            <w:r>
              <w:rPr>
                <w:rStyle w:val="IndexLink"/>
              </w:rPr>
              <w:t>250</w:t>
            </w:r>
          </w:hyperlink>
        </w:p>
        <w:p>
          <w:pPr>
            <w:pStyle w:val="Contents3"/>
            <w:tabs>
              <w:tab w:val="clear" w:pos="8459"/>
              <w:tab w:val="right" w:pos="9026" w:leader="dot"/>
            </w:tabs>
            <w:rPr/>
          </w:pPr>
          <w:hyperlink w:anchor="__RefHeading___Toc1757243_653776707">
            <w:r>
              <w:rPr>
                <w:webHidden/>
                <w:rStyle w:val="IndexLink"/>
                <w:rtl w:val="true"/>
              </w:rPr>
              <w:t>الباب الرّابع</w:t>
            </w:r>
            <w:r>
              <w:rPr>
                <w:rStyle w:val="IndexLink"/>
                <w:rtl w:val="true"/>
              </w:rPr>
              <w:t xml:space="preserve">: </w:t>
            </w:r>
            <w:r>
              <w:rPr>
                <w:rStyle w:val="IndexLink"/>
                <w:rtl w:val="true"/>
              </w:rPr>
              <w:t>الکلام فی النّهی</w:t>
            </w:r>
            <w:r>
              <w:rPr>
                <w:rStyle w:val="IndexLink"/>
                <w:rtl w:val="true"/>
              </w:rPr>
              <w:tab/>
            </w:r>
            <w:r>
              <w:rPr>
                <w:rStyle w:val="IndexLink"/>
              </w:rPr>
              <w:t>259</w:t>
            </w:r>
          </w:hyperlink>
        </w:p>
        <w:p>
          <w:pPr>
            <w:pStyle w:val="Contents4"/>
            <w:tabs>
              <w:tab w:val="clear" w:pos="8176"/>
              <w:tab w:val="right" w:pos="9026" w:leader="dot"/>
            </w:tabs>
            <w:rPr/>
          </w:pPr>
          <w:hyperlink w:anchor="__RefHeading___Toc1757245_653776707">
            <w:r>
              <w:rPr>
                <w:webHidden/>
                <w:rStyle w:val="IndexLink"/>
                <w:rtl w:val="true"/>
              </w:rPr>
              <w:t>اشارة</w:t>
            </w:r>
            <w:r>
              <w:rPr>
                <w:rStyle w:val="IndexLink"/>
                <w:rtl w:val="true"/>
              </w:rPr>
              <w:tab/>
            </w:r>
            <w:r>
              <w:rPr>
                <w:rStyle w:val="IndexLink"/>
              </w:rPr>
              <w:t>259</w:t>
            </w:r>
          </w:hyperlink>
        </w:p>
        <w:p>
          <w:pPr>
            <w:pStyle w:val="Contents4"/>
            <w:tabs>
              <w:tab w:val="clear" w:pos="8176"/>
              <w:tab w:val="right" w:pos="9026" w:leader="dot"/>
            </w:tabs>
            <w:rPr/>
          </w:pPr>
          <w:hyperlink w:anchor="__RefHeading___Toc1757247_653776707">
            <w:r>
              <w:rPr>
                <w:webHidden/>
                <w:rStyle w:val="IndexLink"/>
                <w:rtl w:val="true"/>
              </w:rPr>
              <w:t xml:space="preserve">فصل </w:t>
            </w:r>
            <w:r>
              <w:rPr>
                <w:rStyle w:val="IndexLink"/>
                <w:rtl w:val="true"/>
              </w:rPr>
              <w:t xml:space="preserve">- </w:t>
            </w:r>
            <w:r>
              <w:rPr>
                <w:rStyle w:val="IndexLink"/>
              </w:rPr>
              <w:t>1</w:t>
            </w:r>
            <w:r>
              <w:rPr>
                <w:rStyle w:val="IndexLink"/>
                <w:rtl w:val="true"/>
              </w:rPr>
              <w:t xml:space="preserve"> «</w:t>
            </w:r>
            <w:r>
              <w:rPr>
                <w:rStyle w:val="IndexLink"/>
                <w:rtl w:val="true"/>
              </w:rPr>
              <w:t>فی ذکر حقیقة النّهی و ما یقتضیه، و جملة من أحکامه</w:t>
            </w:r>
            <w:r>
              <w:rPr>
                <w:rStyle w:val="IndexLink"/>
                <w:rtl w:val="true"/>
              </w:rPr>
              <w:t>»</w:t>
              <w:tab/>
            </w:r>
            <w:r>
              <w:rPr>
                <w:rStyle w:val="IndexLink"/>
              </w:rPr>
              <w:t>261</w:t>
            </w:r>
          </w:hyperlink>
        </w:p>
        <w:p>
          <w:pPr>
            <w:pStyle w:val="Contents4"/>
            <w:tabs>
              <w:tab w:val="clear" w:pos="8176"/>
              <w:tab w:val="right" w:pos="9026" w:leader="dot"/>
            </w:tabs>
            <w:rPr/>
          </w:pPr>
          <w:hyperlink w:anchor="__RefHeading___Toc1757249_653776707">
            <w:r>
              <w:rPr>
                <w:webHidden/>
                <w:rStyle w:val="IndexLink"/>
                <w:rtl w:val="true"/>
              </w:rPr>
              <w:t xml:space="preserve">فصل </w:t>
            </w:r>
            <w:r>
              <w:rPr>
                <w:rStyle w:val="IndexLink"/>
                <w:rtl w:val="true"/>
              </w:rPr>
              <w:t xml:space="preserve">- </w:t>
            </w:r>
            <w:r>
              <w:rPr>
                <w:rStyle w:val="IndexLink"/>
              </w:rPr>
              <w:t>2</w:t>
            </w:r>
            <w:r>
              <w:rPr>
                <w:rStyle w:val="IndexLink"/>
                <w:rtl w:val="true"/>
              </w:rPr>
              <w:t xml:space="preserve"> «</w:t>
            </w:r>
            <w:r>
              <w:rPr>
                <w:rStyle w:val="IndexLink"/>
                <w:rtl w:val="true"/>
              </w:rPr>
              <w:t>فی أنّ النّهی یدلّ علی فساد المنهیّ عنه أم لا؟</w:t>
            </w:r>
            <w:r>
              <w:rPr>
                <w:rStyle w:val="IndexLink"/>
                <w:rtl w:val="true"/>
              </w:rPr>
              <w:t>»</w:t>
              <w:tab/>
            </w:r>
            <w:r>
              <w:rPr>
                <w:rStyle w:val="IndexLink"/>
              </w:rPr>
              <w:t>266</w:t>
            </w:r>
          </w:hyperlink>
        </w:p>
        <w:p>
          <w:pPr>
            <w:pStyle w:val="Contents4"/>
            <w:tabs>
              <w:tab w:val="clear" w:pos="8176"/>
              <w:tab w:val="right" w:pos="9026" w:leader="dot"/>
            </w:tabs>
            <w:rPr/>
          </w:pPr>
          <w:hyperlink w:anchor="__RefHeading___Toc1757251_653776707">
            <w:r>
              <w:rPr>
                <w:webHidden/>
                <w:rStyle w:val="IndexLink"/>
                <w:rtl w:val="true"/>
              </w:rPr>
              <w:t xml:space="preserve">فصل </w:t>
            </w:r>
            <w:r>
              <w:rPr>
                <w:rStyle w:val="IndexLink"/>
                <w:rtl w:val="true"/>
              </w:rPr>
              <w:t xml:space="preserve">- </w:t>
            </w:r>
            <w:r>
              <w:rPr>
                <w:rStyle w:val="IndexLink"/>
              </w:rPr>
              <w:t>3</w:t>
            </w:r>
            <w:r>
              <w:rPr>
                <w:rStyle w:val="IndexLink"/>
                <w:rtl w:val="true"/>
              </w:rPr>
              <w:t xml:space="preserve"> «</w:t>
            </w:r>
            <w:r>
              <w:rPr>
                <w:rStyle w:val="IndexLink"/>
                <w:rtl w:val="true"/>
              </w:rPr>
              <w:t>فیما یقتضیه الأمر من جمع و آحاد</w:t>
            </w:r>
            <w:r>
              <w:rPr>
                <w:rStyle w:val="IndexLink"/>
                <w:rtl w:val="true"/>
              </w:rPr>
              <w:t>»</w:t>
              <w:tab/>
            </w:r>
            <w:r>
              <w:rPr>
                <w:rStyle w:val="IndexLink"/>
              </w:rPr>
              <w:t>274</w:t>
            </w:r>
          </w:hyperlink>
        </w:p>
        <w:p>
          <w:pPr>
            <w:pStyle w:val="Contents3"/>
            <w:tabs>
              <w:tab w:val="clear" w:pos="8459"/>
              <w:tab w:val="right" w:pos="9026" w:leader="dot"/>
            </w:tabs>
            <w:rPr/>
          </w:pPr>
          <w:hyperlink w:anchor="__RefHeading___Toc1757253_653776707">
            <w:r>
              <w:rPr>
                <w:webHidden/>
                <w:rStyle w:val="IndexLink"/>
                <w:rtl w:val="true"/>
              </w:rPr>
              <w:t>الباب الخامس</w:t>
            </w:r>
            <w:r>
              <w:rPr>
                <w:rStyle w:val="IndexLink"/>
                <w:rtl w:val="true"/>
              </w:rPr>
              <w:t xml:space="preserve">: </w:t>
            </w:r>
            <w:r>
              <w:rPr>
                <w:rStyle w:val="IndexLink"/>
                <w:rtl w:val="true"/>
              </w:rPr>
              <w:t>الکلام فی العموم و الخصوص</w:t>
            </w:r>
            <w:r>
              <w:rPr>
                <w:rStyle w:val="IndexLink"/>
                <w:rtl w:val="true"/>
              </w:rPr>
              <w:tab/>
            </w:r>
            <w:r>
              <w:rPr>
                <w:rStyle w:val="IndexLink"/>
              </w:rPr>
              <w:t>277</w:t>
            </w:r>
          </w:hyperlink>
        </w:p>
        <w:p>
          <w:pPr>
            <w:pStyle w:val="Contents4"/>
            <w:tabs>
              <w:tab w:val="clear" w:pos="8176"/>
              <w:tab w:val="right" w:pos="9026" w:leader="dot"/>
            </w:tabs>
            <w:rPr/>
          </w:pPr>
          <w:hyperlink w:anchor="__RefHeading___Toc1757255_653776707">
            <w:r>
              <w:rPr>
                <w:webHidden/>
                <w:rStyle w:val="IndexLink"/>
                <w:rtl w:val="true"/>
              </w:rPr>
              <w:t>اشارة</w:t>
            </w:r>
            <w:r>
              <w:rPr>
                <w:rStyle w:val="IndexLink"/>
                <w:rtl w:val="true"/>
              </w:rPr>
              <w:tab/>
            </w:r>
            <w:r>
              <w:rPr>
                <w:rStyle w:val="IndexLink"/>
              </w:rPr>
              <w:t>277</w:t>
            </w:r>
          </w:hyperlink>
        </w:p>
        <w:p>
          <w:pPr>
            <w:pStyle w:val="Contents4"/>
            <w:tabs>
              <w:tab w:val="clear" w:pos="8176"/>
              <w:tab w:val="right" w:pos="9026" w:leader="dot"/>
            </w:tabs>
            <w:rPr/>
          </w:pPr>
          <w:hyperlink w:anchor="__RefHeading___Toc1757257_653776707">
            <w:r>
              <w:rPr>
                <w:webHidden/>
                <w:rStyle w:val="IndexLink"/>
                <w:rtl w:val="true"/>
              </w:rPr>
              <w:t xml:space="preserve">فصل </w:t>
            </w:r>
            <w:r>
              <w:rPr>
                <w:rStyle w:val="IndexLink"/>
                <w:rtl w:val="true"/>
              </w:rPr>
              <w:t xml:space="preserve">- </w:t>
            </w:r>
            <w:r>
              <w:rPr>
                <w:rStyle w:val="IndexLink"/>
              </w:rPr>
              <w:t>1</w:t>
            </w:r>
            <w:r>
              <w:rPr>
                <w:rStyle w:val="IndexLink"/>
                <w:rtl w:val="true"/>
              </w:rPr>
              <w:t xml:space="preserve"> «</w:t>
            </w:r>
            <w:r>
              <w:rPr>
                <w:rStyle w:val="IndexLink"/>
                <w:rtl w:val="true"/>
              </w:rPr>
              <w:t>فی ذکر حقیقة العموم و الخصوص، و ذکر ألفاظه</w:t>
            </w:r>
            <w:r>
              <w:rPr>
                <w:rStyle w:val="IndexLink"/>
                <w:rtl w:val="true"/>
              </w:rPr>
              <w:t>»</w:t>
              <w:tab/>
            </w:r>
            <w:r>
              <w:rPr>
                <w:rStyle w:val="IndexLink"/>
              </w:rPr>
              <w:t>279</w:t>
            </w:r>
          </w:hyperlink>
        </w:p>
        <w:p>
          <w:pPr>
            <w:pStyle w:val="Contents4"/>
            <w:tabs>
              <w:tab w:val="clear" w:pos="8176"/>
              <w:tab w:val="right" w:pos="9026" w:leader="dot"/>
            </w:tabs>
            <w:rPr/>
          </w:pPr>
          <w:hyperlink w:anchor="__RefHeading___Toc1757259_653776707">
            <w:r>
              <w:rPr>
                <w:webHidden/>
                <w:rStyle w:val="IndexLink"/>
                <w:rtl w:val="true"/>
              </w:rPr>
              <w:t xml:space="preserve">فصل </w:t>
            </w:r>
            <w:r>
              <w:rPr>
                <w:rStyle w:val="IndexLink"/>
                <w:rtl w:val="true"/>
              </w:rPr>
              <w:t xml:space="preserve">- </w:t>
            </w:r>
            <w:r>
              <w:rPr>
                <w:rStyle w:val="IndexLink"/>
              </w:rPr>
              <w:t>2</w:t>
            </w:r>
            <w:r>
              <w:rPr>
                <w:rStyle w:val="IndexLink"/>
                <w:rtl w:val="true"/>
              </w:rPr>
              <w:t xml:space="preserve"> «</w:t>
            </w:r>
            <w:r>
              <w:rPr>
                <w:rStyle w:val="IndexLink"/>
                <w:rtl w:val="true"/>
              </w:rPr>
              <w:t>فی ذکر الکلام علی أنّ العموم له صیغة فی اللّغة</w:t>
            </w:r>
            <w:r>
              <w:rPr>
                <w:rStyle w:val="IndexLink"/>
                <w:rtl w:val="true"/>
              </w:rPr>
              <w:t>»</w:t>
              <w:tab/>
            </w:r>
            <w:r>
              <w:rPr>
                <w:rStyle w:val="IndexLink"/>
              </w:rPr>
              <w:t>284</w:t>
            </w:r>
          </w:hyperlink>
        </w:p>
        <w:p>
          <w:pPr>
            <w:pStyle w:val="Contents4"/>
            <w:tabs>
              <w:tab w:val="clear" w:pos="8176"/>
              <w:tab w:val="right" w:pos="9026" w:leader="dot"/>
            </w:tabs>
            <w:rPr/>
          </w:pPr>
          <w:hyperlink w:anchor="__RefHeading___Toc1757261_653776707">
            <w:r>
              <w:rPr>
                <w:webHidden/>
                <w:rStyle w:val="IndexLink"/>
                <w:rtl w:val="true"/>
              </w:rPr>
              <w:t xml:space="preserve">فصل </w:t>
            </w:r>
            <w:r>
              <w:rPr>
                <w:rStyle w:val="IndexLink"/>
                <w:rtl w:val="true"/>
              </w:rPr>
              <w:t xml:space="preserve">- </w:t>
            </w:r>
            <w:r>
              <w:rPr>
                <w:rStyle w:val="IndexLink"/>
              </w:rPr>
              <w:t>3</w:t>
            </w:r>
            <w:r>
              <w:rPr>
                <w:rStyle w:val="IndexLink"/>
                <w:rtl w:val="true"/>
              </w:rPr>
              <w:t xml:space="preserve"> «</w:t>
            </w:r>
            <w:r>
              <w:rPr>
                <w:rStyle w:val="IndexLink"/>
                <w:rtl w:val="true"/>
              </w:rPr>
              <w:t>فی ذکر ألفاظ الجمع و الجنس و غیر ذلک</w:t>
            </w:r>
            <w:r>
              <w:rPr>
                <w:rStyle w:val="IndexLink"/>
                <w:rtl w:val="true"/>
              </w:rPr>
              <w:t>»</w:t>
              <w:tab/>
            </w:r>
            <w:r>
              <w:rPr>
                <w:rStyle w:val="IndexLink"/>
              </w:rPr>
              <w:t>297</w:t>
            </w:r>
          </w:hyperlink>
        </w:p>
        <w:p>
          <w:pPr>
            <w:pStyle w:val="Contents4"/>
            <w:tabs>
              <w:tab w:val="clear" w:pos="8176"/>
              <w:tab w:val="right" w:pos="9026" w:leader="dot"/>
            </w:tabs>
            <w:rPr/>
          </w:pPr>
          <w:hyperlink w:anchor="__RefHeading___Toc1757263_653776707">
            <w:r>
              <w:rPr>
                <w:webHidden/>
                <w:rStyle w:val="IndexLink"/>
                <w:rtl w:val="true"/>
              </w:rPr>
              <w:t xml:space="preserve">فصل </w:t>
            </w:r>
            <w:r>
              <w:rPr>
                <w:rStyle w:val="IndexLink"/>
                <w:rtl w:val="true"/>
              </w:rPr>
              <w:t xml:space="preserve">- </w:t>
            </w:r>
            <w:r>
              <w:rPr>
                <w:rStyle w:val="IndexLink"/>
              </w:rPr>
              <w:t>4</w:t>
            </w:r>
            <w:r>
              <w:rPr>
                <w:rStyle w:val="IndexLink"/>
                <w:rtl w:val="true"/>
              </w:rPr>
              <w:t xml:space="preserve"> «</w:t>
            </w:r>
            <w:r>
              <w:rPr>
                <w:rStyle w:val="IndexLink"/>
                <w:rtl w:val="true"/>
              </w:rPr>
              <w:t>فی أنّ أقلّ الجمع ما هو؟</w:t>
            </w:r>
            <w:r>
              <w:rPr>
                <w:rStyle w:val="IndexLink"/>
                <w:rtl w:val="true"/>
              </w:rPr>
              <w:t>»</w:t>
              <w:tab/>
            </w:r>
            <w:r>
              <w:rPr>
                <w:rStyle w:val="IndexLink"/>
              </w:rPr>
              <w:t>304</w:t>
            </w:r>
          </w:hyperlink>
        </w:p>
        <w:p>
          <w:pPr>
            <w:pStyle w:val="Contents4"/>
            <w:tabs>
              <w:tab w:val="clear" w:pos="8176"/>
              <w:tab w:val="right" w:pos="9026" w:leader="dot"/>
            </w:tabs>
            <w:rPr/>
          </w:pPr>
          <w:hyperlink w:anchor="__RefHeading___Toc1757265_653776707">
            <w:r>
              <w:rPr>
                <w:webHidden/>
                <w:rStyle w:val="IndexLink"/>
                <w:rtl w:val="true"/>
              </w:rPr>
              <w:t xml:space="preserve">فصل </w:t>
            </w:r>
            <w:r>
              <w:rPr>
                <w:rStyle w:val="IndexLink"/>
                <w:rtl w:val="true"/>
              </w:rPr>
              <w:t xml:space="preserve">- </w:t>
            </w:r>
            <w:r>
              <w:rPr>
                <w:rStyle w:val="IndexLink"/>
              </w:rPr>
              <w:t>5</w:t>
            </w:r>
            <w:r>
              <w:rPr>
                <w:rStyle w:val="IndexLink"/>
                <w:rtl w:val="true"/>
              </w:rPr>
              <w:t xml:space="preserve"> «</w:t>
            </w:r>
            <w:r>
              <w:rPr>
                <w:rStyle w:val="IndexLink"/>
                <w:rtl w:val="true"/>
              </w:rPr>
              <w:t>فی معنی قولنا إنّ العموم مخصوص، و إنّ اللّه تعالی یجوز أن یرید بالعامّ الخاصّ</w:t>
            </w:r>
            <w:r>
              <w:rPr>
                <w:rStyle w:val="IndexLink"/>
                <w:rtl w:val="true"/>
              </w:rPr>
              <w:t>»</w:t>
              <w:tab/>
            </w:r>
            <w:r>
              <w:rPr>
                <w:rStyle w:val="IndexLink"/>
              </w:rPr>
              <w:t>308</w:t>
            </w:r>
          </w:hyperlink>
        </w:p>
        <w:p>
          <w:pPr>
            <w:pStyle w:val="Contents4"/>
            <w:tabs>
              <w:tab w:val="clear" w:pos="8176"/>
              <w:tab w:val="right" w:pos="9026" w:leader="dot"/>
            </w:tabs>
            <w:rPr/>
          </w:pPr>
          <w:hyperlink w:anchor="__RefHeading___Toc1757267_653776707">
            <w:r>
              <w:rPr>
                <w:webHidden/>
                <w:rStyle w:val="IndexLink"/>
                <w:rtl w:val="true"/>
              </w:rPr>
              <w:t xml:space="preserve">فصل </w:t>
            </w:r>
            <w:r>
              <w:rPr>
                <w:rStyle w:val="IndexLink"/>
                <w:rtl w:val="true"/>
              </w:rPr>
              <w:t xml:space="preserve">- </w:t>
            </w:r>
            <w:r>
              <w:rPr>
                <w:rStyle w:val="IndexLink"/>
              </w:rPr>
              <w:t>6</w:t>
            </w:r>
            <w:r>
              <w:rPr>
                <w:rStyle w:val="IndexLink"/>
                <w:rtl w:val="true"/>
              </w:rPr>
              <w:t xml:space="preserve"> «</w:t>
            </w:r>
            <w:r>
              <w:rPr>
                <w:rStyle w:val="IndexLink"/>
                <w:rtl w:val="true"/>
              </w:rPr>
              <w:t>فی أنّ العموم إذا خصّ کان مجازا، و ما به یعلم ذلک، و حصر أدلّته</w:t>
            </w:r>
            <w:r>
              <w:rPr>
                <w:rStyle w:val="IndexLink"/>
                <w:rtl w:val="true"/>
              </w:rPr>
              <w:t>»</w:t>
              <w:tab/>
            </w:r>
            <w:r>
              <w:rPr>
                <w:rStyle w:val="IndexLink"/>
              </w:rPr>
              <w:t>312</w:t>
            </w:r>
          </w:hyperlink>
        </w:p>
        <w:p>
          <w:pPr>
            <w:pStyle w:val="Contents4"/>
            <w:tabs>
              <w:tab w:val="clear" w:pos="8176"/>
              <w:tab w:val="right" w:pos="9026" w:leader="dot"/>
            </w:tabs>
            <w:rPr/>
          </w:pPr>
          <w:hyperlink w:anchor="__RefHeading___Toc1757269_653776707">
            <w:r>
              <w:rPr>
                <w:webHidden/>
                <w:rStyle w:val="IndexLink"/>
                <w:rtl w:val="true"/>
              </w:rPr>
              <w:t xml:space="preserve">فصل </w:t>
            </w:r>
            <w:r>
              <w:rPr>
                <w:rStyle w:val="IndexLink"/>
                <w:rtl w:val="true"/>
              </w:rPr>
              <w:t xml:space="preserve">- </w:t>
            </w:r>
            <w:r>
              <w:rPr>
                <w:rStyle w:val="IndexLink"/>
              </w:rPr>
              <w:t>7</w:t>
            </w:r>
            <w:r>
              <w:rPr>
                <w:rStyle w:val="IndexLink"/>
                <w:rtl w:val="true"/>
              </w:rPr>
              <w:t xml:space="preserve"> «</w:t>
            </w:r>
            <w:r>
              <w:rPr>
                <w:rStyle w:val="IndexLink"/>
                <w:rtl w:val="true"/>
              </w:rPr>
              <w:t>فی ذکر جمل من أحکام الاستثناء</w:t>
            </w:r>
            <w:r>
              <w:rPr>
                <w:rStyle w:val="IndexLink"/>
                <w:rtl w:val="true"/>
              </w:rPr>
              <w:t>»</w:t>
              <w:tab/>
            </w:r>
            <w:r>
              <w:rPr>
                <w:rStyle w:val="IndexLink"/>
              </w:rPr>
              <w:t>319</w:t>
            </w:r>
          </w:hyperlink>
        </w:p>
        <w:p>
          <w:pPr>
            <w:pStyle w:val="Contents4"/>
            <w:tabs>
              <w:tab w:val="clear" w:pos="8176"/>
              <w:tab w:val="right" w:pos="9026" w:leader="dot"/>
            </w:tabs>
            <w:rPr/>
          </w:pPr>
          <w:hyperlink w:anchor="__RefHeading___Toc1757271_653776707">
            <w:r>
              <w:rPr>
                <w:webHidden/>
                <w:rStyle w:val="IndexLink"/>
                <w:rtl w:val="true"/>
              </w:rPr>
              <w:t xml:space="preserve">فصل </w:t>
            </w:r>
            <w:r>
              <w:rPr>
                <w:rStyle w:val="IndexLink"/>
                <w:rtl w:val="true"/>
              </w:rPr>
              <w:t xml:space="preserve">- </w:t>
            </w:r>
            <w:r>
              <w:rPr>
                <w:rStyle w:val="IndexLink"/>
              </w:rPr>
              <w:t>8</w:t>
            </w:r>
            <w:r>
              <w:rPr>
                <w:rStyle w:val="IndexLink"/>
                <w:rtl w:val="true"/>
              </w:rPr>
              <w:t xml:space="preserve"> «</w:t>
            </w:r>
            <w:r>
              <w:rPr>
                <w:rStyle w:val="IndexLink"/>
                <w:rtl w:val="true"/>
              </w:rPr>
              <w:t>فی أنّ الاستثناء إذا تعقّب جملا کثیرة هل یرجع إلی جمیعها أو إلی ما یلیه ؟</w:t>
            </w:r>
            <w:r>
              <w:rPr>
                <w:rStyle w:val="IndexLink"/>
                <w:rtl w:val="true"/>
              </w:rPr>
              <w:t>»</w:t>
              <w:tab/>
            </w:r>
            <w:r>
              <w:rPr>
                <w:rStyle w:val="IndexLink"/>
              </w:rPr>
              <w:t>326</w:t>
            </w:r>
          </w:hyperlink>
        </w:p>
        <w:p>
          <w:pPr>
            <w:pStyle w:val="Contents4"/>
            <w:tabs>
              <w:tab w:val="clear" w:pos="8176"/>
              <w:tab w:val="right" w:pos="9026" w:leader="dot"/>
            </w:tabs>
            <w:rPr/>
          </w:pPr>
          <w:hyperlink w:anchor="__RefHeading___Toc1757273_653776707">
            <w:r>
              <w:rPr>
                <w:webHidden/>
                <w:rStyle w:val="IndexLink"/>
                <w:rtl w:val="true"/>
              </w:rPr>
              <w:t xml:space="preserve">فصل </w:t>
            </w:r>
            <w:r>
              <w:rPr>
                <w:rStyle w:val="IndexLink"/>
                <w:rtl w:val="true"/>
              </w:rPr>
              <w:t xml:space="preserve">- </w:t>
            </w:r>
            <w:r>
              <w:rPr>
                <w:rStyle w:val="IndexLink"/>
              </w:rPr>
              <w:t>9</w:t>
            </w:r>
            <w:r>
              <w:rPr>
                <w:rStyle w:val="IndexLink"/>
                <w:rtl w:val="true"/>
              </w:rPr>
              <w:t xml:space="preserve"> «</w:t>
            </w:r>
            <w:r>
              <w:rPr>
                <w:rStyle w:val="IndexLink"/>
                <w:rtl w:val="true"/>
              </w:rPr>
              <w:t>فی ذکر جملة من أحکام الشّرط، و تخصیص العموم به</w:t>
            </w:r>
            <w:r>
              <w:rPr>
                <w:rStyle w:val="IndexLink"/>
                <w:rtl w:val="true"/>
              </w:rPr>
              <w:t>»</w:t>
              <w:tab/>
            </w:r>
            <w:r>
              <w:rPr>
                <w:rStyle w:val="IndexLink"/>
              </w:rPr>
              <w:t>332</w:t>
            </w:r>
          </w:hyperlink>
        </w:p>
        <w:p>
          <w:pPr>
            <w:pStyle w:val="Contents4"/>
            <w:tabs>
              <w:tab w:val="clear" w:pos="8176"/>
              <w:tab w:val="right" w:pos="9026" w:leader="dot"/>
            </w:tabs>
            <w:rPr/>
          </w:pPr>
          <w:hyperlink w:anchor="__RefHeading___Toc1757275_653776707">
            <w:r>
              <w:rPr>
                <w:webHidden/>
                <w:rStyle w:val="IndexLink"/>
                <w:rtl w:val="true"/>
              </w:rPr>
              <w:t xml:space="preserve">فصل </w:t>
            </w:r>
            <w:r>
              <w:rPr>
                <w:rStyle w:val="IndexLink"/>
                <w:rtl w:val="true"/>
              </w:rPr>
              <w:t xml:space="preserve">- </w:t>
            </w:r>
            <w:r>
              <w:rPr>
                <w:rStyle w:val="IndexLink"/>
              </w:rPr>
              <w:t>10</w:t>
            </w:r>
            <w:r>
              <w:rPr>
                <w:rStyle w:val="IndexLink"/>
                <w:rtl w:val="true"/>
              </w:rPr>
              <w:t xml:space="preserve"> «</w:t>
            </w:r>
            <w:r>
              <w:rPr>
                <w:rStyle w:val="IndexLink"/>
                <w:rtl w:val="true"/>
              </w:rPr>
              <w:t>فی ذکر الکلام فی المطلق و المقیّد</w:t>
            </w:r>
            <w:r>
              <w:rPr>
                <w:rStyle w:val="IndexLink"/>
                <w:rtl w:val="true"/>
              </w:rPr>
              <w:t>»</w:t>
              <w:tab/>
            </w:r>
            <w:r>
              <w:rPr>
                <w:rStyle w:val="IndexLink"/>
              </w:rPr>
              <w:t>335</w:t>
            </w:r>
          </w:hyperlink>
        </w:p>
        <w:p>
          <w:pPr>
            <w:pStyle w:val="Contents4"/>
            <w:tabs>
              <w:tab w:val="clear" w:pos="8176"/>
              <w:tab w:val="right" w:pos="9026" w:leader="dot"/>
            </w:tabs>
            <w:rPr/>
          </w:pPr>
          <w:hyperlink w:anchor="__RefHeading___Toc1757277_653776707">
            <w:r>
              <w:rPr>
                <w:webHidden/>
                <w:rStyle w:val="IndexLink"/>
                <w:rtl w:val="true"/>
              </w:rPr>
              <w:t xml:space="preserve">فصل </w:t>
            </w:r>
            <w:r>
              <w:rPr>
                <w:rStyle w:val="IndexLink"/>
                <w:rtl w:val="true"/>
              </w:rPr>
              <w:t xml:space="preserve">- </w:t>
            </w:r>
            <w:r>
              <w:rPr>
                <w:rStyle w:val="IndexLink"/>
              </w:rPr>
              <w:t>11</w:t>
            </w:r>
            <w:r>
              <w:rPr>
                <w:rStyle w:val="IndexLink"/>
                <w:rtl w:val="true"/>
              </w:rPr>
              <w:t xml:space="preserve"> «</w:t>
            </w:r>
            <w:r>
              <w:rPr>
                <w:rStyle w:val="IndexLink"/>
                <w:rtl w:val="true"/>
              </w:rPr>
              <w:t>فی ذکر ما یدلّ علی تخصیص العموم من الأدلّة المنفصلة الّتی توجب العلم</w:t>
            </w:r>
            <w:r>
              <w:rPr>
                <w:rStyle w:val="IndexLink"/>
                <w:rtl w:val="true"/>
              </w:rPr>
              <w:t>»</w:t>
              <w:tab/>
            </w:r>
            <w:r>
              <w:rPr>
                <w:rStyle w:val="IndexLink"/>
              </w:rPr>
              <w:t>342</w:t>
            </w:r>
          </w:hyperlink>
        </w:p>
        <w:p>
          <w:pPr>
            <w:pStyle w:val="Contents4"/>
            <w:tabs>
              <w:tab w:val="clear" w:pos="8176"/>
              <w:tab w:val="right" w:pos="9026" w:leader="dot"/>
            </w:tabs>
            <w:rPr/>
          </w:pPr>
          <w:hyperlink w:anchor="__RefHeading___Toc1757279_653776707">
            <w:r>
              <w:rPr>
                <w:webHidden/>
                <w:rStyle w:val="IndexLink"/>
                <w:rtl w:val="true"/>
              </w:rPr>
              <w:t xml:space="preserve">فصل </w:t>
            </w:r>
            <w:r>
              <w:rPr>
                <w:rStyle w:val="IndexLink"/>
                <w:rtl w:val="true"/>
              </w:rPr>
              <w:t xml:space="preserve">- </w:t>
            </w:r>
            <w:r>
              <w:rPr>
                <w:rStyle w:val="IndexLink"/>
              </w:rPr>
              <w:t>12</w:t>
            </w:r>
            <w:r>
              <w:rPr>
                <w:rStyle w:val="IndexLink"/>
                <w:rtl w:val="true"/>
              </w:rPr>
              <w:t xml:space="preserve"> «</w:t>
            </w:r>
            <w:r>
              <w:rPr>
                <w:rStyle w:val="IndexLink"/>
                <w:rtl w:val="true"/>
              </w:rPr>
              <w:t>فی ذکر تخصیص العموم بأخبار الآحاد</w:t>
            </w:r>
            <w:r>
              <w:rPr>
                <w:rStyle w:val="IndexLink"/>
                <w:rtl w:val="true"/>
              </w:rPr>
              <w:t>»</w:t>
              <w:tab/>
            </w:r>
            <w:r>
              <w:rPr>
                <w:rStyle w:val="IndexLink"/>
              </w:rPr>
              <w:t>349</w:t>
            </w:r>
          </w:hyperlink>
        </w:p>
        <w:p>
          <w:pPr>
            <w:pStyle w:val="Contents4"/>
            <w:tabs>
              <w:tab w:val="clear" w:pos="8176"/>
              <w:tab w:val="right" w:pos="9026" w:leader="dot"/>
            </w:tabs>
            <w:rPr/>
          </w:pPr>
          <w:hyperlink w:anchor="__RefHeading___Toc1757281_653776707">
            <w:r>
              <w:rPr>
                <w:webHidden/>
                <w:rStyle w:val="IndexLink"/>
                <w:rtl w:val="true"/>
              </w:rPr>
              <w:t xml:space="preserve">فصل </w:t>
            </w:r>
            <w:r>
              <w:rPr>
                <w:rStyle w:val="IndexLink"/>
                <w:rtl w:val="true"/>
              </w:rPr>
              <w:t xml:space="preserve">- </w:t>
            </w:r>
            <w:r>
              <w:rPr>
                <w:rStyle w:val="IndexLink"/>
              </w:rPr>
              <w:t>13</w:t>
            </w:r>
            <w:r>
              <w:rPr>
                <w:rStyle w:val="IndexLink"/>
                <w:rtl w:val="true"/>
              </w:rPr>
              <w:t xml:space="preserve"> «</w:t>
            </w:r>
            <w:r>
              <w:rPr>
                <w:rStyle w:val="IndexLink"/>
                <w:rtl w:val="true"/>
              </w:rPr>
              <w:t>فی ذکر تخصیص العموم بالقیاس</w:t>
            </w:r>
            <w:r>
              <w:rPr>
                <w:rStyle w:val="IndexLink"/>
                <w:rtl w:val="true"/>
              </w:rPr>
              <w:t>»</w:t>
              <w:tab/>
            </w:r>
            <w:r>
              <w:rPr>
                <w:rStyle w:val="IndexLink"/>
              </w:rPr>
              <w:t>358</w:t>
            </w:r>
          </w:hyperlink>
        </w:p>
        <w:p>
          <w:pPr>
            <w:pStyle w:val="Contents4"/>
            <w:tabs>
              <w:tab w:val="clear" w:pos="8176"/>
              <w:tab w:val="right" w:pos="9026" w:leader="dot"/>
            </w:tabs>
            <w:rPr/>
          </w:pPr>
          <w:hyperlink w:anchor="__RefHeading___Toc1757283_653776707">
            <w:r>
              <w:rPr>
                <w:webHidden/>
                <w:rStyle w:val="IndexLink"/>
                <w:rtl w:val="true"/>
              </w:rPr>
              <w:t xml:space="preserve">فصل </w:t>
            </w:r>
            <w:r>
              <w:rPr>
                <w:rStyle w:val="IndexLink"/>
                <w:rtl w:val="true"/>
              </w:rPr>
              <w:t xml:space="preserve">- </w:t>
            </w:r>
            <w:r>
              <w:rPr>
                <w:rStyle w:val="IndexLink"/>
              </w:rPr>
              <w:t>14</w:t>
            </w:r>
            <w:r>
              <w:rPr>
                <w:rStyle w:val="IndexLink"/>
                <w:rtl w:val="true"/>
              </w:rPr>
              <w:t xml:space="preserve"> «</w:t>
            </w:r>
            <w:r>
              <w:rPr>
                <w:rStyle w:val="IndexLink"/>
                <w:rtl w:val="true"/>
              </w:rPr>
              <w:t>فی تخصیص العموم بأقاویل الصّحابة، و بالعادات، و بقول الرّاوی</w:t>
            </w:r>
            <w:r>
              <w:rPr>
                <w:rStyle w:val="IndexLink"/>
                <w:rtl w:val="true"/>
              </w:rPr>
              <w:t>»</w:t>
              <w:tab/>
            </w:r>
            <w:r>
              <w:rPr>
                <w:rStyle w:val="IndexLink"/>
              </w:rPr>
              <w:t>366</w:t>
            </w:r>
          </w:hyperlink>
        </w:p>
        <w:p>
          <w:pPr>
            <w:pStyle w:val="Contents4"/>
            <w:tabs>
              <w:tab w:val="clear" w:pos="8176"/>
              <w:tab w:val="right" w:pos="9026" w:leader="dot"/>
            </w:tabs>
            <w:rPr/>
          </w:pPr>
          <w:hyperlink w:anchor="__RefHeading___Toc1757285_653776707">
            <w:r>
              <w:rPr>
                <w:webHidden/>
                <w:rStyle w:val="IndexLink"/>
                <w:rtl w:val="true"/>
              </w:rPr>
              <w:t xml:space="preserve">فصل </w:t>
            </w:r>
            <w:r>
              <w:rPr>
                <w:rStyle w:val="IndexLink"/>
                <w:rtl w:val="true"/>
              </w:rPr>
              <w:t xml:space="preserve">- </w:t>
            </w:r>
            <w:r>
              <w:rPr>
                <w:rStyle w:val="IndexLink"/>
              </w:rPr>
              <w:t>15</w:t>
            </w:r>
            <w:r>
              <w:rPr>
                <w:rStyle w:val="IndexLink"/>
                <w:rtl w:val="true"/>
              </w:rPr>
              <w:t xml:space="preserve"> «</w:t>
            </w:r>
            <w:r>
              <w:rPr>
                <w:rStyle w:val="IndexLink"/>
                <w:rtl w:val="true"/>
              </w:rPr>
              <w:t>فی تخصیص الإجماع، و تخصیص قول الرّسول صلّی اللّه علیه و آله و سلّم</w:t>
            </w:r>
            <w:r>
              <w:rPr>
                <w:rStyle w:val="IndexLink"/>
                <w:rtl w:val="true"/>
              </w:rPr>
              <w:tab/>
            </w:r>
            <w:r>
              <w:rPr>
                <w:rStyle w:val="IndexLink"/>
              </w:rPr>
              <w:t>371</w:t>
            </w:r>
          </w:hyperlink>
        </w:p>
        <w:p>
          <w:pPr>
            <w:pStyle w:val="Contents4"/>
            <w:tabs>
              <w:tab w:val="clear" w:pos="8176"/>
              <w:tab w:val="right" w:pos="9026" w:leader="dot"/>
            </w:tabs>
            <w:rPr/>
          </w:pPr>
          <w:hyperlink w:anchor="__RefHeading___Toc1757287_653776707">
            <w:r>
              <w:rPr>
                <w:webHidden/>
                <w:rStyle w:val="IndexLink"/>
                <w:rtl w:val="true"/>
              </w:rPr>
              <w:t xml:space="preserve">فصل </w:t>
            </w:r>
            <w:r>
              <w:rPr>
                <w:rStyle w:val="IndexLink"/>
                <w:rtl w:val="true"/>
              </w:rPr>
              <w:t xml:space="preserve">- </w:t>
            </w:r>
            <w:r>
              <w:rPr>
                <w:rStyle w:val="IndexLink"/>
              </w:rPr>
              <w:t>16</w:t>
            </w:r>
            <w:r>
              <w:rPr>
                <w:rStyle w:val="IndexLink"/>
                <w:rtl w:val="true"/>
              </w:rPr>
              <w:t xml:space="preserve"> «</w:t>
            </w:r>
            <w:r>
              <w:rPr>
                <w:rStyle w:val="IndexLink"/>
                <w:rtl w:val="true"/>
              </w:rPr>
              <w:t>فی أنّ العموم إذا خرج علی سبب خاصّ لا یجب قصره علیه</w:t>
            </w:r>
            <w:r>
              <w:rPr>
                <w:rStyle w:val="IndexLink"/>
                <w:rtl w:val="true"/>
              </w:rPr>
              <w:t>»</w:t>
              <w:tab/>
            </w:r>
            <w:r>
              <w:rPr>
                <w:rStyle w:val="IndexLink"/>
              </w:rPr>
              <w:t>374</w:t>
            </w:r>
          </w:hyperlink>
        </w:p>
        <w:p>
          <w:pPr>
            <w:pStyle w:val="Contents4"/>
            <w:tabs>
              <w:tab w:val="clear" w:pos="8176"/>
              <w:tab w:val="right" w:pos="9026" w:leader="dot"/>
            </w:tabs>
            <w:rPr/>
          </w:pPr>
          <w:hyperlink w:anchor="__RefHeading___Toc1757289_653776707">
            <w:r>
              <w:rPr>
                <w:webHidden/>
                <w:rStyle w:val="IndexLink"/>
                <w:rtl w:val="true"/>
              </w:rPr>
              <w:t xml:space="preserve">فصل </w:t>
            </w:r>
            <w:r>
              <w:rPr>
                <w:rStyle w:val="IndexLink"/>
                <w:rtl w:val="true"/>
              </w:rPr>
              <w:t xml:space="preserve">- </w:t>
            </w:r>
            <w:r>
              <w:rPr>
                <w:rStyle w:val="IndexLink"/>
              </w:rPr>
              <w:t>17</w:t>
            </w:r>
            <w:r>
              <w:rPr>
                <w:rStyle w:val="IndexLink"/>
                <w:rtl w:val="true"/>
              </w:rPr>
              <w:t xml:space="preserve"> «</w:t>
            </w:r>
            <w:r>
              <w:rPr>
                <w:rStyle w:val="IndexLink"/>
                <w:rtl w:val="true"/>
              </w:rPr>
              <w:t>فی ذکر ما الحق بالعموم و لیس منه، و ما أخرج منه و هو منه</w:t>
            </w:r>
            <w:r>
              <w:rPr>
                <w:rStyle w:val="IndexLink"/>
                <w:rtl w:val="true"/>
              </w:rPr>
              <w:t>»</w:t>
              <w:tab/>
            </w:r>
            <w:r>
              <w:rPr>
                <w:rStyle w:val="IndexLink"/>
              </w:rPr>
              <w:t>379</w:t>
            </w:r>
          </w:hyperlink>
        </w:p>
        <w:p>
          <w:pPr>
            <w:pStyle w:val="Contents4"/>
            <w:tabs>
              <w:tab w:val="clear" w:pos="8176"/>
              <w:tab w:val="right" w:pos="9026" w:leader="dot"/>
            </w:tabs>
            <w:rPr/>
          </w:pPr>
          <w:hyperlink w:anchor="__RefHeading___Toc1757291_653776707">
            <w:r>
              <w:rPr>
                <w:webHidden/>
                <w:rStyle w:val="IndexLink"/>
                <w:rtl w:val="true"/>
              </w:rPr>
              <w:t xml:space="preserve">فصل </w:t>
            </w:r>
            <w:r>
              <w:rPr>
                <w:rStyle w:val="IndexLink"/>
                <w:rtl w:val="true"/>
              </w:rPr>
              <w:t xml:space="preserve">- </w:t>
            </w:r>
            <w:r>
              <w:rPr>
                <w:rStyle w:val="IndexLink"/>
              </w:rPr>
              <w:t>18</w:t>
            </w:r>
            <w:r>
              <w:rPr>
                <w:rStyle w:val="IndexLink"/>
                <w:rtl w:val="true"/>
              </w:rPr>
              <w:t xml:space="preserve"> «</w:t>
            </w:r>
            <w:r>
              <w:rPr>
                <w:rStyle w:val="IndexLink"/>
                <w:rtl w:val="true"/>
              </w:rPr>
              <w:t>فی ذکر غایة ما یخصّ العموم إلیها</w:t>
            </w:r>
            <w:r>
              <w:rPr>
                <w:rStyle w:val="IndexLink"/>
                <w:rtl w:val="true"/>
              </w:rPr>
              <w:t>»</w:t>
              <w:tab/>
            </w:r>
            <w:r>
              <w:rPr>
                <w:rStyle w:val="IndexLink"/>
              </w:rPr>
              <w:t>385</w:t>
            </w:r>
          </w:hyperlink>
        </w:p>
        <w:p>
          <w:pPr>
            <w:pStyle w:val="Contents4"/>
            <w:tabs>
              <w:tab w:val="clear" w:pos="8176"/>
              <w:tab w:val="right" w:pos="9026" w:leader="dot"/>
            </w:tabs>
            <w:rPr/>
          </w:pPr>
          <w:hyperlink w:anchor="__RefHeading___Toc1757293_653776707">
            <w:r>
              <w:rPr>
                <w:webHidden/>
                <w:rStyle w:val="IndexLink"/>
                <w:rtl w:val="true"/>
              </w:rPr>
              <w:t xml:space="preserve">فصل </w:t>
            </w:r>
            <w:r>
              <w:rPr>
                <w:rStyle w:val="IndexLink"/>
                <w:rtl w:val="true"/>
              </w:rPr>
              <w:t xml:space="preserve">- </w:t>
            </w:r>
            <w:r>
              <w:rPr>
                <w:rStyle w:val="IndexLink"/>
              </w:rPr>
              <w:t>19</w:t>
            </w:r>
            <w:r>
              <w:rPr>
                <w:rStyle w:val="IndexLink"/>
                <w:rtl w:val="true"/>
              </w:rPr>
              <w:t xml:space="preserve"> «</w:t>
            </w:r>
            <w:r>
              <w:rPr>
                <w:rStyle w:val="IndexLink"/>
                <w:rtl w:val="true"/>
              </w:rPr>
              <w:t>فی ذکر ما یخصّ فی الحقیقة، و ما یخصّ فی المعنی، و ما لا یجوز دخول التّخصیص فیه</w:t>
            </w:r>
            <w:r>
              <w:rPr>
                <w:rStyle w:val="IndexLink"/>
                <w:rtl w:val="true"/>
              </w:rPr>
              <w:t>»</w:t>
              <w:tab/>
            </w:r>
            <w:r>
              <w:rPr>
                <w:rStyle w:val="IndexLink"/>
              </w:rPr>
              <w:t>388</w:t>
            </w:r>
          </w:hyperlink>
        </w:p>
        <w:p>
          <w:pPr>
            <w:pStyle w:val="Contents4"/>
            <w:tabs>
              <w:tab w:val="clear" w:pos="8176"/>
              <w:tab w:val="right" w:pos="9026" w:leader="dot"/>
            </w:tabs>
            <w:rPr/>
          </w:pPr>
          <w:hyperlink w:anchor="__RefHeading___Toc1757295_653776707">
            <w:r>
              <w:rPr>
                <w:webHidden/>
                <w:rStyle w:val="IndexLink"/>
                <w:rtl w:val="true"/>
              </w:rPr>
              <w:t xml:space="preserve">فصل </w:t>
            </w:r>
            <w:r>
              <w:rPr>
                <w:rStyle w:val="IndexLink"/>
                <w:rtl w:val="true"/>
              </w:rPr>
              <w:t xml:space="preserve">- </w:t>
            </w:r>
            <w:r>
              <w:rPr>
                <w:rStyle w:val="IndexLink"/>
              </w:rPr>
              <w:t>20</w:t>
            </w:r>
            <w:r>
              <w:rPr>
                <w:rStyle w:val="IndexLink"/>
                <w:rtl w:val="true"/>
              </w:rPr>
              <w:t xml:space="preserve"> «</w:t>
            </w:r>
            <w:r>
              <w:rPr>
                <w:rStyle w:val="IndexLink"/>
                <w:rtl w:val="true"/>
              </w:rPr>
              <w:t>فی الشّرط و الاستثناء إذا تعلّقا ببعض ما دخل تحت العموم، لا یجب أن یحکم أنّ ذلک هو المراد بالعموم لا غیر</w:t>
            </w:r>
            <w:r>
              <w:rPr>
                <w:rStyle w:val="IndexLink"/>
                <w:rtl w:val="true"/>
              </w:rPr>
              <w:t>»</w:t>
              <w:tab/>
            </w:r>
            <w:r>
              <w:rPr>
                <w:rStyle w:val="IndexLink"/>
              </w:rPr>
              <w:t>390</w:t>
            </w:r>
          </w:hyperlink>
        </w:p>
        <w:p>
          <w:pPr>
            <w:pStyle w:val="Contents4"/>
            <w:tabs>
              <w:tab w:val="clear" w:pos="8176"/>
              <w:tab w:val="right" w:pos="9026" w:leader="dot"/>
            </w:tabs>
            <w:rPr/>
          </w:pPr>
          <w:hyperlink w:anchor="__RefHeading___Toc1757297_653776707">
            <w:r>
              <w:rPr>
                <w:webHidden/>
                <w:rStyle w:val="IndexLink"/>
                <w:rtl w:val="true"/>
              </w:rPr>
              <w:t xml:space="preserve">فصل </w:t>
            </w:r>
            <w:r>
              <w:rPr>
                <w:rStyle w:val="IndexLink"/>
                <w:rtl w:val="true"/>
              </w:rPr>
              <w:t>-</w:t>
            </w:r>
            <w:r>
              <w:rPr>
                <w:rStyle w:val="IndexLink"/>
              </w:rPr>
              <w:t>21</w:t>
            </w:r>
            <w:r>
              <w:rPr>
                <w:rStyle w:val="IndexLink"/>
                <w:rtl w:val="true"/>
              </w:rPr>
              <w:t xml:space="preserve"> «</w:t>
            </w:r>
            <w:r>
              <w:rPr>
                <w:rStyle w:val="IndexLink"/>
                <w:rtl w:val="true"/>
              </w:rPr>
              <w:t>فی جواز تخصیص الأخبار، و أنّها تجری مجری الأوامر فی ذلک</w:t>
            </w:r>
            <w:r>
              <w:rPr>
                <w:rStyle w:val="IndexLink"/>
                <w:rtl w:val="true"/>
              </w:rPr>
              <w:t>»</w:t>
              <w:tab/>
            </w:r>
            <w:r>
              <w:rPr>
                <w:rStyle w:val="IndexLink"/>
              </w:rPr>
              <w:t>396</w:t>
            </w:r>
          </w:hyperlink>
        </w:p>
        <w:p>
          <w:pPr>
            <w:pStyle w:val="Contents4"/>
            <w:tabs>
              <w:tab w:val="clear" w:pos="8176"/>
              <w:tab w:val="right" w:pos="9026" w:leader="dot"/>
            </w:tabs>
            <w:rPr/>
          </w:pPr>
          <w:hyperlink w:anchor="__RefHeading___Toc1757299_653776707">
            <w:r>
              <w:rPr>
                <w:webHidden/>
                <w:rStyle w:val="IndexLink"/>
                <w:rtl w:val="true"/>
              </w:rPr>
              <w:t xml:space="preserve">فصل </w:t>
            </w:r>
            <w:r>
              <w:rPr>
                <w:rStyle w:val="IndexLink"/>
                <w:rtl w:val="true"/>
              </w:rPr>
              <w:t xml:space="preserve">- </w:t>
            </w:r>
            <w:r>
              <w:rPr>
                <w:rStyle w:val="IndexLink"/>
              </w:rPr>
              <w:t>22</w:t>
            </w:r>
            <w:r>
              <w:rPr>
                <w:rStyle w:val="IndexLink"/>
                <w:rtl w:val="true"/>
              </w:rPr>
              <w:t xml:space="preserve"> «</w:t>
            </w:r>
            <w:r>
              <w:rPr>
                <w:rStyle w:val="IndexLink"/>
                <w:rtl w:val="true"/>
              </w:rPr>
              <w:t>فی ذکر بناء الخاصّ علی العام، و حکم العمومین إذا تعارضا</w:t>
            </w:r>
            <w:r>
              <w:rPr>
                <w:rStyle w:val="IndexLink"/>
                <w:rtl w:val="true"/>
              </w:rPr>
              <w:t>»</w:t>
              <w:tab/>
            </w:r>
            <w:r>
              <w:rPr>
                <w:rStyle w:val="IndexLink"/>
              </w:rPr>
              <w:t>399</w:t>
            </w:r>
          </w:hyperlink>
        </w:p>
        <w:p>
          <w:pPr>
            <w:pStyle w:val="Contents3"/>
            <w:tabs>
              <w:tab w:val="clear" w:pos="8459"/>
              <w:tab w:val="right" w:pos="9026" w:leader="dot"/>
            </w:tabs>
            <w:rPr/>
          </w:pPr>
          <w:hyperlink w:anchor="__RefHeading___Toc1757301_653776707">
            <w:r>
              <w:rPr>
                <w:webHidden/>
                <w:rStyle w:val="IndexLink"/>
                <w:rtl w:val="true"/>
              </w:rPr>
              <w:t>الباب السّادس</w:t>
            </w:r>
            <w:r>
              <w:rPr>
                <w:rStyle w:val="IndexLink"/>
                <w:rtl w:val="true"/>
              </w:rPr>
              <w:t xml:space="preserve">: </w:t>
            </w:r>
            <w:r>
              <w:rPr>
                <w:rStyle w:val="IndexLink"/>
                <w:rtl w:val="true"/>
              </w:rPr>
              <w:t>الکلام فی البیان و المجمل</w:t>
            </w:r>
            <w:r>
              <w:rPr>
                <w:rStyle w:val="IndexLink"/>
                <w:rtl w:val="true"/>
              </w:rPr>
              <w:tab/>
            </w:r>
            <w:r>
              <w:rPr>
                <w:rStyle w:val="IndexLink"/>
              </w:rPr>
              <w:t>407</w:t>
            </w:r>
          </w:hyperlink>
        </w:p>
        <w:p>
          <w:pPr>
            <w:pStyle w:val="Contents4"/>
            <w:tabs>
              <w:tab w:val="clear" w:pos="8176"/>
              <w:tab w:val="right" w:pos="9026" w:leader="dot"/>
            </w:tabs>
            <w:rPr/>
          </w:pPr>
          <w:hyperlink w:anchor="__RefHeading___Toc1757303_653776707">
            <w:r>
              <w:rPr>
                <w:webHidden/>
                <w:rStyle w:val="IndexLink"/>
                <w:rtl w:val="true"/>
              </w:rPr>
              <w:t>اشارة</w:t>
            </w:r>
            <w:r>
              <w:rPr>
                <w:rStyle w:val="IndexLink"/>
                <w:rtl w:val="true"/>
              </w:rPr>
              <w:tab/>
            </w:r>
            <w:r>
              <w:rPr>
                <w:rStyle w:val="IndexLink"/>
              </w:rPr>
              <w:t>407</w:t>
            </w:r>
          </w:hyperlink>
        </w:p>
        <w:p>
          <w:pPr>
            <w:pStyle w:val="Contents4"/>
            <w:tabs>
              <w:tab w:val="clear" w:pos="8176"/>
              <w:tab w:val="right" w:pos="9026" w:leader="dot"/>
            </w:tabs>
            <w:rPr/>
          </w:pPr>
          <w:hyperlink w:anchor="__RefHeading___Toc1757305_653776707">
            <w:r>
              <w:rPr>
                <w:webHidden/>
                <w:rStyle w:val="IndexLink"/>
                <w:rtl w:val="true"/>
              </w:rPr>
              <w:t xml:space="preserve">فصل </w:t>
            </w:r>
            <w:r>
              <w:rPr>
                <w:rStyle w:val="IndexLink"/>
                <w:rtl w:val="true"/>
              </w:rPr>
              <w:t xml:space="preserve">- </w:t>
            </w:r>
            <w:r>
              <w:rPr>
                <w:rStyle w:val="IndexLink"/>
              </w:rPr>
              <w:t>1</w:t>
            </w:r>
            <w:r>
              <w:rPr>
                <w:rStyle w:val="IndexLink"/>
                <w:rtl w:val="true"/>
              </w:rPr>
              <w:t xml:space="preserve"> «</w:t>
            </w:r>
            <w:r>
              <w:rPr>
                <w:rStyle w:val="IndexLink"/>
                <w:rtl w:val="true"/>
              </w:rPr>
              <w:t>فی ذکر حقیقة البیان و المجمل، و ماهیّة النّص، و غیر ذلک</w:t>
            </w:r>
            <w:r>
              <w:rPr>
                <w:rStyle w:val="IndexLink"/>
                <w:rtl w:val="true"/>
              </w:rPr>
              <w:t>»</w:t>
              <w:tab/>
            </w:r>
            <w:r>
              <w:rPr>
                <w:rStyle w:val="IndexLink"/>
              </w:rPr>
              <w:t>409</w:t>
            </w:r>
          </w:hyperlink>
        </w:p>
        <w:p>
          <w:pPr>
            <w:pStyle w:val="Contents4"/>
            <w:tabs>
              <w:tab w:val="clear" w:pos="8176"/>
              <w:tab w:val="right" w:pos="9026" w:leader="dot"/>
            </w:tabs>
            <w:rPr/>
          </w:pPr>
          <w:hyperlink w:anchor="__RefHeading___Toc1757307_653776707">
            <w:r>
              <w:rPr>
                <w:webHidden/>
                <w:rStyle w:val="IndexLink"/>
                <w:rtl w:val="true"/>
              </w:rPr>
              <w:t xml:space="preserve">فصل </w:t>
            </w:r>
            <w:r>
              <w:rPr>
                <w:rStyle w:val="IndexLink"/>
                <w:rtl w:val="true"/>
              </w:rPr>
              <w:t xml:space="preserve">- </w:t>
            </w:r>
            <w:r>
              <w:rPr>
                <w:rStyle w:val="IndexLink"/>
              </w:rPr>
              <w:t>2</w:t>
            </w:r>
            <w:r>
              <w:rPr>
                <w:rStyle w:val="IndexLink"/>
                <w:rtl w:val="true"/>
              </w:rPr>
              <w:t xml:space="preserve"> «</w:t>
            </w:r>
            <w:r>
              <w:rPr>
                <w:rStyle w:val="IndexLink"/>
                <w:rtl w:val="true"/>
              </w:rPr>
              <w:t>فی ذکر جملة ما یحتاج إلی البیان و ما لا یحتاج</w:t>
            </w:r>
            <w:r>
              <w:rPr>
                <w:rStyle w:val="IndexLink"/>
                <w:rtl w:val="true"/>
              </w:rPr>
              <w:t>»</w:t>
              <w:tab/>
            </w:r>
            <w:r>
              <w:rPr>
                <w:rStyle w:val="IndexLink"/>
              </w:rPr>
              <w:t>415</w:t>
            </w:r>
          </w:hyperlink>
        </w:p>
        <w:p>
          <w:pPr>
            <w:pStyle w:val="Contents2"/>
            <w:tabs>
              <w:tab w:val="clear" w:pos="8743"/>
              <w:tab w:val="right" w:pos="9026" w:leader="dot"/>
            </w:tabs>
            <w:rPr/>
          </w:pPr>
          <w:hyperlink w:anchor="__RefHeading___Toc1757309_653776707">
            <w:r>
              <w:rPr>
                <w:webHidden/>
                <w:rStyle w:val="IndexLink"/>
                <w:rtl w:val="true"/>
              </w:rPr>
              <w:t xml:space="preserve">المجلد </w:t>
            </w:r>
            <w:r>
              <w:rPr>
                <w:rStyle w:val="IndexLink"/>
              </w:rPr>
              <w:t>2</w:t>
            </w:r>
            <w:r>
              <w:rPr>
                <w:rStyle w:val="IndexLink"/>
                <w:rtl w:val="true"/>
              </w:rPr>
              <w:tab/>
            </w:r>
            <w:r>
              <w:rPr>
                <w:rStyle w:val="IndexLink"/>
              </w:rPr>
              <w:t>422</w:t>
            </w:r>
          </w:hyperlink>
        </w:p>
        <w:p>
          <w:pPr>
            <w:pStyle w:val="Contents3"/>
            <w:tabs>
              <w:tab w:val="clear" w:pos="8459"/>
              <w:tab w:val="right" w:pos="9026" w:leader="dot"/>
            </w:tabs>
            <w:rPr/>
          </w:pPr>
          <w:hyperlink w:anchor="__RefHeading___Toc1757311_653776707">
            <w:r>
              <w:rPr>
                <w:webHidden/>
                <w:rStyle w:val="IndexLink"/>
                <w:rtl w:val="true"/>
              </w:rPr>
              <w:t>اشارة</w:t>
            </w:r>
            <w:r>
              <w:rPr>
                <w:rStyle w:val="IndexLink"/>
                <w:rtl w:val="true"/>
              </w:rPr>
              <w:tab/>
            </w:r>
            <w:r>
              <w:rPr>
                <w:rStyle w:val="IndexLink"/>
              </w:rPr>
              <w:t>422</w:t>
            </w:r>
          </w:hyperlink>
        </w:p>
        <w:p>
          <w:pPr>
            <w:pStyle w:val="Contents3"/>
            <w:tabs>
              <w:tab w:val="clear" w:pos="8459"/>
              <w:tab w:val="right" w:pos="9026" w:leader="dot"/>
            </w:tabs>
            <w:rPr/>
          </w:pPr>
          <w:hyperlink w:anchor="__RefHeading___Toc1757313_653776707">
            <w:r>
              <w:rPr>
                <w:webHidden/>
                <w:rStyle w:val="IndexLink"/>
                <w:rtl w:val="true"/>
              </w:rPr>
              <w:t>تتمة الباب السادس</w:t>
            </w:r>
            <w:r>
              <w:rPr>
                <w:rStyle w:val="IndexLink"/>
                <w:rtl w:val="true"/>
              </w:rPr>
              <w:t xml:space="preserve">: </w:t>
            </w:r>
            <w:r>
              <w:rPr>
                <w:rStyle w:val="IndexLink"/>
                <w:rtl w:val="true"/>
              </w:rPr>
              <w:t>الکلام فی البیان و الجمل</w:t>
            </w:r>
            <w:r>
              <w:rPr>
                <w:rStyle w:val="IndexLink"/>
                <w:rtl w:val="true"/>
              </w:rPr>
              <w:tab/>
            </w:r>
            <w:r>
              <w:rPr>
                <w:rStyle w:val="IndexLink"/>
              </w:rPr>
              <w:t>423</w:t>
            </w:r>
          </w:hyperlink>
        </w:p>
        <w:p>
          <w:pPr>
            <w:pStyle w:val="Contents4"/>
            <w:tabs>
              <w:tab w:val="clear" w:pos="8176"/>
              <w:tab w:val="right" w:pos="9026" w:leader="dot"/>
            </w:tabs>
            <w:rPr/>
          </w:pPr>
          <w:hyperlink w:anchor="__RefHeading___Toc1757315_653776707">
            <w:r>
              <w:rPr>
                <w:webHidden/>
                <w:rStyle w:val="IndexLink"/>
                <w:rtl w:val="true"/>
              </w:rPr>
              <w:t>فصل</w:t>
            </w:r>
            <w:r>
              <w:rPr>
                <w:rStyle w:val="IndexLink"/>
                <w:rtl w:val="true"/>
              </w:rPr>
              <w:t>-</w:t>
            </w:r>
            <w:r>
              <w:rPr>
                <w:rStyle w:val="IndexLink"/>
              </w:rPr>
              <w:t>3</w:t>
            </w:r>
            <w:r>
              <w:rPr>
                <w:rStyle w:val="IndexLink"/>
                <w:rtl w:val="true"/>
              </w:rPr>
              <w:t>: «</w:t>
            </w:r>
            <w:r>
              <w:rPr>
                <w:rStyle w:val="IndexLink"/>
                <w:rtl w:val="true"/>
              </w:rPr>
              <w:t>فی ذکر الوجوه الّتی تحتاج الأشیاء فیها إلی بیان،و ما به یقع البیان</w:t>
            </w:r>
            <w:r>
              <w:rPr>
                <w:rStyle w:val="IndexLink"/>
                <w:rtl w:val="true"/>
              </w:rPr>
              <w:t>»</w:t>
              <w:tab/>
            </w:r>
            <w:r>
              <w:rPr>
                <w:rStyle w:val="IndexLink"/>
              </w:rPr>
              <w:t>423</w:t>
            </w:r>
          </w:hyperlink>
        </w:p>
        <w:p>
          <w:pPr>
            <w:pStyle w:val="Contents4"/>
            <w:tabs>
              <w:tab w:val="clear" w:pos="8176"/>
              <w:tab w:val="right" w:pos="9026" w:leader="dot"/>
            </w:tabs>
            <w:rPr/>
          </w:pPr>
          <w:hyperlink w:anchor="__RefHeading___Toc1757317_653776707">
            <w:r>
              <w:rPr>
                <w:webHidden/>
                <w:rStyle w:val="IndexLink"/>
                <w:rtl w:val="true"/>
              </w:rPr>
              <w:t>فصل</w:t>
            </w:r>
            <w:r>
              <w:rPr>
                <w:rStyle w:val="IndexLink"/>
                <w:rtl w:val="true"/>
              </w:rPr>
              <w:t>-</w:t>
            </w:r>
            <w:r>
              <w:rPr>
                <w:rStyle w:val="IndexLink"/>
              </w:rPr>
              <w:t>4</w:t>
            </w:r>
            <w:r>
              <w:rPr>
                <w:rStyle w:val="IndexLink"/>
                <w:rtl w:val="true"/>
              </w:rPr>
              <w:t>: «</w:t>
            </w:r>
            <w:r>
              <w:rPr>
                <w:rStyle w:val="IndexLink"/>
                <w:rtl w:val="true"/>
              </w:rPr>
              <w:t>فی ذکر جملة ما یحتاج إلی بیان،و ما لا یحتاج من الأفعال</w:t>
            </w:r>
            <w:r>
              <w:rPr>
                <w:rStyle w:val="IndexLink"/>
                <w:rtl w:val="true"/>
              </w:rPr>
              <w:t>»</w:t>
              <w:tab/>
            </w:r>
            <w:r>
              <w:rPr>
                <w:rStyle w:val="IndexLink"/>
              </w:rPr>
              <w:t>427</w:t>
            </w:r>
          </w:hyperlink>
        </w:p>
        <w:p>
          <w:pPr>
            <w:pStyle w:val="Contents4"/>
            <w:tabs>
              <w:tab w:val="clear" w:pos="8176"/>
              <w:tab w:val="right" w:pos="9026" w:leader="dot"/>
            </w:tabs>
            <w:rPr/>
          </w:pPr>
          <w:hyperlink w:anchor="__RefHeading___Toc1757319_653776707">
            <w:r>
              <w:rPr>
                <w:webHidden/>
                <w:rStyle w:val="IndexLink"/>
                <w:rtl w:val="true"/>
              </w:rPr>
              <w:t>فصل</w:t>
            </w:r>
            <w:r>
              <w:rPr>
                <w:rStyle w:val="IndexLink"/>
                <w:rtl w:val="true"/>
              </w:rPr>
              <w:t>-</w:t>
            </w:r>
            <w:r>
              <w:rPr>
                <w:rStyle w:val="IndexLink"/>
              </w:rPr>
              <w:t>5</w:t>
            </w:r>
            <w:r>
              <w:rPr>
                <w:rStyle w:val="IndexLink"/>
                <w:rtl w:val="true"/>
              </w:rPr>
              <w:t>: «</w:t>
            </w:r>
            <w:r>
              <w:rPr>
                <w:rStyle w:val="IndexLink"/>
                <w:rtl w:val="true"/>
              </w:rPr>
              <w:t>فی أنّ تخصیص العموم لا یمنع من التّعلّق بظاهره</w:t>
            </w:r>
            <w:r>
              <w:rPr>
                <w:rStyle w:val="IndexLink"/>
                <w:rtl w:val="true"/>
              </w:rPr>
              <w:t>»</w:t>
              <w:tab/>
            </w:r>
            <w:r>
              <w:rPr>
                <w:rStyle w:val="IndexLink"/>
              </w:rPr>
              <w:t>430</w:t>
            </w:r>
          </w:hyperlink>
        </w:p>
        <w:p>
          <w:pPr>
            <w:pStyle w:val="Contents4"/>
            <w:tabs>
              <w:tab w:val="clear" w:pos="8176"/>
              <w:tab w:val="right" w:pos="9026" w:leader="dot"/>
            </w:tabs>
            <w:rPr/>
          </w:pPr>
          <w:hyperlink w:anchor="__RefHeading___Toc1757321_653776707">
            <w:r>
              <w:rPr>
                <w:webHidden/>
                <w:rStyle w:val="IndexLink"/>
                <w:rtl w:val="true"/>
              </w:rPr>
              <w:t>فصل</w:t>
            </w:r>
            <w:r>
              <w:rPr>
                <w:rStyle w:val="IndexLink"/>
                <w:rtl w:val="true"/>
              </w:rPr>
              <w:t>-</w:t>
            </w:r>
            <w:r>
              <w:rPr>
                <w:rStyle w:val="IndexLink"/>
              </w:rPr>
              <w:t>6</w:t>
            </w:r>
            <w:r>
              <w:rPr>
                <w:rStyle w:val="IndexLink"/>
                <w:rtl w:val="true"/>
              </w:rPr>
              <w:t>: «</w:t>
            </w:r>
            <w:r>
              <w:rPr>
                <w:rStyle w:val="IndexLink"/>
                <w:rtl w:val="true"/>
              </w:rPr>
              <w:t>فی ذکر وقوع البیان بالأفعال</w:t>
            </w:r>
            <w:r>
              <w:rPr>
                <w:rStyle w:val="IndexLink"/>
                <w:rtl w:val="true"/>
              </w:rPr>
              <w:t>»</w:t>
              <w:tab/>
            </w:r>
            <w:r>
              <w:rPr>
                <w:rStyle w:val="IndexLink"/>
              </w:rPr>
              <w:t>437</w:t>
            </w:r>
          </w:hyperlink>
        </w:p>
        <w:p>
          <w:pPr>
            <w:pStyle w:val="Contents4"/>
            <w:tabs>
              <w:tab w:val="clear" w:pos="8176"/>
              <w:tab w:val="right" w:pos="9026" w:leader="dot"/>
            </w:tabs>
            <w:rPr/>
          </w:pPr>
          <w:hyperlink w:anchor="__RefHeading___Toc1757323_653776707">
            <w:r>
              <w:rPr>
                <w:webHidden/>
                <w:rStyle w:val="IndexLink"/>
                <w:rtl w:val="true"/>
              </w:rPr>
              <w:t>فصل</w:t>
            </w:r>
            <w:r>
              <w:rPr>
                <w:rStyle w:val="IndexLink"/>
                <w:rtl w:val="true"/>
              </w:rPr>
              <w:t>-</w:t>
            </w:r>
            <w:r>
              <w:rPr>
                <w:rStyle w:val="IndexLink"/>
              </w:rPr>
              <w:t>7</w:t>
            </w:r>
            <w:r>
              <w:rPr>
                <w:rStyle w:val="IndexLink"/>
                <w:rtl w:val="true"/>
              </w:rPr>
              <w:t>: «</w:t>
            </w:r>
            <w:r>
              <w:rPr>
                <w:rStyle w:val="IndexLink"/>
                <w:rtl w:val="true"/>
              </w:rPr>
              <w:t>فی ما الحق بالمجمل و لیس منه،و ما أخرج منه و هو داخل فیه</w:t>
            </w:r>
            <w:r>
              <w:rPr>
                <w:rStyle w:val="IndexLink"/>
                <w:rtl w:val="true"/>
              </w:rPr>
              <w:t>»</w:t>
              <w:tab/>
            </w:r>
            <w:r>
              <w:rPr>
                <w:rStyle w:val="IndexLink"/>
              </w:rPr>
              <w:t>442</w:t>
            </w:r>
          </w:hyperlink>
        </w:p>
        <w:p>
          <w:pPr>
            <w:pStyle w:val="Contents4"/>
            <w:tabs>
              <w:tab w:val="clear" w:pos="8176"/>
              <w:tab w:val="right" w:pos="9026" w:leader="dot"/>
            </w:tabs>
            <w:rPr/>
          </w:pPr>
          <w:hyperlink w:anchor="__RefHeading___Toc1757325_653776707">
            <w:r>
              <w:rPr>
                <w:webHidden/>
                <w:rStyle w:val="IndexLink"/>
                <w:rtl w:val="true"/>
              </w:rPr>
              <w:t>فصل</w:t>
            </w:r>
            <w:r>
              <w:rPr>
                <w:rStyle w:val="IndexLink"/>
                <w:rtl w:val="true"/>
              </w:rPr>
              <w:t>-</w:t>
            </w:r>
            <w:r>
              <w:rPr>
                <w:rStyle w:val="IndexLink"/>
              </w:rPr>
              <w:t>8</w:t>
            </w:r>
            <w:r>
              <w:rPr>
                <w:rStyle w:val="IndexLink"/>
                <w:rtl w:val="true"/>
              </w:rPr>
              <w:t>: «</w:t>
            </w:r>
            <w:r>
              <w:rPr>
                <w:rStyle w:val="IndexLink"/>
                <w:rtl w:val="true"/>
              </w:rPr>
              <w:t>فی ذکر جواز تأخیر التّبلیغ ،و المنع من جواز تأخیر البیان عن وقت الحاجة</w:t>
            </w:r>
            <w:r>
              <w:rPr>
                <w:rStyle w:val="IndexLink"/>
                <w:rtl w:val="true"/>
              </w:rPr>
              <w:t>»</w:t>
              <w:tab/>
            </w:r>
            <w:r>
              <w:rPr>
                <w:rStyle w:val="IndexLink"/>
              </w:rPr>
              <w:t>453</w:t>
            </w:r>
          </w:hyperlink>
        </w:p>
        <w:p>
          <w:pPr>
            <w:pStyle w:val="Contents4"/>
            <w:tabs>
              <w:tab w:val="clear" w:pos="8176"/>
              <w:tab w:val="right" w:pos="9026" w:leader="dot"/>
            </w:tabs>
            <w:rPr/>
          </w:pPr>
          <w:hyperlink w:anchor="__RefHeading___Toc1757327_653776707">
            <w:r>
              <w:rPr>
                <w:webHidden/>
                <w:rStyle w:val="IndexLink"/>
                <w:rtl w:val="true"/>
              </w:rPr>
              <w:t>فصل</w:t>
            </w:r>
            <w:r>
              <w:rPr>
                <w:rStyle w:val="IndexLink"/>
                <w:rtl w:val="true"/>
              </w:rPr>
              <w:t>-</w:t>
            </w:r>
            <w:r>
              <w:rPr>
                <w:rStyle w:val="IndexLink"/>
              </w:rPr>
              <w:t>9</w:t>
            </w:r>
            <w:r>
              <w:rPr>
                <w:rStyle w:val="IndexLink"/>
                <w:rtl w:val="true"/>
              </w:rPr>
              <w:t>: «</w:t>
            </w:r>
            <w:r>
              <w:rPr>
                <w:rStyle w:val="IndexLink"/>
                <w:rtl w:val="true"/>
              </w:rPr>
              <w:t>فی ذکر جواز تأخیر البیان عن وقت الخطاب،و ذکر الخلاف فیه</w:t>
            </w:r>
            <w:r>
              <w:rPr>
                <w:rStyle w:val="IndexLink"/>
                <w:rtl w:val="true"/>
              </w:rPr>
              <w:t>»</w:t>
              <w:tab/>
            </w:r>
            <w:r>
              <w:rPr>
                <w:rStyle w:val="IndexLink"/>
              </w:rPr>
              <w:t>455</w:t>
            </w:r>
          </w:hyperlink>
        </w:p>
        <w:p>
          <w:pPr>
            <w:pStyle w:val="Contents4"/>
            <w:tabs>
              <w:tab w:val="clear" w:pos="8176"/>
              <w:tab w:val="right" w:pos="9026" w:leader="dot"/>
            </w:tabs>
            <w:rPr/>
          </w:pPr>
          <w:hyperlink w:anchor="__RefHeading___Toc1757329_653776707">
            <w:r>
              <w:rPr>
                <w:webHidden/>
                <w:rStyle w:val="IndexLink"/>
                <w:rtl w:val="true"/>
              </w:rPr>
              <w:t>فصل</w:t>
            </w:r>
            <w:r>
              <w:rPr>
                <w:rStyle w:val="IndexLink"/>
                <w:rtl w:val="true"/>
              </w:rPr>
              <w:t>-</w:t>
            </w:r>
            <w:r>
              <w:rPr>
                <w:rStyle w:val="IndexLink"/>
              </w:rPr>
              <w:t>10</w:t>
            </w:r>
            <w:r>
              <w:rPr>
                <w:rStyle w:val="IndexLink"/>
                <w:rtl w:val="true"/>
              </w:rPr>
              <w:t>:«</w:t>
            </w:r>
            <w:r>
              <w:rPr>
                <w:rStyle w:val="IndexLink"/>
                <w:rtl w:val="true"/>
              </w:rPr>
              <w:t>فی أنّ المخاطب بالعامّ هل یجوز أن یسمعه و إن لم یسمع الخاصّ،أو لا یجوز؟</w:t>
            </w:r>
            <w:r>
              <w:rPr>
                <w:rStyle w:val="IndexLink"/>
                <w:rtl w:val="true"/>
              </w:rPr>
              <w:t>»</w:t>
              <w:tab/>
            </w:r>
            <w:r>
              <w:rPr>
                <w:rStyle w:val="IndexLink"/>
              </w:rPr>
              <w:t>471</w:t>
            </w:r>
          </w:hyperlink>
        </w:p>
        <w:p>
          <w:pPr>
            <w:pStyle w:val="Contents4"/>
            <w:tabs>
              <w:tab w:val="clear" w:pos="8176"/>
              <w:tab w:val="right" w:pos="9026" w:leader="dot"/>
            </w:tabs>
            <w:rPr/>
          </w:pPr>
          <w:hyperlink w:anchor="__RefHeading___Toc1757331_653776707">
            <w:r>
              <w:rPr>
                <w:webHidden/>
                <w:rStyle w:val="IndexLink"/>
                <w:rtl w:val="true"/>
              </w:rPr>
              <w:t>فصل</w:t>
            </w:r>
            <w:r>
              <w:rPr>
                <w:rStyle w:val="IndexLink"/>
                <w:rtl w:val="true"/>
              </w:rPr>
              <w:t>-</w:t>
            </w:r>
            <w:r>
              <w:rPr>
                <w:rStyle w:val="IndexLink"/>
              </w:rPr>
              <w:t>11</w:t>
            </w:r>
            <w:r>
              <w:rPr>
                <w:rStyle w:val="IndexLink"/>
                <w:rtl w:val="true"/>
              </w:rPr>
              <w:t>:«</w:t>
            </w:r>
            <w:r>
              <w:rPr>
                <w:rStyle w:val="IndexLink"/>
                <w:rtl w:val="true"/>
              </w:rPr>
              <w:t>فی القول فی دلیل الخطاب،و اختلاف النّاس فیه</w:t>
            </w:r>
            <w:r>
              <w:rPr>
                <w:rStyle w:val="IndexLink"/>
                <w:rtl w:val="true"/>
              </w:rPr>
              <w:t>»</w:t>
              <w:tab/>
            </w:r>
            <w:r>
              <w:rPr>
                <w:rStyle w:val="IndexLink"/>
              </w:rPr>
              <w:t>473</w:t>
            </w:r>
          </w:hyperlink>
        </w:p>
        <w:p>
          <w:pPr>
            <w:pStyle w:val="Contents3"/>
            <w:tabs>
              <w:tab w:val="clear" w:pos="8459"/>
              <w:tab w:val="right" w:pos="9026" w:leader="dot"/>
            </w:tabs>
            <w:rPr/>
          </w:pPr>
          <w:hyperlink w:anchor="__RefHeading___Toc1757333_653776707">
            <w:r>
              <w:rPr>
                <w:webHidden/>
                <w:rStyle w:val="IndexLink"/>
                <w:rtl w:val="true"/>
              </w:rPr>
              <w:t>الباب السّابع</w:t>
            </w:r>
            <w:r>
              <w:rPr>
                <w:rStyle w:val="IndexLink"/>
                <w:rtl w:val="true"/>
              </w:rPr>
              <w:t xml:space="preserve">: </w:t>
            </w:r>
            <w:r>
              <w:rPr>
                <w:rStyle w:val="IndexLink"/>
                <w:rtl w:val="true"/>
              </w:rPr>
              <w:t>الکلام فی الناسخ و المنسوخ</w:t>
            </w:r>
            <w:r>
              <w:rPr>
                <w:rStyle w:val="IndexLink"/>
                <w:rtl w:val="true"/>
              </w:rPr>
              <w:tab/>
            </w:r>
            <w:r>
              <w:rPr>
                <w:rStyle w:val="IndexLink"/>
              </w:rPr>
              <w:t>489</w:t>
            </w:r>
          </w:hyperlink>
        </w:p>
        <w:p>
          <w:pPr>
            <w:pStyle w:val="Contents4"/>
            <w:tabs>
              <w:tab w:val="clear" w:pos="8176"/>
              <w:tab w:val="right" w:pos="9026" w:leader="dot"/>
            </w:tabs>
            <w:rPr/>
          </w:pPr>
          <w:hyperlink w:anchor="__RefHeading___Toc1757335_653776707">
            <w:r>
              <w:rPr>
                <w:webHidden/>
                <w:rStyle w:val="IndexLink"/>
                <w:rtl w:val="true"/>
              </w:rPr>
              <w:t>اشارة</w:t>
            </w:r>
            <w:r>
              <w:rPr>
                <w:rStyle w:val="IndexLink"/>
                <w:rtl w:val="true"/>
              </w:rPr>
              <w:tab/>
            </w:r>
            <w:r>
              <w:rPr>
                <w:rStyle w:val="IndexLink"/>
              </w:rPr>
              <w:t>489</w:t>
            </w:r>
          </w:hyperlink>
        </w:p>
        <w:p>
          <w:pPr>
            <w:pStyle w:val="Contents4"/>
            <w:tabs>
              <w:tab w:val="clear" w:pos="8176"/>
              <w:tab w:val="right" w:pos="9026" w:leader="dot"/>
            </w:tabs>
            <w:rPr/>
          </w:pPr>
          <w:hyperlink w:anchor="__RefHeading___Toc1757337_653776707">
            <w:r>
              <w:rPr>
                <w:webHidden/>
                <w:rStyle w:val="IndexLink"/>
                <w:rtl w:val="true"/>
              </w:rPr>
              <w:t>فصل</w:t>
            </w:r>
            <w:r>
              <w:rPr>
                <w:rStyle w:val="IndexLink"/>
                <w:rtl w:val="true"/>
              </w:rPr>
              <w:t>-</w:t>
            </w:r>
            <w:r>
              <w:rPr>
                <w:rStyle w:val="IndexLink"/>
              </w:rPr>
              <w:t>1</w:t>
            </w:r>
            <w:r>
              <w:rPr>
                <w:rStyle w:val="IndexLink"/>
                <w:rtl w:val="true"/>
              </w:rPr>
              <w:t>:«</w:t>
            </w:r>
            <w:r>
              <w:rPr>
                <w:rStyle w:val="IndexLink"/>
                <w:rtl w:val="true"/>
              </w:rPr>
              <w:t>فی ذکر حقیقة النّسخ،و بیان شرائطه،و الفصل بینه و بین البداء</w:t>
            </w:r>
            <w:r>
              <w:rPr>
                <w:rStyle w:val="IndexLink"/>
                <w:rtl w:val="true"/>
              </w:rPr>
              <w:t>»</w:t>
              <w:tab/>
            </w:r>
            <w:r>
              <w:rPr>
                <w:rStyle w:val="IndexLink"/>
              </w:rPr>
              <w:t>491</w:t>
            </w:r>
          </w:hyperlink>
        </w:p>
        <w:p>
          <w:pPr>
            <w:pStyle w:val="Contents4"/>
            <w:tabs>
              <w:tab w:val="clear" w:pos="8176"/>
              <w:tab w:val="right" w:pos="9026" w:leader="dot"/>
            </w:tabs>
            <w:rPr/>
          </w:pPr>
          <w:hyperlink w:anchor="__RefHeading___Toc1757339_653776707">
            <w:r>
              <w:rPr>
                <w:webHidden/>
                <w:rStyle w:val="IndexLink"/>
                <w:rtl w:val="true"/>
              </w:rPr>
              <w:t>فصل</w:t>
            </w:r>
            <w:r>
              <w:rPr>
                <w:rStyle w:val="IndexLink"/>
                <w:rtl w:val="true"/>
              </w:rPr>
              <w:t>-</w:t>
            </w:r>
            <w:r>
              <w:rPr>
                <w:rStyle w:val="IndexLink"/>
              </w:rPr>
              <w:t>2</w:t>
            </w:r>
            <w:r>
              <w:rPr>
                <w:rStyle w:val="IndexLink"/>
                <w:rtl w:val="true"/>
              </w:rPr>
              <w:t>: «</w:t>
            </w:r>
            <w:r>
              <w:rPr>
                <w:rStyle w:val="IndexLink"/>
                <w:rtl w:val="true"/>
              </w:rPr>
              <w:t>فی ذکر ما یصحّ النّسخ فیه من أفعال المکلّف، و ما لا یصحّ،و بیان شرائطه</w:t>
            </w:r>
            <w:r>
              <w:rPr>
                <w:rStyle w:val="IndexLink"/>
                <w:rtl w:val="true"/>
              </w:rPr>
              <w:t>»</w:t>
              <w:tab/>
            </w:r>
            <w:r>
              <w:rPr>
                <w:rStyle w:val="IndexLink"/>
              </w:rPr>
              <w:t>505</w:t>
            </w:r>
          </w:hyperlink>
        </w:p>
        <w:p>
          <w:pPr>
            <w:pStyle w:val="Contents4"/>
            <w:tabs>
              <w:tab w:val="clear" w:pos="8176"/>
              <w:tab w:val="right" w:pos="9026" w:leader="dot"/>
            </w:tabs>
            <w:rPr/>
          </w:pPr>
          <w:hyperlink w:anchor="__RefHeading___Toc1757341_653776707">
            <w:r>
              <w:rPr>
                <w:webHidden/>
                <w:rStyle w:val="IndexLink"/>
                <w:rtl w:val="true"/>
              </w:rPr>
              <w:t>فصل</w:t>
            </w:r>
            <w:r>
              <w:rPr>
                <w:rStyle w:val="IndexLink"/>
                <w:rtl w:val="true"/>
              </w:rPr>
              <w:t>-</w:t>
            </w:r>
            <w:r>
              <w:rPr>
                <w:rStyle w:val="IndexLink"/>
              </w:rPr>
              <w:t>3</w:t>
            </w:r>
            <w:r>
              <w:rPr>
                <w:rStyle w:val="IndexLink"/>
                <w:rtl w:val="true"/>
              </w:rPr>
              <w:t>: «</w:t>
            </w:r>
            <w:r>
              <w:rPr>
                <w:rStyle w:val="IndexLink"/>
                <w:rtl w:val="true"/>
              </w:rPr>
              <w:t>فی ذکر جواز نسخ الشّرعیّات</w:t>
            </w:r>
            <w:r>
              <w:rPr>
                <w:rStyle w:val="IndexLink"/>
                <w:rtl w:val="true"/>
              </w:rPr>
              <w:t>»</w:t>
              <w:tab/>
            </w:r>
            <w:r>
              <w:rPr>
                <w:rStyle w:val="IndexLink"/>
              </w:rPr>
              <w:t>512</w:t>
            </w:r>
          </w:hyperlink>
        </w:p>
        <w:p>
          <w:pPr>
            <w:pStyle w:val="Contents4"/>
            <w:tabs>
              <w:tab w:val="clear" w:pos="8176"/>
              <w:tab w:val="right" w:pos="9026" w:leader="dot"/>
            </w:tabs>
            <w:rPr/>
          </w:pPr>
          <w:hyperlink w:anchor="__RefHeading___Toc1757343_653776707">
            <w:r>
              <w:rPr>
                <w:webHidden/>
                <w:rStyle w:val="IndexLink"/>
                <w:rtl w:val="true"/>
              </w:rPr>
              <w:t>فصل</w:t>
            </w:r>
            <w:r>
              <w:rPr>
                <w:rStyle w:val="IndexLink"/>
                <w:rtl w:val="true"/>
              </w:rPr>
              <w:t>-</w:t>
            </w:r>
            <w:r>
              <w:rPr>
                <w:rStyle w:val="IndexLink"/>
              </w:rPr>
              <w:t>4</w:t>
            </w:r>
            <w:r>
              <w:rPr>
                <w:rStyle w:val="IndexLink"/>
                <w:rtl w:val="true"/>
              </w:rPr>
              <w:t xml:space="preserve">: </w:t>
            </w:r>
            <w:r>
              <w:rPr>
                <w:rStyle w:val="IndexLink"/>
                <w:rtl w:val="true"/>
              </w:rPr>
              <w:t>فی ذکر جواز نسخ الحکم دون التّلاوة، و نسخ التّلاوة دون الحکم</w:t>
            </w:r>
            <w:r>
              <w:rPr>
                <w:rStyle w:val="IndexLink"/>
                <w:rtl w:val="true"/>
              </w:rPr>
              <w:tab/>
            </w:r>
            <w:r>
              <w:rPr>
                <w:rStyle w:val="IndexLink"/>
              </w:rPr>
              <w:t>520</w:t>
            </w:r>
          </w:hyperlink>
        </w:p>
        <w:p>
          <w:pPr>
            <w:pStyle w:val="Contents4"/>
            <w:tabs>
              <w:tab w:val="clear" w:pos="8176"/>
              <w:tab w:val="right" w:pos="9026" w:leader="dot"/>
            </w:tabs>
            <w:rPr/>
          </w:pPr>
          <w:hyperlink w:anchor="__RefHeading___Toc1757345_653776707">
            <w:r>
              <w:rPr>
                <w:webHidden/>
                <w:rStyle w:val="IndexLink"/>
                <w:rtl w:val="true"/>
              </w:rPr>
              <w:t>فصل</w:t>
            </w:r>
            <w:r>
              <w:rPr>
                <w:rStyle w:val="IndexLink"/>
                <w:rtl w:val="true"/>
              </w:rPr>
              <w:t>-</w:t>
            </w:r>
            <w:r>
              <w:rPr>
                <w:rStyle w:val="IndexLink"/>
              </w:rPr>
              <w:t>5</w:t>
            </w:r>
            <w:r>
              <w:rPr>
                <w:rStyle w:val="IndexLink"/>
                <w:rtl w:val="true"/>
              </w:rPr>
              <w:t>: «</w:t>
            </w:r>
            <w:r>
              <w:rPr>
                <w:rStyle w:val="IndexLink"/>
                <w:rtl w:val="true"/>
              </w:rPr>
              <w:t>فی نسخ الشّیء قبل وقت فعله،ما حکمه؟</w:t>
            </w:r>
            <w:r>
              <w:rPr>
                <w:rStyle w:val="IndexLink"/>
                <w:rtl w:val="true"/>
              </w:rPr>
              <w:t>»</w:t>
              <w:tab/>
            </w:r>
            <w:r>
              <w:rPr>
                <w:rStyle w:val="IndexLink"/>
              </w:rPr>
              <w:t>524</w:t>
            </w:r>
          </w:hyperlink>
        </w:p>
        <w:p>
          <w:pPr>
            <w:pStyle w:val="Contents4"/>
            <w:tabs>
              <w:tab w:val="clear" w:pos="8176"/>
              <w:tab w:val="right" w:pos="9026" w:leader="dot"/>
            </w:tabs>
            <w:rPr/>
          </w:pPr>
          <w:hyperlink w:anchor="__RefHeading___Toc1757347_653776707">
            <w:r>
              <w:rPr>
                <w:webHidden/>
                <w:rStyle w:val="IndexLink"/>
                <w:rtl w:val="true"/>
              </w:rPr>
              <w:t>فصل</w:t>
            </w:r>
            <w:r>
              <w:rPr>
                <w:rStyle w:val="IndexLink"/>
                <w:rtl w:val="true"/>
              </w:rPr>
              <w:t>-</w:t>
            </w:r>
            <w:r>
              <w:rPr>
                <w:rStyle w:val="IndexLink"/>
              </w:rPr>
              <w:t>6</w:t>
            </w:r>
            <w:r>
              <w:rPr>
                <w:rStyle w:val="IndexLink"/>
                <w:rtl w:val="true"/>
              </w:rPr>
              <w:t>: «</w:t>
            </w:r>
            <w:r>
              <w:rPr>
                <w:rStyle w:val="IndexLink"/>
                <w:rtl w:val="true"/>
              </w:rPr>
              <w:t>فی أنّ الزّیادة فی النّص هل یکون نسخا أو لا؟</w:t>
            </w:r>
            <w:r>
              <w:rPr>
                <w:rStyle w:val="IndexLink"/>
                <w:rtl w:val="true"/>
              </w:rPr>
              <w:t>»</w:t>
              <w:tab/>
            </w:r>
            <w:r>
              <w:rPr>
                <w:rStyle w:val="IndexLink"/>
              </w:rPr>
              <w:t>533</w:t>
            </w:r>
          </w:hyperlink>
        </w:p>
        <w:p>
          <w:pPr>
            <w:pStyle w:val="Contents4"/>
            <w:tabs>
              <w:tab w:val="clear" w:pos="8176"/>
              <w:tab w:val="right" w:pos="9026" w:leader="dot"/>
            </w:tabs>
            <w:rPr/>
          </w:pPr>
          <w:hyperlink w:anchor="__RefHeading___Toc1757349_653776707">
            <w:r>
              <w:rPr>
                <w:webHidden/>
                <w:rStyle w:val="IndexLink"/>
                <w:rtl w:val="true"/>
              </w:rPr>
              <w:t>فصل</w:t>
            </w:r>
            <w:r>
              <w:rPr>
                <w:rStyle w:val="IndexLink"/>
                <w:rtl w:val="true"/>
              </w:rPr>
              <w:t>-</w:t>
            </w:r>
            <w:r>
              <w:rPr>
                <w:rStyle w:val="IndexLink"/>
              </w:rPr>
              <w:t>7</w:t>
            </w:r>
            <w:r>
              <w:rPr>
                <w:rStyle w:val="IndexLink"/>
                <w:rtl w:val="true"/>
              </w:rPr>
              <w:t>: «</w:t>
            </w:r>
            <w:r>
              <w:rPr>
                <w:rStyle w:val="IndexLink"/>
                <w:rtl w:val="true"/>
              </w:rPr>
              <w:t>فی أنّ النّقصان من النّص هل هو نسخ أم لا؟و الخلاف فیه</w:t>
            </w:r>
            <w:r>
              <w:rPr>
                <w:rStyle w:val="IndexLink"/>
                <w:rtl w:val="true"/>
              </w:rPr>
              <w:t>»</w:t>
              <w:tab/>
            </w:r>
            <w:r>
              <w:rPr>
                <w:rStyle w:val="IndexLink"/>
              </w:rPr>
              <w:t>540</w:t>
            </w:r>
          </w:hyperlink>
        </w:p>
        <w:p>
          <w:pPr>
            <w:pStyle w:val="Contents4"/>
            <w:tabs>
              <w:tab w:val="clear" w:pos="8176"/>
              <w:tab w:val="right" w:pos="9026" w:leader="dot"/>
            </w:tabs>
            <w:rPr/>
          </w:pPr>
          <w:hyperlink w:anchor="__RefHeading___Toc1757351_653776707">
            <w:r>
              <w:rPr>
                <w:webHidden/>
                <w:rStyle w:val="IndexLink"/>
                <w:rtl w:val="true"/>
              </w:rPr>
              <w:t>فصل</w:t>
            </w:r>
            <w:r>
              <w:rPr>
                <w:rStyle w:val="IndexLink"/>
                <w:rtl w:val="true"/>
              </w:rPr>
              <w:t>-</w:t>
            </w:r>
            <w:r>
              <w:rPr>
                <w:rStyle w:val="IndexLink"/>
              </w:rPr>
              <w:t>8</w:t>
            </w:r>
            <w:r>
              <w:rPr>
                <w:rStyle w:val="IndexLink"/>
                <w:rtl w:val="true"/>
              </w:rPr>
              <w:t>: «</w:t>
            </w:r>
            <w:r>
              <w:rPr>
                <w:rStyle w:val="IndexLink"/>
                <w:rtl w:val="true"/>
              </w:rPr>
              <w:t>فی نسخ الکتاب بالکتاب،و السّنّة بالسّنّة، و نسخ الإجماع و القیاس،و تجویز القول بهما</w:t>
            </w:r>
            <w:r>
              <w:rPr>
                <w:rStyle w:val="IndexLink"/>
                <w:rtl w:val="true"/>
              </w:rPr>
              <w:t>»</w:t>
              <w:tab/>
            </w:r>
            <w:r>
              <w:rPr>
                <w:rStyle w:val="IndexLink"/>
              </w:rPr>
              <w:t>543</w:t>
            </w:r>
          </w:hyperlink>
        </w:p>
        <w:p>
          <w:pPr>
            <w:pStyle w:val="Contents4"/>
            <w:tabs>
              <w:tab w:val="clear" w:pos="8176"/>
              <w:tab w:val="right" w:pos="9026" w:leader="dot"/>
            </w:tabs>
            <w:rPr/>
          </w:pPr>
          <w:hyperlink w:anchor="__RefHeading___Toc1757353_653776707">
            <w:r>
              <w:rPr>
                <w:webHidden/>
                <w:rStyle w:val="IndexLink"/>
                <w:rtl w:val="true"/>
              </w:rPr>
              <w:t>فصل</w:t>
            </w:r>
            <w:r>
              <w:rPr>
                <w:rStyle w:val="IndexLink"/>
                <w:rtl w:val="true"/>
              </w:rPr>
              <w:t>-</w:t>
            </w:r>
            <w:r>
              <w:rPr>
                <w:rStyle w:val="IndexLink"/>
              </w:rPr>
              <w:t>9</w:t>
            </w:r>
            <w:r>
              <w:rPr>
                <w:rStyle w:val="IndexLink"/>
                <w:rtl w:val="true"/>
              </w:rPr>
              <w:t>: «</w:t>
            </w:r>
            <w:r>
              <w:rPr>
                <w:rStyle w:val="IndexLink"/>
                <w:rtl w:val="true"/>
              </w:rPr>
              <w:t>فی ذکر نسخ القرآن بالسّنّة،و السّنّة بالقرآن</w:t>
            </w:r>
            <w:r>
              <w:rPr>
                <w:rStyle w:val="IndexLink"/>
                <w:rtl w:val="true"/>
              </w:rPr>
              <w:t>»</w:t>
              <w:tab/>
            </w:r>
            <w:r>
              <w:rPr>
                <w:rStyle w:val="IndexLink"/>
              </w:rPr>
              <w:t>549</w:t>
            </w:r>
          </w:hyperlink>
        </w:p>
        <w:p>
          <w:pPr>
            <w:pStyle w:val="Contents4"/>
            <w:tabs>
              <w:tab w:val="clear" w:pos="8176"/>
              <w:tab w:val="right" w:pos="9026" w:leader="dot"/>
            </w:tabs>
            <w:rPr/>
          </w:pPr>
          <w:hyperlink w:anchor="__RefHeading___Toc1757355_653776707">
            <w:r>
              <w:rPr>
                <w:webHidden/>
                <w:rStyle w:val="IndexLink"/>
                <w:rtl w:val="true"/>
              </w:rPr>
              <w:t>فصل</w:t>
            </w:r>
            <w:r>
              <w:rPr>
                <w:rStyle w:val="IndexLink"/>
                <w:rtl w:val="true"/>
              </w:rPr>
              <w:t>-</w:t>
            </w:r>
            <w:r>
              <w:rPr>
                <w:rStyle w:val="IndexLink"/>
              </w:rPr>
              <w:t>10</w:t>
            </w:r>
            <w:r>
              <w:rPr>
                <w:rStyle w:val="IndexLink"/>
                <w:rtl w:val="true"/>
              </w:rPr>
              <w:t>:</w:t>
            </w:r>
            <w:r>
              <w:rPr>
                <w:rStyle w:val="IndexLink"/>
                <w:rtl w:val="true"/>
              </w:rPr>
              <w:t>فی ذکر الطّریق الّذی یعرف به النّاسخ و المنسوخ،و معرفة تاریخهما</w:t>
            </w:r>
            <w:r>
              <w:rPr>
                <w:rStyle w:val="IndexLink"/>
                <w:rtl w:val="true"/>
              </w:rPr>
              <w:t>»</w:t>
              <w:tab/>
            </w:r>
            <w:r>
              <w:rPr>
                <w:rStyle w:val="IndexLink"/>
              </w:rPr>
              <w:t>560</w:t>
            </w:r>
          </w:hyperlink>
        </w:p>
        <w:p>
          <w:pPr>
            <w:pStyle w:val="Contents3"/>
            <w:tabs>
              <w:tab w:val="clear" w:pos="8459"/>
              <w:tab w:val="right" w:pos="9026" w:leader="dot"/>
            </w:tabs>
            <w:rPr/>
          </w:pPr>
          <w:hyperlink w:anchor="__RefHeading___Toc1757357_653776707">
            <w:r>
              <w:rPr>
                <w:webHidden/>
                <w:rStyle w:val="IndexLink"/>
                <w:rtl w:val="true"/>
              </w:rPr>
              <w:t>الباب الثّامن</w:t>
            </w:r>
            <w:r>
              <w:rPr>
                <w:rStyle w:val="IndexLink"/>
                <w:rtl w:val="true"/>
              </w:rPr>
              <w:t xml:space="preserve">: </w:t>
            </w:r>
            <w:r>
              <w:rPr>
                <w:rStyle w:val="IndexLink"/>
                <w:rtl w:val="true"/>
              </w:rPr>
              <w:t>الکلام فی الأفعال</w:t>
            </w:r>
            <w:r>
              <w:rPr>
                <w:rStyle w:val="IndexLink"/>
                <w:rtl w:val="true"/>
              </w:rPr>
              <w:tab/>
            </w:r>
            <w:r>
              <w:rPr>
                <w:rStyle w:val="IndexLink"/>
              </w:rPr>
              <w:t>567</w:t>
            </w:r>
          </w:hyperlink>
        </w:p>
        <w:p>
          <w:pPr>
            <w:pStyle w:val="Contents4"/>
            <w:tabs>
              <w:tab w:val="clear" w:pos="8176"/>
              <w:tab w:val="right" w:pos="9026" w:leader="dot"/>
            </w:tabs>
            <w:rPr/>
          </w:pPr>
          <w:hyperlink w:anchor="__RefHeading___Toc1757359_653776707">
            <w:r>
              <w:rPr>
                <w:webHidden/>
                <w:rStyle w:val="IndexLink"/>
                <w:rtl w:val="true"/>
              </w:rPr>
              <w:t>اشارة</w:t>
            </w:r>
            <w:r>
              <w:rPr>
                <w:rStyle w:val="IndexLink"/>
                <w:rtl w:val="true"/>
              </w:rPr>
              <w:tab/>
            </w:r>
            <w:r>
              <w:rPr>
                <w:rStyle w:val="IndexLink"/>
              </w:rPr>
              <w:t>567</w:t>
            </w:r>
          </w:hyperlink>
        </w:p>
        <w:p>
          <w:pPr>
            <w:pStyle w:val="Contents4"/>
            <w:tabs>
              <w:tab w:val="clear" w:pos="8176"/>
              <w:tab w:val="right" w:pos="9026" w:leader="dot"/>
            </w:tabs>
            <w:rPr/>
          </w:pPr>
          <w:hyperlink w:anchor="__RefHeading___Toc1757361_653776707">
            <w:r>
              <w:rPr>
                <w:webHidden/>
                <w:rStyle w:val="IndexLink"/>
                <w:rtl w:val="true"/>
              </w:rPr>
              <w:t>فصل</w:t>
            </w:r>
            <w:r>
              <w:rPr>
                <w:rStyle w:val="IndexLink"/>
                <w:rtl w:val="true"/>
              </w:rPr>
              <w:t>-</w:t>
            </w:r>
            <w:r>
              <w:rPr>
                <w:rStyle w:val="IndexLink"/>
              </w:rPr>
              <w:t>1</w:t>
            </w:r>
            <w:r>
              <w:rPr>
                <w:rStyle w:val="IndexLink"/>
                <w:rtl w:val="true"/>
              </w:rPr>
              <w:t xml:space="preserve">: </w:t>
            </w:r>
            <w:r>
              <w:rPr>
                <w:rStyle w:val="IndexLink"/>
                <w:rtl w:val="true"/>
              </w:rPr>
              <w:t>فی ذکر جملة من أحکام الأفعال، و ما یضاف إلیه،و اختلاف أحوالهم</w:t>
            </w:r>
            <w:r>
              <w:rPr>
                <w:rStyle w:val="IndexLink"/>
                <w:rtl w:val="true"/>
              </w:rPr>
              <w:t>»</w:t>
              <w:tab/>
            </w:r>
            <w:r>
              <w:rPr>
                <w:rStyle w:val="IndexLink"/>
              </w:rPr>
              <w:t>569</w:t>
            </w:r>
          </w:hyperlink>
        </w:p>
        <w:p>
          <w:pPr>
            <w:pStyle w:val="Contents4"/>
            <w:tabs>
              <w:tab w:val="clear" w:pos="8176"/>
              <w:tab w:val="right" w:pos="9026" w:leader="dot"/>
            </w:tabs>
            <w:rPr/>
          </w:pPr>
          <w:hyperlink w:anchor="__RefHeading___Toc1757363_653776707">
            <w:r>
              <w:rPr>
                <w:webHidden/>
                <w:rStyle w:val="IndexLink"/>
                <w:rtl w:val="true"/>
              </w:rPr>
              <w:t>فصل</w:t>
            </w:r>
            <w:r>
              <w:rPr>
                <w:rStyle w:val="IndexLink"/>
                <w:rtl w:val="true"/>
              </w:rPr>
              <w:t>-</w:t>
            </w:r>
            <w:r>
              <w:rPr>
                <w:rStyle w:val="IndexLink"/>
              </w:rPr>
              <w:t>2</w:t>
            </w:r>
            <w:r>
              <w:rPr>
                <w:rStyle w:val="IndexLink"/>
                <w:rtl w:val="true"/>
              </w:rPr>
              <w:t>: «</w:t>
            </w:r>
            <w:r>
              <w:rPr>
                <w:rStyle w:val="IndexLink"/>
                <w:rtl w:val="true"/>
              </w:rPr>
              <w:t>فی ذکر معنی التأسّی بالنّبیّ صلّی اللّه علیه و آله، و هل یجب اتّباعه عقلا أو سمعا؟و القول فیه</w:t>
            </w:r>
            <w:r>
              <w:rPr>
                <w:rStyle w:val="IndexLink"/>
                <w:rtl w:val="true"/>
              </w:rPr>
              <w:t>»</w:t>
              <w:tab/>
            </w:r>
            <w:r>
              <w:rPr>
                <w:rStyle w:val="IndexLink"/>
              </w:rPr>
              <w:t>575</w:t>
            </w:r>
          </w:hyperlink>
        </w:p>
        <w:p>
          <w:pPr>
            <w:pStyle w:val="Contents4"/>
            <w:tabs>
              <w:tab w:val="clear" w:pos="8176"/>
              <w:tab w:val="right" w:pos="9026" w:leader="dot"/>
            </w:tabs>
            <w:rPr/>
          </w:pPr>
          <w:hyperlink w:anchor="__RefHeading___Toc1757365_653776707">
            <w:r>
              <w:rPr>
                <w:webHidden/>
                <w:rStyle w:val="IndexLink"/>
                <w:rtl w:val="true"/>
              </w:rPr>
              <w:t>فصل</w:t>
            </w:r>
            <w:r>
              <w:rPr>
                <w:rStyle w:val="IndexLink"/>
                <w:rtl w:val="true"/>
              </w:rPr>
              <w:t>-</w:t>
            </w:r>
            <w:r>
              <w:rPr>
                <w:rStyle w:val="IndexLink"/>
              </w:rPr>
              <w:t>3</w:t>
            </w:r>
            <w:r>
              <w:rPr>
                <w:rStyle w:val="IndexLink"/>
                <w:rtl w:val="true"/>
              </w:rPr>
              <w:t>: «</w:t>
            </w:r>
            <w:r>
              <w:rPr>
                <w:rStyle w:val="IndexLink"/>
                <w:rtl w:val="true"/>
              </w:rPr>
              <w:t>فی الدّلالة علی أنّ أفعاله علیه و آله السّلام کلّها لیست علی الوجوب</w:t>
            </w:r>
            <w:r>
              <w:rPr>
                <w:rStyle w:val="IndexLink"/>
                <w:rtl w:val="true"/>
              </w:rPr>
              <w:t>»</w:t>
              <w:tab/>
            </w:r>
            <w:r>
              <w:rPr>
                <w:rStyle w:val="IndexLink"/>
              </w:rPr>
              <w:t>581</w:t>
            </w:r>
          </w:hyperlink>
        </w:p>
        <w:p>
          <w:pPr>
            <w:pStyle w:val="Contents4"/>
            <w:tabs>
              <w:tab w:val="clear" w:pos="8176"/>
              <w:tab w:val="right" w:pos="9026" w:leader="dot"/>
            </w:tabs>
            <w:rPr/>
          </w:pPr>
          <w:hyperlink w:anchor="__RefHeading___Toc1757367_653776707">
            <w:r>
              <w:rPr>
                <w:webHidden/>
                <w:rStyle w:val="IndexLink"/>
                <w:rtl w:val="true"/>
              </w:rPr>
              <w:t>فصل</w:t>
            </w:r>
            <w:r>
              <w:rPr>
                <w:rStyle w:val="IndexLink"/>
                <w:rtl w:val="true"/>
              </w:rPr>
              <w:t>-</w:t>
            </w:r>
            <w:r>
              <w:rPr>
                <w:rStyle w:val="IndexLink"/>
              </w:rPr>
              <w:t>4</w:t>
            </w:r>
            <w:r>
              <w:rPr>
                <w:rStyle w:val="IndexLink"/>
                <w:rtl w:val="true"/>
              </w:rPr>
              <w:t>: «</w:t>
            </w:r>
            <w:r>
              <w:rPr>
                <w:rStyle w:val="IndexLink"/>
                <w:rtl w:val="true"/>
              </w:rPr>
              <w:t>فی ذکر الوجوه الّتی تقع علیها أفعاله علیه السّلام،و بیان الطّریق إلی معرفة ذلک</w:t>
            </w:r>
            <w:r>
              <w:rPr>
                <w:rStyle w:val="IndexLink"/>
                <w:rtl w:val="true"/>
              </w:rPr>
              <w:t>»</w:t>
              <w:tab/>
            </w:r>
            <w:r>
              <w:rPr>
                <w:rStyle w:val="IndexLink"/>
              </w:rPr>
              <w:t>588</w:t>
            </w:r>
          </w:hyperlink>
        </w:p>
        <w:p>
          <w:pPr>
            <w:pStyle w:val="Contents4"/>
            <w:tabs>
              <w:tab w:val="clear" w:pos="8176"/>
              <w:tab w:val="right" w:pos="9026" w:leader="dot"/>
            </w:tabs>
            <w:rPr/>
          </w:pPr>
          <w:hyperlink w:anchor="__RefHeading___Toc1757369_653776707">
            <w:r>
              <w:rPr>
                <w:webHidden/>
                <w:rStyle w:val="IndexLink"/>
                <w:rtl w:val="true"/>
              </w:rPr>
              <w:t>فصل</w:t>
            </w:r>
            <w:r>
              <w:rPr>
                <w:rStyle w:val="IndexLink"/>
                <w:rtl w:val="true"/>
              </w:rPr>
              <w:t>-</w:t>
            </w:r>
            <w:r>
              <w:rPr>
                <w:rStyle w:val="IndexLink"/>
              </w:rPr>
              <w:t>5</w:t>
            </w:r>
            <w:r>
              <w:rPr>
                <w:rStyle w:val="IndexLink"/>
                <w:rtl w:val="true"/>
              </w:rPr>
              <w:t>: «</w:t>
            </w:r>
            <w:r>
              <w:rPr>
                <w:rStyle w:val="IndexLink"/>
                <w:rtl w:val="true"/>
              </w:rPr>
              <w:t>فی ذکر أفعاله إذا اختلفت،هل یصحّ التّعارض فیها أم لا؟</w:t>
            </w:r>
            <w:r>
              <w:rPr>
                <w:rStyle w:val="IndexLink"/>
                <w:rtl w:val="true"/>
              </w:rPr>
              <w:t>»</w:t>
              <w:tab/>
            </w:r>
            <w:r>
              <w:rPr>
                <w:rStyle w:val="IndexLink"/>
              </w:rPr>
              <w:t>593</w:t>
            </w:r>
          </w:hyperlink>
        </w:p>
        <w:p>
          <w:pPr>
            <w:pStyle w:val="Contents4"/>
            <w:tabs>
              <w:tab w:val="clear" w:pos="8176"/>
              <w:tab w:val="right" w:pos="9026" w:leader="dot"/>
            </w:tabs>
            <w:rPr/>
          </w:pPr>
          <w:hyperlink w:anchor="__RefHeading___Toc1757371_653776707">
            <w:r>
              <w:rPr>
                <w:webHidden/>
                <w:rStyle w:val="IndexLink"/>
                <w:rtl w:val="true"/>
              </w:rPr>
              <w:t>فصل</w:t>
            </w:r>
            <w:r>
              <w:rPr>
                <w:rStyle w:val="IndexLink"/>
                <w:rtl w:val="true"/>
              </w:rPr>
              <w:t>-</w:t>
            </w:r>
            <w:r>
              <w:rPr>
                <w:rStyle w:val="IndexLink"/>
              </w:rPr>
              <w:t>6</w:t>
            </w:r>
            <w:r>
              <w:rPr>
                <w:rStyle w:val="IndexLink"/>
                <w:rtl w:val="true"/>
              </w:rPr>
              <w:t>: «</w:t>
            </w:r>
            <w:r>
              <w:rPr>
                <w:rStyle w:val="IndexLink"/>
                <w:rtl w:val="true"/>
              </w:rPr>
              <w:t>فی أنّه علیه السّلام هل کان متعبّدا بشریعة من کان قبله من الأنبیاء أم لا؟</w:t>
            </w:r>
            <w:r>
              <w:rPr>
                <w:rStyle w:val="IndexLink"/>
                <w:rtl w:val="true"/>
              </w:rPr>
              <w:t>»</w:t>
              <w:tab/>
            </w:r>
            <w:r>
              <w:rPr>
                <w:rStyle w:val="IndexLink"/>
              </w:rPr>
              <w:t>596</w:t>
            </w:r>
          </w:hyperlink>
        </w:p>
        <w:p>
          <w:pPr>
            <w:pStyle w:val="Contents3"/>
            <w:tabs>
              <w:tab w:val="clear" w:pos="8459"/>
              <w:tab w:val="right" w:pos="9026" w:leader="dot"/>
            </w:tabs>
            <w:rPr/>
          </w:pPr>
          <w:hyperlink w:anchor="__RefHeading___Toc1757373_653776707">
            <w:r>
              <w:rPr>
                <w:webHidden/>
                <w:rStyle w:val="IndexLink"/>
                <w:rtl w:val="true"/>
              </w:rPr>
              <w:t>الباب التّاسع</w:t>
            </w:r>
            <w:r>
              <w:rPr>
                <w:rStyle w:val="IndexLink"/>
                <w:rtl w:val="true"/>
              </w:rPr>
              <w:t xml:space="preserve">: </w:t>
            </w:r>
            <w:r>
              <w:rPr>
                <w:rStyle w:val="IndexLink"/>
                <w:rtl w:val="true"/>
              </w:rPr>
              <w:t>الکلام فی الإجماع</w:t>
            </w:r>
            <w:r>
              <w:rPr>
                <w:rStyle w:val="IndexLink"/>
                <w:rtl w:val="true"/>
              </w:rPr>
              <w:tab/>
            </w:r>
            <w:r>
              <w:rPr>
                <w:rStyle w:val="IndexLink"/>
              </w:rPr>
              <w:t>605</w:t>
            </w:r>
          </w:hyperlink>
        </w:p>
        <w:p>
          <w:pPr>
            <w:pStyle w:val="Contents4"/>
            <w:tabs>
              <w:tab w:val="clear" w:pos="8176"/>
              <w:tab w:val="right" w:pos="9026" w:leader="dot"/>
            </w:tabs>
            <w:rPr/>
          </w:pPr>
          <w:hyperlink w:anchor="__RefHeading___Toc1757375_653776707">
            <w:r>
              <w:rPr>
                <w:webHidden/>
                <w:rStyle w:val="IndexLink"/>
                <w:rtl w:val="true"/>
              </w:rPr>
              <w:t>اشارة</w:t>
            </w:r>
            <w:r>
              <w:rPr>
                <w:rStyle w:val="IndexLink"/>
                <w:rtl w:val="true"/>
              </w:rPr>
              <w:tab/>
            </w:r>
            <w:r>
              <w:rPr>
                <w:rStyle w:val="IndexLink"/>
              </w:rPr>
              <w:t>605</w:t>
            </w:r>
          </w:hyperlink>
        </w:p>
        <w:p>
          <w:pPr>
            <w:pStyle w:val="Contents4"/>
            <w:tabs>
              <w:tab w:val="clear" w:pos="8176"/>
              <w:tab w:val="right" w:pos="9026" w:leader="dot"/>
            </w:tabs>
            <w:rPr/>
          </w:pPr>
          <w:hyperlink w:anchor="__RefHeading___Toc1757377_653776707">
            <w:r>
              <w:rPr>
                <w:webHidden/>
                <w:rStyle w:val="IndexLink"/>
                <w:rtl w:val="true"/>
              </w:rPr>
              <w:t>فصل</w:t>
            </w:r>
            <w:r>
              <w:rPr>
                <w:rStyle w:val="IndexLink"/>
                <w:rtl w:val="true"/>
              </w:rPr>
              <w:t>-</w:t>
            </w:r>
            <w:r>
              <w:rPr>
                <w:rStyle w:val="IndexLink"/>
              </w:rPr>
              <w:t>1</w:t>
            </w:r>
            <w:r>
              <w:rPr>
                <w:rStyle w:val="IndexLink"/>
                <w:rtl w:val="true"/>
              </w:rPr>
              <w:t>: «</w:t>
            </w:r>
            <w:r>
              <w:rPr>
                <w:rStyle w:val="IndexLink"/>
                <w:rtl w:val="true"/>
              </w:rPr>
              <w:t>فی ذکر اختلاف النّاس فی الإجماع هل هو دلیل أم لا؟</w:t>
            </w:r>
            <w:r>
              <w:rPr>
                <w:rStyle w:val="IndexLink"/>
                <w:rtl w:val="true"/>
              </w:rPr>
              <w:t>»</w:t>
              <w:tab/>
            </w:r>
            <w:r>
              <w:rPr>
                <w:rStyle w:val="IndexLink"/>
              </w:rPr>
              <w:t>607</w:t>
            </w:r>
          </w:hyperlink>
        </w:p>
        <w:p>
          <w:pPr>
            <w:pStyle w:val="Contents4"/>
            <w:tabs>
              <w:tab w:val="clear" w:pos="8176"/>
              <w:tab w:val="right" w:pos="9026" w:leader="dot"/>
            </w:tabs>
            <w:rPr/>
          </w:pPr>
          <w:hyperlink w:anchor="__RefHeading___Toc1757379_653776707">
            <w:r>
              <w:rPr>
                <w:webHidden/>
                <w:rStyle w:val="IndexLink"/>
                <w:rtl w:val="true"/>
              </w:rPr>
              <w:t>فصل</w:t>
            </w:r>
            <w:r>
              <w:rPr>
                <w:rStyle w:val="IndexLink"/>
                <w:rtl w:val="true"/>
              </w:rPr>
              <w:t>-</w:t>
            </w:r>
            <w:r>
              <w:rPr>
                <w:rStyle w:val="IndexLink"/>
              </w:rPr>
              <w:t>2</w:t>
            </w:r>
            <w:r>
              <w:rPr>
                <w:rStyle w:val="IndexLink"/>
                <w:rtl w:val="true"/>
              </w:rPr>
              <w:t xml:space="preserve">: </w:t>
            </w:r>
            <w:r>
              <w:rPr>
                <w:rStyle w:val="IndexLink"/>
                <w:rtl w:val="true"/>
              </w:rPr>
              <w:t>فی کیفیّة العلم بالإجماع،و من یعتبر قوله فیه</w:t>
            </w:r>
            <w:r>
              <w:rPr>
                <w:rStyle w:val="IndexLink"/>
                <w:rtl w:val="true"/>
              </w:rPr>
              <w:tab/>
            </w:r>
            <w:r>
              <w:rPr>
                <w:rStyle w:val="IndexLink"/>
              </w:rPr>
              <w:t>634</w:t>
            </w:r>
          </w:hyperlink>
        </w:p>
        <w:p>
          <w:pPr>
            <w:pStyle w:val="Contents4"/>
            <w:tabs>
              <w:tab w:val="clear" w:pos="8176"/>
              <w:tab w:val="right" w:pos="9026" w:leader="dot"/>
            </w:tabs>
            <w:rPr/>
          </w:pPr>
          <w:hyperlink w:anchor="__RefHeading___Toc1757381_653776707">
            <w:r>
              <w:rPr>
                <w:webHidden/>
                <w:rStyle w:val="IndexLink"/>
                <w:rtl w:val="true"/>
              </w:rPr>
              <w:t>فصل</w:t>
            </w:r>
            <w:r>
              <w:rPr>
                <w:rStyle w:val="IndexLink"/>
                <w:rtl w:val="true"/>
              </w:rPr>
              <w:t>-</w:t>
            </w:r>
            <w:r>
              <w:rPr>
                <w:rStyle w:val="IndexLink"/>
              </w:rPr>
              <w:t>3</w:t>
            </w:r>
            <w:r>
              <w:rPr>
                <w:rStyle w:val="IndexLink"/>
                <w:rtl w:val="true"/>
              </w:rPr>
              <w:t>: «</w:t>
            </w:r>
            <w:r>
              <w:rPr>
                <w:rStyle w:val="IndexLink"/>
                <w:rtl w:val="true"/>
              </w:rPr>
              <w:t>فیما یتفرّع علی الإجماع،من حیث کان إجماعا عند من قال بذلک،کیف القول فیه علی ما نذهب إلیه؟</w:t>
            </w:r>
            <w:r>
              <w:rPr>
                <w:rStyle w:val="IndexLink"/>
                <w:rtl w:val="true"/>
              </w:rPr>
              <w:t>»</w:t>
              <w:tab/>
            </w:r>
            <w:r>
              <w:rPr>
                <w:rStyle w:val="IndexLink"/>
              </w:rPr>
              <w:t>645</w:t>
            </w:r>
          </w:hyperlink>
        </w:p>
        <w:p>
          <w:pPr>
            <w:pStyle w:val="Contents3"/>
            <w:tabs>
              <w:tab w:val="clear" w:pos="8459"/>
              <w:tab w:val="right" w:pos="9026" w:leader="dot"/>
            </w:tabs>
            <w:rPr/>
          </w:pPr>
          <w:hyperlink w:anchor="__RefHeading___Toc1757383_653776707">
            <w:r>
              <w:rPr>
                <w:webHidden/>
                <w:rStyle w:val="IndexLink"/>
                <w:rtl w:val="true"/>
              </w:rPr>
              <w:t>الباب العاشر</w:t>
            </w:r>
            <w:r>
              <w:rPr>
                <w:rStyle w:val="IndexLink"/>
                <w:rtl w:val="true"/>
              </w:rPr>
              <w:t xml:space="preserve">: </w:t>
            </w:r>
            <w:r>
              <w:rPr>
                <w:rStyle w:val="IndexLink"/>
                <w:rtl w:val="true"/>
              </w:rPr>
              <w:t>الکلام فی القیاس</w:t>
            </w:r>
            <w:r>
              <w:rPr>
                <w:rStyle w:val="IndexLink"/>
                <w:rtl w:val="true"/>
              </w:rPr>
              <w:tab/>
            </w:r>
            <w:r>
              <w:rPr>
                <w:rStyle w:val="IndexLink"/>
              </w:rPr>
              <w:t>651</w:t>
            </w:r>
          </w:hyperlink>
        </w:p>
        <w:p>
          <w:pPr>
            <w:pStyle w:val="Contents4"/>
            <w:tabs>
              <w:tab w:val="clear" w:pos="8176"/>
              <w:tab w:val="right" w:pos="9026" w:leader="dot"/>
            </w:tabs>
            <w:rPr/>
          </w:pPr>
          <w:hyperlink w:anchor="__RefHeading___Toc1757385_653776707">
            <w:r>
              <w:rPr>
                <w:webHidden/>
                <w:rStyle w:val="IndexLink"/>
                <w:rtl w:val="true"/>
              </w:rPr>
              <w:t>اشارة</w:t>
            </w:r>
            <w:r>
              <w:rPr>
                <w:rStyle w:val="IndexLink"/>
                <w:rtl w:val="true"/>
              </w:rPr>
              <w:tab/>
            </w:r>
            <w:r>
              <w:rPr>
                <w:rStyle w:val="IndexLink"/>
              </w:rPr>
              <w:t>651</w:t>
            </w:r>
          </w:hyperlink>
        </w:p>
        <w:p>
          <w:pPr>
            <w:pStyle w:val="Contents4"/>
            <w:tabs>
              <w:tab w:val="clear" w:pos="8176"/>
              <w:tab w:val="right" w:pos="9026" w:leader="dot"/>
            </w:tabs>
            <w:rPr/>
          </w:pPr>
          <w:hyperlink w:anchor="__RefHeading___Toc1757387_653776707">
            <w:r>
              <w:rPr>
                <w:webHidden/>
                <w:rStyle w:val="IndexLink"/>
                <w:rtl w:val="true"/>
              </w:rPr>
              <w:t>فصل</w:t>
            </w:r>
            <w:r>
              <w:rPr>
                <w:rStyle w:val="IndexLink"/>
                <w:rtl w:val="true"/>
              </w:rPr>
              <w:t>-</w:t>
            </w:r>
            <w:r>
              <w:rPr>
                <w:rStyle w:val="IndexLink"/>
              </w:rPr>
              <w:t>1</w:t>
            </w:r>
            <w:r>
              <w:rPr>
                <w:rStyle w:val="IndexLink"/>
                <w:rtl w:val="true"/>
              </w:rPr>
              <w:t>: «</w:t>
            </w:r>
            <w:r>
              <w:rPr>
                <w:rStyle w:val="IndexLink"/>
                <w:rtl w:val="true"/>
              </w:rPr>
              <w:t>فی ذکر حقیقة القیاس،و اختلاف النّاس فی ورود العبادة به</w:t>
            </w:r>
            <w:r>
              <w:rPr>
                <w:rStyle w:val="IndexLink"/>
                <w:rtl w:val="true"/>
              </w:rPr>
              <w:t>»</w:t>
              <w:tab/>
            </w:r>
            <w:r>
              <w:rPr>
                <w:rStyle w:val="IndexLink"/>
              </w:rPr>
              <w:t>653</w:t>
            </w:r>
          </w:hyperlink>
        </w:p>
        <w:p>
          <w:pPr>
            <w:pStyle w:val="Contents4"/>
            <w:tabs>
              <w:tab w:val="clear" w:pos="8176"/>
              <w:tab w:val="right" w:pos="9026" w:leader="dot"/>
            </w:tabs>
            <w:rPr/>
          </w:pPr>
          <w:hyperlink w:anchor="__RefHeading___Toc1757389_653776707">
            <w:r>
              <w:rPr>
                <w:webHidden/>
                <w:rStyle w:val="IndexLink"/>
                <w:rtl w:val="true"/>
              </w:rPr>
              <w:t>فصل</w:t>
            </w:r>
            <w:r>
              <w:rPr>
                <w:rStyle w:val="IndexLink"/>
                <w:rtl w:val="true"/>
              </w:rPr>
              <w:t>-</w:t>
            </w:r>
            <w:r>
              <w:rPr>
                <w:rStyle w:val="IndexLink"/>
              </w:rPr>
              <w:t>2</w:t>
            </w:r>
            <w:r>
              <w:rPr>
                <w:rStyle w:val="IndexLink"/>
                <w:rtl w:val="true"/>
              </w:rPr>
              <w:t>: «</w:t>
            </w:r>
            <w:r>
              <w:rPr>
                <w:rStyle w:val="IndexLink"/>
                <w:rtl w:val="true"/>
              </w:rPr>
              <w:t>فی الکلام علی من أحال القیاس عقلا علی اختلاف عللهم</w:t>
            </w:r>
            <w:r>
              <w:rPr>
                <w:rStyle w:val="IndexLink"/>
                <w:rtl w:val="true"/>
              </w:rPr>
              <w:t>»</w:t>
              <w:tab/>
            </w:r>
            <w:r>
              <w:rPr>
                <w:rStyle w:val="IndexLink"/>
              </w:rPr>
              <w:t>659</w:t>
            </w:r>
          </w:hyperlink>
        </w:p>
        <w:p>
          <w:pPr>
            <w:pStyle w:val="Contents4"/>
            <w:tabs>
              <w:tab w:val="clear" w:pos="8176"/>
              <w:tab w:val="right" w:pos="9026" w:leader="dot"/>
            </w:tabs>
            <w:rPr/>
          </w:pPr>
          <w:hyperlink w:anchor="__RefHeading___Toc1757391_653776707">
            <w:r>
              <w:rPr>
                <w:webHidden/>
                <w:rStyle w:val="IndexLink"/>
                <w:rtl w:val="true"/>
              </w:rPr>
              <w:t>فصل</w:t>
            </w:r>
            <w:r>
              <w:rPr>
                <w:rStyle w:val="IndexLink"/>
                <w:rtl w:val="true"/>
              </w:rPr>
              <w:t>-</w:t>
            </w:r>
            <w:r>
              <w:rPr>
                <w:rStyle w:val="IndexLink"/>
              </w:rPr>
              <w:t>3</w:t>
            </w:r>
            <w:r>
              <w:rPr>
                <w:rStyle w:val="IndexLink"/>
                <w:rtl w:val="true"/>
              </w:rPr>
              <w:t>: «</w:t>
            </w:r>
            <w:r>
              <w:rPr>
                <w:rStyle w:val="IndexLink"/>
                <w:rtl w:val="true"/>
              </w:rPr>
              <w:t>فی أنّ القیاس فی الشّرع لا یجوز استعماله</w:t>
            </w:r>
            <w:r>
              <w:rPr>
                <w:rStyle w:val="IndexLink"/>
                <w:rtl w:val="true"/>
              </w:rPr>
              <w:t>»</w:t>
              <w:tab/>
            </w:r>
            <w:r>
              <w:rPr>
                <w:rStyle w:val="IndexLink"/>
              </w:rPr>
              <w:t>671</w:t>
            </w:r>
          </w:hyperlink>
        </w:p>
        <w:p>
          <w:pPr>
            <w:pStyle w:val="Contents4"/>
            <w:tabs>
              <w:tab w:val="clear" w:pos="8176"/>
              <w:tab w:val="right" w:pos="9026" w:leader="dot"/>
            </w:tabs>
            <w:rPr/>
          </w:pPr>
          <w:hyperlink w:anchor="__RefHeading___Toc1757393_653776707">
            <w:r>
              <w:rPr>
                <w:webHidden/>
                <w:rStyle w:val="IndexLink"/>
                <w:rtl w:val="true"/>
              </w:rPr>
              <w:t>فصل</w:t>
            </w:r>
            <w:r>
              <w:rPr>
                <w:rStyle w:val="IndexLink"/>
                <w:rtl w:val="true"/>
              </w:rPr>
              <w:t>-</w:t>
            </w:r>
            <w:r>
              <w:rPr>
                <w:rStyle w:val="IndexLink"/>
              </w:rPr>
              <w:t>4</w:t>
            </w:r>
            <w:r>
              <w:rPr>
                <w:rStyle w:val="IndexLink"/>
                <w:rtl w:val="true"/>
              </w:rPr>
              <w:t>: «</w:t>
            </w:r>
            <w:r>
              <w:rPr>
                <w:rStyle w:val="IndexLink"/>
                <w:rtl w:val="true"/>
              </w:rPr>
              <w:t>فی أنّ العبادة لم ترد بوجوب العمل بالقیاس</w:t>
            </w:r>
            <w:r>
              <w:rPr>
                <w:rStyle w:val="IndexLink"/>
                <w:rtl w:val="true"/>
              </w:rPr>
              <w:t>»</w:t>
              <w:tab/>
            </w:r>
            <w:r>
              <w:rPr>
                <w:rStyle w:val="IndexLink"/>
              </w:rPr>
              <w:t>675</w:t>
            </w:r>
          </w:hyperlink>
        </w:p>
        <w:p>
          <w:pPr>
            <w:pStyle w:val="Contents3"/>
            <w:tabs>
              <w:tab w:val="clear" w:pos="8459"/>
              <w:tab w:val="right" w:pos="9026" w:leader="dot"/>
            </w:tabs>
            <w:rPr/>
          </w:pPr>
          <w:hyperlink w:anchor="__RefHeading___Toc1757395_653776707">
            <w:r>
              <w:rPr>
                <w:webHidden/>
                <w:rStyle w:val="IndexLink"/>
                <w:rtl w:val="true"/>
              </w:rPr>
              <w:t>الباب الحادی عشر</w:t>
            </w:r>
            <w:r>
              <w:rPr>
                <w:rStyle w:val="IndexLink"/>
                <w:rtl w:val="true"/>
              </w:rPr>
              <w:t xml:space="preserve">: </w:t>
            </w:r>
            <w:r>
              <w:rPr>
                <w:rStyle w:val="IndexLink"/>
                <w:rtl w:val="true"/>
              </w:rPr>
              <w:t>الکلام فی الاجتهاد</w:t>
            </w:r>
            <w:r>
              <w:rPr>
                <w:rStyle w:val="IndexLink"/>
                <w:rtl w:val="true"/>
              </w:rPr>
              <w:tab/>
            </w:r>
            <w:r>
              <w:rPr>
                <w:rStyle w:val="IndexLink"/>
              </w:rPr>
              <w:t>727</w:t>
            </w:r>
          </w:hyperlink>
        </w:p>
        <w:p>
          <w:pPr>
            <w:pStyle w:val="Contents4"/>
            <w:tabs>
              <w:tab w:val="clear" w:pos="8176"/>
              <w:tab w:val="right" w:pos="9026" w:leader="dot"/>
            </w:tabs>
            <w:rPr/>
          </w:pPr>
          <w:hyperlink w:anchor="__RefHeading___Toc1757397_653776707">
            <w:r>
              <w:rPr>
                <w:webHidden/>
                <w:rStyle w:val="IndexLink"/>
                <w:rtl w:val="true"/>
              </w:rPr>
              <w:t>اشارة</w:t>
            </w:r>
            <w:r>
              <w:rPr>
                <w:rStyle w:val="IndexLink"/>
                <w:rtl w:val="true"/>
              </w:rPr>
              <w:tab/>
            </w:r>
            <w:r>
              <w:rPr>
                <w:rStyle w:val="IndexLink"/>
              </w:rPr>
              <w:t>727</w:t>
            </w:r>
          </w:hyperlink>
        </w:p>
        <w:p>
          <w:pPr>
            <w:pStyle w:val="Contents4"/>
            <w:tabs>
              <w:tab w:val="clear" w:pos="8176"/>
              <w:tab w:val="right" w:pos="9026" w:leader="dot"/>
            </w:tabs>
            <w:rPr/>
          </w:pPr>
          <w:hyperlink w:anchor="__RefHeading___Toc1757399_653776707">
            <w:r>
              <w:rPr>
                <w:webHidden/>
                <w:rStyle w:val="IndexLink"/>
                <w:rtl w:val="true"/>
              </w:rPr>
              <w:t>فصل</w:t>
            </w:r>
            <w:r>
              <w:rPr>
                <w:rStyle w:val="IndexLink"/>
                <w:rtl w:val="true"/>
              </w:rPr>
              <w:t>-</w:t>
            </w:r>
            <w:r>
              <w:rPr>
                <w:rStyle w:val="IndexLink"/>
              </w:rPr>
              <w:t>1</w:t>
            </w:r>
            <w:r>
              <w:rPr>
                <w:rStyle w:val="IndexLink"/>
                <w:rtl w:val="true"/>
              </w:rPr>
              <w:t>: «</w:t>
            </w:r>
            <w:r>
              <w:rPr>
                <w:rStyle w:val="IndexLink"/>
                <w:rtl w:val="true"/>
              </w:rPr>
              <w:t>الکلام فی الاجتهاد</w:t>
            </w:r>
            <w:r>
              <w:rPr>
                <w:rStyle w:val="IndexLink"/>
                <w:rtl w:val="true"/>
              </w:rPr>
              <w:t>»</w:t>
              <w:tab/>
            </w:r>
            <w:r>
              <w:rPr>
                <w:rStyle w:val="IndexLink"/>
              </w:rPr>
              <w:t>729</w:t>
            </w:r>
          </w:hyperlink>
        </w:p>
        <w:p>
          <w:pPr>
            <w:pStyle w:val="Contents4"/>
            <w:tabs>
              <w:tab w:val="clear" w:pos="8176"/>
              <w:tab w:val="right" w:pos="9026" w:leader="dot"/>
            </w:tabs>
            <w:rPr/>
          </w:pPr>
          <w:hyperlink w:anchor="__RefHeading___Toc1757401_653776707">
            <w:r>
              <w:rPr>
                <w:webHidden/>
                <w:rStyle w:val="IndexLink"/>
                <w:rtl w:val="true"/>
              </w:rPr>
              <w:t>فصل</w:t>
            </w:r>
            <w:r>
              <w:rPr>
                <w:rStyle w:val="IndexLink"/>
                <w:rtl w:val="true"/>
              </w:rPr>
              <w:t>-</w:t>
            </w:r>
            <w:r>
              <w:rPr>
                <w:rStyle w:val="IndexLink"/>
              </w:rPr>
              <w:t>2</w:t>
            </w:r>
            <w:r>
              <w:rPr>
                <w:rStyle w:val="IndexLink"/>
                <w:rtl w:val="true"/>
              </w:rPr>
              <w:t>: «</w:t>
            </w:r>
            <w:r>
              <w:rPr>
                <w:rStyle w:val="IndexLink"/>
                <w:rtl w:val="true"/>
              </w:rPr>
              <w:t>فی ذکر صفات المفتی و المستفتی،و بیان أحکامهما</w:t>
            </w:r>
            <w:r>
              <w:rPr>
                <w:rStyle w:val="IndexLink"/>
                <w:rtl w:val="true"/>
              </w:rPr>
              <w:t>»</w:t>
              <w:tab/>
            </w:r>
            <w:r>
              <w:rPr>
                <w:rStyle w:val="IndexLink"/>
              </w:rPr>
              <w:t>733</w:t>
            </w:r>
          </w:hyperlink>
        </w:p>
        <w:p>
          <w:pPr>
            <w:pStyle w:val="Contents4"/>
            <w:tabs>
              <w:tab w:val="clear" w:pos="8176"/>
              <w:tab w:val="right" w:pos="9026" w:leader="dot"/>
            </w:tabs>
            <w:rPr/>
          </w:pPr>
          <w:hyperlink w:anchor="__RefHeading___Toc1757403_653776707">
            <w:r>
              <w:rPr>
                <w:webHidden/>
                <w:rStyle w:val="IndexLink"/>
                <w:rtl w:val="true"/>
              </w:rPr>
              <w:t>فصل</w:t>
            </w:r>
            <w:r>
              <w:rPr>
                <w:rStyle w:val="IndexLink"/>
                <w:rtl w:val="true"/>
              </w:rPr>
              <w:t>-</w:t>
            </w:r>
            <w:r>
              <w:rPr>
                <w:rStyle w:val="IndexLink"/>
              </w:rPr>
              <w:t>3</w:t>
            </w:r>
            <w:r>
              <w:rPr>
                <w:rStyle w:val="IndexLink"/>
                <w:rtl w:val="true"/>
              </w:rPr>
              <w:t xml:space="preserve">: </w:t>
            </w:r>
            <w:r>
              <w:rPr>
                <w:rStyle w:val="IndexLink"/>
                <w:rtl w:val="true"/>
              </w:rPr>
              <w:t>فی أنّ النّبی علیه السّلام هل کان مجتهدا فی شیء من الأحکام؟</w:t>
            </w:r>
            <w:r>
              <w:rPr>
                <w:rStyle w:val="IndexLink"/>
                <w:rtl w:val="true"/>
              </w:rPr>
              <w:t>...</w:t>
              <w:tab/>
            </w:r>
            <w:r>
              <w:rPr>
                <w:rStyle w:val="IndexLink"/>
              </w:rPr>
              <w:t>739</w:t>
            </w:r>
          </w:hyperlink>
        </w:p>
        <w:p>
          <w:pPr>
            <w:pStyle w:val="Contents3"/>
            <w:tabs>
              <w:tab w:val="clear" w:pos="8459"/>
              <w:tab w:val="right" w:pos="9026" w:leader="dot"/>
            </w:tabs>
            <w:rPr/>
          </w:pPr>
          <w:hyperlink w:anchor="__RefHeading___Toc1757405_653776707">
            <w:r>
              <w:rPr>
                <w:webHidden/>
                <w:rStyle w:val="IndexLink"/>
                <w:rtl w:val="true"/>
              </w:rPr>
              <w:t>الباب الثّانی عشر</w:t>
            </w:r>
            <w:r>
              <w:rPr>
                <w:rStyle w:val="IndexLink"/>
                <w:rtl w:val="true"/>
              </w:rPr>
              <w:t xml:space="preserve">: </w:t>
            </w:r>
            <w:r>
              <w:rPr>
                <w:rStyle w:val="IndexLink"/>
                <w:rtl w:val="true"/>
              </w:rPr>
              <w:t>الکلام فی الحظر و الإباحة</w:t>
            </w:r>
            <w:r>
              <w:rPr>
                <w:rStyle w:val="IndexLink"/>
                <w:rtl w:val="true"/>
              </w:rPr>
              <w:tab/>
            </w:r>
            <w:r>
              <w:rPr>
                <w:rStyle w:val="IndexLink"/>
              </w:rPr>
              <w:t>743</w:t>
            </w:r>
          </w:hyperlink>
        </w:p>
        <w:p>
          <w:pPr>
            <w:pStyle w:val="Contents4"/>
            <w:tabs>
              <w:tab w:val="clear" w:pos="8176"/>
              <w:tab w:val="right" w:pos="9026" w:leader="dot"/>
            </w:tabs>
            <w:rPr/>
          </w:pPr>
          <w:hyperlink w:anchor="__RefHeading___Toc1757407_653776707">
            <w:r>
              <w:rPr>
                <w:webHidden/>
                <w:rStyle w:val="IndexLink"/>
                <w:rtl w:val="true"/>
              </w:rPr>
              <w:t>اشارة</w:t>
            </w:r>
            <w:r>
              <w:rPr>
                <w:rStyle w:val="IndexLink"/>
                <w:rtl w:val="true"/>
              </w:rPr>
              <w:tab/>
            </w:r>
            <w:r>
              <w:rPr>
                <w:rStyle w:val="IndexLink"/>
              </w:rPr>
              <w:t>743</w:t>
            </w:r>
          </w:hyperlink>
        </w:p>
        <w:p>
          <w:pPr>
            <w:pStyle w:val="Contents4"/>
            <w:tabs>
              <w:tab w:val="clear" w:pos="8176"/>
              <w:tab w:val="right" w:pos="9026" w:leader="dot"/>
            </w:tabs>
            <w:rPr/>
          </w:pPr>
          <w:hyperlink w:anchor="__RefHeading___Toc1757409_653776707">
            <w:r>
              <w:rPr>
                <w:webHidden/>
                <w:rStyle w:val="IndexLink"/>
                <w:rtl w:val="true"/>
              </w:rPr>
              <w:t>فصل</w:t>
            </w:r>
            <w:r>
              <w:rPr>
                <w:rStyle w:val="IndexLink"/>
                <w:rtl w:val="true"/>
              </w:rPr>
              <w:t>-</w:t>
            </w:r>
            <w:r>
              <w:rPr>
                <w:rStyle w:val="IndexLink"/>
              </w:rPr>
              <w:t>1</w:t>
            </w:r>
            <w:r>
              <w:rPr>
                <w:rStyle w:val="IndexLink"/>
                <w:rtl w:val="true"/>
              </w:rPr>
              <w:t>: «</w:t>
            </w:r>
            <w:r>
              <w:rPr>
                <w:rStyle w:val="IndexLink"/>
                <w:rtl w:val="true"/>
              </w:rPr>
              <w:t>فی ذکر حقیقة الحظر و الإباحة،و المراد بذلک</w:t>
            </w:r>
            <w:r>
              <w:rPr>
                <w:rStyle w:val="IndexLink"/>
                <w:rtl w:val="true"/>
              </w:rPr>
              <w:t>»</w:t>
              <w:tab/>
            </w:r>
            <w:r>
              <w:rPr>
                <w:rStyle w:val="IndexLink"/>
              </w:rPr>
              <w:t>745</w:t>
            </w:r>
          </w:hyperlink>
        </w:p>
        <w:p>
          <w:pPr>
            <w:pStyle w:val="Contents4"/>
            <w:tabs>
              <w:tab w:val="clear" w:pos="8176"/>
              <w:tab w:val="right" w:pos="9026" w:leader="dot"/>
            </w:tabs>
            <w:rPr/>
          </w:pPr>
          <w:hyperlink w:anchor="__RefHeading___Toc1757411_653776707">
            <w:r>
              <w:rPr>
                <w:webHidden/>
                <w:rStyle w:val="IndexLink"/>
                <w:rtl w:val="true"/>
              </w:rPr>
              <w:t>فصل</w:t>
            </w:r>
            <w:r>
              <w:rPr>
                <w:rStyle w:val="IndexLink"/>
                <w:rtl w:val="true"/>
              </w:rPr>
              <w:t>-</w:t>
            </w:r>
            <w:r>
              <w:rPr>
                <w:rStyle w:val="IndexLink"/>
              </w:rPr>
              <w:t>2</w:t>
            </w:r>
            <w:r>
              <w:rPr>
                <w:rStyle w:val="IndexLink"/>
                <w:rtl w:val="true"/>
              </w:rPr>
              <w:t>: «</w:t>
            </w:r>
            <w:r>
              <w:rPr>
                <w:rStyle w:val="IndexLink"/>
                <w:rtl w:val="true"/>
              </w:rPr>
              <w:t>فی ذکر بیان الأشیاء الّتی یقال إنّها علی الحظر أو الإباحة، و الفصل بینها و بین غیرها،و الدّلیل علی الصّحیح من ذلک</w:t>
            </w:r>
            <w:r>
              <w:rPr>
                <w:rStyle w:val="IndexLink"/>
                <w:rtl w:val="true"/>
              </w:rPr>
              <w:t>»</w:t>
              <w:tab/>
            </w:r>
            <w:r>
              <w:rPr>
                <w:rStyle w:val="IndexLink"/>
              </w:rPr>
              <w:t>747</w:t>
            </w:r>
          </w:hyperlink>
        </w:p>
        <w:p>
          <w:pPr>
            <w:pStyle w:val="Contents4"/>
            <w:tabs>
              <w:tab w:val="clear" w:pos="8176"/>
              <w:tab w:val="right" w:pos="9026" w:leader="dot"/>
            </w:tabs>
            <w:rPr/>
          </w:pPr>
          <w:hyperlink w:anchor="__RefHeading___Toc1757413_653776707">
            <w:r>
              <w:rPr>
                <w:webHidden/>
                <w:rStyle w:val="IndexLink"/>
                <w:rtl w:val="true"/>
              </w:rPr>
              <w:t>فصل</w:t>
            </w:r>
            <w:r>
              <w:rPr>
                <w:rStyle w:val="IndexLink"/>
                <w:rtl w:val="true"/>
              </w:rPr>
              <w:t>-</w:t>
            </w:r>
            <w:r>
              <w:rPr>
                <w:rStyle w:val="IndexLink"/>
              </w:rPr>
              <w:t>3</w:t>
            </w:r>
            <w:r>
              <w:rPr>
                <w:rStyle w:val="IndexLink"/>
                <w:rtl w:val="true"/>
              </w:rPr>
              <w:t>: «</w:t>
            </w:r>
            <w:r>
              <w:rPr>
                <w:rStyle w:val="IndexLink"/>
                <w:rtl w:val="true"/>
              </w:rPr>
              <w:t>فی ذکر حکم النّافی،هل علیه دلیل أم لا؟،و الکلام فی استصحاب الحال</w:t>
            </w:r>
            <w:r>
              <w:rPr>
                <w:rStyle w:val="IndexLink"/>
                <w:rtl w:val="true"/>
              </w:rPr>
              <w:t>»</w:t>
              <w:tab/>
            </w:r>
            <w:r>
              <w:rPr>
                <w:rStyle w:val="IndexLink"/>
              </w:rPr>
              <w:t>758</w:t>
            </w:r>
          </w:hyperlink>
        </w:p>
        <w:p>
          <w:pPr>
            <w:pStyle w:val="Contents5"/>
            <w:tabs>
              <w:tab w:val="clear" w:pos="7892"/>
              <w:tab w:val="right" w:pos="9026" w:leader="dot"/>
            </w:tabs>
            <w:rPr/>
          </w:pPr>
          <w:hyperlink w:anchor="__RefHeading___Toc1757415_653776707">
            <w:r>
              <w:rPr>
                <w:webHidden/>
                <w:rStyle w:val="IndexLink"/>
                <w:rtl w:val="true"/>
              </w:rPr>
              <w:t>اشارة</w:t>
            </w:r>
            <w:r>
              <w:rPr>
                <w:rStyle w:val="IndexLink"/>
                <w:rtl w:val="true"/>
              </w:rPr>
              <w:tab/>
            </w:r>
            <w:r>
              <w:rPr>
                <w:rStyle w:val="IndexLink"/>
              </w:rPr>
              <w:t>758</w:t>
            </w:r>
          </w:hyperlink>
        </w:p>
        <w:p>
          <w:pPr>
            <w:pStyle w:val="Contents5"/>
            <w:tabs>
              <w:tab w:val="clear" w:pos="7892"/>
              <w:tab w:val="right" w:pos="9026" w:leader="dot"/>
            </w:tabs>
            <w:rPr/>
          </w:pPr>
          <w:hyperlink w:anchor="__RefHeading___Toc1757417_653776707">
            <w:r>
              <w:rPr>
                <w:webHidden/>
                <w:rStyle w:val="IndexLink"/>
                <w:rtl w:val="true"/>
              </w:rPr>
              <w:t>الکلام فی استصحاب الحال</w:t>
            </w:r>
            <w:r>
              <w:rPr>
                <w:rStyle w:val="IndexLink"/>
                <w:rtl w:val="true"/>
              </w:rPr>
              <w:tab/>
            </w:r>
            <w:r>
              <w:rPr>
                <w:rStyle w:val="IndexLink"/>
              </w:rPr>
              <w:t>761</w:t>
            </w:r>
          </w:hyperlink>
        </w:p>
        <w:p>
          <w:pPr>
            <w:pStyle w:val="Contents4"/>
            <w:tabs>
              <w:tab w:val="clear" w:pos="8176"/>
              <w:tab w:val="right" w:pos="9026" w:leader="dot"/>
            </w:tabs>
            <w:rPr/>
          </w:pPr>
          <w:hyperlink w:anchor="__RefHeading___Toc1757419_653776707">
            <w:r>
              <w:rPr>
                <w:webHidden/>
                <w:rStyle w:val="IndexLink"/>
                <w:rtl w:val="true"/>
              </w:rPr>
              <w:t>فصل</w:t>
            </w:r>
            <w:r>
              <w:rPr>
                <w:rStyle w:val="IndexLink"/>
                <w:rtl w:val="true"/>
              </w:rPr>
              <w:t>-</w:t>
            </w:r>
            <w:r>
              <w:rPr>
                <w:rStyle w:val="IndexLink"/>
              </w:rPr>
              <w:t>4</w:t>
            </w:r>
            <w:r>
              <w:rPr>
                <w:rStyle w:val="IndexLink"/>
                <w:rtl w:val="true"/>
              </w:rPr>
              <w:t>: «</w:t>
            </w:r>
            <w:r>
              <w:rPr>
                <w:rStyle w:val="IndexLink"/>
                <w:rtl w:val="true"/>
              </w:rPr>
              <w:t>فی ذکر ما یعلم بالعقل و السّمع</w:t>
            </w:r>
            <w:r>
              <w:rPr>
                <w:rStyle w:val="IndexLink"/>
                <w:rtl w:val="true"/>
              </w:rPr>
              <w:t>»</w:t>
              <w:tab/>
            </w:r>
            <w:r>
              <w:rPr>
                <w:rStyle w:val="IndexLink"/>
              </w:rPr>
              <w:t>765</w:t>
            </w:r>
          </w:hyperlink>
        </w:p>
        <w:p>
          <w:pPr>
            <w:pStyle w:val="Contents3"/>
            <w:tabs>
              <w:tab w:val="clear" w:pos="8459"/>
              <w:tab w:val="right" w:pos="9026" w:leader="dot"/>
            </w:tabs>
            <w:rPr/>
          </w:pPr>
          <w:hyperlink w:anchor="__RefHeading___Toc1757421_653776707">
            <w:r>
              <w:rPr>
                <w:webHidden/>
                <w:rStyle w:val="IndexLink"/>
                <w:rtl w:val="true"/>
              </w:rPr>
              <w:t>الفهارس</w:t>
            </w:r>
            <w:r>
              <w:rPr>
                <w:rStyle w:val="IndexLink"/>
                <w:rtl w:val="true"/>
              </w:rPr>
              <w:tab/>
            </w:r>
            <w:r>
              <w:rPr>
                <w:rStyle w:val="IndexLink"/>
              </w:rPr>
              <w:t>771</w:t>
            </w:r>
          </w:hyperlink>
        </w:p>
        <w:p>
          <w:pPr>
            <w:pStyle w:val="Contents4"/>
            <w:tabs>
              <w:tab w:val="clear" w:pos="8176"/>
              <w:tab w:val="right" w:pos="9026" w:leader="dot"/>
            </w:tabs>
            <w:rPr/>
          </w:pPr>
          <w:hyperlink w:anchor="__RefHeading___Toc1757423_653776707">
            <w:r>
              <w:rPr>
                <w:webHidden/>
                <w:rStyle w:val="IndexLink"/>
                <w:rtl w:val="true"/>
              </w:rPr>
              <w:t>اشارة</w:t>
            </w:r>
            <w:r>
              <w:rPr>
                <w:rStyle w:val="IndexLink"/>
                <w:rtl w:val="true"/>
              </w:rPr>
              <w:tab/>
            </w:r>
            <w:r>
              <w:rPr>
                <w:rStyle w:val="IndexLink"/>
              </w:rPr>
              <w:t>771</w:t>
            </w:r>
          </w:hyperlink>
        </w:p>
        <w:p>
          <w:pPr>
            <w:pStyle w:val="Contents4"/>
            <w:tabs>
              <w:tab w:val="clear" w:pos="8176"/>
              <w:tab w:val="right" w:pos="9026" w:leader="dot"/>
            </w:tabs>
            <w:rPr/>
          </w:pPr>
          <w:hyperlink w:anchor="__RefHeading___Toc1757425_653776707">
            <w:r>
              <w:rPr>
                <w:webHidden/>
                <w:rStyle w:val="IndexLink"/>
              </w:rPr>
              <w:t>1</w:t>
            </w:r>
            <w:r>
              <w:rPr>
                <w:rStyle w:val="IndexLink"/>
                <w:rtl w:val="true"/>
              </w:rPr>
              <w:t xml:space="preserve">- </w:t>
            </w:r>
            <w:r>
              <w:rPr>
                <w:rStyle w:val="IndexLink"/>
                <w:rtl w:val="true"/>
              </w:rPr>
              <w:t>فهرست الایات القرآنیه</w:t>
            </w:r>
            <w:r>
              <w:rPr>
                <w:rStyle w:val="IndexLink"/>
                <w:rtl w:val="true"/>
              </w:rPr>
              <w:tab/>
            </w:r>
            <w:r>
              <w:rPr>
                <w:rStyle w:val="IndexLink"/>
              </w:rPr>
              <w:t>773</w:t>
            </w:r>
          </w:hyperlink>
        </w:p>
        <w:p>
          <w:pPr>
            <w:pStyle w:val="Contents4"/>
            <w:tabs>
              <w:tab w:val="clear" w:pos="8176"/>
              <w:tab w:val="right" w:pos="9026" w:leader="dot"/>
            </w:tabs>
            <w:rPr/>
          </w:pPr>
          <w:hyperlink w:anchor="__RefHeading___Toc1757427_653776707">
            <w:r>
              <w:rPr>
                <w:webHidden/>
                <w:rStyle w:val="IndexLink"/>
              </w:rPr>
              <w:t>2</w:t>
            </w:r>
            <w:r>
              <w:rPr>
                <w:rStyle w:val="IndexLink"/>
                <w:rtl w:val="true"/>
              </w:rPr>
              <w:t xml:space="preserve">- </w:t>
            </w:r>
            <w:r>
              <w:rPr>
                <w:rStyle w:val="IndexLink"/>
                <w:rtl w:val="true"/>
              </w:rPr>
              <w:t>فهرس الاحادیث</w:t>
            </w:r>
            <w:r>
              <w:rPr>
                <w:rStyle w:val="IndexLink"/>
                <w:rtl w:val="true"/>
              </w:rPr>
              <w:tab/>
            </w:r>
            <w:r>
              <w:rPr>
                <w:rStyle w:val="IndexLink"/>
              </w:rPr>
              <w:t>789</w:t>
            </w:r>
          </w:hyperlink>
        </w:p>
        <w:p>
          <w:pPr>
            <w:pStyle w:val="Contents4"/>
            <w:tabs>
              <w:tab w:val="clear" w:pos="8176"/>
              <w:tab w:val="right" w:pos="9026" w:leader="dot"/>
            </w:tabs>
            <w:rPr/>
          </w:pPr>
          <w:hyperlink w:anchor="__RefHeading___Toc1757429_653776707">
            <w:r>
              <w:rPr>
                <w:webHidden/>
                <w:rStyle w:val="IndexLink"/>
              </w:rPr>
              <w:t>3</w:t>
            </w:r>
            <w:r>
              <w:rPr>
                <w:rStyle w:val="IndexLink"/>
                <w:rtl w:val="true"/>
              </w:rPr>
              <w:t>-</w:t>
            </w:r>
            <w:r>
              <w:rPr>
                <w:rStyle w:val="IndexLink"/>
                <w:rtl w:val="true"/>
              </w:rPr>
              <w:t>فهرس الاثار و اقوال الصحابه</w:t>
            </w:r>
            <w:r>
              <w:rPr>
                <w:rStyle w:val="IndexLink"/>
                <w:rtl w:val="true"/>
              </w:rPr>
              <w:tab/>
            </w:r>
            <w:r>
              <w:rPr>
                <w:rStyle w:val="IndexLink"/>
              </w:rPr>
              <w:t>795</w:t>
            </w:r>
          </w:hyperlink>
        </w:p>
        <w:p>
          <w:pPr>
            <w:pStyle w:val="Contents4"/>
            <w:tabs>
              <w:tab w:val="clear" w:pos="8176"/>
              <w:tab w:val="right" w:pos="9026" w:leader="dot"/>
            </w:tabs>
            <w:rPr/>
          </w:pPr>
          <w:hyperlink w:anchor="__RefHeading___Toc1757431_653776707">
            <w:r>
              <w:rPr>
                <w:webHidden/>
                <w:rStyle w:val="IndexLink"/>
              </w:rPr>
              <w:t>4</w:t>
            </w:r>
            <w:r>
              <w:rPr>
                <w:rStyle w:val="IndexLink"/>
                <w:rtl w:val="true"/>
              </w:rPr>
              <w:t xml:space="preserve">- </w:t>
            </w:r>
            <w:r>
              <w:rPr>
                <w:rStyle w:val="IndexLink"/>
                <w:rtl w:val="true"/>
              </w:rPr>
              <w:t>فهرس الاعلام</w:t>
            </w:r>
            <w:r>
              <w:rPr>
                <w:rStyle w:val="IndexLink"/>
                <w:rtl w:val="true"/>
              </w:rPr>
              <w:tab/>
            </w:r>
            <w:r>
              <w:rPr>
                <w:rStyle w:val="IndexLink"/>
              </w:rPr>
              <w:t>799</w:t>
            </w:r>
          </w:hyperlink>
        </w:p>
        <w:p>
          <w:pPr>
            <w:pStyle w:val="Contents4"/>
            <w:tabs>
              <w:tab w:val="clear" w:pos="8176"/>
              <w:tab w:val="right" w:pos="9026" w:leader="dot"/>
            </w:tabs>
            <w:rPr/>
          </w:pPr>
          <w:hyperlink w:anchor="__RefHeading___Toc1757433_653776707">
            <w:r>
              <w:rPr>
                <w:webHidden/>
                <w:rStyle w:val="IndexLink"/>
              </w:rPr>
              <w:t>5</w:t>
            </w:r>
            <w:r>
              <w:rPr>
                <w:rStyle w:val="IndexLink"/>
                <w:rtl w:val="true"/>
              </w:rPr>
              <w:t xml:space="preserve">- </w:t>
            </w:r>
            <w:r>
              <w:rPr>
                <w:rStyle w:val="IndexLink"/>
                <w:rtl w:val="true"/>
              </w:rPr>
              <w:t>فهرس الفرق و الطوائف و المذاهب</w:t>
            </w:r>
            <w:r>
              <w:rPr>
                <w:rStyle w:val="IndexLink"/>
                <w:rtl w:val="true"/>
              </w:rPr>
              <w:tab/>
            </w:r>
            <w:r>
              <w:rPr>
                <w:rStyle w:val="IndexLink"/>
              </w:rPr>
              <w:t>805</w:t>
            </w:r>
          </w:hyperlink>
        </w:p>
        <w:p>
          <w:pPr>
            <w:pStyle w:val="Contents4"/>
            <w:tabs>
              <w:tab w:val="clear" w:pos="8176"/>
              <w:tab w:val="right" w:pos="9026" w:leader="dot"/>
            </w:tabs>
            <w:rPr/>
          </w:pPr>
          <w:hyperlink w:anchor="__RefHeading___Toc1757435_653776707">
            <w:r>
              <w:rPr>
                <w:webHidden/>
                <w:rStyle w:val="IndexLink"/>
              </w:rPr>
              <w:t>6</w:t>
            </w:r>
            <w:r>
              <w:rPr>
                <w:rStyle w:val="IndexLink"/>
                <w:rtl w:val="true"/>
              </w:rPr>
              <w:t xml:space="preserve">- </w:t>
            </w:r>
            <w:r>
              <w:rPr>
                <w:rStyle w:val="IndexLink"/>
                <w:rtl w:val="true"/>
              </w:rPr>
              <w:t>فهرس الکتاب الوارده فی المتن</w:t>
            </w:r>
            <w:r>
              <w:rPr>
                <w:rStyle w:val="IndexLink"/>
                <w:rtl w:val="true"/>
              </w:rPr>
              <w:tab/>
            </w:r>
            <w:r>
              <w:rPr>
                <w:rStyle w:val="IndexLink"/>
              </w:rPr>
              <w:t>809</w:t>
            </w:r>
          </w:hyperlink>
        </w:p>
        <w:p>
          <w:pPr>
            <w:pStyle w:val="Contents4"/>
            <w:tabs>
              <w:tab w:val="clear" w:pos="8176"/>
              <w:tab w:val="right" w:pos="9026" w:leader="dot"/>
            </w:tabs>
            <w:rPr/>
          </w:pPr>
          <w:hyperlink w:anchor="__RefHeading___Toc1757437_653776707">
            <w:r>
              <w:rPr>
                <w:webHidden/>
                <w:rStyle w:val="IndexLink"/>
              </w:rPr>
              <w:t>7</w:t>
            </w:r>
            <w:r>
              <w:rPr>
                <w:rStyle w:val="IndexLink"/>
                <w:rtl w:val="true"/>
              </w:rPr>
              <w:t xml:space="preserve">- </w:t>
            </w:r>
            <w:r>
              <w:rPr>
                <w:rStyle w:val="IndexLink"/>
                <w:rtl w:val="true"/>
              </w:rPr>
              <w:t>فهرس الاشعار</w:t>
            </w:r>
            <w:r>
              <w:rPr>
                <w:rStyle w:val="IndexLink"/>
                <w:rtl w:val="true"/>
              </w:rPr>
              <w:tab/>
            </w:r>
            <w:r>
              <w:rPr>
                <w:rStyle w:val="IndexLink"/>
              </w:rPr>
              <w:t>811</w:t>
            </w:r>
          </w:hyperlink>
        </w:p>
        <w:p>
          <w:pPr>
            <w:pStyle w:val="Contents4"/>
            <w:tabs>
              <w:tab w:val="clear" w:pos="8176"/>
              <w:tab w:val="right" w:pos="9026" w:leader="dot"/>
            </w:tabs>
            <w:rPr/>
          </w:pPr>
          <w:hyperlink w:anchor="__RefHeading___Toc1757439_653776707">
            <w:r>
              <w:rPr>
                <w:webHidden/>
                <w:rStyle w:val="IndexLink"/>
              </w:rPr>
              <w:t>8</w:t>
            </w:r>
            <w:r>
              <w:rPr>
                <w:rStyle w:val="IndexLink"/>
                <w:rtl w:val="true"/>
              </w:rPr>
              <w:t>-</w:t>
            </w:r>
            <w:r>
              <w:rPr>
                <w:rStyle w:val="IndexLink"/>
                <w:rtl w:val="true"/>
              </w:rPr>
              <w:t>فهرس الاماکن و البقاع</w:t>
            </w:r>
            <w:r>
              <w:rPr>
                <w:rStyle w:val="IndexLink"/>
                <w:rtl w:val="true"/>
              </w:rPr>
              <w:tab/>
            </w:r>
            <w:r>
              <w:rPr>
                <w:rStyle w:val="IndexLink"/>
              </w:rPr>
              <w:t>813</w:t>
            </w:r>
          </w:hyperlink>
        </w:p>
        <w:p>
          <w:pPr>
            <w:pStyle w:val="Contents4"/>
            <w:tabs>
              <w:tab w:val="clear" w:pos="8176"/>
              <w:tab w:val="right" w:pos="9026" w:leader="dot"/>
            </w:tabs>
            <w:rPr/>
          </w:pPr>
          <w:hyperlink w:anchor="__RefHeading___Toc1757441_653776707">
            <w:r>
              <w:rPr>
                <w:webHidden/>
                <w:rStyle w:val="IndexLink"/>
              </w:rPr>
              <w:t>9</w:t>
            </w:r>
            <w:r>
              <w:rPr>
                <w:rStyle w:val="IndexLink"/>
                <w:rtl w:val="true"/>
              </w:rPr>
              <w:t>-</w:t>
            </w:r>
            <w:r>
              <w:rPr>
                <w:rStyle w:val="IndexLink"/>
                <w:rtl w:val="true"/>
              </w:rPr>
              <w:t>فهرس مصادر البحث و التحقیق</w:t>
            </w:r>
            <w:r>
              <w:rPr>
                <w:rStyle w:val="IndexLink"/>
                <w:rtl w:val="true"/>
              </w:rPr>
              <w:tab/>
            </w:r>
            <w:r>
              <w:rPr>
                <w:rStyle w:val="IndexLink"/>
              </w:rPr>
              <w:t>815</w:t>
            </w:r>
          </w:hyperlink>
        </w:p>
        <w:p>
          <w:pPr>
            <w:pStyle w:val="Contents4"/>
            <w:tabs>
              <w:tab w:val="clear" w:pos="8176"/>
              <w:tab w:val="right" w:pos="9026" w:leader="dot"/>
            </w:tabs>
            <w:rPr/>
          </w:pPr>
          <w:hyperlink w:anchor="__RefHeading___Toc1757443_653776707">
            <w:r>
              <w:rPr>
                <w:webHidden/>
                <w:rStyle w:val="IndexLink"/>
              </w:rPr>
              <w:t>10</w:t>
            </w:r>
            <w:r>
              <w:rPr>
                <w:rStyle w:val="IndexLink"/>
                <w:rtl w:val="true"/>
              </w:rPr>
              <w:t>-</w:t>
            </w:r>
            <w:r>
              <w:rPr>
                <w:rStyle w:val="IndexLink"/>
                <w:rtl w:val="true"/>
              </w:rPr>
              <w:t>فهرس محتوی الکتاب</w:t>
            </w:r>
            <w:r>
              <w:rPr>
                <w:rStyle w:val="IndexLink"/>
                <w:rtl w:val="true"/>
              </w:rPr>
              <w:tab/>
            </w:r>
            <w:r>
              <w:rPr>
                <w:rStyle w:val="IndexLink"/>
              </w:rPr>
              <w:t>827</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6519_49079"/>
      <w:bookmarkStart w:id="1" w:name="pg6519_49079"/>
      <w:bookmarkEnd w:id="1"/>
    </w:p>
    <w:p>
      <w:pPr>
        <w:pStyle w:val="Heading2"/>
        <w:numPr>
          <w:ilvl w:val="1"/>
          <w:numId w:val="1"/>
        </w:numPr>
        <w:rPr/>
      </w:pPr>
      <w:bookmarkStart w:id="2" w:name="pg6519_49079"/>
      <w:bookmarkStart w:id="3" w:name="__RefHeading___Toc1757155_653776707"/>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طوس‍ی‌، م‍ح‍م‍دب‍ن‌ ح‍س‍ن‌، </w:t>
      </w:r>
      <w:r>
        <w:rPr>
          <w:rFonts w:ascii="IRNazanin" w:hAnsi="IRNazanin" w:eastAsia="IRNazanin"/>
          <w:color w:val="111111"/>
          <w:sz w:val="28"/>
          <w:sz w:val="28"/>
          <w:szCs w:val="28"/>
          <w:lang w:bidi="fa-IR"/>
        </w:rPr>
        <w:t>۴۶۰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۳۸۵</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ال‍ع‍ده‌ ف‍ی‌ اص‍ول‌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اب‍ن‌ج‍ع‍ف‍ر م‍ح‍م‍دب‍ن‌ ح‍س‍ن‌ ال‍طوس‍ی‌؛ ت‍ح‍ق‍ی‍ق‌ م‍ح‍م‍درض‍ا الان‍ص‍اری‌ ال‍ق‍م‍ی‌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 نا </w:t>
      </w:r>
      <w:r>
        <w:rPr>
          <w:rFonts w:eastAsia="IRNazanin" w:cs="IRNazanin"/>
          <w:color w:val="111111"/>
          <w:sz w:val="28"/>
          <w:szCs w:val="28"/>
          <w:rtl w:val="true"/>
          <w:lang w:bidi="fa-IR"/>
        </w:rPr>
        <w:t xml:space="preserve">-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 ب‍ه‌ص‍ورت‌ زی‍رن‍وی‍س‌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ف‍ق‍ه‌ ش‍ی‍ع‍ه‌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ان‍ص‍اری‌ ق‍م‍ی‌، م‍ح‍م‍درض‍ا، </w:t>
      </w:r>
      <w:r>
        <w:rPr>
          <w:rFonts w:ascii="IRNazanin" w:hAnsi="IRNazanin" w:eastAsia="IRNazanin"/>
          <w:color w:val="111111"/>
          <w:sz w:val="28"/>
          <w:sz w:val="28"/>
          <w:szCs w:val="28"/>
          <w:lang w:bidi="fa-IR"/>
        </w:rPr>
        <w:t>۱۳۳۷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م‍ح‍ق‍ق‌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۱۵۸</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lang w:bidi="fa-IR"/>
        </w:rPr>
        <w:t>‫‭</w:t>
      </w:r>
      <w:r>
        <w:rPr>
          <w:rFonts w:eastAsia="IRNazanin" w:cs="IRNazanin"/>
          <w:color w:val="111111"/>
          <w:sz w:val="28"/>
          <w:szCs w:val="28"/>
          <w:lang w:bidi="fa-IR"/>
        </w:rPr>
        <w:t>/</w:t>
      </w:r>
      <w:r>
        <w:rPr>
          <w:rFonts w:ascii="IRNazanin" w:hAnsi="IRNazanin" w:eastAsia="IRNazanin"/>
          <w:color w:val="111111"/>
          <w:sz w:val="28"/>
          <w:sz w:val="28"/>
          <w:szCs w:val="28"/>
          <w:lang w:bidi="fa-IR"/>
        </w:rPr>
        <w:t>ط۹ع۴ ۱۳۷۵</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۳۱۲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w:t>
      </w:r>
      <w:r>
        <w:rPr>
          <w:rFonts w:ascii="IRNazanin" w:hAnsi="IRNazanin" w:eastAsia="IRNazanin"/>
          <w:color w:val="111111"/>
          <w:sz w:val="28"/>
          <w:sz w:val="28"/>
          <w:szCs w:val="28"/>
          <w:lang w:bidi="fa-IR"/>
        </w:rPr>
        <w:t>م‌۸۳</w:t>
      </w:r>
      <w:r>
        <w:rPr>
          <w:rFonts w:eastAsia="IRNazanin" w:cs="IRNazanin"/>
          <w:color w:val="111111"/>
          <w:sz w:val="28"/>
          <w:szCs w:val="28"/>
          <w:lang w:bidi="fa-IR"/>
        </w:rPr>
        <w:t>-</w:t>
      </w:r>
      <w:r>
        <w:rPr>
          <w:rFonts w:ascii="IRNazanin" w:hAnsi="IRNazanin" w:eastAsia="IRNazanin"/>
          <w:color w:val="111111"/>
          <w:sz w:val="28"/>
          <w:sz w:val="28"/>
          <w:szCs w:val="28"/>
          <w:lang w:bidi="fa-IR"/>
        </w:rPr>
        <w:t>۶۱۶۸</w:t>
      </w:r>
    </w:p>
    <w:p>
      <w:pPr>
        <w:pStyle w:val="Heading2"/>
        <w:numPr>
          <w:ilvl w:val="1"/>
          <w:numId w:val="1"/>
        </w:numPr>
        <w:rPr/>
      </w:pPr>
      <w:bookmarkStart w:id="5" w:name="__RefHeading___Toc1757157_653776707"/>
      <w:bookmarkStart w:id="6" w:name="_Toc2"/>
      <w:bookmarkEnd w:id="5"/>
      <w:r>
        <w:rPr>
          <w:rtl w:val="true"/>
        </w:rPr>
        <w:t xml:space="preserve">المجلد </w:t>
      </w:r>
      <w:r>
        <w:rPr/>
        <w:t>1</w:t>
      </w:r>
      <w:bookmarkEnd w:id="6"/>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 w:name="__RefHeading___Toc1757159_653776707"/>
      <w:bookmarkStart w:id="8" w:name="_Toc3"/>
      <w:bookmarkEnd w:id="7"/>
      <w:r>
        <w:rPr>
          <w:rtl w:val="true"/>
        </w:rPr>
        <w:t>اشارة</w:t>
      </w:r>
      <w:bookmarkEnd w:id="8"/>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الحمد للّه وحده، و الصَّلاة علی خیر خلقه، محمّد و آله الطیبین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سألتم أیّدکم اللّه إملاء مختصر فی أصول الفقه، یحیط بجمیع أبوابه علی وجه الاختصار و الإیجاز</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علی سبیل الإیجاز و الاختصار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علی ما تقتضیه مذاهبنا، و توجبه أصولنا، فانّ من صنّف فی هذا الباب سلک کلّ قوم منهم المسالک التی اقتضاها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أصولهم، و لم یصنف أحد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من أصحابنا فی هذا المعنی، إلا ما ذکره شیخنا أبو عبد اللّه رحمه اللّه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ولد عام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بعکبری، و عاش ببغداد، و حضر دروس أعلامها، کانت له مجالس درس و نظر، فربی جماعة من الأعلام أمثال الشریفین الرضی، و المرتضی، و الطوسی، و غیرهم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مدحه المترجمون له، فقال عنه ابن أبی طی الحلبی فی تاریخه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شیخ مشایخ الطائفة، و لسان الإمامیة، و رئیس الکلام و الفقه و الجدل، و کان یناظر أهل کل عقیدة مع الجلالة العظیمة فی الدولة البویهیة، و کان کثیر الصدقات، عظیم الخشوع، کثیر الصلاة و الصوم، خشن اللباس، و کان عضد الدولة ربما زار الشیخ المفید، عاش ستا و سبعین سنة، و له أکثر من مائتی 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 فی رمضان عام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 شیعه ما یزید علی مائة ألف و دفن بمقابر قریش، و فی ذکراه الألفیة أقیم مؤتمر عالمی فی مدینة قم شارک فیه وفود خمسون دولة و طبعت کتبه و رسائله فی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صدرت عند دراسته مفصلة باللغة الإنکلیزیة و هی کتاب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نظریات علم الکلام عند الشیخ المفید </w:t>
      </w:r>
      <w:r>
        <w:rPr>
          <w:rFonts w:eastAsia="Times New Roman" w:cs="Times New Roman" w:ascii="Times New Roman" w:hAnsi="Times New Roman"/>
          <w:color w:val="111111"/>
          <w:sz w:val="28"/>
          <w:szCs w:val="28"/>
          <w:lang w:val="en-US" w:bidi="en-US"/>
        </w:rPr>
        <w:t>The Theology Of  -Sh k- -Mufid</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حیث نال بها کاتبها الأب الیسوعی مارتن مکدرموت شهادة الدکتوراه من جامعة شیکاغو، و قد ترجم الکتاب إلی اللغة العربیة و الفارسیة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الفهرست للندیم</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تاریخ بغداد </w:t>
      </w:r>
      <w:r>
        <w:rPr>
          <w:rFonts w:eastAsia="IRNazanin" w:cs="IRNazanin"/>
          <w:color w:val="111111"/>
          <w:sz w:val="28"/>
          <w:szCs w:val="28"/>
          <w:lang w:bidi="fa-IR"/>
        </w:rPr>
        <w:t>231:3</w:t>
      </w:r>
      <w:r>
        <w:rPr>
          <w:rFonts w:ascii="IRNazanin" w:hAnsi="IRNazanin" w:eastAsia="IRNazanin"/>
          <w:color w:val="111111"/>
          <w:sz w:val="28"/>
          <w:sz w:val="28"/>
          <w:szCs w:val="28"/>
          <w:rtl w:val="true"/>
          <w:lang w:bidi="fa-IR"/>
        </w:rPr>
        <w:t xml:space="preserve">، رجال النجاشی </w:t>
      </w:r>
      <w:r>
        <w:rPr>
          <w:rFonts w:eastAsia="IRNazanin" w:cs="IRNazanin"/>
          <w:color w:val="111111"/>
          <w:sz w:val="28"/>
          <w:szCs w:val="28"/>
          <w:lang w:bidi="fa-IR"/>
        </w:rPr>
        <w:t>40:3</w:t>
      </w:r>
      <w:r>
        <w:rPr>
          <w:rFonts w:eastAsia="IRNazanin" w:cs="IRNazanin"/>
          <w:color w:val="111111"/>
          <w:sz w:val="28"/>
          <w:szCs w:val="28"/>
          <w:rtl w:val="true"/>
          <w:lang w:bidi="fa-IR"/>
        </w:rPr>
        <w:t>-</w:t>
      </w:r>
      <w:r>
        <w:rPr>
          <w:rFonts w:eastAsia="IRNazanin" w:cs="IRNazanin"/>
          <w:color w:val="111111"/>
          <w:sz w:val="28"/>
          <w:szCs w:val="28"/>
          <w:lang w:bidi="fa-IR"/>
        </w:rPr>
        <w:t>399</w:t>
      </w:r>
      <w:r>
        <w:rPr>
          <w:rFonts w:ascii="IRNazanin" w:hAnsi="IRNazanin" w:eastAsia="IRNazanin"/>
          <w:color w:val="111111"/>
          <w:sz w:val="28"/>
          <w:sz w:val="28"/>
          <w:szCs w:val="28"/>
          <w:rtl w:val="true"/>
          <w:lang w:bidi="fa-IR"/>
        </w:rPr>
        <w:t>، ط جماعة المدرسین، الفهرست للطوسی</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نجف، العبر فی خبر من غبر </w:t>
      </w:r>
      <w:r>
        <w:rPr>
          <w:rFonts w:eastAsia="IRNazanin" w:cs="IRNazanin"/>
          <w:color w:val="111111"/>
          <w:sz w:val="28"/>
          <w:szCs w:val="28"/>
          <w:lang w:bidi="fa-IR"/>
        </w:rPr>
        <w:t>115:3</w:t>
      </w:r>
      <w:r>
        <w:rPr>
          <w:rFonts w:eastAsia="IRNazanin" w:cs="IRNazanin"/>
          <w:color w:val="111111"/>
          <w:sz w:val="28"/>
          <w:szCs w:val="28"/>
          <w:rtl w:val="true"/>
          <w:lang w:bidi="fa-IR"/>
        </w:rPr>
        <w:t>-</w:t>
      </w:r>
      <w:r>
        <w:rPr>
          <w:rFonts w:eastAsia="IRNazanin" w:cs="IRNazanin"/>
          <w:color w:val="111111"/>
          <w:sz w:val="28"/>
          <w:szCs w:val="28"/>
          <w:lang w:bidi="fa-IR"/>
        </w:rPr>
        <w:t>114</w:t>
      </w:r>
      <w:r>
        <w:rPr>
          <w:rFonts w:eastAsia="IRNazanin" w:cs="IRNazanin"/>
          <w:color w:val="111111"/>
          <w:sz w:val="28"/>
          <w:szCs w:val="28"/>
          <w:rtl w:val="true"/>
          <w:lang w:bidi="fa-IR"/>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المختصر الّذی له فی أصول</w:t>
      </w:r>
    </w:p>
    <w:p>
      <w:pPr>
        <w:pStyle w:val="BookText"/>
        <w:rPr/>
      </w:pPr>
      <w:r>
        <w:rPr>
          <w:rFonts w:ascii="IRNazanin" w:hAnsi="IRNazanin" w:eastAsia="IRNazanin"/>
          <w:color w:val="111111"/>
          <w:sz w:val="28"/>
          <w:sz w:val="28"/>
          <w:szCs w:val="28"/>
          <w:rtl w:val="true"/>
          <w:lang w:bidi="fa-IR"/>
        </w:rPr>
        <w:t>الفقه</w:t>
      </w:r>
      <w:r>
        <w:rPr>
          <w:rStyle w:val="FootnoteAnchor"/>
          <w:rtl w:val="true"/>
        </w:rPr>
        <w:footnoteReference w:id="3"/>
      </w:r>
      <w:r>
        <w:rPr>
          <w:rFonts w:ascii="IRNazanin" w:hAnsi="IRNazanin" w:eastAsia="IRNazanin"/>
          <w:color w:val="111111"/>
          <w:sz w:val="28"/>
          <w:sz w:val="28"/>
          <w:szCs w:val="28"/>
          <w:rtl w:val="true"/>
          <w:lang w:bidi="fa-IR"/>
        </w:rPr>
        <w:t>و لم یستقصیه، و شذَّ منه أشیاء یحتاج إلی استدراکها، و تحریرات غیر ما حرَّرها فإن</w:t>
      </w:r>
      <w:r>
        <w:rPr>
          <w:rStyle w:val="FootnoteAnchor"/>
          <w:rtl w:val="true"/>
        </w:rPr>
        <w:footnoteReference w:id="4"/>
      </w:r>
      <w:r>
        <w:rPr>
          <w:rFonts w:ascii="IRNazanin" w:hAnsi="IRNazanin" w:eastAsia="IRNazanin"/>
          <w:color w:val="111111"/>
          <w:sz w:val="28"/>
          <w:sz w:val="28"/>
          <w:szCs w:val="28"/>
          <w:rtl w:val="true"/>
          <w:lang w:bidi="fa-IR"/>
        </w:rPr>
        <w:t>سیدنا الأجل المرتضی</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من الأعلام المشاهیر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وصفه تلمیذه النجاشی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حاز من العلوم ما لم یدانه فیه أحد فی زمانه، و سمع من الحدیث فأکثر، و کان متکلما، شاعرا، أدیبا، عظیم المنزلة فی العلم، و الدین، و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ببغداد عام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و فیها تلقی العلم عند جماعة منهم الشیخ المفید و المرزبانی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 فی عزّ و منعة و ثراء واسع، و تولی زعامة الشیعة بعد وفاة 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 فی مدرسته جماعة من الفقهاء الأعلام کالطوسی و ابن البراج و غیرهما، و صنف عشرات الکتب و الرسائل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 ببغداد فی ربیع الأول سنة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و دفن بمقابر قریش ثم نقل إلی کربلاء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النجاشی</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ط جماعة المدرسین، تاریخ بغداد </w:t>
      </w:r>
      <w:r>
        <w:rPr>
          <w:rFonts w:eastAsia="IRNazanin" w:cs="IRNazanin"/>
          <w:color w:val="111111"/>
          <w:sz w:val="28"/>
          <w:szCs w:val="28"/>
          <w:lang w:bidi="fa-IR"/>
        </w:rPr>
        <w:t>402:11</w:t>
      </w:r>
      <w:r>
        <w:rPr>
          <w:rFonts w:ascii="IRNazanin" w:hAnsi="IRNazanin" w:eastAsia="IRNazanin"/>
          <w:color w:val="111111"/>
          <w:sz w:val="28"/>
          <w:sz w:val="28"/>
          <w:szCs w:val="28"/>
          <w:rtl w:val="true"/>
          <w:lang w:bidi="fa-IR"/>
        </w:rPr>
        <w:t xml:space="preserve">، الفهرست للطوسی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معجم الأدباء </w:t>
      </w:r>
      <w:r>
        <w:rPr>
          <w:rFonts w:eastAsia="IRNazanin" w:cs="IRNazanin"/>
          <w:color w:val="111111"/>
          <w:sz w:val="28"/>
          <w:szCs w:val="28"/>
          <w:lang w:bidi="fa-IR"/>
        </w:rPr>
        <w:t>146:13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قدس اللّه روحه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إن کثر فی أمالیه و ما یقر علیه شرح ذلک، فلم یصنف فی هذا المعنی شیئا یرجع إلیه، و یجعل ظهرا یستند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قلتم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فن من العلم لا بد من شدة الاهتمام به، لأن الشریعة کلها مبنیَّة علیه، و لا یتم العلم بشیء منها من دون إحکام أصولها، و من لم یحکم أصولها فإنما یکون حاکیا و مقلدا، و لا یکون عالما، و هذه منزلة یرغب أهل الفضل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أنا مجیبکم إلی ما سألتم عنه، مستعینا باللّه و حوله و قوته، و أسأله أن یعنی</w:t>
      </w:r>
      <w:r>
        <w:rPr>
          <w:rStyle w:val="FootnoteAnchor"/>
          <w:rtl w:val="true"/>
        </w:rPr>
        <w:footnoteReference w:id="6"/>
      </w:r>
      <w:r>
        <w:rPr>
          <w:rFonts w:ascii="IRNazanin" w:hAnsi="IRNazanin" w:eastAsia="IRNazanin"/>
          <w:color w:val="111111"/>
          <w:sz w:val="28"/>
          <w:sz w:val="28"/>
          <w:szCs w:val="28"/>
          <w:rtl w:val="true"/>
          <w:lang w:bidi="fa-IR"/>
        </w:rPr>
        <w:t>علی ما یقرب من ثوابه، و یبعد من عقابه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أقدم</w:t>
      </w:r>
      <w:r>
        <w:rPr>
          <w:rStyle w:val="FootnoteAnchor"/>
          <w:rtl w:val="true"/>
        </w:rPr>
        <w:footnoteReference w:id="7"/>
      </w:r>
      <w:r>
        <w:rPr>
          <w:rFonts w:ascii="IRNazanin" w:hAnsi="IRNazanin" w:eastAsia="IRNazanin"/>
          <w:color w:val="111111"/>
          <w:sz w:val="28"/>
          <w:sz w:val="28"/>
          <w:szCs w:val="28"/>
          <w:rtl w:val="true"/>
          <w:lang w:bidi="fa-IR"/>
        </w:rPr>
        <w:t>فی أول الکتاب فصلا یتضمن ماهیة أصول الفقه، و انقسامها، و کیفیة ترتیب أبوابها، و تعلق بعضها ببعض، حتی أن الناظر إذا نظر فیه وقف علی الغرض المقصود بالکتاب، و تبین من أوله إلی آخره</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الله تعالی الموفق للصواب</w:t>
      </w:r>
      <w:r>
        <w:rPr>
          <w:rFonts w:eastAsia="IRNazanin" w:cs="IRNazanin"/>
          <w:color w:val="111111"/>
          <w:sz w:val="28"/>
          <w:szCs w:val="28"/>
          <w:rtl w:val="true"/>
          <w:lang w:bidi="fa-IR"/>
        </w:rPr>
        <w:t xml:space="preserve">. </w:t>
      </w:r>
      <w:bookmarkStart w:id="9" w:name="pg6519_49083"/>
    </w:p>
    <w:p>
      <w:pPr>
        <w:pStyle w:val="Heading3"/>
        <w:numPr>
          <w:ilvl w:val="2"/>
          <w:numId w:val="1"/>
        </w:numPr>
        <w:rPr/>
      </w:pPr>
      <w:bookmarkStart w:id="10" w:name="__RefHeading___Toc1757161_653776707"/>
      <w:bookmarkStart w:id="11" w:name="_Toc4"/>
      <w:bookmarkEnd w:id="9"/>
      <w:bookmarkEnd w:id="10"/>
      <w:r>
        <w:rPr>
          <w:rtl w:val="true"/>
        </w:rPr>
        <w:t>الباب الأول</w:t>
      </w:r>
      <w:bookmarkEnd w:id="11"/>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2" w:name="__RefHeading___Toc1757163_653776707"/>
      <w:bookmarkStart w:id="13" w:name="_Toc5"/>
      <w:bookmarkEnd w:id="12"/>
      <w:r>
        <w:rPr>
          <w:rtl w:val="true"/>
        </w:rPr>
        <w:t>اشارة</w:t>
      </w:r>
      <w:bookmarkEnd w:id="13"/>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 w:name="pg6519_49085"/>
      <w:bookmarkStart w:id="15" w:name="pg6519_49085"/>
      <w:bookmarkEnd w:id="15"/>
    </w:p>
    <w:p>
      <w:pPr>
        <w:pStyle w:val="Heading4"/>
        <w:numPr>
          <w:ilvl w:val="3"/>
          <w:numId w:val="1"/>
        </w:numPr>
        <w:rPr/>
      </w:pPr>
      <w:bookmarkStart w:id="16" w:name="pg6519_49085"/>
      <w:bookmarkStart w:id="17" w:name="__RefHeading___Toc1757165_653776707"/>
      <w:bookmarkStart w:id="18" w:name="_Toc6"/>
      <w:bookmarkEnd w:id="16"/>
      <w:bookmarkEnd w:id="17"/>
      <w:r>
        <w:rPr/>
        <w:t>1</w:t>
      </w:r>
      <w:r>
        <w:rPr>
          <w:rtl w:val="true"/>
        </w:rPr>
        <w:t xml:space="preserve">- </w:t>
      </w:r>
      <w:r>
        <w:rPr>
          <w:rtl w:val="true"/>
        </w:rPr>
        <w:t xml:space="preserve">فصل </w:t>
      </w:r>
      <w:r>
        <w:rPr>
          <w:rtl w:val="true"/>
        </w:rPr>
        <w:t>«</w:t>
      </w:r>
      <w:r>
        <w:rPr>
          <w:rtl w:val="true"/>
        </w:rPr>
        <w:t>فی ماهیة أصول الفقه، و انقسامها، و کیفیة ترتیب أبوابها</w:t>
      </w:r>
      <w:r>
        <w:rPr>
          <w:rtl w:val="true"/>
        </w:rPr>
        <w:t>»</w:t>
      </w:r>
      <w:bookmarkEnd w:id="18"/>
    </w:p>
    <w:p>
      <w:pPr>
        <w:pStyle w:val="BookText"/>
        <w:rPr/>
      </w:pPr>
      <w:r>
        <w:rPr>
          <w:rFonts w:ascii="IRNazanin" w:hAnsi="IRNazanin" w:eastAsia="IRNazanin"/>
          <w:color w:val="111111"/>
          <w:sz w:val="28"/>
          <w:sz w:val="28"/>
          <w:szCs w:val="28"/>
          <w:rtl w:val="true"/>
          <w:lang w:bidi="fa-IR"/>
        </w:rPr>
        <w:t>أصول الفقه هی أدلة الفقه، و إذا</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فإذا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تکلمنا فی هذه الأدلة فقد نتکلم فیما تقتضیه من إیجاب، و ندب، و إباحة، و غیر ذلک من الأقسام علی طریق الجملة، و لیس یلزم علی ذلک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أن تکون الأدلة الموصلة إلی فروع الفقه، الکلام فیها کلاما فی أصول الفقه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لأن هذه الأدلة أدلة علی تعیین المسائل، و الکلام فی الجملة غیر الکلام فی التفصیل، و لیس المراد بذلک ما لا یتم العلم بالفقه إلا معه، لأنه لو کان کذلک لزم أن یکون الکلام فی حدوث الأجسام، و إثبات الصانع، و العلم بصفاته، و إیجاب عدله، و تثبیت الرسالة، و تصحیح النبوة، کلاما فی أصول الفقه، لأن العلم به لا یتم من دون العلم بجمیع ذلک، و ذلک لا یقوله أحد، فعلم بهذه الجملة أن المراد بهذه العبارة ما قلناه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الأصل فی هذه الأصول الخطاب، أو ما کان طریقا إلی إثبات الخطاب، أو ما کان الخطاب طریقا إلیه</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فأما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الکلام الواقع علی بعض الوجوه، و لیس کل کلام خطابا، </w:t>
      </w:r>
    </w:p>
    <w:p>
      <w:pPr>
        <w:pStyle w:val="BookText"/>
        <w:rPr/>
      </w:pPr>
      <w:r>
        <w:rPr>
          <w:rFonts w:ascii="IRNazanin" w:hAnsi="IRNazanin" w:eastAsia="IRNazanin"/>
          <w:color w:val="111111"/>
          <w:sz w:val="28"/>
          <w:sz w:val="28"/>
          <w:szCs w:val="28"/>
          <w:rtl w:val="true"/>
          <w:lang w:bidi="fa-IR"/>
        </w:rPr>
        <w:t>و کل خطاب 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الخطاب یفتقر فی کونه کذلک إلی إرادة المخاطب، لکونه خطابا لمن هو خطاب له و متوجه إلیه، لأنه قد یوافق الخطاب فی جمیع صفاته من وجود، و حدوث، و صیغة، و ترتیب ما لیس بخطاب، فلا بد من أمر زائد، و هو ما قلناه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الکلام فی الخطاب، کلام فی بیان أدلة الکتاب، و السنة، و ذلک ینقسم خمسة أقسام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الکلام فی الأوامر و النواهی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الکلام فی العموم و الخصوص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الکلام فی المطلق و المقید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الکلام فی المجمل و المبین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الکلام فی الناسخ و المنسوخ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ما هو طریق إلی إثبات الخطاب من هذه الطرق، فهو قسم واحد، و هو الکلام فی الأخبار، و بیان أقسامها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الخطاب طریق إلیه، فهو أیضا قسم واحد، و هو الکلام فی أحکام الأفعال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ألحق قوم بهذا القسم الکلام فی الإجماع، و القیاس، و الاجتهاد، و صفة المفتی و المستفتی، و الحظر، و الإباحة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غیر صحیح علی قاعدة مذاهبنا، لأن الإجماع عندنا إذا اعتبرناه، من حیث کان فیه معصوم، و لا یجوز علیه الخطأ، و لا یخلو الزمان منه، و طریق ذلک العقل دون السمع، فهو خارج عن هذا الباب</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القیاس و الاجتهاد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فعندنا أنهما لیسا بدلیلین، بل محظور استعمالهما، </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نحن نبین ذلک فیما بعد، و نبین أیضا ما عندنا فی صفة المفتی و المستفتی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الکلام فی الحظر و الإباحة، فعندنا و عند أکثر من خالفنا طریقه العقل أیضا</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زیادة فی نسخة 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 فهو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من هذا الباب</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الأولی فی تقدیم هذه الأصول الکلام فی الأخبار، و بیان أحکامها، و کیفیة </w:t>
      </w:r>
    </w:p>
    <w:p>
      <w:pPr>
        <w:pStyle w:val="BookText"/>
        <w:rPr/>
      </w:pPr>
      <w:r>
        <w:rPr>
          <w:rFonts w:ascii="IRNazanin" w:hAnsi="IRNazanin" w:eastAsia="IRNazanin"/>
          <w:color w:val="111111"/>
          <w:sz w:val="28"/>
          <w:sz w:val="28"/>
          <w:szCs w:val="28"/>
          <w:rtl w:val="true"/>
          <w:lang w:bidi="fa-IR"/>
        </w:rPr>
        <w:t>أقسامها، لأنها الطریق إلی إثبات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الکلام فی أقسام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الکلام فی الأفعال لأنها متأخرة عن العلم بالخطاب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الکلام فی تتبع ما عده المخالف أصلا و لیس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کان المبتغی</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المبتنی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بهذه الأصول العلم، فلا بدّ من أن نبین فصلاً یتضمن بیان حقیقته، و</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الفرق بینه و بین الظن و غیره، و ما یصح من ذلک أن یکون مطلوباً، و ما لا یصح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بد أیضا من بیان ما لا یتم العلم إلا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حقیقة النّظر، و شرائط الناظر، و ما یجب أن یکون علیه، و بیان معنی الدلالة، و سائر متصرفاته، و اختلاف العبارة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کان الأصل فی هذا الباب الخطاب، و کان ذلک کلاما فلا بدّ من بیان فصل یتضمن معنی الکلام، و بیان الحقیقة منه و المجاز، و انقسام أنواعه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کان الکلام صادرا من متکلم، فلا بدّ من بیان من یصح الاستدلال بکلامه و من لا یصح، و یدخل فی ذلک الکلام فیما یجب أن یعرف من صفات اللّه تعالی و ما لا یجب، و صفات النبی صلی اللّه علیه و آله و سلم و صفات الأئمة القائمین مقامه الذین یجری قولهم مجری قوله علیه السلام</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نحن نبین جمیع ذلک فی أبوابه علی غایة من الاختصار حسب ما تقتضیه الحاجة، و نقتصر</w:t>
      </w:r>
      <w:r>
        <w:rPr>
          <w:rStyle w:val="FootnoteAnchor"/>
          <w:rtl w:val="true"/>
        </w:rPr>
        <w:footnoteReference w:id="12"/>
      </w:r>
      <w:r>
        <w:rPr>
          <w:rFonts w:ascii="IRNazanin" w:hAnsi="IRNazanin" w:eastAsia="IRNazanin"/>
          <w:color w:val="111111"/>
          <w:sz w:val="28"/>
          <w:sz w:val="28"/>
          <w:szCs w:val="28"/>
          <w:rtl w:val="true"/>
          <w:lang w:bidi="fa-IR"/>
        </w:rPr>
        <w:t>فیما نذکره علی الإشارة إلی ذکر ما ینبغی أن یعتمد علیه، و یحصل العلم به دون أن یقرن</w:t>
      </w:r>
      <w:r>
        <w:rPr>
          <w:rStyle w:val="FootnoteAnchor"/>
          <w:rtl w:val="true"/>
        </w:rPr>
        <w:footnoteReference w:id="13"/>
      </w:r>
      <w:r>
        <w:rPr>
          <w:rFonts w:ascii="IRNazanin" w:hAnsi="IRNazanin" w:eastAsia="IRNazanin"/>
          <w:color w:val="111111"/>
          <w:sz w:val="28"/>
          <w:sz w:val="28"/>
          <w:szCs w:val="28"/>
          <w:rtl w:val="true"/>
          <w:lang w:bidi="fa-IR"/>
        </w:rPr>
        <w:t>ذلک بالأدلة المفضیة إلیه، لأن لشرح ذلک موضعا غیر هذا، و المطلوب من هذا الکتاب بیان ما یختصه من تصحیح أصول الفقه التی ذکرناها، و بیان الصحیح منها و الفاسد، إن شاء اللّه تعالی</w:t>
      </w:r>
      <w:r>
        <w:rPr>
          <w:rFonts w:eastAsia="IRNazanin" w:cs="IRNazanin"/>
          <w:color w:val="111111"/>
          <w:sz w:val="28"/>
          <w:szCs w:val="28"/>
          <w:rtl w:val="true"/>
          <w:lang w:bidi="fa-IR"/>
        </w:rPr>
        <w:t>.</w:t>
      </w:r>
      <w:bookmarkStart w:id="19" w:name="pg6519_49090"/>
    </w:p>
    <w:p>
      <w:pPr>
        <w:pStyle w:val="Heading4"/>
        <w:numPr>
          <w:ilvl w:val="3"/>
          <w:numId w:val="1"/>
        </w:numPr>
        <w:rPr/>
      </w:pPr>
      <w:bookmarkStart w:id="20" w:name="__RefHeading___Toc1757167_653776707"/>
      <w:bookmarkStart w:id="21" w:name="_Toc7"/>
      <w:bookmarkEnd w:id="19"/>
      <w:bookmarkEnd w:id="20"/>
      <w:r>
        <w:rPr/>
        <w:t>2</w:t>
      </w:r>
      <w:r>
        <w:rPr>
          <w:rtl w:val="true"/>
        </w:rPr>
        <w:t xml:space="preserve">- </w:t>
      </w:r>
      <w:r>
        <w:rPr>
          <w:rtl w:val="true"/>
        </w:rPr>
        <w:t xml:space="preserve">فصل </w:t>
      </w:r>
      <w:r>
        <w:rPr>
          <w:rtl w:val="true"/>
        </w:rPr>
        <w:t>«</w:t>
      </w:r>
      <w:r>
        <w:rPr>
          <w:rtl w:val="true"/>
        </w:rPr>
        <w:t>فی بیان حقیقة العلم، و أقسامه، و معنی الدّلالة، و ما یتصرّف منها</w:t>
      </w:r>
      <w:r>
        <w:rPr>
          <w:rtl w:val="true"/>
        </w:rPr>
        <w:t>»</w:t>
      </w:r>
      <w:bookmarkEnd w:id="21"/>
    </w:p>
    <w:p>
      <w:pPr>
        <w:pStyle w:val="BookText"/>
        <w:rPr/>
      </w:pPr>
      <w:r>
        <w:rPr>
          <w:rFonts w:ascii="IRNazanin" w:hAnsi="IRNazanin" w:eastAsia="IRNazanin"/>
          <w:color w:val="111111"/>
          <w:sz w:val="28"/>
          <w:sz w:val="28"/>
          <w:szCs w:val="28"/>
          <w:rtl w:val="true"/>
          <w:lang w:bidi="fa-IR"/>
        </w:rPr>
        <w:t>حدّ العلم ما اقتضی سکون النّفس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الحدّ أولی من قول من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اعتقاد للشّیء علی ما هو به، مع سکون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الّذی یبیّن به العلم من غیره من الأجناس هو سکون النّفس، دون کونه اعتقادا، لأنّ الجهل أیضا اعتقاد، و کذلک التّقلید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یبیّن أیضا بقولنا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للشّیء علی ما هو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یشارکه فیه التّقلید أیضا، إذا کان معتقده علی ما هو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 یبیّن به هو سکون النّفس، فینبغی أن نقتصر</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یقتصر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علیه، و لیس من حیث أنّ ما اقتضی سکون النّفس لا یکون إلاّ اعتقادا للشّیء علی ما هو به، ینبغی أن یذکر فی الحدّ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أنّه لا بدّ من أن یکون عرضا، و موجودا، و محدثا، و حالاً فی المحلّ، و لا یجب ذکر ذلک فی الحدّ من حیث لا یبیّن به، فکذلک ما قلناه</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یجوز أن یحدَّ العلم بأنّه المعرفة، لأنّ المعرفة هی العلم بعینه، و لا</w:t>
      </w:r>
      <w:r>
        <w:rPr>
          <w:rStyle w:val="FootnoteAnchor"/>
          <w:rtl w:val="true"/>
        </w:rPr>
        <w:footnoteReference w:id="15"/>
      </w:r>
      <w:r>
        <w:rPr>
          <w:rFonts w:ascii="IRNazanin" w:hAnsi="IRNazanin" w:eastAsia="IRNazanin"/>
          <w:color w:val="111111"/>
          <w:sz w:val="28"/>
          <w:sz w:val="28"/>
          <w:szCs w:val="28"/>
          <w:rtl w:val="true"/>
          <w:lang w:bidi="fa-IR"/>
        </w:rPr>
        <w:t xml:space="preserve">یجوز </w:t>
      </w:r>
    </w:p>
    <w:p>
      <w:pPr>
        <w:pStyle w:val="BookText"/>
        <w:rPr/>
      </w:pPr>
      <w:r>
        <w:rPr>
          <w:rFonts w:ascii="Amiri" w:hAnsi="Amiri" w:eastAsia="Amiri" w:cs="Amiri"/>
          <w:color w:val="111111"/>
          <w:sz w:val="28"/>
          <w:sz w:val="28"/>
          <w:szCs w:val="28"/>
          <w:rtl w:val="true"/>
          <w:lang w:bidi="ar-SA"/>
        </w:rPr>
        <w:t>أن یحدّ الشّیء بنفسه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لا یجوز أن یحدّ بأنّه إثبات، لأنّ الإثبات فی اللّغة هو الإیجاب</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 xml:space="preserve">فی أغلب مصادر اللغة التی بین أیدینا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الإثبات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الدوام، و الاستقرار، و الإقامة، و التّحقّق، و التأکّد، و لم یرد 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الإیجاب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یخفی أن الإیجاب من مرادفات المعانی التی ورد ذکرها فی المصادر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 لأجل ذلک یقولون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أثبتّ السّهم فی القرطاس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أوجبته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یعبَّر أیضا فی الخبر عن وجوب الشّیء کما یقال فی المجبّرة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مثبِّتة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إنّ ذلک ینتقض بالتقلید، لأنّه أیضا إثبات للشّیء علی ما هو به، إن أرید بهذه اللّفظة الاعتقاد، و إن أرید بها العلم فقد حدّ الشیء بنفسه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العلوم علی ضربین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ضروریّ، و مکتسب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فحدّ الضّروری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من فعل غیر العالم به، علی وجه لا یمکنه دفعه عن نفسه بشکّ أو شبهة</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الحدّ أولی ممّا قاله بعضهم من أنّه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لا یمکن العالم به دفعه عن نفسه بشکّ أو شبهة إذا انفرد</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ذلک تحرّز ممّن</w:t>
      </w:r>
      <w:r>
        <w:rPr>
          <w:rStyle w:val="FootnoteAnchor"/>
          <w:rtl w:val="true"/>
        </w:rPr>
        <w:footnoteReference w:id="17"/>
      </w:r>
      <w:r>
        <w:rPr>
          <w:rFonts w:ascii="IRNazanin" w:hAnsi="IRNazanin" w:eastAsia="IRNazanin"/>
          <w:color w:val="111111"/>
          <w:sz w:val="28"/>
          <w:sz w:val="28"/>
          <w:szCs w:val="28"/>
          <w:rtl w:val="true"/>
          <w:lang w:bidi="fa-IR"/>
        </w:rPr>
        <w:t>اعتقد بقول النبی صلّی اللّه علیه و آله و سلّم أنّ زیدا فی الدّار، ثمّ شاهده، فإنّه لا یمکنه أن یدفع ذلک عن نفسه، و</w:t>
      </w:r>
      <w:r>
        <w:rPr>
          <w:rStyle w:val="FootnoteAnchor"/>
          <w:rtl w:val="true"/>
        </w:rPr>
        <w:footnoteReference w:id="18"/>
      </w:r>
      <w:r>
        <w:rPr>
          <w:rFonts w:ascii="IRNazanin" w:hAnsi="IRNazanin" w:eastAsia="IRNazanin"/>
          <w:color w:val="111111"/>
          <w:sz w:val="28"/>
          <w:sz w:val="28"/>
          <w:szCs w:val="28"/>
          <w:rtl w:val="true"/>
          <w:lang w:bidi="fa-IR"/>
        </w:rPr>
        <w:t>مع هذا فهو اکتساب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هذا لا یصحّ عندنا، لأنّ العلم بالبلدان، و الوقائع، و ما جری مجراهما، هذا الحدّ موجود فیه، و عند کثیر من أصحابنا مکتسب قطعا، و عند بعضهم هو علی الوقف، فلا یصحّ ذلک علی الوجهین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أنّ ذلک إنّما یصحّ علی مذهب من یقول ببقاء العلوم، فأمّا من قال أنّ العلم لا یبقی فلا معنی لهذا الکلام عنده، لأنّه لا یبقی وقتین، فیصحّ طروّ الشّبهة فی ذلک أو الشّک، فیعتبر صحّة انتفائه بهما أولا، و إنّما یتجدَّد حالا بعد حال، اللّهم إلاّ أن یراد بذلک أنّه یصحّ أن یمنع منه ابتداء، فإن أرید به ذلک فذلک یوجد فی العلم الاستدلالیّ الّذی لم یقارنه الضروری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لأنّه فی حال حصول العلم أیضا لا یمکنه دفعه عن نفسه و إن لم یکن ضروریّا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یصحّ أن یدخل الشّبهة أو الشّک علیه فیمنعا من وجود مثله فی الثّانی، أو یدخلا فی طریقه قبل حصوله، فیمنعا من تولیده، فأمّا حال حصوله فلا یصحّ علی حال، فعلم بذلک أنّ الصَّحیح ما قلناه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یراد بذلک ما أمکن ذلک فیه علی وجه، فإن أرید ذلک کان صحیحا علی مذهبه، و لا یصحّ ذلک علی مذهبنا، لما قلناه من العلم الحاصل بالبلدان و الوقائع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العلوم الضّروریّة علی ضربین</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ضرب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یحصل فی العاقل ابتداء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هو مثل العلم بأنّ الموجود لا یخلو من أن یکون قدیما أو غیر قدیم، و أنّ الجسم الواحد لا یخلو من أن یکون فی مکان أو لا یکون فیه، و أنّ الذات لا بدّ من أن یکون علی صفة أو لا یکون علیها، و تعلّق </w:t>
      </w:r>
    </w:p>
    <w:p>
      <w:pPr>
        <w:pStyle w:val="BookText"/>
        <w:rPr/>
      </w:pPr>
      <w:r>
        <w:rPr>
          <w:rFonts w:ascii="IRNazanin" w:hAnsi="IRNazanin" w:eastAsia="IRNazanin"/>
          <w:color w:val="111111"/>
          <w:sz w:val="28"/>
          <w:sz w:val="28"/>
          <w:szCs w:val="28"/>
          <w:rtl w:val="true"/>
          <w:lang w:bidi="fa-IR"/>
        </w:rPr>
        <w:t>الکتابة بالکاتب، و البناء بالبانی، و ما یجری مجری ذلک، ممّا یعدّ</w:t>
      </w:r>
      <w:r>
        <w:rPr>
          <w:rStyle w:val="FootnoteAnchor"/>
          <w:rtl w:val="true"/>
        </w:rPr>
        <w:footnoteReference w:id="19"/>
      </w:r>
    </w:p>
    <w:p>
      <w:pPr>
        <w:pStyle w:val="BookText"/>
        <w:rPr/>
      </w:pPr>
      <w:r>
        <w:rPr>
          <w:rFonts w:ascii="Amiri" w:hAnsi="Amiri" w:eastAsia="Amiri" w:cs="Amiri"/>
          <w:color w:val="111111"/>
          <w:sz w:val="28"/>
          <w:sz w:val="28"/>
          <w:szCs w:val="28"/>
          <w:rtl w:val="true"/>
          <w:lang w:bidi="ar-SA"/>
        </w:rPr>
        <w:t>نعدّه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فی کمال العقل، و هی 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الضرب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یقف علی شرط، و هو العلم بالمدرکات، لأنّ العلم بها ضروری، إلاّ أنّه واقف علی شرط، و هو الإدراک مع ارتفاع اللّبس، و هذا العلم واجب حصوله مع الشّرط الّذی ذکرناه فی العاقل، لأنّه ممّا یدخل به فی کونه کامل العقل، و متی لم یحصل، أخلّ ذلک بکمال عقله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زاد قوم فی هذا القسم الّذی یقف علی شرط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لم یکن ذلک واجبا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بالصّنائع عند الممارسة، و العلم بالحفظ عند الدّرس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لنا فی ذلک نظر، لیس هذا موضع الکلام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ذکروا فیه أیضا العلم بمخبر الأخبار المتواترة، و نحن نبیّن ما عندنا فیها</w:t>
      </w:r>
      <w:r>
        <w:rPr>
          <w:rStyle w:val="FootnoteAnchor"/>
          <w:rtl w:val="true"/>
        </w:rPr>
        <w:footnoteReference w:id="20"/>
      </w:r>
      <w:r>
        <w:rPr>
          <w:rFonts w:ascii="IRNazanin" w:hAnsi="IRNazanin" w:eastAsia="IRNazanin"/>
          <w:color w:val="111111"/>
          <w:sz w:val="28"/>
          <w:sz w:val="28"/>
          <w:szCs w:val="28"/>
          <w:rtl w:val="true"/>
          <w:lang w:bidi="fa-IR"/>
        </w:rPr>
        <w:t>عند الکلام فی الأخبار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العلم المکتسب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فحدّه أن یکون فعل من العالم به، و هذا الحدّ أولی من حدّ من قال إنّه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أمکن العالم به دفعه عن نفسه لشبهة فی دلیله، أو طریقه إذا انفرد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 ذلک لا یصحّ علی مذهبنا، علی ما قلناه من العلم بأخبار البلدان و الوقائع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العلم المکتسب علی ضربین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یقع إلاّ متولّدا عن نظر فی 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یفعله العالم فی نفسه ابتداء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فالقسم الأوّل علی ثلاثة أضرب</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ینظر فی شیء فیحصل له العلم بغیره، نحو نظرنا فی الحوادث لنعلم أنّ لها محدثا، و هذا الوجه یختصّ العقلیّات، لأنّها الطّریق إلی إثبات ذوات </w:t>
      </w:r>
    </w:p>
    <w:p>
      <w:pPr>
        <w:pStyle w:val="BookText"/>
        <w:rPr/>
      </w:pPr>
      <w:r>
        <w:rPr>
          <w:rFonts w:ascii="IRNazanin" w:hAnsi="IRNazanin" w:eastAsia="IRNazanin"/>
          <w:color w:val="111111"/>
          <w:sz w:val="28"/>
          <w:sz w:val="28"/>
          <w:szCs w:val="28"/>
          <w:rtl w:val="true"/>
          <w:lang w:bidi="fa-IR"/>
        </w:rPr>
        <w:t>الأشیاء، دون الشَّرعیّات التی هی طریق إلی إثبات أحکامها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ینظر فی حکم لذات، فیحصل له العلم بصفة لها، و ذلک نحو نظرنا فی صحّة الفعل من زید، فیحصل لنا العلم بأنّه قادر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أولی ممّا قاله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 ینظر فی شیء فیحصل له العلم بغیره، و مثّل ذلک بالنظر فی فعل زید، فیحصل له العلم بأنّه قادر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قلنا أنّه أولی، لأنّ الّذی یدلّ علی کونه قادرا، صحّة الفعل منه علی وجه دون وقوعه، فتمثیله بما قلناه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الضرب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ینظر فی حکم لذات، فیحصل لنا العلم بکیفیّة صفة لها، نحو نظرنا فی جواز العدم علی بعض الذوات، فیحصل لنا العلم بأنّها محدثة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الّذی ذکرناه أولی ممّا قاله قوم من أنّا ننظر فی صفة لذات، فیحصل لنا العلم بصفة أخری لها، لأنّ جواز العدم لیس هو صفة، و إنّما هو حکم من أحکامها، و کونها محدثة لیس أیضا بصفة، و إنّما هو کیفیّة فی الوجود، فعلم بذلک أنّ ما قلناه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مثاله فی الشّرعیّات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ننظر فی أنّ شیئا منها واجب، فیحصل لنا العلم بأنّ له جهة 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الضرب الثانی من العلوم المکتسبة التی تحصل من غیر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ما یفعله المنتبه من نومه، و قد سبق له النّظر فی معرفة اللّه تعالی، فحینئذ یعقل</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نعقل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العلم عند ذکره الأدلّة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طریق النّظر فی الوجوه الثلاثة، الّتی قدّمنا ذکرها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العلوم الّتی تقع عن نظر ما یسمّی استدلالا، و هو ما یکون المستدلّ به غیر المستدلّ علیه</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 ما یسمّی اکتسابا فقط، و إطلاق الاکتساب علی جمیع ذلک لا خلاف فیه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لا یمتنع أن یسمّی أیضا جمیع ذلک استدلالا، و إنّما یختصّ بتسمیته الاکتساب ما یفعله ابتداء، علی ما بیّناه عند الانتباه، فإنّ ذلک لا یجوز أن یسمّی استدلالا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حقّ العلوم المکتسبة أن تتأخّر عن الضروریّة، لأنّها فرع علیها، أو کالفرع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فعندنا و إن لم یکن أصلا فی الشّریعة تستند الأحکام إلیه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فإنّه تقف أحکام کثیرة علیه، نحو تنفیذ الحکم عند الشّاهدین، و نحو جهات القبلة، و ما یجری مجراها، فلا بدّ أن نذکر</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یذکر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حدّه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قوی عند الظّان کون المظنون علی ما ظنّه، و یجوز مع ذلک کونه علی 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أولی ممّا قاله قوم من أنّه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أوجب کون من وجد فی قلبه ظنا</w:t>
      </w:r>
      <w:r>
        <w:rPr>
          <w:rFonts w:eastAsia="IRNazanin" w:cs="IRNazanin"/>
          <w:color w:val="111111"/>
          <w:sz w:val="28"/>
          <w:szCs w:val="28"/>
          <w:rtl w:val="true"/>
          <w:lang w:bidi="fa-IR"/>
        </w:rPr>
        <w:t>»</w:t>
      </w:r>
      <w:r>
        <w:rPr>
          <w:rStyle w:val="FootnoteAnchor"/>
          <w:rtl w:val="true"/>
        </w:rPr>
        <w:footnoteReference w:id="23"/>
      </w:r>
      <w:r>
        <w:rPr>
          <w:rFonts w:ascii="Amiri" w:hAnsi="Amiri" w:eastAsia="Amiri" w:cs="Amiri"/>
          <w:color w:val="111111"/>
          <w:sz w:val="28"/>
          <w:sz w:val="28"/>
          <w:szCs w:val="28"/>
          <w:rtl w:val="true"/>
          <w:lang w:bidi="ar-SA"/>
        </w:rPr>
        <w:t>، لأنّه بهذا</w:t>
      </w:r>
      <w:r>
        <w:rPr>
          <w:rStyle w:val="FootnoteAnchor"/>
          <w:rtl w:val="true"/>
        </w:rPr>
        <w:footnoteReference w:id="24"/>
      </w:r>
      <w:r>
        <w:rPr>
          <w:rFonts w:ascii="IRNazanin" w:hAnsi="IRNazanin" w:eastAsia="IRNazanin"/>
          <w:color w:val="111111"/>
          <w:sz w:val="28"/>
          <w:sz w:val="28"/>
          <w:szCs w:val="28"/>
          <w:rtl w:val="true"/>
          <w:lang w:bidi="fa-IR"/>
        </w:rPr>
        <w:t>لا یبین</w:t>
      </w:r>
      <w:r>
        <w:rPr>
          <w:rStyle w:val="FootnoteAnchor"/>
          <w:rtl w:val="true"/>
        </w:rPr>
        <w:footnoteReference w:id="25"/>
      </w:r>
      <w:r>
        <w:rPr>
          <w:rFonts w:ascii="IRNazanin" w:hAnsi="IRNazanin" w:eastAsia="IRNazanin"/>
          <w:color w:val="111111"/>
          <w:sz w:val="28"/>
          <w:sz w:val="28"/>
          <w:szCs w:val="28"/>
          <w:rtl w:val="true"/>
          <w:lang w:bidi="fa-IR"/>
        </w:rPr>
        <w:t>من غیره، لأنّه یحتاج بعد إلی تفسیر، فالأولی ما ذکرناه</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بما قلناه یبین من العلم، لأنّ العالم لا یجوز کون ما علمه علی خلافه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به یتمیّز من الجهل، لأنّ الجاهل یتصوّر نفسه بصورة العالم، فلا یجوّز خلاف ما اعتقده، و إن کان یضطرب علیه حاله فیما</w:t>
      </w:r>
      <w:r>
        <w:rPr>
          <w:rStyle w:val="FootnoteAnchor"/>
          <w:rtl w:val="true"/>
        </w:rPr>
        <w:footnoteReference w:id="26"/>
      </w:r>
      <w:r>
        <w:rPr>
          <w:rFonts w:ascii="IRNazanin" w:hAnsi="IRNazanin" w:eastAsia="IRNazanin"/>
          <w:color w:val="111111"/>
          <w:sz w:val="28"/>
          <w:sz w:val="28"/>
          <w:szCs w:val="28"/>
          <w:rtl w:val="true"/>
          <w:lang w:bidi="fa-IR"/>
        </w:rPr>
        <w:t xml:space="preserve">یجهله، من حیث لم یکن ساکن النّفس، و لأنّه اعتقاد لا علی ما هو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 لیس کذلک الظنّ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أمّا المقلّد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کان یحسن الظّن بمن قلّده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سیظنّ أنّ الأمر علی ما قلّده فیه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إذا قلّد من لا یجوز علیه الخطأ، فکذلک لا یجوز کون ما قلّده فیه علی خلاف ما قلّده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قلّد من لا یقوی فی ظنّه حال ما قلّده فیه ففارق الظّن، لأنّ ذلک یکون قد سبق إلی اعتقاد لا مزیّة لکونه علی ما اعتقده، أو علی خلافه</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و علی خلافها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فقد فارق حال الظّن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الشّاک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الخالی من اعتقاد الشّیء علی ما هو به، و لا علی ما هو به مع خطوره بباله، و تجویزه کلّ واحدة من الصِّفتین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الدلالة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ما أمکن الاستدلال بها علی ما هی دالة</w:t>
      </w:r>
      <w:r>
        <w:rPr>
          <w:rStyle w:val="FootnoteAnchor"/>
          <w:rtl w:val="true"/>
        </w:rPr>
        <w:footnoteReference w:id="28"/>
      </w:r>
      <w:r>
        <w:rPr>
          <w:rFonts w:ascii="IRNazanin" w:hAnsi="IRNazanin" w:eastAsia="IRNazanin"/>
          <w:color w:val="111111"/>
          <w:sz w:val="28"/>
          <w:sz w:val="28"/>
          <w:szCs w:val="28"/>
          <w:rtl w:val="true"/>
          <w:lang w:bidi="fa-IR"/>
        </w:rPr>
        <w:t>علیه، إلاّ أنّها لا تسمّی بذلک إلاّ إذا قصد فاعلها الاستدلال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قلنا ذلک لأنّ ما لا یمکن الاستدلال به، لا یکون دلالة، أ لا تری أنّ طلوع الشّمس من مشرقها لا یکون دلالة علی النبوّة، لأنه لا یمکن ذلک فیها من حیث کان ذلک معتاداً، و طلوعها من مغربها یکون دلالة، لإمکان ذلک فیه</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أثر اللّصّ لا یسمّی دلالة، و إن أمکن الاستدلال به علیه، من حیث لم یقصد بذلک استدلال</w:t>
      </w:r>
      <w:r>
        <w:rPr>
          <w:rStyle w:val="FootnoteAnchor"/>
          <w:rtl w:val="true"/>
        </w:rPr>
        <w:footnoteReference w:id="29"/>
      </w:r>
      <w:r>
        <w:rPr>
          <w:rFonts w:ascii="IRNazanin" w:hAnsi="IRNazanin" w:eastAsia="IRNazanin"/>
          <w:color w:val="111111"/>
          <w:sz w:val="28"/>
          <w:sz w:val="28"/>
          <w:szCs w:val="28"/>
          <w:rtl w:val="true"/>
          <w:lang w:bidi="fa-IR"/>
        </w:rPr>
        <w:t xml:space="preserve">علیه، و إن سمِّی ذلک دلالة علی بعض الوجوه فعلی ضرب من </w:t>
      </w:r>
    </w:p>
    <w:p>
      <w:pPr>
        <w:pStyle w:val="BookText"/>
        <w:rPr/>
      </w:pPr>
      <w:r>
        <w:rPr>
          <w:rFonts w:ascii="IRNazanin" w:hAnsi="IRNazanin" w:eastAsia="IRNazanin"/>
          <w:color w:val="111111"/>
          <w:sz w:val="28"/>
          <w:sz w:val="28"/>
          <w:szCs w:val="28"/>
          <w:rtl w:val="true"/>
          <w:lang w:bidi="fa-IR"/>
        </w:rPr>
        <w:t>المجاز، لأنّه لو کان حقیقة لوصف بأنّه دالّ، و ذلک لا یقوله أحد، لأنّا نعلم أنّه یجتهد فی إخفاء أمره، و أن لا یعلم به، فکیف یجوز وصفه بأنّه دالّ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تستعمل هذه اللّفظة فی العبارة عن الدّلالة، و لهذا یقول أحد الخصمین لصاحبه أعدّ دلالتک، و إنّما یرید به کیفیّة عبارتک عنها، و ذلک مجاز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استعیر ذلک من حیث کان السّامع لذلک إذا تأمّله کان أقرب إلی معرفة المدلول علیه، کما أنّه عند النّظر فی الدّلالة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توصف الشّبهة بأنّها دلالة مجازا، و لهذا یقال دلالة المخالف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حقّ الدّلالة أن تکون معلومة للمستدلّ بها علی الوجه الّذی تدلّ علی ما تدلّ علیه، حتّی یمکنه الاستدلال بها، و لا فرق بین أن یعلم ذلک ضرورة أو استدلالا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یجب فی الأدلّة أن تکون موجودة، و لأجل ذلک صحّ الاستدلال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بمجیء الشّجرة، و حنین الجذع علی نبوّة النبیّ صلّی اللّه علیه و آله و سلّم و بکلامه علی الأحکام، و إن کان ذلک کلّه معدوما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یجب فی الأدلّة أن یعلم بدلالة أخری، و یجوز ذلک فیها، إلاّ أنّها لا بدّ أن تنتهی إلی دلالة یعلم صفتها ضرورة، و إلاّ أدّی إلی ما لا یتناهی من الأدلّة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من فعل الدّلالة، لأنّه مشتق منها، فجری فی ذلک مجری الضّارب فی أنّه مشتق من الضّرب، و علی هذا یصحّ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تعالی دلّنا علی کذا، فهو دالّ، و کذلک</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و 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النبیّ صلّی اللّه علیه و آله و سلّم دلّنا علی کذا و کذا فهو 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یتجوَّز فی ذلک فیعبّر به عن الدّلالة فیقولون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اللّه تعالی، و قول النبی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دالّ علی کذا و کذا من الأحکام، و إن کان الدّال فی الحقیقة هو اللّه تعالی و الرّسول علی ما بینّاه،</w:t>
      </w:r>
    </w:p>
    <w:p>
      <w:pPr>
        <w:pStyle w:val="BookText"/>
        <w:rPr/>
      </w:pPr>
      <w:r>
        <w:rPr>
          <w:rFonts w:ascii="IRNazanin" w:hAnsi="IRNazanin" w:eastAsia="IRNazanin"/>
          <w:color w:val="111111"/>
          <w:sz w:val="28"/>
          <w:sz w:val="28"/>
          <w:szCs w:val="28"/>
          <w:rtl w:val="true"/>
          <w:lang w:bidi="fa-IR"/>
        </w:rPr>
        <w:t>و کذلک یتجوّز فی العبارة عن الدّلالة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الدّال فی الأصل قال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الدّلیل استاف أخلاق الطرق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فوصف الدّالّ علی الطّریق بأنّه دلیل، من حیث فعل أشیاء استدلّ بها علی الموضوع المقصود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یتجوَّز فی ذلک فیستعمل فی الدّلالة، فیقولون فی الأجسام إنّه دلیل علی خالقها، و بأنّ القرآن دلیل علی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یمتنع أن یقال أیضا إنّه حقیقة فیهما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المدلول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الّذی نصبت له الدّلالة لیستدلّ</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فی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لتستدل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بها، و هو المکلّف، و قد یتجوَّز بذلک فی المدلول علیه فیقولون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مدلول الدّلالة، و ذلک مجاز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المدلول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ما یؤدّی النّظر فی الدّلالة إلی العلم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المستدلّ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الناظر، و لا یسمّی بذلک إلاّ إذا فعل الاستدلال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المستدلّ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الدّلالة بعینها، و لا یسمّی بذلک قبل الاستدلال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المستدلّ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المدلول علیه بعینه، غیر أنّه لا یسمّی بذلک قبل حصول الاستدلال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النّظر ینقسم إلی</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تقلیب الجارحة الصّحیحة نحو المرئیّ طلبا لرؤیته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إلی معنی الانتظار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إلی معنی التّعطّف و الرّحمة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إلی معنی الفکر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الواجب من ذلک هو الفکر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النّاظر یعلم نفسه ناظرا ضرورة، و یفصِّل بین هذا الحال و بین سائر صفاته من کونه معتقدا، و ظانّا، و مریدا، و غیر ذلک من الصّفات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شرط النّاظر أن یکون عالما بالدّلیل علی الوجه الّذی یدلّ علی ما یدلّ علیه، حتّی یصحّ أن یولّد نظره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لأجل ذلک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لا یعلم صحّة الفعل من زید لا یعلمه قادرا، و من لا یعلم وقوع الفعل محکما منه، لا یمکنه أن یستدلّ علی کونه عالما، لما لم یکن عالما بالجهة الّتی لکونه علیها یدلّ، و لهذا نقول إنّ من لا یعلم أنّ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أَقِیمُوا الصَّلاةَ وَ آتُوا الزَّکاةَ  </w:t>
      </w:r>
      <w:r>
        <w:rPr>
          <w:rStyle w:val="FootnoteAnchor"/>
          <w:rtl w:val="true"/>
        </w:rPr>
        <w:footnoteReference w:id="32"/>
      </w:r>
    </w:p>
    <w:p>
      <w:pPr>
        <w:pStyle w:val="BookText"/>
        <w:rPr/>
      </w:pP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کلام اللّه، و أنّ اللّه تعالی لا یجوز علیه القبیح، و لا التعمیة و الإلغاز فی الکلام، لا یمکنه الاستدلال به علی وجوب الصلاة، و لا الزکاة، و لذلک ألزمنا المجبّرة أن لا یمکنهم الاستدلال بکلام اللّه تعالی من حیث جوَّزوا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القبائح کلّها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من لا یعلم أنّ النبی صلّی اللّه علیه و آله و سلّم صادق، و أنّه لا یجوز علیه الکذب، و لا التعمیة و الإلغاز فی الکلام، لا یصحّ له أن یستدلّ بقوله صلّی اللّه علیه و آله و سلّم علی شیء من الأحکام</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هذه العلوم التی ذکرناها، شرط فی تولید النّظر للعلم لا فی صحّة وجوده، لأنّ </w:t>
      </w:r>
    </w:p>
    <w:p>
      <w:pPr>
        <w:pStyle w:val="BookText"/>
        <w:rPr/>
      </w:pPr>
      <w:r>
        <w:rPr>
          <w:rFonts w:ascii="IRNazanin" w:hAnsi="IRNazanin" w:eastAsia="IRNazanin"/>
          <w:color w:val="111111"/>
          <w:sz w:val="28"/>
          <w:sz w:val="28"/>
          <w:szCs w:val="28"/>
          <w:rtl w:val="true"/>
          <w:lang w:bidi="fa-IR"/>
        </w:rPr>
        <w:t xml:space="preserve">من اعتقد الدّلیل، أو ظنّه علی الوجه الّذی یدلّ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لم یکن عالما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جاز منه فعل النّظر، و إن لم یولّد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قلنا إنّه متی لم یکن عالما لا یولد نظره العلم، لأنّه إذا لم یکن عالما بالدلیل علی الوجه الّذی یدلّ علیه جوّز ألاّ</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أن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یکون دلیلا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علی الوجه الّذی یدلّ، فکیف یجوّز حصول العلم عن الدّلیل مع تجویز ما قلناه فیه‌؟ و النّظر فی الدّلیل من الوجه الّذی یدلّ، یوجب العلم، لأنه یکثر بکثرته و یقلّ بقلّته، و لأنّه یقع العلم عنده مطابقا لما یطلبه بالدلیل، أ لا تری أنّ من نظر فی صحّة العقل من زید لا یصحّ أن یقع علیه العلم بأنّ عمرا قادرٌ، و کذلک من نظر فی أحکام الفعل لا یصحّ أن یقع له العلم بالهندسة و غیرها، فعلم بوجوب هذه المطابقة أنّه متولّد عن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النّظر</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النّظر لا یولّد الجهل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وجه، لأنّه لو ولّده لم یخل أن یکون النّظر فی الدّلیل یولّده، أو النّظر فی الشّبهة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یجوز أن یولّد النّظر فی الدّلیل الجهل، لأنّا قد بیّنا أنّ النّظر فی الدلیل یولّد العلم، و لا یجوز فی شیء أن یولّد الشّیء و ضدّه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ولّد النّظر فی الشبهة الجهل، لکان یجب کل من نظر فیها أن یولد له الجهل، کما أن کل من نظر فی الدلیل ولد له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نحن نعلم أنا ننظر فی شبه</w:t>
      </w:r>
      <w:r>
        <w:rPr>
          <w:rStyle w:val="FootnoteAnchor"/>
          <w:rtl w:val="true"/>
        </w:rPr>
        <w:footnoteReference w:id="34"/>
      </w:r>
      <w:r>
        <w:rPr>
          <w:rFonts w:ascii="IRNazanin" w:hAnsi="IRNazanin" w:eastAsia="IRNazanin"/>
          <w:color w:val="111111"/>
          <w:sz w:val="28"/>
          <w:sz w:val="28"/>
          <w:szCs w:val="28"/>
          <w:rtl w:val="true"/>
          <w:lang w:bidi="fa-IR"/>
        </w:rPr>
        <w:t xml:space="preserve">المخالفین فلا یتولد لنا </w:t>
      </w:r>
    </w:p>
    <w:p>
      <w:pPr>
        <w:pStyle w:val="BookText"/>
        <w:rPr/>
      </w:pPr>
      <w:r>
        <w:rPr>
          <w:rFonts w:ascii="IRNazanin" w:hAnsi="IRNazanin" w:eastAsia="IRNazanin"/>
          <w:color w:val="111111"/>
          <w:sz w:val="28"/>
          <w:sz w:val="28"/>
          <w:szCs w:val="28"/>
          <w:rtl w:val="true"/>
          <w:lang w:bidi="fa-IR"/>
        </w:rPr>
        <w:t>الجهل، و لأنه لو کان شیء من النّظر یولد الجهل، لأدی إلی قبح کل نظر، لأن الإنسان لا یفرق بین النّظر الّذی یولد العلم، و النّظر الّذی یولد الجهل، و لا بین الدلیل و الشبهة، و إنما یعلم کون الدلیل دلیلا، إذا حصل له العلم بالمدلول، فأما قبل حصوله فلا یعلمه دلیلا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أدی إلی قبح کل نظر، ینبغی أن یحکم بفساده لأنا نعلم ضرورة حسن نظر کثیر من أمر الدین و الدنیا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النّظر الّذی ذکرناه لا یصح إلا من کامل العقل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فلا بدّ أن نبین ماهیة 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مجموع علوم إذا حصلت کان الإنسان عاقلا، مثل أن یجب أن یعلم المدرکات إذا أدرکها و ارتفع عنها اللبس، و أن یعلم أن الموجود لا یخلو من قدم أو حدوث، و أن المعلوم لا یخلو من وجود أو عدم، و یعلم وجوب کثیر من الواجبات، و حسن کثیر من المحسنات، مثل وجوب رد الودیعة، و شکر النعمة، و حسن الإحسان، و یعلم قبح کثیر من المقبحات، مثل الظلم المحض، و الکذب العاری من نفع و دفع ضرر، و العبث و غیر ما عددناه، و یعلم تعلق الفعل بالفاعل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قصد المخاطبین، و یمکنه معرفة ما یمارسه من الصنائع، و یمکنه أیضا معرفة مخبر الأخبار، 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حصلت هذه العلوم فیه کان کامل العقل یصح منه الاستدلال علی اللّه تعالی، و علی صفاته، و علی صدق الأنبیاء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وصفت هذه العلوم التی ذکرناها بالعقل لوجهین</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لما کان العلم بقبح کثیر من المقبحات صارفا له عن فعلها، و علمه </w:t>
      </w:r>
    </w:p>
    <w:p>
      <w:pPr>
        <w:pStyle w:val="BookText"/>
        <w:rPr/>
      </w:pPr>
      <w:r>
        <w:rPr>
          <w:rFonts w:ascii="IRNazanin" w:hAnsi="IRNazanin" w:eastAsia="IRNazanin"/>
          <w:color w:val="111111"/>
          <w:sz w:val="28"/>
          <w:sz w:val="28"/>
          <w:szCs w:val="28"/>
          <w:rtl w:val="true"/>
          <w:lang w:bidi="fa-IR"/>
        </w:rPr>
        <w:t>بوجوب</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کثیر من الواجبات، داعیا له إلی فعلها، و صارفا عن الإخلال بها، سمی عقلا تشبیها بعقال الناقة الّذی یمنعها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من السیر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لما کانت العلوم الاستدلالیة لا تثبت إلا مع ثبوت هذه العلوم، سمیت عقلا تشبیها أیضا بعقال الناقة، و لأجل ما قلناه لا یصح وصف القدیم تعالی بأنه عاقل، لأن هذا المعنی لا یصح فیه</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الأمارة، فلیست موجبة للظن، بل یختار الناظر فیها عندها الظن ابتداء، لأنا نعلم أنه ینظر جماعة کثیرة فی إمارة واحدة من جهة واحدة، فلا یحصل لجمیعهم الظن، فلو کانت مولدة لوجب ذلک، کما یجب ذلک فی الدلیل، أ لا تری أن الجماعة إذا نظرت فی الدلیل من الوجه الّذی یدل، حصل لجمیعهم العلم، و لم یحصل لبعضهم دون بعض، و لیس کذلک الظن</w:t>
      </w:r>
      <w:r>
        <w:rPr>
          <w:rFonts w:eastAsia="IRNazanin" w:cs="IRNazanin"/>
          <w:color w:val="111111"/>
          <w:sz w:val="28"/>
          <w:szCs w:val="28"/>
          <w:rtl w:val="true"/>
          <w:lang w:bidi="fa-IR"/>
        </w:rPr>
        <w:t>.</w:t>
      </w:r>
      <w:bookmarkStart w:id="22" w:name="pg6519_49103"/>
    </w:p>
    <w:p>
      <w:pPr>
        <w:pStyle w:val="Heading4"/>
        <w:numPr>
          <w:ilvl w:val="3"/>
          <w:numId w:val="1"/>
        </w:numPr>
        <w:rPr/>
      </w:pPr>
      <w:bookmarkStart w:id="23" w:name="__RefHeading___Toc1757169_653776707"/>
      <w:bookmarkStart w:id="24" w:name="_Toc8"/>
      <w:bookmarkEnd w:id="22"/>
      <w:bookmarkEnd w:id="23"/>
      <w:r>
        <w:rPr/>
        <w:t>3</w:t>
      </w:r>
      <w:r>
        <w:rPr>
          <w:rtl w:val="true"/>
        </w:rPr>
        <w:t xml:space="preserve">- </w:t>
      </w:r>
      <w:r>
        <w:rPr>
          <w:rtl w:val="true"/>
        </w:rPr>
        <w:t xml:space="preserve">فصل </w:t>
      </w:r>
      <w:r>
        <w:rPr>
          <w:rtl w:val="true"/>
        </w:rPr>
        <w:t>«</w:t>
      </w:r>
      <w:r>
        <w:rPr>
          <w:rtl w:val="true"/>
        </w:rPr>
        <w:t>فی ذکر أقسام أفعال المکلف</w:t>
      </w:r>
      <w:r>
        <w:rPr>
          <w:rtl w:val="true"/>
        </w:rPr>
        <w:t>»</w:t>
      </w:r>
      <w:bookmarkEnd w:id="24"/>
    </w:p>
    <w:p>
      <w:pPr>
        <w:pStyle w:val="BookText"/>
        <w:rPr/>
      </w:pPr>
      <w:r>
        <w:rPr>
          <w:rFonts w:ascii="IRNazanin" w:hAnsi="IRNazanin" w:eastAsia="IRNazanin"/>
          <w:color w:val="111111"/>
          <w:sz w:val="28"/>
          <w:sz w:val="28"/>
          <w:szCs w:val="28"/>
          <w:rtl w:val="true"/>
          <w:lang w:bidi="fa-IR"/>
        </w:rPr>
        <w:t xml:space="preserve">أفعال المکلف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عالما بها، أو متمکنا من العلم بها، و هو غیر ساه عنها، و لا ملجأ إلیها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 تخلو من أن تکون حسنة أو قبیحة، و إنما قلنا ذلک لأن فعل الساهی و النائم لا یوصف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یوصف بذلک إذا کان فیه جهة الحسن أو القبح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فالحسن علی ضربین</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ضرب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له صفة زائدة علی حسنه، و ذلک یوصف بأنه مباح، إذا دل فاعله علی حسنه، و یوصف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الشرع بأنه حلال و طلق و غیر ذلک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الضرب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صفة زائدة علی حسنه، و هو علی ضربین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یستحق المدح بفعله، و لا یستحق الذم بترکه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فیوصف بأنه مرغب فیه، و مندوب إلیه، و نفل، و تطوع، و هذا الضرب إذا تعدی إلی الغیر سمی بأنه إحسان و إنعام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الضرب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ما یستحق الذم بترکه، و هو أیضا علی ضربین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متی لم یفعله بعینه استحق الذم، و ذلک مثل رد الودیعة، و الصلوات المعینة المفروضة، فیوصف بأنه واجب مضیق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الضرب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ما إذا لم یفعله، و لا ما یقوم مقامه استحق الذم، فیوصف بأنه واجب مخیر فیه، و ذلک نحو الکفارات فی الشریعة، و أداء الصلوات فی الأوقات المخیر فیها، و قضاء الدین من أی درهم شاء، و ما شاکل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الواجب ما یقوم فعل الغیر مقامه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ذلک نحو الجهاد، و الصلاة علی الأموات، و دفنهم، و غسلهم، و مواراتهم، فیوصف بأنه فرض علی الکفایة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القبیح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ینقسم انقسام الحسن، بل هو قسم واحد، و هو کل فعل یستحق فاعله الذم علی بعض الوجوه، و یوصف فی الشرع بأنه محظور، و محرم إذا دل فاعله علیه أو أعلمه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الأفعال ما یوصف بأنه مکروه، و إن لم یکن قبیحا، و هو کل فعل کان الأولی ترکه و اجتنابه، و إن لم یکن قبیحا یستحق بفعله الذم، فیوصف بأنه مکروه</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أفعال الشریعة ما یوجب علی غیر فاعلها حکما، کفعل الطفل، و المجنون، و ما أشبههما، فإنه یلزم المکلف أن یأخذ من مال الطفل و المجنون عوض ما أتلفه و یرده علی صاحبه، و یأخذ الزکاة مما یجب فیه من جملة ماله عند من قال بذلک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فی الأفعال ما یوجب علی فاعلها أحکاما، و ذلک علی أقسام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الصلاة باطلة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فمعناه أنه یجب علینا</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إعادتها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الشهادة باطلة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یجوز للحاکم تنفیذ الحکم عندها، و إذا قالوا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صحیحة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 أنه یجوز تنفیذ الحکم عندها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 من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الوضوء بالماء المغصوب غیر جائز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یجب علیه إعادته ثانیاً بماء طلق، و عند من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جائز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 أنه وقع موقع الصحیح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البیع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 أن التملیک وقع به، و 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فاسد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ذلک، و أنه لا یصح التملک به، و لا استباحة التصرف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الألفاظ إذا تؤملت رجع</w:t>
      </w:r>
      <w:r>
        <w:rPr>
          <w:rStyle w:val="FootnoteAnchor"/>
          <w:rtl w:val="true"/>
        </w:rPr>
        <w:footnoteReference w:id="37"/>
      </w:r>
      <w:r>
        <w:rPr>
          <w:rFonts w:ascii="IRNazanin" w:hAnsi="IRNazanin" w:eastAsia="IRNazanin"/>
          <w:color w:val="111111"/>
          <w:sz w:val="28"/>
          <w:sz w:val="28"/>
          <w:szCs w:val="28"/>
          <w:rtl w:val="true"/>
          <w:lang w:bidi="fa-IR"/>
        </w:rPr>
        <w:t>معناها إلی ما قدمناه من الأقسام، غیر أن لها فوائد فی الشریعة تکشف عن أسباب أحکامها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فهذه الجملة کافیة فی هذا الفصل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 قد بینا ما أردناه من حقیقة العلم، و النّظر، و الدلیل، و صفة الناظر، و غیر ذلک، و حقیقة الأفعال، فلا بد من أن نبین حقیقة الکلام و نشرح أقسامه، و ما ینقسم إلیه من حقیقة أو مجاز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نبین الأسماء اللغویة، و العرفیة، و الشرعیة، و کیفیة ترتیبها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فعلنا ذلک بینا صفات من یصح أن یستدل بخطابه، و من لا یصح</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نشرع فیما ذکرناه من ترتیب الأصول علی ما قدمنا القول فیه إن شاء اللّه تعالی</w:t>
      </w:r>
      <w:r>
        <w:rPr>
          <w:rFonts w:eastAsia="IRNazanin" w:cs="IRNazanin"/>
          <w:color w:val="111111"/>
          <w:sz w:val="28"/>
          <w:szCs w:val="28"/>
          <w:rtl w:val="true"/>
          <w:lang w:bidi="fa-IR"/>
        </w:rPr>
        <w:t>.</w:t>
      </w:r>
      <w:bookmarkStart w:id="25" w:name="pg6519_49106"/>
    </w:p>
    <w:p>
      <w:pPr>
        <w:pStyle w:val="Heading4"/>
        <w:numPr>
          <w:ilvl w:val="3"/>
          <w:numId w:val="1"/>
        </w:numPr>
        <w:rPr/>
      </w:pPr>
      <w:bookmarkStart w:id="26" w:name="__RefHeading___Toc1757171_653776707"/>
      <w:bookmarkStart w:id="27" w:name="_Toc9"/>
      <w:bookmarkEnd w:id="25"/>
      <w:bookmarkEnd w:id="26"/>
      <w:r>
        <w:rPr/>
        <w:t>4</w:t>
      </w:r>
      <w:r>
        <w:rPr>
          <w:rtl w:val="true"/>
        </w:rPr>
        <w:t xml:space="preserve">- </w:t>
      </w:r>
      <w:r>
        <w:rPr>
          <w:rtl w:val="true"/>
        </w:rPr>
        <w:t xml:space="preserve">فصل </w:t>
      </w:r>
      <w:r>
        <w:rPr>
          <w:rtl w:val="true"/>
        </w:rPr>
        <w:t>«</w:t>
      </w:r>
      <w:r>
        <w:rPr>
          <w:rtl w:val="true"/>
        </w:rPr>
        <w:t>فی حقیقة الکلام، و بیان أقسامه، و جملة من أحکامه، و ترتیب الأسماء</w:t>
      </w:r>
      <w:r>
        <w:rPr>
          <w:rtl w:val="true"/>
        </w:rPr>
        <w:t>»</w:t>
      </w:r>
      <w:bookmarkEnd w:id="27"/>
    </w:p>
    <w:p>
      <w:pPr>
        <w:pStyle w:val="BookText"/>
        <w:rPr/>
      </w:pPr>
      <w:r>
        <w:rPr>
          <w:rFonts w:ascii="IRNazanin" w:hAnsi="IRNazanin" w:eastAsia="IRNazanin"/>
          <w:color w:val="111111"/>
          <w:sz w:val="28"/>
          <w:sz w:val="28"/>
          <w:szCs w:val="28"/>
          <w:rtl w:val="true"/>
          <w:lang w:bidi="fa-IR"/>
        </w:rPr>
        <w:t xml:space="preserve">حقیقة الکلام ما انتظم من حرفین فصاعدا من هذه الحروف المعقولة، إذا وقع ممن یصح منه، أو من قبیله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الإفادة، و هو علی ضربین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مهمل، و مفید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فالمهمل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الّذی لم یوضع لیفید فی اللغة 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ضربین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ضرب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معنی صحیح و إن کان لا یفید فیما وضع له،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نحو أسماء الألقاب 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الضرب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یفید فیما وضع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علی ضربین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حقیقة، و مجاز</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فحد الحقیقة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أفید به ما وضع فی اللغة، و من حقه أن یکون لفظه منتظما </w:t>
      </w:r>
    </w:p>
    <w:p>
      <w:pPr>
        <w:pStyle w:val="BookText"/>
        <w:rPr/>
      </w:pPr>
      <w:r>
        <w:rPr>
          <w:rFonts w:ascii="IRNazanin" w:hAnsi="IRNazanin" w:eastAsia="IRNazanin"/>
          <w:color w:val="111111"/>
          <w:sz w:val="28"/>
          <w:sz w:val="28"/>
          <w:szCs w:val="28"/>
          <w:rtl w:val="true"/>
          <w:lang w:bidi="fa-IR"/>
        </w:rPr>
        <w:t>لمعناه من غیر زیادة، و لا نقصان، و لا نقل إلی غیر موضعه، و ذلک مثل قوله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 تَقْتُلُوا النَّفْسَ الَّتِی حَرَّمَ اللّهُ إِلاّ بِالْحَقِّ   </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الأنعام</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ما شاکل ذلک من الحقائق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ما أفید به ما لم یوضع له فی اللغة، و من حقه أن یکون لفظه لا ینتظم معناه إما بزیادة، أو نقصان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بوضعه فی غیر موضعه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المجاز الّذی دخلته الزیادة، نحو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کَمِثْلِهِ شَیْءٌ  </w:t>
      </w:r>
      <w:r>
        <w:rPr>
          <w:rStyle w:val="FootnoteAnchor"/>
          <w:rtl w:val="true"/>
        </w:rPr>
        <w:footnoteReference w:id="39"/>
      </w:r>
      <w:r>
        <w:rPr>
          <w:rFonts w:ascii="IRNazanin" w:hAnsi="IRNazanin" w:eastAsia="IRNazanin"/>
          <w:color w:val="111111"/>
          <w:sz w:val="28"/>
          <w:sz w:val="28"/>
          <w:szCs w:val="28"/>
          <w:rtl w:val="true"/>
          <w:lang w:bidi="fa-IR"/>
        </w:rPr>
        <w:t>لأن معناه لیس مثله شیء، فالکاف زائدة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المجاز بالنقصان، نحو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سْئَلِ الْقَرْیَةَ  </w:t>
      </w:r>
      <w:r>
        <w:rPr>
          <w:rStyle w:val="FootnoteAnchor"/>
          <w:rtl w:val="true"/>
        </w:rPr>
        <w:footnoteReference w:id="40"/>
      </w:r>
      <w:r>
        <w:rPr>
          <w:rFonts w:ascii="Amiri" w:hAnsi="Amiri" w:eastAsia="Amiri" w:cs="Amiri"/>
          <w:color w:val="111111"/>
          <w:sz w:val="28"/>
          <w:sz w:val="28"/>
          <w:szCs w:val="28"/>
          <w:rtl w:val="true"/>
          <w:lang w:bidi="ar-SA"/>
        </w:rPr>
        <w:t xml:space="preserve">، و اسْألِ اَلْعِیرَ  </w:t>
      </w:r>
      <w:r>
        <w:rPr>
          <w:rStyle w:val="FootnoteAnchor"/>
          <w:rtl w:val="true"/>
        </w:rPr>
        <w:footnoteReference w:id="41"/>
      </w:r>
      <w:r>
        <w:rPr>
          <w:rFonts w:ascii="IRNazanin" w:hAnsi="IRNazanin" w:eastAsia="IRNazanin"/>
          <w:color w:val="111111"/>
          <w:sz w:val="28"/>
          <w:sz w:val="28"/>
          <w:szCs w:val="28"/>
          <w:rtl w:val="true"/>
          <w:lang w:bidi="fa-IR"/>
        </w:rPr>
        <w:t>، لأن معناه و اسأل أهل القریة، و أهل العیر، فحذف ذلک اختصارا و مجازا، و نحو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رَبِّها ناظِرَةٌ  </w:t>
      </w:r>
      <w:r>
        <w:rPr>
          <w:rStyle w:val="FootnoteAnchor"/>
          <w:rtl w:val="true"/>
        </w:rPr>
        <w:footnoteReference w:id="42"/>
      </w:r>
      <w:r>
        <w:rPr>
          <w:rFonts w:ascii="Amiri" w:hAnsi="Amiri" w:eastAsia="Amiri" w:cs="Amiri"/>
          <w:color w:val="111111"/>
          <w:sz w:val="28"/>
          <w:sz w:val="28"/>
          <w:szCs w:val="28"/>
          <w:rtl w:val="true"/>
          <w:lang w:bidi="ar-SA"/>
        </w:rPr>
        <w:t>، علی تأویل من قال إلی ثواب ربها ناظرة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جاءَ رَبُّکَ  </w:t>
      </w:r>
      <w:r>
        <w:rPr>
          <w:rStyle w:val="FootnoteAnchor"/>
          <w:rtl w:val="true"/>
        </w:rPr>
        <w:footnoteReference w:id="43"/>
      </w:r>
      <w:r>
        <w:rPr>
          <w:rFonts w:ascii="IRNazanin" w:hAnsi="IRNazanin" w:eastAsia="IRNazanin"/>
          <w:color w:val="111111"/>
          <w:sz w:val="28"/>
          <w:sz w:val="28"/>
          <w:szCs w:val="28"/>
          <w:rtl w:val="true"/>
          <w:lang w:bidi="fa-IR"/>
        </w:rPr>
        <w:t>لأن معناه، و جاء أمر ربک، و ما أشبه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المجاز الثالث، نحو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أَضَلَّهُمُ السّامِرِیُّ  </w:t>
      </w:r>
      <w:r>
        <w:rPr>
          <w:rStyle w:val="FootnoteAnchor"/>
          <w:rtl w:val="true"/>
        </w:rPr>
        <w:footnoteReference w:id="44"/>
      </w:r>
      <w:r>
        <w:rPr>
          <w:rFonts w:ascii="IRNazanin" w:hAnsi="IRNazanin" w:eastAsia="IRNazanin"/>
          <w:color w:val="111111"/>
          <w:sz w:val="28"/>
          <w:sz w:val="28"/>
          <w:szCs w:val="28"/>
          <w:rtl w:val="true"/>
          <w:lang w:bidi="fa-IR"/>
        </w:rPr>
        <w:t>فنسبه إلیه من حیث دعاهم، و إن کانوا هم ضلوا فی الحقیقة، لا أنه فعل فیهم الضلال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یجب حمل الحقیقة علی ظاهرها، و لا یتوقع فی ذلک دلیل یدل علی ذلک</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المجاز لا یجوز حمله علیه، إلا أن یدل دلیل علی کونه مجازا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الحقیقة إذا عقلت فائدتها، فیجب حملها علی ما عقلت من فائدتها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وجدت، و لا یخص به موضع دون آخر، و یطرد ذلک فیها إلا لمانع من سمع أو عرف أو غیر ذلک، إلا أن تکون وضعت</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وضعه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لتفید معنی فی جنس دون جنس، فحینئذ یجب أن یخص ذلک الجنس به، نحو 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یفید الحموضة فی جنس مخصوص، و 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یفید اجتماع اللونین فی جنس دون جنس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هذا المعنی یقال إن الحقائق یقاس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المجاز فلا یقاس علیه و ینبغی أن یقر حیث استعمل، و لذلک لا 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 الحمیر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یراد مالکها کما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اسأل القریة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أرید أهلها، لأن ذلک لم یتعارف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الحقیقة لا یمتنع أن یقل استعمالها فتصیر کالمجاز، مثل قولنا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الدعاء 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لا یمتنع فی المجاز أن یکثر استعماله فیصیر حقیقة بالعرف</w:t>
      </w:r>
      <w:r>
        <w:rPr>
          <w:rStyle w:val="FootnoteAnchor"/>
          <w:rtl w:val="true"/>
        </w:rPr>
        <w:footnoteReference w:id="46"/>
      </w:r>
      <w:r>
        <w:rPr>
          <w:rFonts w:ascii="IRNazanin" w:hAnsi="IRNazanin" w:eastAsia="IRNazanin"/>
          <w:color w:val="111111"/>
          <w:sz w:val="28"/>
          <w:sz w:val="28"/>
          <w:szCs w:val="28"/>
          <w:rtl w:val="true"/>
          <w:lang w:bidi="fa-IR"/>
        </w:rPr>
        <w:t>نحو 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الغائط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الحدث المخصوص، و 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الحیوان المخصوص، و ما هذا حکمه، حکم له بحکم الحقیقة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المفید من الکلام لا یکون إلا جملة من اسم و اسم، أو فعل و اسم، و ما عداها ما لا یفید إلا بتقدیر واحد من القسمین فیه، و لأجل ذلک قلنا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النداء إنما یفید لأن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أدعو فصار معنی هذا الحرف معنی الفعل، فلأجل ذلک أفاد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ینقسم</w:t>
      </w:r>
      <w:r>
        <w:rPr>
          <w:rStyle w:val="FootnoteAnchor"/>
          <w:rtl w:val="true"/>
        </w:rPr>
        <w:footnoteReference w:id="47"/>
      </w:r>
      <w:r>
        <w:rPr>
          <w:rFonts w:ascii="IRNazanin" w:hAnsi="IRNazanin" w:eastAsia="IRNazanin"/>
          <w:color w:val="111111"/>
          <w:sz w:val="28"/>
          <w:sz w:val="28"/>
          <w:szCs w:val="28"/>
          <w:rtl w:val="true"/>
          <w:lang w:bidi="fa-IR"/>
        </w:rPr>
        <w:t>ذلک إلی أقسام</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الأمر و ما معناه معنی الأمر</w:t>
      </w:r>
      <w:r>
        <w:rPr>
          <w:rStyle w:val="FootnoteAnchor"/>
          <w:rtl w:val="true"/>
        </w:rPr>
        <w:footnoteReference w:id="48"/>
      </w:r>
      <w:r>
        <w:rPr>
          <w:rFonts w:ascii="IRNazanin" w:hAnsi="IRNazanin" w:eastAsia="IRNazanin"/>
          <w:color w:val="111111"/>
          <w:sz w:val="28"/>
          <w:sz w:val="28"/>
          <w:szCs w:val="28"/>
          <w:rtl w:val="true"/>
          <w:lang w:bidi="fa-IR"/>
        </w:rPr>
        <w:t>من السؤال، و الطلب و الدعاء</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إلی النهی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إلی الخبر، و یدخل فی ذلک الجحود، و القسم، و الأمثال، و التشبیه و ما شاکله، و الاستخبار، و الاستفهام، و التمنی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الترجی</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زیادة من الحجریة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شبیه بالإخبار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ما قسمه أهل اللغة، و طول کثیر من الفقهاء فی أقسام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قوم</w:t>
      </w:r>
      <w:r>
        <w:rPr>
          <w:rFonts w:eastAsia="IRNazanin" w:cs="IRNazanin"/>
          <w:color w:val="111111"/>
          <w:sz w:val="28"/>
          <w:szCs w:val="28"/>
          <w:rtl w:val="true"/>
          <w:lang w:bidi="fa-IR"/>
        </w:rPr>
        <w:t>:</w:t>
      </w:r>
      <w:r>
        <w:rPr>
          <w:rStyle w:val="FootnoteAnchor"/>
          <w:rtl w:val="true"/>
        </w:rPr>
        <w:footnoteReference w:id="50"/>
      </w:r>
      <w:r>
        <w:rPr>
          <w:rFonts w:ascii="IRNazanin" w:hAnsi="IRNazanin" w:eastAsia="IRNazanin"/>
          <w:color w:val="111111"/>
          <w:sz w:val="28"/>
          <w:sz w:val="28"/>
          <w:szCs w:val="28"/>
          <w:rtl w:val="true"/>
          <w:lang w:bidi="fa-IR"/>
        </w:rPr>
        <w:t>الأصل فی ذلک کله الخبر، لأن الأمر معناه معنی الخبر، لأن معناه أرید منک أن تفعل و ذلک خبر، و النهی معناه أکره منک الفعل و ذلک أیضا خبر، و کذلک القول فی سائر الأقسام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الأسامی المفیدة علی ضربین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إما أن تکون مفیدة لعین واحدة، أو تفید أکثر من ذلک، فما أفاد الفائدة فی عین واحدة فهو أسماء الأجناس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أفاد أکثر من ذلک علی ضربین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 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لا یفید فی عین واحدة، بل یفید فی أعیان فائدة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الضرب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یفید معانی مختلفة و هو جمیع الأسماء المشترکة نحو قولنا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الناس من دفع ذلک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فی اللغة اسم واحد لمعنیین مختلفین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خلاف حادث لا یلتفت إلیه، لأن الظاهر من مذهب أهل اللغة خلافه</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یدخل علی الجمل</w:t>
      </w:r>
      <w:r>
        <w:rPr>
          <w:rStyle w:val="FootnoteAnchor"/>
          <w:rtl w:val="true"/>
        </w:rPr>
        <w:footnoteReference w:id="51"/>
      </w:r>
      <w:r>
        <w:rPr>
          <w:rFonts w:ascii="IRNazanin" w:hAnsi="IRNazanin" w:eastAsia="IRNazanin"/>
          <w:color w:val="111111"/>
          <w:sz w:val="28"/>
          <w:sz w:val="28"/>
          <w:szCs w:val="28"/>
          <w:rtl w:val="true"/>
          <w:lang w:bidi="fa-IR"/>
        </w:rPr>
        <w:t xml:space="preserve">حروف تغیر معانیها و تحدث فیها فوائد لم تکن قبل </w:t>
      </w:r>
    </w:p>
    <w:p>
      <w:pPr>
        <w:pStyle w:val="BookText"/>
        <w:rPr/>
      </w:pPr>
      <w:r>
        <w:rPr>
          <w:rFonts w:ascii="IRNazanin" w:hAnsi="IRNazanin" w:eastAsia="IRNazanin"/>
          <w:color w:val="111111"/>
          <w:sz w:val="28"/>
          <w:sz w:val="28"/>
          <w:szCs w:val="28"/>
          <w:rtl w:val="true"/>
          <w:lang w:bidi="fa-IR"/>
        </w:rPr>
        <w:t>ذلک، و هی کثیرة قد ذکرها أهل اللغة و لا نحتاج إلی ذکر جمیعها، و نحن نذکر منها ما له تعلق بهذا الباب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فذهب قوم إلی أنها توجب الترتیب، و هو المحکی عن الفراء، و أبی عبیدة، و احتج کثیر من الفقهاء به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الصحیح أنها لا تفید الترتیب بمقتضی اللغة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لا یمتنع أن یقال أنها تفید ذلک بعرف الشرع، بدلالة ما روی عن النبی صلی اللّه علیه و آله و سلم أنه قال لمن خطب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یطع اللّه و رسوله صلی اللّه علیه و آله و سلم فقد هدی، و من یعصهما فقد غوی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بئس خطیب القوم أنت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کیف أقول‌؟ فقال علیه السلام قل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یعص اللّه و رسوله فقد غوی</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لا الترتیب لما کان لهذا الکلام معنی، و لکان یفید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یعصهما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یعص اللّه 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من قال بأنها تفید الجمع، و قد علمنا خلاف ذلک</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القائل إذا قال لزوجته التی لم یدخل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طالق و طالق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لا </w:t>
      </w:r>
    </w:p>
    <w:p>
      <w:pPr>
        <w:pStyle w:val="BookText"/>
        <w:rPr/>
      </w:pPr>
      <w:r>
        <w:rPr>
          <w:rFonts w:ascii="IRNazanin" w:hAnsi="IRNazanin" w:eastAsia="IRNazanin"/>
          <w:color w:val="111111"/>
          <w:sz w:val="28"/>
          <w:sz w:val="28"/>
          <w:szCs w:val="28"/>
          <w:rtl w:val="true"/>
          <w:lang w:bidi="fa-IR"/>
        </w:rPr>
        <w:t>خلاف بین الفقهاء أنّه لا یقع إلا طلقة واحدة</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 xml:space="preserve">المغنی لابن قدامة </w:t>
      </w:r>
      <w:r>
        <w:rPr>
          <w:rFonts w:eastAsia="IRNazanin" w:cs="IRNazanin"/>
          <w:color w:val="111111"/>
          <w:sz w:val="28"/>
          <w:szCs w:val="28"/>
          <w:lang w:bidi="fa-IR"/>
        </w:rPr>
        <w:t>402:8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رقم </w:t>
      </w:r>
      <w:r>
        <w:rPr>
          <w:rFonts w:eastAsia="IRNazanin" w:cs="IRNazanin"/>
          <w:color w:val="111111"/>
          <w:sz w:val="28"/>
          <w:szCs w:val="28"/>
          <w:rtl w:val="true"/>
          <w:lang w:bidi="fa-IR"/>
        </w:rPr>
        <w:t>(</w:t>
      </w:r>
      <w:r>
        <w:rPr>
          <w:rFonts w:eastAsia="IRNazanin" w:cs="IRNazanin"/>
          <w:color w:val="111111"/>
          <w:sz w:val="28"/>
          <w:szCs w:val="28"/>
          <w:lang w:bidi="fa-IR"/>
        </w:rPr>
        <w:t>6006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التبصرة</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فلو کانت الواو تفید الجمع لجری مجری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طالق تطلیقتین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علمنا خلاف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قوم</w:t>
      </w:r>
      <w:r>
        <w:rPr>
          <w:rStyle w:val="FootnoteAnchor"/>
          <w:rtl w:val="true"/>
        </w:rPr>
        <w:footnoteReference w:id="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الواو تفید الجمع و الاشتراک</w:t>
      </w:r>
      <w:r>
        <w:rPr>
          <w:rStyle w:val="FootnoteAnchor"/>
          <w:rtl w:val="true"/>
        </w:rPr>
        <w:footnoteReference w:id="54"/>
      </w:r>
      <w:r>
        <w:rPr>
          <w:rFonts w:ascii="Amiri" w:hAnsi="Amiri" w:eastAsia="Amiri" w:cs="Amiri"/>
          <w:color w:val="111111"/>
          <w:sz w:val="28"/>
          <w:sz w:val="28"/>
          <w:szCs w:val="28"/>
          <w:rtl w:val="true"/>
          <w:lang w:bidi="ar-SA"/>
        </w:rPr>
        <w:t>و هو الظاهر فی اللغة نحو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رأیت زیدا و عمرا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معناه رأیتهما، و تستعمل بمعنی استئناف جملة من الکلام، و إن لم تکون معطوفة علی الأول فی الحکم، نحو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الرّاسِخُونَ فِی الْعِلْمِ یَقُولُونَ آمَنّا بِهِ  </w:t>
      </w:r>
      <w:r>
        <w:rPr>
          <w:rStyle w:val="FootnoteAnchor"/>
          <w:rtl w:val="true"/>
        </w:rPr>
        <w:footnoteReference w:id="55"/>
      </w:r>
      <w:r>
        <w:rPr>
          <w:rFonts w:ascii="IRNazanin" w:hAnsi="IRNazanin" w:eastAsia="IRNazanin"/>
          <w:color w:val="111111"/>
          <w:sz w:val="28"/>
          <w:sz w:val="28"/>
          <w:szCs w:val="28"/>
          <w:rtl w:val="true"/>
          <w:lang w:bidi="fa-IR"/>
        </w:rPr>
        <w:t>علی قول من قال إن المراد به الإخبار عن الراسخین بأنهم یقولون آمنا به، لا أنهم یعلمون تأویل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قد تستعمل بمعنی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کقوله تعالی فی وصف الملائکة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أُولِی أَجْنِحَةٍ مَثْنی وَ ثُلاثَ وَ رُباعَ  </w:t>
      </w:r>
      <w:r>
        <w:rPr>
          <w:rStyle w:val="FootnoteAnchor"/>
          <w:rtl w:val="true"/>
        </w:rPr>
        <w:footnoteReference w:id="56"/>
      </w:r>
      <w:r>
        <w:rPr>
          <w:rFonts w:ascii="Amiri" w:hAnsi="Amiri" w:eastAsia="Amiri" w:cs="Amiri"/>
          <w:color w:val="111111"/>
          <w:sz w:val="28"/>
          <w:sz w:val="28"/>
          <w:szCs w:val="28"/>
          <w:rtl w:val="true"/>
          <w:lang w:bidi="ar-SA"/>
        </w:rPr>
        <w:t>، و کقوله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فَانْکِحُوا ما طابَ لَکُمْ مِنَ النِّساءِ مَثْنی وَ ثُلاثَ وَ رُباعَ  </w:t>
      </w:r>
      <w:r>
        <w:rPr>
          <w:rStyle w:val="FootnoteAnchor"/>
          <w:rtl w:val="true"/>
        </w:rPr>
        <w:footnoteReference w:id="57"/>
      </w:r>
      <w:r>
        <w:rPr>
          <w:rFonts w:ascii="IRNazanin" w:hAnsi="IRNazanin" w:eastAsia="IRNazanin"/>
          <w:color w:val="111111"/>
          <w:sz w:val="28"/>
          <w:sz w:val="28"/>
          <w:szCs w:val="28"/>
          <w:rtl w:val="true"/>
          <w:lang w:bidi="fa-IR"/>
        </w:rPr>
        <w:t>، و المراد بذلک 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الأشبه فی ذلک أن یکون مجازا لأنه لا یطرد فی کل موضع</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معناها الترتیب و التعقیب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نحو قول القائل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رأیت زیدا فعمرا، فإنه یفید أن رؤیته له عقیب رؤیته لزید مع أنه بعده، و لذلک ادخل الفاء فی جواب الشرط لما کان من حق الجزاء أن یلحق</w:t>
      </w:r>
      <w:r>
        <w:rPr>
          <w:rStyle w:val="FootnoteAnchor"/>
          <w:rtl w:val="true"/>
        </w:rPr>
        <w:footnoteReference w:id="58"/>
      </w:r>
      <w:r>
        <w:rPr>
          <w:rFonts w:ascii="IRNazanin" w:hAnsi="IRNazanin" w:eastAsia="IRNazanin"/>
          <w:color w:val="111111"/>
          <w:sz w:val="28"/>
          <w:sz w:val="28"/>
          <w:szCs w:val="28"/>
          <w:rtl w:val="true"/>
          <w:lang w:bidi="fa-IR"/>
        </w:rPr>
        <w:t>بالشرط من غیر تراخ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قوله </w:t>
      </w:r>
    </w:p>
    <w:p>
      <w:pPr>
        <w:pStyle w:val="BookText"/>
        <w:rPr/>
      </w:pPr>
      <w:r>
        <w:rPr>
          <w:rFonts w:ascii="Amiri" w:hAnsi="Amiri" w:eastAsia="Amiri" w:cs="Amiri"/>
          <w:color w:val="111111"/>
          <w:sz w:val="28"/>
          <w:sz w:val="28"/>
          <w:szCs w:val="28"/>
          <w:rtl w:val="true"/>
          <w:lang w:bidi="ar-SA"/>
        </w:rPr>
        <w:t>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قَوْلُنا لِشَیْءٍ إِذا أَرَدْناهُ أَنْ نَقُولَ لَهُ کُنْ فَیَکُونُ  </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النحل</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 ظاهر الکلام یقتضی کون المکون عقیب کن لموضع الفاء، و هذا یوجب أن کن محدثة، لأن ما تقدم المحدث بوقت واحد لا یکون قدیما، و ذلک یدل علی حدوث الکلام بالضد مما یتعلقون به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ذهب المرتضی رحمه اللّه إلی أنها تفید الترتیب، و خالف فی أنها تفید التعقیب من غیر تراخ، بل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موقوف علی الدلیل و یجب التوقف فیه، و خالف فی جمیع ما یمثل به فی هذا الباب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تفید الترتیب و التراخی، فهی مشارکة للفاء فی الترتیب و تضادها فی التراخی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استعملت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فَإِلَیْنا مَرْجِعُهُمْ ثُمَّ اللّهُ شَهِیدٌ عَلی ما یَفْعَلُونَ  </w:t>
      </w:r>
      <w:r>
        <w:rPr>
          <w:rStyle w:val="FootnoteAnchor"/>
          <w:rtl w:val="true"/>
        </w:rPr>
        <w:footnoteReference w:id="60"/>
      </w:r>
      <w:r>
        <w:rPr>
          <w:rFonts w:ascii="IRNazanin" w:hAnsi="IRNazanin" w:eastAsia="IRNazanin"/>
          <w:color w:val="111111"/>
          <w:sz w:val="28"/>
          <w:sz w:val="28"/>
          <w:szCs w:val="28"/>
          <w:rtl w:val="true"/>
          <w:lang w:bidi="fa-IR"/>
        </w:rPr>
        <w:t>لأن معناه و اللّه شهید، و ذلک مجاز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فإنها تفید الترتیب من غیر تراخ و لا تعقیب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للحد، و قد یدخل الحد فی المحدود تارة، و تارة لا یدخل، فهو موقوف علی الدلیل، و إن کان الأقوی أنه لا یدخل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فلها</w:t>
      </w:r>
      <w:r>
        <w:rPr>
          <w:rStyle w:val="FootnoteAnchor"/>
          <w:rtl w:val="true"/>
        </w:rPr>
        <w:footnoteReference w:id="61"/>
      </w:r>
      <w:r>
        <w:rPr>
          <w:rFonts w:ascii="Amiri" w:hAnsi="Amiri" w:eastAsia="Amiri" w:cs="Amiri"/>
          <w:color w:val="111111"/>
          <w:sz w:val="28"/>
          <w:sz w:val="28"/>
          <w:szCs w:val="28"/>
          <w:rtl w:val="true"/>
          <w:lang w:bidi="ar-SA"/>
        </w:rPr>
        <w:t>أربعة أقسام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التبعیض، نحو 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أکلت من الخبز و اللحم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أکلت بعضهما، و نحو 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باب من حدید، و خاتم من فضة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المراد به أنه من هذا الجنس</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ابتداء الغایة، نحو 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الکتاب من فلان إلی 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أی </w:t>
      </w:r>
    </w:p>
    <w:p>
      <w:pPr>
        <w:pStyle w:val="BookText"/>
        <w:rPr/>
      </w:pPr>
      <w:r>
        <w:rPr>
          <w:rFonts w:ascii="Amiri" w:hAnsi="Amiri" w:eastAsia="Amiri" w:cs="Amiri"/>
          <w:color w:val="111111"/>
          <w:sz w:val="28"/>
          <w:sz w:val="28"/>
          <w:szCs w:val="28"/>
          <w:rtl w:val="true"/>
          <w:lang w:bidi="ar-SA"/>
        </w:rPr>
        <w:t>ابتداء غایته منه، و علی هذا حمل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نُودِیَ مِنْ شاطِئِ الْوادِ الْأَیْمَنِ فِی الْبُقْعَةِ الْمُبارَکَةِ مِنَ الشَّجَرَةِ أَنْ یا مُوسی  </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القصص</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فإن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معناه أن ابتداء النداء کان من الشجرة، فذلک دلیل علی حدوث النداء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تکون زائدة، مثل 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جاءنی من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 ما جاءنی أحد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تبین تبیین الصفة، نحو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فَاجْتَنِبُوا الرِّجْسَ مِنَ الْأَوْثانِ  </w:t>
      </w:r>
      <w:r>
        <w:rPr>
          <w:rStyle w:val="FootnoteAnchor"/>
          <w:rtl w:val="true"/>
        </w:rPr>
        <w:footnoteReference w:id="63"/>
      </w:r>
      <w:r>
        <w:rPr>
          <w:rFonts w:ascii="IRNazanin" w:hAnsi="IRNazanin" w:eastAsia="IRNazanin"/>
          <w:color w:val="111111"/>
          <w:sz w:val="28"/>
          <w:sz w:val="28"/>
          <w:szCs w:val="28"/>
          <w:rtl w:val="true"/>
          <w:lang w:bidi="fa-IR"/>
        </w:rPr>
        <w:t>معناه فاجتنبوا</w:t>
      </w:r>
      <w:r>
        <w:rPr>
          <w:rStyle w:val="FootnoteAnchor"/>
          <w:rtl w:val="true"/>
        </w:rPr>
        <w:footnoteReference w:id="64"/>
      </w:r>
      <w:r>
        <w:rPr>
          <w:rFonts w:ascii="IRNazanin" w:hAnsi="IRNazanin" w:eastAsia="IRNazanin"/>
          <w:color w:val="111111"/>
          <w:sz w:val="28"/>
          <w:sz w:val="28"/>
          <w:szCs w:val="28"/>
          <w:rtl w:val="true"/>
          <w:lang w:bidi="fa-IR"/>
        </w:rPr>
        <w:t xml:space="preserve">الرجس الّذی هو الأوثان، ذکر ذلک أبو علی الفارسی النحوی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معناها فی جمیع المواضع ابتداء الغایة، و أنکر ما عدا ذلک من الأقسام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فتستعمل علی 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التبعیض، و هو إذا استعملت فی الموضع الّذی</w:t>
      </w:r>
      <w:r>
        <w:rPr>
          <w:rStyle w:val="FootnoteAnchor"/>
          <w:rtl w:val="true"/>
        </w:rPr>
        <w:footnoteReference w:id="65"/>
      </w:r>
      <w:r>
        <w:rPr>
          <w:rFonts w:ascii="Amiri" w:hAnsi="Amiri" w:eastAsia="Amiri" w:cs="Amiri"/>
          <w:color w:val="111111"/>
          <w:sz w:val="28"/>
          <w:sz w:val="28"/>
          <w:szCs w:val="28"/>
          <w:rtl w:val="true"/>
          <w:lang w:bidi="ar-SA"/>
        </w:rPr>
        <w:t>یتعدی الفعل إلی المفعول به بنفسه، و لأجل هذا قلنا أن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امْسَحُوا بِرُؤُسِکُمْ  </w:t>
      </w:r>
      <w:r>
        <w:rPr>
          <w:rStyle w:val="FootnoteAnchor"/>
          <w:rtl w:val="true"/>
        </w:rPr>
        <w:footnoteReference w:id="66"/>
      </w:r>
      <w:r>
        <w:rPr>
          <w:rFonts w:ascii="IRNazanin" w:hAnsi="IRNazanin" w:eastAsia="IRNazanin"/>
          <w:color w:val="111111"/>
          <w:sz w:val="28"/>
          <w:sz w:val="28"/>
          <w:szCs w:val="28"/>
          <w:rtl w:val="true"/>
          <w:lang w:bidi="fa-IR"/>
        </w:rPr>
        <w:t>یقتضی المسح ببعض الرّأس، لأنه لو کان المراد مسح الرّأس کله لقال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امسحوا رءوسکم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 الفعل یتعدی بنفسه إلی الرءوس</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تکون للإلصاق، و هو إذا کان الفعل لا یتعدی إلی المفعول بنفسه، </w:t>
      </w:r>
    </w:p>
    <w:p>
      <w:pPr>
        <w:pStyle w:val="BookText"/>
        <w:rPr/>
      </w:pPr>
      <w:r>
        <w:rPr>
          <w:rFonts w:ascii="IRNazanin" w:hAnsi="IRNazanin" w:eastAsia="IRNazanin"/>
          <w:color w:val="111111"/>
          <w:sz w:val="28"/>
          <w:sz w:val="28"/>
          <w:szCs w:val="28"/>
          <w:rtl w:val="true"/>
          <w:lang w:bidi="fa-IR"/>
        </w:rPr>
        <w:t xml:space="preserve">مثل 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مررت بزید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لأنه لو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مررت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کاملا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فالأصل فیها التخییر، کقولهم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جالس الحسن أو ابن سیرین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هذا حملت آیة الکفارة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تستعمل بمعنی الشک کقول القائل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أکلت کذا أو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فلانا أو فلانا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إلا أن هذا القسم لا یجوز فی کلام اللّه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قد تستعمل بمعنی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أَرْسَلْناهُ إِلی مِائَةِ أَلْفٍ أَوْ یَزِیدُونَ  </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الصافات</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أراد به و یزیدون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تستعمل بمعنی الإبهام، مثل قول القائل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فعلت کذا و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عالما بما فعله، و إنما یرید إبهامه علی المخاطب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فإنها تفید الظرف، نحو 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فی الدار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إن استعملت فی غیر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الموضع</w:t>
      </w:r>
      <w:r>
        <w:rPr>
          <w:rFonts w:eastAsia="IRNazanin" w:cs="IRNazanin"/>
          <w:color w:val="111111"/>
          <w:sz w:val="28"/>
          <w:szCs w:val="28"/>
          <w:rtl w:val="true"/>
          <w:lang w:bidi="fa-IR"/>
        </w:rPr>
        <w:t>)</w:t>
      </w:r>
      <w:r>
        <w:rPr>
          <w:rStyle w:val="FootnoteAnchor"/>
          <w:rtl w:val="true"/>
        </w:rPr>
        <w:footnoteReference w:id="68"/>
      </w:r>
      <w:r>
        <w:rPr>
          <w:rFonts w:ascii="IRNazanin" w:hAnsi="IRNazanin" w:eastAsia="IRNazanin"/>
          <w:color w:val="111111"/>
          <w:sz w:val="28"/>
          <w:sz w:val="28"/>
          <w:szCs w:val="28"/>
          <w:rtl w:val="true"/>
          <w:lang w:bidi="fa-IR"/>
        </w:rPr>
        <w:t>فعلی ضرب من المجاز</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إذ قد بینا أن الکلام ینقسم إلی حقیقة و مجاز فلا بدّ من إثباته، لأن فی الناس من دفع أن یکون فی الکلام مجاز أصلا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قول شاذ لا یلتفت إلیه، لأن من </w:t>
      </w:r>
    </w:p>
    <w:p>
      <w:pPr>
        <w:pStyle w:val="BookText"/>
        <w:rPr/>
      </w:pPr>
      <w:r>
        <w:rPr>
          <w:rFonts w:ascii="IRNazanin" w:hAnsi="IRNazanin" w:eastAsia="IRNazanin"/>
          <w:color w:val="111111"/>
          <w:sz w:val="28"/>
          <w:sz w:val="28"/>
          <w:szCs w:val="28"/>
          <w:rtl w:val="true"/>
          <w:lang w:bidi="fa-IR"/>
        </w:rPr>
        <w:t>المعلوم من دین أهل اللغة أن استعمالهم لفظة الحمار فی البلید، و الأسد فی الشجاع مجاز دون الحقیقة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کذا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یُؤْذُونَ اللّهَ  </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الأحزاب</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بمعنی یؤذون أولیاء اللّه، وَ جاءَ رَبُّکَ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بمعنی جاء أمر ربک،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سْئَلِ الْقَرْیَةَ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بمعنی أهل القریة، أن کل ذلک مجاز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دفع ذلک استعمالا، فما ذکرناه دلالة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أدفعه استعمالا إلا أنی أقول إنه حقیقة، کان مخالفا لاستعمال أهل اللغة و إطلاقهم، و یحتج علیه بالرجوع إلی الکتب المصنفة فی المجاز</w:t>
      </w:r>
      <w:r>
        <w:rPr>
          <w:rStyle w:val="FootnoteAnchor"/>
          <w:rtl w:val="true"/>
        </w:rPr>
        <w:footnoteReference w:id="70"/>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مجازات الآثار النبویة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تلخیص البیان فی مجازات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للشریف الرضی محمد بن الحسین بن موسی العلوی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المتوفی</w:t>
      </w:r>
      <w:r>
        <w:rPr>
          <w:rFonts w:eastAsia="IRNazanin" w:cs="IRNazanin"/>
          <w:color w:val="111111"/>
          <w:sz w:val="28"/>
          <w:szCs w:val="28"/>
          <w:rtl w:val="true"/>
          <w:lang w:bidi="fa-IR"/>
        </w:rPr>
        <w:t xml:space="preserve">: </w:t>
      </w:r>
      <w:r>
        <w:rPr>
          <w:rFonts w:eastAsia="IRNazanin" w:cs="IRNazanin"/>
          <w:color w:val="111111"/>
          <w:sz w:val="28"/>
          <w:szCs w:val="28"/>
          <w:lang w:bidi="fa-IR"/>
        </w:rPr>
        <w:t>406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الحقیقة و المجاز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لعلی بن عیسی الرمانی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عبیدة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المولود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المجاز من کلام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لقطرب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 الکلام و تصاریفه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لأحمد بن یحیی المشهور بثعلب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 ما جاء فی شعر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السکیت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الوجه الّذی یستعمل علیه المجاز کثیر و ینضبط، و قد ذکر بعضه فی الکتب</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یجوز أن یکون مجاز و لا حقیقة له، و إنما قلنا ذلک لما بیناه من أن المجاز هو ما استعمل فی غیر ما وضع له، و إذا لم یکن له حقیقة لم یثبت هذا المعنی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یجوز </w:t>
      </w:r>
    </w:p>
    <w:p>
      <w:pPr>
        <w:pStyle w:val="BookText"/>
        <w:rPr/>
      </w:pPr>
      <w:r>
        <w:rPr>
          <w:rFonts w:ascii="IRNazanin" w:hAnsi="IRNazanin" w:eastAsia="IRNazanin"/>
          <w:color w:val="111111"/>
          <w:sz w:val="28"/>
          <w:sz w:val="28"/>
          <w:szCs w:val="28"/>
          <w:rtl w:val="true"/>
          <w:lang w:bidi="fa-IR"/>
        </w:rPr>
        <w:t>أن تکون حقیقة و لا مجاز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حق الحقیقة أن یعلم المراد بها بظاهرها، و من حق المجاز أن یعلم المراد به بدلیل غیر الظاهر، و اللّه تعالی قد خاطب بالمجاز کما خاطب بالحقیقة، و کذلک الرسول علیه و آله السلام، و من دفع ذلک لا یلتفت إلی قوله، و لیس ذلک بمؤد إلی الحاجة لأن اللّه تعالی استعمل ذلک علی عادة العرب فی خطابها فی استعمال الحقیقة و المجاز، کما استعمل الإطالة تارة و الإیجاز أخری، کما استعملت هی، فإذا جاز أحدهما جاز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لفظ الاستعارة فالأولی أن لا یطلق علی کلام اللّه تعالی من حیث</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من حیث إنه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یوهم أن فاعلها استعارها لحاجة، و إن أرید بذلک ما ذکره بعضهم من أن المخاطب بتلک اللغة یقتضی حسن استعمالها فی المجاز کحسن ذلک فی الحقیقة، فعلی هذا لا یمتنع إطلاق هذه اللفظة علی کلام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ثبت أن اللّه تعالی خاطب بالحقیقة و المجاز معا فلا بدّ من أن یدل علی الفصل بینهما، و إلا أدی إلی تکلیف ما لا یطاق، کما لا بد من أن یدل علی الفصل بین الألفاظ المختلفة لتعرف معانیها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الفصل بین الحقیقة و المجاز یقع من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یوجد نصّ من أهل اللغة، أو دلالة علی أنه مجاز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یعلم بأنهم وضعوا تلک اللفظة لشیء ثم استعملوها فی غیره</w:t>
      </w:r>
      <w:r>
        <w:rPr>
          <w:rStyle w:val="FootnoteAnchor"/>
          <w:rtl w:val="true"/>
        </w:rPr>
        <w:footnoteReference w:id="72"/>
      </w:r>
      <w:r>
        <w:rPr>
          <w:rFonts w:ascii="IRNazanin" w:hAnsi="IRNazanin" w:eastAsia="IRNazanin"/>
          <w:color w:val="111111"/>
          <w:sz w:val="28"/>
          <w:sz w:val="28"/>
          <w:szCs w:val="28"/>
          <w:rtl w:val="true"/>
          <w:lang w:bidi="fa-IR"/>
        </w:rPr>
        <w:t>علی وجه التشبیه</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یعلم أنها تطرد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موضع و لا تطرد فی آخر، و لا مانع فیعلم أنها مجاز فی الموضع الّذی لا تطرد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إنما شرطنا المانع لأن الحقیقة قد لا تطرد لمانع </w:t>
      </w:r>
    </w:p>
    <w:p>
      <w:pPr>
        <w:pStyle w:val="BookText"/>
        <w:rPr/>
      </w:pPr>
      <w:r>
        <w:rPr>
          <w:rFonts w:ascii="IRNazanin" w:hAnsi="IRNazanin" w:eastAsia="IRNazanin"/>
          <w:color w:val="111111"/>
          <w:sz w:val="28"/>
          <w:sz w:val="28"/>
          <w:szCs w:val="28"/>
          <w:rtl w:val="true"/>
          <w:lang w:bidi="fa-IR"/>
        </w:rPr>
        <w:t xml:space="preserve">عرفی أو شرعی، أ لا تری أن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وضعت فی الأصل لکل ما دب، ثم اختصت فی العرف بشیء</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فی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بعینه، و کذلک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الأصل للدعاء، ثم اختصت فی الشرع بأفعال بعینها، و کذلک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النکاح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جری مجری ذلک، فیعلم أنه حقیقة و إن لم تطرد، لما بیناه من العرف و الشرع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یعلم أن للفظه حکما و تصرفا من اشتقاق، أو تثنیة، أو جمع، أو تعلق بالغیر</w:t>
      </w:r>
      <w:r>
        <w:rPr>
          <w:rStyle w:val="FootnoteAnchor"/>
          <w:rtl w:val="true"/>
        </w:rPr>
        <w:footnoteReference w:id="74"/>
      </w:r>
      <w:r>
        <w:rPr>
          <w:rFonts w:ascii="IRNazanin" w:hAnsi="IRNazanin" w:eastAsia="IRNazanin"/>
          <w:color w:val="111111"/>
          <w:sz w:val="28"/>
          <w:sz w:val="28"/>
          <w:szCs w:val="28"/>
          <w:rtl w:val="true"/>
          <w:lang w:bidi="fa-IR"/>
        </w:rPr>
        <w:t>، فإذا استعملت فی موضع و هذه الأحکام منتفیة عنه علم أنه مجاز، و لذلک قلنا أن لفظة الأمر حقیقة فی القول و مجاز فی الفعل، لأن الاشتقاق لا یصح فی الفعل و یصح فی القول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یعلم أن تعلقها بالمذکور لا یصح، فیحکم أن هناک حذفا و أن اللفظ مجاز، و لذلک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سْئَلِ الْقَرْیَةَ  </w:t>
      </w:r>
      <w:r>
        <w:rPr>
          <w:rStyle w:val="FootnoteAnchor"/>
          <w:rtl w:val="true"/>
        </w:rPr>
        <w:footnoteReference w:id="75"/>
      </w:r>
      <w:r>
        <w:rPr>
          <w:rFonts w:ascii="Amiri" w:hAnsi="Amiri" w:eastAsia="Amiri" w:cs="Amiri"/>
          <w:color w:val="111111"/>
          <w:sz w:val="28"/>
          <w:sz w:val="28"/>
          <w:szCs w:val="28"/>
          <w:rtl w:val="true"/>
          <w:lang w:bidi="ar-SA"/>
        </w:rPr>
        <w:t>مجاز، و کذلک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رَبِّها ناظِرَةٌ  </w:t>
      </w:r>
      <w:r>
        <w:rPr>
          <w:rStyle w:val="FootnoteAnchor"/>
          <w:rtl w:val="true"/>
        </w:rPr>
        <w:footnoteReference w:id="76"/>
      </w:r>
      <w:r>
        <w:rPr>
          <w:rFonts w:ascii="IRNazanin" w:hAnsi="IRNazanin" w:eastAsia="IRNazanin"/>
          <w:color w:val="111111"/>
          <w:sz w:val="28"/>
          <w:sz w:val="28"/>
          <w:szCs w:val="28"/>
          <w:rtl w:val="true"/>
          <w:lang w:bidi="fa-IR"/>
        </w:rPr>
        <w:t>علی أحد التأویلات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یستعمل فی الشیء من حیث کان جزاء لغیره، نحو قوله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جَزاءُ سَیِّئَةٍ سَیِّئَةٌ مِثْلُها   </w:t>
      </w:r>
      <w:r>
        <w:rPr>
          <w:rStyle w:val="FootnoteAnchor"/>
          <w:rtl w:val="true"/>
        </w:rPr>
        <w:footnoteReference w:id="77"/>
      </w:r>
      <w:r>
        <w:rPr>
          <w:rFonts w:ascii="IRNazanin" w:hAnsi="IRNazanin" w:eastAsia="IRNazanin"/>
          <w:color w:val="111111"/>
          <w:sz w:val="28"/>
          <w:sz w:val="28"/>
          <w:szCs w:val="28"/>
          <w:rtl w:val="true"/>
          <w:lang w:bidi="fa-IR"/>
        </w:rPr>
        <w:t>، لأن الجزاء فی الحقیقة لا یکون سیئة، و لهذا قال أهل اللغة الجزاء بالجزاء، و معلوم أن الأول لیس جزاء، و لذلک نظائر کثیرة</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یستعمل فی الشیء لأنه یفضی إلی غیره، کقولهم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حضره الموت</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خیف علیه من مرضه، و نحو قولنا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النکاح اسم للوطء، حقیقة و مجاز فی العقد لأنه موصل إلیه، و إن کان بعرف الشرع قد اختص بالعقد کلفظ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قد یستعمل اللفظ فی الشیء لأنه مجاور لغیره، أو هو منه بسبب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الجملة کافیة فی هذا الباب فإنها تنبه علی ما عداها، و قد انتقلت أسماء کثیرة مما کانت علیه فی هذا الباب فإنها تنبه علی ما عداها، و قد انتقلت أسماء کثیرة مما کانت علیه فی اللغة إلی العرف تارة، و إلی الشرع</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فی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أخری، فما انتقل منه إلی العرف نحو 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غائط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هذا و إن کان اسما فی اللغة لکل ما یدب و للمکان المطمئن من الأرض منه، صار فی العرف عبارة عن حیوان مخصوص و حدث مخصوص، و نظائر ذلک کثیرة لا فائدة فی ذکر جمیعها و إنما أردنا المثال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انتقل منه إلی الشرع فنحو 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فإنها فی اللغة موضوعة للدعاء، و قد صارت فی الشریعة عبارة عن أفعال مخصوصة، و کذلک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اللغة عبارة عن النموّ، و فی الشریعة عبارة عن أخذ شیء مخصوص، و نظائر ذلک کثیرة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فعند قوم أنها منتقلة، و عند آخرین أنها علی ما کانت علیه</w:t>
      </w:r>
      <w:r>
        <w:rPr>
          <w:rStyle w:val="FootnoteAnchor"/>
          <w:rtl w:val="true"/>
        </w:rPr>
        <w:footnoteReference w:id="79"/>
      </w:r>
      <w:r>
        <w:rPr>
          <w:rFonts w:ascii="IRNazanin" w:hAnsi="IRNazanin" w:eastAsia="IRNazanin"/>
          <w:color w:val="111111"/>
          <w:sz w:val="28"/>
          <w:sz w:val="28"/>
          <w:szCs w:val="28"/>
          <w:rtl w:val="true"/>
          <w:lang w:bidi="fa-IR"/>
        </w:rPr>
        <w:t>، و لیس هذا الکتاب موضوعا لأعیان الأسماء التی انتقلت و التی لم تنتقل فإن شرح ذلک یطول، و إنما کان غرضنا أن نبین ثبوت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السبب فی استعمال ذلک أنه حدثت أحکام فی الشریعة لم تکن معروفة فی اللغة، فلا بدّ من العبارة عنها، فلا فرق بین أن توضع لها عبارة مبتدأة لا تعرف، و بین أن ینقل بعض الأسماء المستعملة فی غیر ذلک، کما أن من یرزق ولدا یجوز له أن یضع له اسما لا یعرف، و یجوز أن ینقل بعض الأسماء المستعملة إلیه، إلا أن</w:t>
      </w:r>
      <w:r>
        <w:rPr>
          <w:rStyle w:val="FootnoteAnchor"/>
          <w:rtl w:val="true"/>
        </w:rPr>
        <w:footnoteReference w:id="80"/>
      </w:r>
      <w:r>
        <w:rPr>
          <w:rFonts w:ascii="IRNazanin" w:hAnsi="IRNazanin" w:eastAsia="IRNazanin"/>
          <w:color w:val="111111"/>
          <w:sz w:val="28"/>
          <w:sz w:val="28"/>
          <w:szCs w:val="28"/>
          <w:rtl w:val="true"/>
          <w:lang w:bidi="fa-IR"/>
        </w:rPr>
        <w:t>الأمر و إن کان علی ما قلناه، فمتی نقل الاسم من مقتضی اللغة إلی شیء لا یعرف فیها لا یکون المتکلم به متکلما باللغة، بل یکون متکلما بالشرع، و إن سمی متکلما باللغة یکون مجازا من حیث أنه استعمل ما کانوا استعملوه، و إن کان قد استعملوه فی غیر ذلک</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متی لم نقل ذلک لزم أن یکون من تکلم باللغة المعروفة و وافق بعض أسمائها أسماء </w:t>
      </w:r>
    </w:p>
    <w:p>
      <w:pPr>
        <w:pStyle w:val="BookText"/>
        <w:rPr/>
      </w:pPr>
      <w:r>
        <w:rPr>
          <w:rFonts w:ascii="IRNazanin" w:hAnsi="IRNazanin" w:eastAsia="IRNazanin"/>
          <w:color w:val="111111"/>
          <w:sz w:val="28"/>
          <w:sz w:val="28"/>
          <w:szCs w:val="28"/>
          <w:rtl w:val="true"/>
          <w:lang w:bidi="fa-IR"/>
        </w:rPr>
        <w:t>العجم أن یکون متکلما بالعجمیة، و ذلک لا یقوله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فعلم أن الصحیح ما قلناه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ثبتت هذه الجملة فمتی ورد خطاب من اللّه تعالی أو من الرسول علیه السلام</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النبی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فیه، فإن کان استعماله فی اللغة و العرف و الشرع سواء، حمل علی مقتضی اللغة، و إن کان له حقیقة فی اللغة و صار فی العرف حقیقة فی غیره وجب حمله علی ما تعورف فی العرف، و کذلک إن کان له حقیقة فی اللغة أو العرف و قد صار بالشرع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حقیقة لغیره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وجب حمله علی ما یعرف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بالشرع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 کذلک إذا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کانت اللفظة منتقلة عن اللغة إلی العرف ثم استعملت فی الشرع علی خلاف العرف، وجب حملها علی ما تقرر فی الشرع، لأن خطاب اللّه تعالی و خطاب النبی صلی اللّه علیه و آله و سلم ینبغی أن یحملا علی ما تقتضیه الشریعة، لأنه المستفاد من هاتین الجهتین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متی نقل اللّه تعالی أو رسوله علیه و آله السلام اسما من اللغة إلی الشرع وجب علیه أن یبینه لمن هو مخاطب به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دون من لم یخاطب به، لأن من لیس بمخاطب به لا یجب بیانه له، و لأجل هذا لا یجب أن یبین اللّه تعالی لنا مراده بالکتب السالفة لما لم نکن مخاطبین بها، و هذا و إن لم یجب فإنه یحسن أن یبین لغیر المخاطب کما یبین اللّه تعالی أحکام الحیض لمن لیس هو مخاطب بها من الرّجال، و ذلک جائز غیر واجب علی ما قلناه، و إنما قلنا ذلک لأنه کما یجب أن یقدر من لیس بمخاطب به، فکذلک لا یجب أن یعلمه لأن القدرة آکد من العلم، لأن الفعل یستحیل من دونها أصلا، فإذا لم تجب القدرة فکذلک لا یجب العلم علی ما بیناه</w:t>
      </w:r>
      <w:r>
        <w:rPr>
          <w:rFonts w:eastAsia="IRNazanin" w:cs="IRNazanin"/>
          <w:color w:val="111111"/>
          <w:sz w:val="28"/>
          <w:szCs w:val="28"/>
          <w:rtl w:val="true"/>
          <w:lang w:bidi="fa-IR"/>
        </w:rPr>
        <w:t>.</w:t>
      </w:r>
      <w:bookmarkStart w:id="28" w:name="pg6519_49120"/>
    </w:p>
    <w:p>
      <w:pPr>
        <w:pStyle w:val="Heading4"/>
        <w:numPr>
          <w:ilvl w:val="3"/>
          <w:numId w:val="1"/>
        </w:numPr>
        <w:rPr/>
      </w:pPr>
      <w:bookmarkStart w:id="29" w:name="__RefHeading___Toc1757173_653776707"/>
      <w:bookmarkStart w:id="30" w:name="_Toc10"/>
      <w:bookmarkEnd w:id="28"/>
      <w:bookmarkEnd w:id="29"/>
      <w:r>
        <w:rPr/>
        <w:t>5</w:t>
      </w:r>
      <w:r>
        <w:rPr>
          <w:rtl w:val="true"/>
        </w:rPr>
        <w:t xml:space="preserve">- </w:t>
      </w:r>
      <w:r>
        <w:rPr>
          <w:rtl w:val="true"/>
        </w:rPr>
        <w:t xml:space="preserve">فصل </w:t>
      </w:r>
      <w:r>
        <w:rPr>
          <w:rtl w:val="true"/>
        </w:rPr>
        <w:t>«</w:t>
      </w:r>
      <w:r>
        <w:rPr>
          <w:rtl w:val="true"/>
        </w:rPr>
        <w:t>فی ذکر ما یجب معرفته من صفات اللّه تعالی، و صفات النبی صلی اللّه علیه و آله و سلم و صفات الأئمة علیهم السلام حتی یصح معرفة مرادهم</w:t>
      </w:r>
      <w:r>
        <w:rPr>
          <w:rtl w:val="true"/>
        </w:rPr>
        <w:t>»</w:t>
      </w:r>
      <w:bookmarkEnd w:id="30"/>
    </w:p>
    <w:p>
      <w:pPr>
        <w:pStyle w:val="BookText"/>
        <w:rPr/>
      </w:pPr>
      <w:r>
        <w:rPr>
          <w:rFonts w:ascii="IRNazanin" w:hAnsi="IRNazanin" w:eastAsia="IRNazanin"/>
          <w:color w:val="111111"/>
          <w:sz w:val="28"/>
          <w:sz w:val="28"/>
          <w:szCs w:val="28"/>
          <w:rtl w:val="true"/>
          <w:lang w:bidi="fa-IR"/>
        </w:rPr>
        <w:t>اعلم أنه لا یمکن معرفة المراد بخطاب اللّه تعالی إلا بعد ثبوت العلم بأشیاء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یعلم أن الخطاب خطاب له، لأنا متی لم نعلم أنه خطاب له لم یمکنا أن نستدل علی معرفة مراده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نعلم أنه لا یجوز أن لا یفید بخطابه شیئا أصلا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نعلم أنه لا یجوز أن یخاطب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بخطابه علی وجه یقبح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یجوز أن یرید بخطابه غیر ما وضع له و لا یدل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فمتی حصلت هذه العلوم صح الاستدلال بخطابه علی مراده، و متی لم یحصل جمیعها، أو لم یحصل بعضها لم یصح ذلک، و لذلک ألزمنا المجبرة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w:t>
      </w:r>
      <w:r>
        <w:rPr>
          <w:rStyle w:val="FootnoteAnchor"/>
          <w:rtl w:val="true"/>
        </w:rPr>
        <w:footnoteReference w:id="82"/>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یعرفوا بخطابه شیئا و لا مراده أصلا من حیث جوزوا علی اللّه تعالی القبائح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لشرح هذه الأشیاء موضع غیر هذا یحتمل أن نبسط الکلام فیه، غیر أنا نشیر إلی جمل منه موصلة إلی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إنما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یجوز أن یخاطب و لا یفید بخطابه شیئا أصلا، لأن ذلک عبث لا فائدة فیه، تعالی اللّه تعالی عن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لأحد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یجوز أن لا یفید بخطابه شیئا أصلا و یکون وجه حسنه المصلحة، لأن ذلک یؤدی إلی أن لا یکون طریق إلی معرفة المراد بخطابه أصلا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لأنه لا خطاب إلا و ذلک مجوز فیه و ذلک فاسد، فجری ذلک مجری المعجزات الدالة علی نبوة الأنبیاء علیهم السلام فی أنه لا یجوز أن تفعل للمصلحة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التصدیق</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فی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تصدیقه</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لأن ذلک یؤدی إلی انسداد الطریق علینا من الفرق بین الصادق و الکاذب، و لأجل ذلک قلنا إنه لا یجوز فعل المعجز إلا للتصدیق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فکذلک القول</w:t>
      </w:r>
    </w:p>
    <w:p>
      <w:pPr>
        <w:pStyle w:val="BookText"/>
        <w:rPr/>
      </w:pPr>
      <w:r>
        <w:rPr>
          <w:rFonts w:ascii="IRNazanin" w:hAnsi="IRNazanin" w:eastAsia="IRNazanin"/>
          <w:color w:val="111111"/>
          <w:sz w:val="28"/>
          <w:sz w:val="28"/>
          <w:szCs w:val="28"/>
          <w:rtl w:val="true"/>
          <w:lang w:bidi="fa-IR"/>
        </w:rPr>
        <w:t>فی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یجوز أن یصدر منه إلا للإفادة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لهم أن یقولوا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تعبد بتلاوته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ذلک لا یمکن إلا بخطاب آخر، و الکلام فی ذلک الخطاب کالکلام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یؤدی إلی أن لا نعلم بخطابه شیئا أصلا، علی أن التعبد بتلاوة ما لا یفهم عبث، لأنه یجری مجری التعبد بالتصویب من الصراخ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لأن التعبد به إنما یجوز إذا کان للمتعبد به طریق إلی معرفة مراده فیدعوه ذلک إلی فعل الواجب، أو یصرفه عن فعل القبیح، فأما إذا لم یکن کذلک فلا تحسن العبادة بالتلاوة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کان لمجرد التلاوة لم یحسن أن یجعل بعضه أمرا، و بعضه نهیا، و بعضه خبرا، و بعضه وعدا، و بعضه وعیدا، و لا أن یکون خطابا لقوم بأولی من أن یکون خطابا لغیرهم، و کل ذلک یبین أنه لا یحسن لما قالوه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الّذی یدل علی أنه لا یجوز أن یخاطب علی وجه یقبح، ما ثبت من کونه عالما بقبحه، و من أنه غنی عنه، و من هذه صفته لا یجوز أن یفعل القبیح، أ لا تری أن من علم أنه إذا صدق توصل إلی مراده، و کذلک إذا کذب وصل إلیه علی حد ما کان یفعل إلیه لو صدق من غیر زیادة، لم یجز أن یختار الکذب علی الصدق، و لا وجه فی ذلک إلا لعلمه بقبح الکذب، و بأنه غنی عنه بالصدق، فکذلک القدیم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الّذی یدل علی أنه لا یجوز أن یرید بخطابه غیر ما وضع له و لا یدل علیه، فإن ذلک یؤدی إلی أن لا نعلم بخطابه شیئا أصلا، لأنه لا خطاب إلا و ذلک یجوز فیه، و لا یمکن أن یدعی العلم بقصده ضرورة فی بعض خطابه، لأن ذلک یمنع من التکلیف</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لیس لهم أن یقولوا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یؤکد ذلک الخطاب فیعلم به مراده، و إن کان هذا عاریا منه، </w:t>
      </w:r>
    </w:p>
    <w:p>
      <w:pPr>
        <w:pStyle w:val="BookText"/>
        <w:rPr/>
      </w:pPr>
      <w:r>
        <w:rPr>
          <w:rFonts w:ascii="IRNazanin" w:hAnsi="IRNazanin" w:eastAsia="IRNazanin"/>
          <w:color w:val="111111"/>
          <w:sz w:val="28"/>
          <w:sz w:val="28"/>
          <w:szCs w:val="28"/>
          <w:rtl w:val="true"/>
          <w:lang w:bidi="fa-IR"/>
        </w:rPr>
        <w:t xml:space="preserve">لأن التأکید أیضا خطاب فیلزم فیه ما لزم فی المؤکد، و أن یکون فعل لمثل ما فعل له المؤکد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نفسه، و ذلک یؤدی إلی ما قلناه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لهم أن یقولوا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یخاطبه بخطاب لا یحتمل أصلا، لأنه لا خطاب إلا و یمکن أن یراد به غیر ظاهره علی وجه التجوز، فإذا جوز أن لا یدل علیه لزم أن لا نفهم بخطابه شیئا أصلا، و لا یلزمنا ذلک فیما نقوله فی الأسماء المنقولة إلی الشرع، لأنه قد دللنا علی المراد بجمیع ذلک، ففارق ذلک ما قالوه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جملة کافیة فی هذا الباب، لأن شرح ذلک یطول و یخرج عن بغیة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ثبت ما قلناه، فمتی ورد خطاب من اللّه تعالی وجب حمله علی ظاهره فیما تقتضیه اللغة، إلا أن یدل دلیل علی 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معرفة مراد الرسول علیه و آله السلام بخطابه فیکون علی ضربین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یشاهده و یضطر إلی قصده بخطابه، فمن هذه صفته أغناه علمه بقصده، و مراده عن اعتبار صفاته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من غاب عنه، و لا یعلم قصده ضرورة، فلا یصح أن یعرف مراده إلا بعد العلم ما 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نعلم أنه لا یجوز أن یکذب فیما یؤدیه عن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یجوز أن یکتم ما یجب أداؤه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یؤدی علی وجه یقتضی التفسیر عنه فیمن حصلت له عدة علوم، صح أن یعلم بخطابه مراده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متی لم تحصل له لم یصح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نذکر فی جملة هذه الأقسام العلم بنبوته، لأن الکلام فی خطاب من ثبتت نبوته، دون من لم تثبت نبوته، فذلک خارج عن هذا</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إنما شرطنا هذه العلوم، لأن العلم المعجز إذا دل علی صدقه أنه رسول اللّه صلی اللّه علیه و آله دل علی أنه صادق فیما یؤدیه عن اللّه تعالی، لأنه لا یجوز أن یعلمه صادقا فی أنه رسول اللّه صلی اللّه علیه و آله و یجوز أن یکذب فیما بلغ، لأن ذلک یوجب أن یکون اللّه تعالی أرسله مع علمه أنه لا یؤدی ما حمله من الرسالة علی </w:t>
      </w:r>
    </w:p>
    <w:p>
      <w:pPr>
        <w:pStyle w:val="BookText"/>
        <w:rPr/>
      </w:pPr>
      <w:r>
        <w:rPr>
          <w:rFonts w:ascii="IRNazanin" w:hAnsi="IRNazanin" w:eastAsia="IRNazanin"/>
          <w:color w:val="111111"/>
          <w:sz w:val="28"/>
          <w:sz w:val="28"/>
          <w:szCs w:val="28"/>
          <w:rtl w:val="true"/>
          <w:lang w:bidi="fa-IR"/>
        </w:rPr>
        <w:t>وجهها، أو یکذب علیه فیها، و هذا لا یجوز لأن ذلک مناقضة للغرض یتعالی اللّه عن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أجمعت الأمة علی هذا القسم، و أنه لا یجوز علی النبی صلی اللّه علیه و آله الکذب فیما یؤدیه عن اللّه تعالی، فیمکن الاعتماد علیه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ثبت کونه صادقا، دل علی أن أوامره أوامر محسن، و نواهیه عن قبیح، لأنهما فی المعنی بمعنی الخبر، فلو لم یکونا کذلک لکانا کذبین، و قد بینا خلاف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الکذب فی غیر ما یؤدیه عن اللّه تعالی، فلا یجوز علیه لأنه یقتضی التنفیر عن قبول قوله، و ذلک لا یجوز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یجوز أن یکتم عنا ما امر بأدائه إلینا، لأنه لو جاز ذلک لأدی إلی أن لا یکون لنا طریق یعرف به مصالحنا، فلا یجوز من الحکیم تعالی أن یبعث رسولا غرضه أن یعرفنا مصالحنا، و هو یعلم أنه لا یؤدینا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یجوز علیه الکتمان إلا أنه یبعث نبیا آخر فیؤدی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 الکلام فی ذلک النبی کالکلام فیه فی أنه یجوز علیه أن یکتم عنا و لا یبین ما یجب بیانه، و فی ذلک ما قلناه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یلزم علی ذلک وجوب البیان قبل الحاجة، لأن قبل الحاجة لیس یجب علیه تعریفنا فی ذلک 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خوف بالقتل عند الحاجة إلی الفعل کان یجوز أن لا یؤدی أم لا؟ 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دفع إلی ما قدر فی السؤال لم یخل حاله من 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الّذی یجب أن یبینه و هو صفة ذلک الشیء فقط، و ما عدا ذلک قد بینه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زیادة تقتضیها العبارة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لم یجب بیانه علیه علی وجه، فإن کان کذلک وجب علیه بیانه و إن قتل 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یجوز أن یکتم لأن فی کتمانه ما قدمنا ذکره</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لا یلزم علی ذلک وجوب إظهار الإیمان علی المکره علی الکفر، لأن ذلک لا </w:t>
      </w:r>
    </w:p>
    <w:p>
      <w:pPr>
        <w:pStyle w:val="BookText"/>
        <w:rPr/>
      </w:pPr>
      <w:r>
        <w:rPr>
          <w:rFonts w:ascii="IRNazanin" w:hAnsi="IRNazanin" w:eastAsia="IRNazanin"/>
          <w:color w:val="111111"/>
          <w:sz w:val="28"/>
          <w:sz w:val="28"/>
          <w:szCs w:val="28"/>
          <w:rtl w:val="true"/>
          <w:lang w:bidi="fa-IR"/>
        </w:rPr>
        <w:t>یتعداه، ففارق حاله حال ما قلناه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مما یلزمه بیان أشیاء أخری فی المستقبل و لا یکون فی معلوم اللّه تعالی من یقوم مقامه، فإن اللّه تعالی یمنع منه و لا یمکن من قبله، فسقط الاعتراض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قلناه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یجوز أن یؤدی علی وجه لا یمکن معرفة مراده، لأنه متی أدی علی هذا الوجه لم یمکنا أن نعلم ما هو مصلحة لنا، و ذلک یخل بشرائط حسن التکلیف</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زیادة من الأصل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لیس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و إن لم نعلم مراده فی الحال، فإنه یمکن أن نعلم مراده فی المستقبل ضرورة بأن نضطر إلی قصده، لأن ذلک لا یخلو إما أن یکون وقت الحاجة إلی ما تضمنه الخطاب أو لا یکون کذلک، فإن کان وقت الحاجة فإنه یؤدی إلی ما قلناه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لم یکن وقت الحاجة فلا یجوز أیضا، لأن فیه التنفیر عن قبول قوله، لأنه متی جوز علیه التعمیة و الإلغاز فی کلامه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أمکن معرفة المراد فی الحالة الأخری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ذلک عن قبول قوله حالة أخری، و لا یقبح هذا الوجه للأول بل لما قلناه</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فأما ما لا تعلق له بالشریعة فیجوز أن یعمی فیه من مصالحه الدنیاویة، و علی هذا یتأول قوله علیه السلام لما سأله الأعرابی فی مسیره إلی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 أنتم‌؟ قال مما توری فی نفسه و لم یصرح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ذلک لا یجوز فی الشرعیات، و لیس هذا من جواز </w:t>
      </w:r>
    </w:p>
    <w:p>
      <w:pPr>
        <w:pStyle w:val="BookText"/>
        <w:rPr/>
      </w:pPr>
      <w:r>
        <w:rPr>
          <w:rFonts w:ascii="IRNazanin" w:hAnsi="IRNazanin" w:eastAsia="IRNazanin"/>
          <w:color w:val="111111"/>
          <w:sz w:val="28"/>
          <w:sz w:val="28"/>
          <w:szCs w:val="28"/>
          <w:rtl w:val="true"/>
          <w:lang w:bidi="fa-IR"/>
        </w:rPr>
        <w:t>تأخیر بیان المجمل عن وقت الخطاب فی شیء علی ما نذهب إلیه، لأن المجمل له ظاهر مقصود مستفاد، ففارق ذلک حال المعمی الّذی یوهم</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فی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شیء علی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یجوز أن یؤدی إلینا علی وجه یقتضی التنفیر، لأن الغرض فی بعثه إذا کان القبول منه فما أدی إلی التنفیر عن ذلک یجب أن یجنب، و لأجل ما قلناه جنبه اللّه تعالی الفضاضة و الغلطة و فعل القبائح، لما فی ذلک من التنفیر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ثبت الجملة التی ذکرناها، فمتی ورد من الرسول خطاب وجب حمله علی ظاهره، إلا أن یدل دلیل علی أن المراد به غیر ظاهره فیحمل علیه، و علی هذا یعلم مراد الرسول</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ما یجب أن یکون الإمام علیه السلام علیه حتی یصح أن یعلم مراده بخطابه فیما لا یعلم إلا من جهته، فجمیع الشرائط التی شرطناها فی النبی صلی اللّه علیه و آله و سلم لا بد أن یکون حاصلة فی الإمام، فالطریقة فیهما واحدة فلا معنی لإعادة القول فیه</w:t>
      </w:r>
      <w:r>
        <w:rPr>
          <w:rFonts w:eastAsia="IRNazanin" w:cs="IRNazanin"/>
          <w:color w:val="111111"/>
          <w:sz w:val="28"/>
          <w:szCs w:val="28"/>
          <w:rtl w:val="true"/>
          <w:lang w:bidi="fa-IR"/>
        </w:rPr>
        <w:t xml:space="preserve">. </w:t>
      </w:r>
      <w:bookmarkStart w:id="31" w:name="pg6519_49127"/>
    </w:p>
    <w:p>
      <w:pPr>
        <w:pStyle w:val="Heading4"/>
        <w:numPr>
          <w:ilvl w:val="3"/>
          <w:numId w:val="1"/>
        </w:numPr>
        <w:rPr/>
      </w:pPr>
      <w:bookmarkStart w:id="32" w:name="__RefHeading___Toc1757175_653776707"/>
      <w:bookmarkStart w:id="33" w:name="_Toc11"/>
      <w:bookmarkEnd w:id="31"/>
      <w:bookmarkEnd w:id="32"/>
      <w:r>
        <w:rPr/>
        <w:t>6</w:t>
      </w:r>
      <w:r>
        <w:rPr>
          <w:rtl w:val="true"/>
        </w:rPr>
        <w:t xml:space="preserve">- </w:t>
      </w:r>
      <w:r>
        <w:rPr>
          <w:rtl w:val="true"/>
        </w:rPr>
        <w:t xml:space="preserve">فصل </w:t>
      </w:r>
      <w:r>
        <w:rPr>
          <w:rtl w:val="true"/>
        </w:rPr>
        <w:t>«</w:t>
      </w:r>
      <w:r>
        <w:rPr>
          <w:rtl w:val="true"/>
        </w:rPr>
        <w:t>فی ذکر الوجه الّذی یجب أن یحمل علیه مراد اللّه بخطابه</w:t>
      </w:r>
      <w:r>
        <w:rPr>
          <w:rtl w:val="true"/>
        </w:rPr>
        <w:t>»</w:t>
      </w:r>
      <w:bookmarkEnd w:id="33"/>
    </w:p>
    <w:p>
      <w:pPr>
        <w:pStyle w:val="BookText"/>
        <w:rPr/>
      </w:pPr>
      <w:r>
        <w:rPr>
          <w:rFonts w:ascii="IRNazanin" w:hAnsi="IRNazanin" w:eastAsia="IRNazanin"/>
          <w:color w:val="111111"/>
          <w:sz w:val="28"/>
          <w:sz w:val="28"/>
          <w:szCs w:val="28"/>
          <w:rtl w:val="true"/>
          <w:lang w:bidi="fa-IR"/>
        </w:rPr>
        <w:t>إذا ورد خطاب عن اللّه تعالی فلا یخلو من أن یکون محتملا أو غیر محتمل، فإن کان غیر محتمل، بأن یکون خاصا أو عاما وجب أن نحمله علی ما یقتضیه ظاهره، إلا أن یدل علی أنه أراد به غیر ظاهره دلیل، فیحمل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دل دلیل علی أنه أراد بالخاص غیره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وجب حمله علی ما دل علیه، و إن دل علی أنه لم یرد الخاصّ نظر فیه، فإن کان ذلک الخاصّ مما لا یتسع إلا فی وجه واحد، وجب أن یحمل علی أنه مراد به، و إلا أدی ذلک إلی أن یکون ما أراد بالخطاب شیئا أصلا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ذلک مما یتسع به فی وجوه کثیرة وجب التوقف فیه، و لا یقطع علی أنه أرید به البعض لعدم الدلیل، و لا أنه أرید به الجمیع لأنه لا دلیل أیضا علیه</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أولی مما قاله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 یجب حمله علی أنه أرید به جمیع تلک الوجوه لأنه لا یمتنع أن یکون أراد بعض تلک الوجوه و آخر بیانه إلی وقت الحاجة علی ما نذهب إلیه فی جواز تأخیر بیان المجمل عن وقت الخطاب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لو أراد به بعض الوجوه لبینه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ینعکس علیهم بأن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أراد به جمیع الوجوه لبینه، و لیس أحد القولین أولی من الآخر، فالأولی الوقف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فرضنا أن الوقت وقت الحاجة و لم یبین المراد من تلک الوجوه، وجب حمله علی جمیعه لأنه لیس حمله علی بعضه بأولی من بعض، فإن دل الدلیل علی أنه أراد بعض تلک الوجوه وجب حمله علیه و القطع علی أنه لم یرد غیره، لأنه لا ظاهر هناک یمکن حمله علی جمیعه بخلاف ما نقوله فی العموم، أو ما له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متی دل</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یدل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 أنه أراد به الخاصّ و غیره، وجب القطع علی أنه أراد الخاصّ باللفظ، و ما عداه مراد بدلیل، و ذلک نحو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النَّبِیُّ إِذا طَلَّقْتُمُ النِّساءَ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الآیة، فإنه قد علم أن النبی صلی اللّه علیه و آله و سلم مراد باللفظ، و من عداه من الأمة مراد بدلیل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ورد ینبغی حمله علی ظاهره، فإن دل الدلیل علی أنه أراد غیر ما اقتضاه الظاهر وجب حمله علیه، و إن دل الدلیل علی أنه أراد جمیع تلک الأشیاء وجب حمله علیها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إن دل الدلیل علی أنه ما أراد به بعضها، وجب القطع علی أنه مراد و ما عداه یتوقف فیه، لأن کون أحدهما مراد لا یمنع من أن یرید به الآخر، علی ما سنبینه فیما بعد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دل الدلیل علی أنه لم یرد أحدهما، و کان اللفظ مشترکا بین شیئین وجب القطع علی أنه أراد به الآخر، و إلا خلا الخطاب من أن یکون أرید به شیء أصلا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إن کان مشترکا بین أشیاء، قطع علی أنه لم یرد ما خصه بأنه غیر مراد، و توقف فی الباقی و انتظر البیان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متی کان اللفظ مشترکا و لم یقرن به دلالة أصلا، و کان مطلقا، وجب التوقف فیه و انتظار</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انتظر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البیان، لأنه لیس بأن یحمل علی بعضه بأولی من أن یحمل علی جمیعه، و تأخیر البیان عن وقت الخطاب جائز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کان الوقت وقت الحاجة و أطلق اللفظ، وجب حمله علی جمیعه، لأنه لیس بأن یحمل علی بعضه بأولی من بعض، و لو کان أراد بعضه لبینه، لأن الوقت وقت الحاجة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الّذی ذکرناه أولی مما ذهب إلیه قوم من أنه إذا أطلق اللفظ وجب حمله علی جمیعه علی کل حال</w:t>
      </w:r>
      <w:r>
        <w:rPr>
          <w:rStyle w:val="FootnoteAnchor"/>
          <w:rtl w:val="true"/>
        </w:rPr>
        <w:footnoteReference w:id="90"/>
      </w:r>
      <w:r>
        <w:rPr>
          <w:rFonts w:ascii="IRNazanin" w:hAnsi="IRNazanin" w:eastAsia="IRNazanin"/>
          <w:color w:val="111111"/>
          <w:sz w:val="28"/>
          <w:sz w:val="28"/>
          <w:szCs w:val="28"/>
          <w:rtl w:val="true"/>
          <w:lang w:bidi="fa-IR"/>
        </w:rPr>
        <w:t>، لأنه لو أراد بعضه لبینه، لأن لقائل</w:t>
      </w:r>
      <w:r>
        <w:rPr>
          <w:rStyle w:val="FootnoteAnchor"/>
          <w:rtl w:val="true"/>
        </w:rPr>
        <w:footnoteReference w:id="91"/>
      </w:r>
      <w:r>
        <w:rPr>
          <w:rFonts w:ascii="IRNazanin" w:hAnsi="IRNazanin" w:eastAsia="IRNazanin"/>
          <w:color w:val="111111"/>
          <w:sz w:val="28"/>
          <w:sz w:val="28"/>
          <w:szCs w:val="28"/>
          <w:rtl w:val="true"/>
          <w:lang w:bidi="fa-IR"/>
        </w:rPr>
        <w:t>أن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أراد الجمیع لبینه، فیجب حمله علی بعضه، و یتعارض القولان و یسقطان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حملهم علی هذا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تأخیر بیان المجمل لا یجوز عن وقت الخطاب، و عندنا أن ذلک جائز علی ما نستدل</w:t>
      </w:r>
      <w:r>
        <w:rPr>
          <w:rStyle w:val="FootnoteAnchor"/>
          <w:rtl w:val="true"/>
        </w:rPr>
        <w:footnoteReference w:id="92"/>
      </w:r>
      <w:r>
        <w:rPr>
          <w:rFonts w:ascii="IRNazanin" w:hAnsi="IRNazanin" w:eastAsia="IRNazanin"/>
          <w:color w:val="111111"/>
          <w:sz w:val="28"/>
          <w:sz w:val="28"/>
          <w:szCs w:val="28"/>
          <w:rtl w:val="true"/>
          <w:lang w:bidi="fa-IR"/>
        </w:rPr>
        <w:t>علیه فیما بعد، فمتی کان الوقت وقت الحاجة وجب حمل اللفظ علی أنه أراد به الجمیع، ثم ینظر فیه، فإن أمکن الجمع بینها وجب القطع علی أنه أراد به ذلک علی طریق الجمع بینهما، و إن لم یمکن الجمع بینها وجب القطع علی أنه أراد به الجمیع علی وجه التخییر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ذهب قوم إلی أنه یجوز أن یرید من کل مکلف ما یؤدیه اجتهاده إلیه</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یتم لمن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کل مجتهد مصیب، و عندنا أن ذلک باطل، فلا وجه غیر التخییر، و علی هذا ینبغی أن تحمل القراءتان المختلفتا</w:t>
      </w:r>
      <w:r>
        <w:rPr>
          <w:rStyle w:val="FootnoteAnchor"/>
          <w:rtl w:val="true"/>
        </w:rPr>
        <w:footnoteReference w:id="93"/>
      </w:r>
      <w:r>
        <w:rPr>
          <w:rFonts w:ascii="IRNazanin" w:hAnsi="IRNazanin" w:eastAsia="IRNazanin"/>
          <w:color w:val="111111"/>
          <w:sz w:val="28"/>
          <w:sz w:val="28"/>
          <w:szCs w:val="28"/>
          <w:rtl w:val="true"/>
          <w:lang w:bidi="fa-IR"/>
        </w:rPr>
        <w:t xml:space="preserve">المعنی إذا لم یکن هناک </w:t>
      </w:r>
    </w:p>
    <w:p>
      <w:pPr>
        <w:pStyle w:val="BookText"/>
        <w:rPr/>
      </w:pPr>
      <w:r>
        <w:rPr>
          <w:rFonts w:ascii="IRNazanin" w:hAnsi="IRNazanin" w:eastAsia="IRNazanin"/>
          <w:color w:val="111111"/>
          <w:sz w:val="28"/>
          <w:sz w:val="28"/>
          <w:szCs w:val="28"/>
          <w:rtl w:val="true"/>
          <w:lang w:bidi="fa-IR"/>
        </w:rPr>
        <w:t>دلیل علی أنه أراد أحدهما، و کذلک القول فی الخبرین المتعارضین إذا لم یکن هناک ما یرجح به أحدهما علی الآخر، و لا ما یقتضی نسخ أحدهما للآخر من التاریخ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الّذی ذکرناه کله فیما یصح أن یراد باللفظ الواحد</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أی علی سبیل التخییر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فأما ما لا یصح أن یراد باللفظ الواحد، فإنه لا بد فیه من اقتران بیان به، لأن الوقت وقت الحاجة علی ما فرضناه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متی کان اللفظ شرعیا منقولا مما کان علیه فی اللغة، وجب حمله علی ما تقرر فی الشرع، فإن دل الدلیل علی أنه لم یرد به ما وضع له فی الشرع نظر فیما عداه، فإن کانت</w:t>
      </w:r>
      <w:r>
        <w:rPr>
          <w:rStyle w:val="FootnoteAnchor"/>
          <w:rtl w:val="true"/>
        </w:rPr>
        <w:footnoteReference w:id="95"/>
      </w:r>
      <w:r>
        <w:rPr>
          <w:rFonts w:ascii="IRNazanin" w:hAnsi="IRNazanin" w:eastAsia="IRNazanin"/>
          <w:color w:val="111111"/>
          <w:sz w:val="28"/>
          <w:sz w:val="28"/>
          <w:szCs w:val="28"/>
          <w:rtl w:val="true"/>
          <w:lang w:bidi="fa-IR"/>
        </w:rPr>
        <w:t>الوجوه التی یمکن حمل الخطاب علیها محصورة، و کان الوقت وقت الحاجة وجب حمله علی جمیعها، لأنه لیس حمله علی بعضها بأولی من حمله علی جمیعها، و لو کان المراد بعضها لبینه لأن الوقت وقت الحاجة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لم یکن الوقت وقت الحاجة، توقف فی ذلک إلی أن یرد البیان حسب ما قدمناه فی الألفاظ المشترکة سواء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دل الدلیل علی أنه أراد بعض تلک الوجوه، لم یکن ذلک مانعا من أن یراد به الوجوه الأخر، فإن کان الوقت وقت الحاجة وجب حمله علی أن المراد به جمیعه، و إن لم یکن وقت الحاجة یوقف</w:t>
      </w:r>
      <w:r>
        <w:rPr>
          <w:rStyle w:val="FootnoteAnchor"/>
          <w:rtl w:val="true"/>
        </w:rPr>
        <w:footnoteReference w:id="96"/>
      </w:r>
      <w:r>
        <w:rPr>
          <w:rFonts w:ascii="IRNazanin" w:hAnsi="IRNazanin" w:eastAsia="IRNazanin"/>
          <w:color w:val="111111"/>
          <w:sz w:val="28"/>
          <w:sz w:val="28"/>
          <w:szCs w:val="28"/>
          <w:rtl w:val="true"/>
          <w:lang w:bidi="fa-IR"/>
        </w:rPr>
        <w:t>علی البیان علی ما بیناه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کیفیة المراد باللفظ الواحد للمعانی المختلفة، فالذی ینبغی أن یحصل فی ذلک أن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یخلو اللفظ من أن یکون یتناول الأشیاء علی الحقیقة، و یفید فی جمیعها معنی واحدا، أو یفید فی کل واحد منها خلاف ما یفیده فی الآخر</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کان الأول، فلا خلاف بین أهل العلم فی أنه یجوز أن یراد باللفظ ذلک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إن کان القسم الثانی، فقد اختلف العلماء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فذهب أبو هاشم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أبو عبد اللّه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من تبعهما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أنه لا یجوز أن یراد المعنیان المختلفان بلفظ واحد، فإن دل الدلیل علی أنه أرادهما جمیعا قالوا لا بد من أن نفرض أنه تکلم باللفظ مرتین، أراد کل مرة منهما معنی واحدا، و علی هذا حملوا آیة القرء بأن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دل الدلیل علی أنه أرادهما جمیعا بحسب ما یؤدی اجتهاد المجتهد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إلیه علمنا أنه تکلم بالآیة مرتین، ثم أنزله علی النبی صلی اللّه علیه و آله و سلم و قالوا</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فی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فی الحقیقة، و المجاز، و الکنایة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الصریح مثل ذلک،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یجوز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یرید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لامَسْتُمُ النِّساءَ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الجماع، و اللمس بالید، و بقوله</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لا تَنْکِحُوا ما نَکَحَ آباؤُکُمْ   </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العقد، و الوطء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یجوز أن یرید باللفظ الواحد الاقتصار علی الشیء و تجاوزه، و قال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کُنْتُمْ جُنُباً فَاطَّهَّرُوا  </w:t>
      </w:r>
      <w:r>
        <w:rPr>
          <w:rStyle w:val="FootnoteAnchor"/>
          <w:rtl w:val="true"/>
        </w:rPr>
        <w:footnoteReference w:id="99"/>
      </w:r>
      <w:r>
        <w:rPr>
          <w:rFonts w:ascii="IRNazanin" w:hAnsi="IRNazanin" w:eastAsia="IRNazanin"/>
          <w:color w:val="111111"/>
          <w:sz w:val="28"/>
          <w:sz w:val="28"/>
          <w:szCs w:val="28"/>
          <w:rtl w:val="true"/>
          <w:lang w:bidi="fa-IR"/>
        </w:rPr>
        <w:t>و لا یجوز أن یرید به الغسل و الوضوء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أن یرید باللفظ الواحد نفی الأجزاء و الکمال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صلاة إلا بفاتحة الکتاب</w:t>
      </w:r>
      <w:r>
        <w:rPr>
          <w:rFonts w:eastAsia="IRNazanin" w:cs="IRNazanin"/>
          <w:color w:val="111111"/>
          <w:sz w:val="28"/>
          <w:szCs w:val="28"/>
          <w:rtl w:val="true"/>
          <w:lang w:bidi="fa-IR"/>
        </w:rPr>
        <w:t>»</w:t>
      </w:r>
      <w:r>
        <w:rPr>
          <w:rStyle w:val="FootnoteAnchor"/>
          <w:rtl w:val="true"/>
        </w:rPr>
        <w:footnoteReference w:id="100"/>
      </w:r>
      <w:r>
        <w:rPr>
          <w:rFonts w:ascii="IRNazanin" w:hAnsi="IRNazanin" w:eastAsia="IRNazanin"/>
          <w:color w:val="111111"/>
          <w:sz w:val="28"/>
          <w:sz w:val="28"/>
          <w:szCs w:val="28"/>
          <w:rtl w:val="true"/>
          <w:lang w:bidi="fa-IR"/>
        </w:rPr>
        <w:t>لا ینبئ عن نفی الأجزاء، و أنه إذا جاز أن یرید به نفی الأجزاء و نفی الکمال، و ثبت أن کلیهما لا یصح أن یراد بعبارة واحدة، فیجب أن لا یدل الظاهر علی نفی الأجزاء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یصح أن یرید عزّ و جل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تَجِدُوا ماءً فَتَیَمَّمُوا  </w:t>
      </w:r>
      <w:r>
        <w:rPr>
          <w:rStyle w:val="FootnoteAnchor"/>
          <w:rtl w:val="true"/>
        </w:rPr>
        <w:footnoteReference w:id="101"/>
      </w:r>
      <w:r>
        <w:rPr>
          <w:rFonts w:ascii="IRNazanin" w:hAnsi="IRNazanin" w:eastAsia="IRNazanin"/>
          <w:color w:val="111111"/>
          <w:sz w:val="28"/>
          <w:sz w:val="28"/>
          <w:szCs w:val="28"/>
          <w:rtl w:val="true"/>
          <w:lang w:bidi="fa-IR"/>
        </w:rPr>
        <w:t>، الماء و النبیذ، لأنهما یتفقان فیما یفیده هذا الاسم، و إن کان أحدهما شرعیا و الآخر لغویا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قولنا بأن النص الدال علی أن الفخذ عورة، المراد به الفخذ، و الرکبة لا ینقض هذا، لأن ذلک علمناه بغیر اللفظ بل بدلیل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اعتل فی ذلک بأن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یصح أن یقصد المعبر باللفظ الواحد استعماله فیما وضع له و العدول به عن ذلک، فکذلک لم یصح أن یرید باللفظ الواحد الحقیقة و المجاز، و ذکر أن تعذر ذلک معلوم لنا، و أن الواحد منا إذا قصده لم یصح منه، فدل علی أن جمیع ذلک غیر صحیح</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ذهب أبو الحسن عبد الجبار بن أحمد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یجب أن تعتبر العبارة، </w:t>
      </w:r>
    </w:p>
    <w:p>
      <w:pPr>
        <w:pStyle w:val="BookText"/>
        <w:rPr/>
      </w:pPr>
      <w:r>
        <w:rPr>
          <w:rFonts w:ascii="IRNazanin" w:hAnsi="IRNazanin" w:eastAsia="IRNazanin"/>
          <w:color w:val="111111"/>
          <w:sz w:val="28"/>
          <w:sz w:val="28"/>
          <w:szCs w:val="28"/>
          <w:rtl w:val="true"/>
          <w:lang w:bidi="fa-IR"/>
        </w:rPr>
        <w:t>و یعتبر ما به صارت عبارة عنه، فإن کانت مشترکة بین الشیئین المختلفین، فمتی</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و متی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أراد أحدهما لم یصح أن یرید الشیء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الآخر، و یستحیل ذلک فیه، قطع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لم یمنع من ذلک جوز أن یراد به المعنیان معا، لأنه إذا کان المخاطب یصح أن یرید کل واحد منهما بالعبارة، و لا مانع یمنع من أن یریدهما جمیعا، فیجب أن یریدهما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علمنا أن القائل إذا قال لصاحبه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تنکح ما نکح أبوک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یصح أن یرید بذلک العقد و الوطء، و إرادته لأحد الأمرین لا یمنع من إرادته للآخر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یجوز أن یرید بلفظ الأمر، الأمر و التهدید، لأنه ما به یصیر أمرا و هی إرادة المأمور به یضاد ما به یصیر تهدیدا و هی کراهته</w:t>
      </w:r>
      <w:r>
        <w:rPr>
          <w:rStyle w:val="FootnoteAnchor"/>
          <w:rtl w:val="true"/>
        </w:rPr>
        <w:footnoteReference w:id="104"/>
      </w:r>
      <w:r>
        <w:rPr>
          <w:rFonts w:ascii="IRNazanin" w:hAnsi="IRNazanin" w:eastAsia="IRNazanin"/>
          <w:color w:val="111111"/>
          <w:sz w:val="28"/>
          <w:sz w:val="28"/>
          <w:szCs w:val="28"/>
          <w:rtl w:val="true"/>
          <w:lang w:bidi="fa-IR"/>
        </w:rPr>
        <w:t>، و یستحیل أن یرید الشیء الواحد، فی الوقت الواحد، علی وجه واحد، من مکلف واحد، و یکرهه علی هذه الوجوه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یصح أن یرید بالعبارة الاقتصار علی الشیء و تجاوزه، لأنه یتنافی أن یرید الزیادة علی ذلک الشیء و ألا یریده، و لذلک استحال ذلک</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إنما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یرید بالعبارة ما لم یوضع له علی وجه، لأنه لا یصح أن یستعمل العبارة فی الشیء إلا بأن یفیده فی الحقیقة أو المجاز، لا لأنه یتنافی أن یریدهما جمیعا، لأنه یصح أن یرید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تَقْتُلُوا النَّفْسَ الَّتِی حَرَّمَ اللّهُ  </w:t>
      </w:r>
      <w:r>
        <w:rPr>
          <w:rStyle w:val="FootnoteAnchor"/>
          <w:rtl w:val="true"/>
        </w:rPr>
        <w:footnoteReference w:id="105"/>
      </w:r>
      <w:r>
        <w:rPr>
          <w:rFonts w:ascii="IRNazanin" w:hAnsi="IRNazanin" w:eastAsia="IRNazanin"/>
          <w:color w:val="111111"/>
          <w:sz w:val="28"/>
          <w:sz w:val="28"/>
          <w:szCs w:val="28"/>
          <w:rtl w:val="true"/>
          <w:lang w:bidi="fa-IR"/>
        </w:rPr>
        <w:t>قتل النّفس و الإحسان إلی الناس، و لا یتنافی ذلک و إنما یصح أن یراد ذلک به لأن العبارة لم توضع له، و إذا صح ذلک و وجدنا عبارة قد وضعت لمعنیین مختلفین نحو القرء فی أنه</w:t>
      </w:r>
      <w:r>
        <w:rPr>
          <w:rStyle w:val="FootnoteAnchor"/>
          <w:rtl w:val="true"/>
        </w:rPr>
        <w:footnoteReference w:id="106"/>
      </w:r>
      <w:r>
        <w:rPr>
          <w:rFonts w:ascii="IRNazanin" w:hAnsi="IRNazanin" w:eastAsia="IRNazanin"/>
          <w:color w:val="111111"/>
          <w:sz w:val="28"/>
          <w:sz w:val="28"/>
          <w:szCs w:val="28"/>
          <w:rtl w:val="true"/>
          <w:lang w:bidi="fa-IR"/>
        </w:rPr>
        <w:t xml:space="preserve">موضوع للطهر و الحیض، لا یتنافی من المخاطب أن یریدهما جمیعا، فلا وجه </w:t>
      </w:r>
    </w:p>
    <w:p>
      <w:pPr>
        <w:pStyle w:val="BookText"/>
        <w:rPr/>
      </w:pPr>
      <w:r>
        <w:rPr>
          <w:rFonts w:ascii="IRNazanin" w:hAnsi="IRNazanin" w:eastAsia="IRNazanin"/>
          <w:color w:val="111111"/>
          <w:sz w:val="28"/>
          <w:sz w:val="28"/>
          <w:szCs w:val="28"/>
          <w:rtl w:val="true"/>
          <w:lang w:bidi="fa-IR"/>
        </w:rPr>
        <w:t>لإحالة القول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وضع قولنا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النکاح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للوطء حقیقة و للعقد</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مجازا، و إرادة أحدهما لا تمنع من إرادة الآخر، فلا مانع من أن یراد جمیعا بالنکاح</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یمنع من ذلک أنه لا یجوز استعمال العبارة فیما وضعت له و العدول بها عما وضعت له فی اللغة، فلذلک منعت من أن یراد جمیعا بها، لأن ذلک یتنافی استعمالها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ما وضعت له</w:t>
      </w:r>
      <w:r>
        <w:rPr>
          <w:rFonts w:eastAsia="IRNazanin" w:cs="IRNazanin"/>
          <w:color w:val="111111"/>
          <w:sz w:val="28"/>
          <w:szCs w:val="28"/>
          <w:rtl w:val="true"/>
          <w:lang w:bidi="fa-IR"/>
        </w:rPr>
        <w:t>)</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العبارة تستعمل فیما وضعت له إذا قصد بها إفادة ذلک، و إن لم یقصد المعبر إلی</w:t>
      </w:r>
      <w:r>
        <w:rPr>
          <w:rStyle w:val="FootnoteAnchor"/>
          <w:rtl w:val="true"/>
        </w:rPr>
        <w:footnoteReference w:id="109"/>
      </w:r>
      <w:r>
        <w:rPr>
          <w:rFonts w:ascii="IRNazanin" w:hAnsi="IRNazanin" w:eastAsia="IRNazanin"/>
          <w:color w:val="111111"/>
          <w:sz w:val="28"/>
          <w:sz w:val="28"/>
          <w:szCs w:val="28"/>
          <w:rtl w:val="true"/>
          <w:lang w:bidi="fa-IR"/>
        </w:rPr>
        <w:t>أن یستعملها فیما وضعت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إرادة الوطء و العقد بهذه الکلمة یتعذر، و نجد تعذر ذلک من أنفسنا، فلذلک منعت من أن یراد جمیعا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 ادعیت تعذره نحن نجده منا مأتیا فلا معنی لتعلقک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هذه ألفاظه بعینها قد سقناها علی ما ذکرها فی کتاب </w:t>
      </w:r>
      <w:r>
        <w:rPr>
          <w:rStyle w:val="FootnoteAnchor"/>
          <w:rtl w:val="true"/>
        </w:rPr>
        <w:footnoteReference w:id="1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العمد</w:t>
      </w:r>
      <w:r>
        <w:rPr>
          <w:rFonts w:eastAsia="IRNazanin" w:cs="IRNazanin"/>
          <w:color w:val="111111"/>
          <w:sz w:val="28"/>
          <w:szCs w:val="28"/>
          <w:rtl w:val="true"/>
          <w:lang w:bidi="fa-IR"/>
        </w:rPr>
        <w:t>»</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هذا المذهب</w:t>
      </w:r>
      <w:r>
        <w:rPr>
          <w:rStyle w:val="FootnoteAnchor"/>
          <w:rtl w:val="true"/>
        </w:rPr>
        <w:footnoteReference w:id="112"/>
      </w:r>
      <w:r>
        <w:rPr>
          <w:rFonts w:ascii="IRNazanin" w:hAnsi="IRNazanin" w:eastAsia="IRNazanin"/>
          <w:color w:val="111111"/>
          <w:sz w:val="28"/>
          <w:sz w:val="28"/>
          <w:szCs w:val="28"/>
          <w:rtl w:val="true"/>
          <w:lang w:bidi="fa-IR"/>
        </w:rPr>
        <w:t>أقرب إلی الصواب من مذهب أبی عبد اللّه</w:t>
      </w:r>
      <w:r>
        <w:rPr>
          <w:rStyle w:val="FootnoteAnchor"/>
          <w:rtl w:val="true"/>
        </w:rPr>
        <w:footnoteReference w:id="113"/>
      </w:r>
      <w:r>
        <w:rPr>
          <w:rFonts w:ascii="IRNazanin" w:hAnsi="IRNazanin" w:eastAsia="IRNazanin"/>
          <w:color w:val="111111"/>
          <w:sz w:val="28"/>
          <w:sz w:val="28"/>
          <w:szCs w:val="28"/>
          <w:rtl w:val="true"/>
          <w:lang w:bidi="fa-IR"/>
        </w:rPr>
        <w:t>، و أبی هاشم</w:t>
      </w:r>
      <w:r>
        <w:rPr>
          <w:rStyle w:val="FootnoteAnchor"/>
          <w:rtl w:val="true"/>
        </w:rPr>
        <w:footnoteReference w:id="114"/>
      </w:r>
      <w:r>
        <w:rPr>
          <w:rFonts w:ascii="IRNazanin" w:hAnsi="IRNazanin" w:eastAsia="IRNazanin"/>
          <w:color w:val="111111"/>
          <w:sz w:val="28"/>
          <w:sz w:val="28"/>
          <w:szCs w:val="28"/>
          <w:rtl w:val="true"/>
          <w:lang w:bidi="fa-IR"/>
        </w:rPr>
        <w:t>، و ما ذکره سدید واقع موقعه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القول فی الکنایة و الصریح یجری أیضا علی هذا المنهاج</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لامَسْتُمُ النِّساءَ  </w:t>
      </w:r>
      <w:r>
        <w:rPr>
          <w:rStyle w:val="FootnoteAnchor"/>
          <w:rtl w:val="true"/>
        </w:rPr>
        <w:footnoteReference w:id="115"/>
      </w:r>
      <w:r>
        <w:rPr>
          <w:rFonts w:ascii="IRNazanin" w:hAnsi="IRNazanin" w:eastAsia="IRNazanin"/>
          <w:color w:val="111111"/>
          <w:sz w:val="28"/>
          <w:sz w:val="28"/>
          <w:szCs w:val="28"/>
          <w:rtl w:val="true"/>
          <w:lang w:bidi="fa-IR"/>
        </w:rPr>
        <w:t xml:space="preserve">ما کان یمتنع أن یرید به الجماع و اللمس بالید، </w:t>
      </w:r>
    </w:p>
    <w:p>
      <w:pPr>
        <w:pStyle w:val="BookText"/>
        <w:rPr/>
      </w:pPr>
      <w:r>
        <w:rPr>
          <w:rFonts w:ascii="IRNazanin" w:hAnsi="IRNazanin" w:eastAsia="IRNazanin"/>
          <w:color w:val="111111"/>
          <w:sz w:val="28"/>
          <w:sz w:val="28"/>
          <w:szCs w:val="28"/>
          <w:rtl w:val="true"/>
          <w:lang w:bidi="fa-IR"/>
        </w:rPr>
        <w:t xml:space="preserve">لکن علمنا بالدلیل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أراد أحدهما و هو الجماع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ذکره أبو عبد اللّه</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الشیخ أبو عبد اللّه الحسین بن علی البصری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صلاة إلا بفاتحة الکتاب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 أن ذلک لا یمکن حمله علی نفی الأجزاء و الکمال من حیث کان نفی أحدهما یقتضی ثبوت الآخر، فلیس علی ما ذکره، لأنه متی نفی الأجزاء فقد نفی أیضا الکمال، لأنه إذا لم یکن مجزئا کیف یثبت کونها کاملة‌؟ فکیف یدعی أن فی نفی أحدهما إثباتا للآخر؟ و کذلک إذا نفی الکمال لا یمتنع أن ینفی معه الأجزاء أیضا، لأنه لیس فی نفیه إثبات الأجزاء، فلا یمکن ادعاء ذلک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ینبغی أن یکون الکلام فی ذلک مثل الکلام فیما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ذکره عبد الجبار</w:t>
      </w:r>
      <w:r>
        <w:rPr>
          <w:rStyle w:val="FootnoteAnchor"/>
          <w:rtl w:val="true"/>
        </w:rPr>
        <w:footnoteReference w:id="117"/>
      </w:r>
      <w:r>
        <w:rPr>
          <w:rFonts w:ascii="IRNazanin" w:hAnsi="IRNazanin" w:eastAsia="IRNazanin"/>
          <w:color w:val="111111"/>
          <w:sz w:val="28"/>
          <w:sz w:val="28"/>
          <w:szCs w:val="28"/>
          <w:rtl w:val="true"/>
          <w:lang w:bidi="fa-IR"/>
        </w:rPr>
        <w:t>من أنه لا یجوز أن یرید باللفظ الواحد الاقتصار علی الشیء و تجاوزه، لأنه یتنافی أن یرید الزیادة و ألا یریدها، فالذی یلیق بما ذکره من المذهب الصحیح غیر ذلک، و هو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ذلک غیر ممتنع، لأنه لا یمتنع أن یرید الاقتصار علی الشیء و یرید أیضا ما زاد علی ذلک علی وجه التخییر، و لیس بینهما تناف، و لیس ذلک بأکثر من إرادة الطهر و الحیض باللفظ الواحد و قد أجاز ذلک، فکذلک القول فی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متی کان اللفظ یفید فی اللغة شیئا، و فی العرف شیئا آخر، و فی الشرع شیئا آخر، لا یمتنع أن یریدهما معا، و کذلک القول فی الحقیقة، و المجاز، و الکنایة، و الصریح</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جمیع ما ذکرتموه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ممتنع أن یکون مرادا باللفظ، </w:t>
      </w:r>
    </w:p>
    <w:p>
      <w:pPr>
        <w:pStyle w:val="BookText"/>
        <w:rPr/>
      </w:pPr>
      <w:r>
        <w:rPr>
          <w:rFonts w:ascii="IRNazanin" w:hAnsi="IRNazanin" w:eastAsia="IRNazanin"/>
          <w:color w:val="111111"/>
          <w:sz w:val="28"/>
          <w:sz w:val="28"/>
          <w:szCs w:val="28"/>
          <w:rtl w:val="true"/>
          <w:lang w:bidi="fa-IR"/>
        </w:rPr>
        <w:t xml:space="preserve">فکیف الطریق إلی القطع علی أن الجمیع مراد بظاهره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بدلیل‌؟ و کیف القول فیه‌؟ 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یخلو أن</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إما أن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یکون اللفظ حقیقة فی الأمرین،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حقیقة فی أحدهما و مجازا فی الآخر، فإن کان اللفظ حقیقة فی الأمرین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فلا یخلو أن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یکون وقت الخطاب وقت الحاجة إلی الفعل أو</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لا یکون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کان الوقت وقت الحاجة، و لم یقترن به ما یدل علی أنه أراد أحدهما، وجب القطع علی أنه أرادهما باللفظ، و إن اقترن به ما یدل علی أنه أراد أحدهما قطع به و حکم بأنه لم یرد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إن دل علی أنه لم یرد أحدهما قطع علی أنه أراد الآخر، کل ذلک باللفظ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لم یکن الوقت وقت الحاجة، توقف فی ذلک، و جوز کل واحد من الأمرین، و انتظر البیان علی ما نذهب إلیه من جواز تأخیر بیان المجمل عن وقت الخطاب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اللفظ حقیقة فی أحدهما و مجازا فی الآخر قطع علی أنه أراد الحقیقة، إلا أن یدل دلیل علی أنه أراد المجاز، أو أراد الحقیقة و المجاز، فیحکم بذلک</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دل الدلیل علی أنه أراد المجاز، لم یمنع ذلک من أن یکون أراد الحقیقة أیضا، فینبغی أن یحمل علیهما، إلا أن یدل الدلیل</w:t>
      </w:r>
      <w:r>
        <w:rPr>
          <w:rStyle w:val="FootnoteAnchor"/>
          <w:rtl w:val="true"/>
        </w:rPr>
        <w:footnoteReference w:id="119"/>
      </w:r>
      <w:r>
        <w:rPr>
          <w:rFonts w:ascii="IRNazanin" w:hAnsi="IRNazanin" w:eastAsia="IRNazanin"/>
          <w:color w:val="111111"/>
          <w:sz w:val="28"/>
          <w:sz w:val="28"/>
          <w:szCs w:val="28"/>
          <w:rtl w:val="true"/>
          <w:lang w:bidi="fa-IR"/>
        </w:rPr>
        <w:t xml:space="preserve">علی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یرد الحقیقة أو لا یمکن الجمع بینهما، فیحمل حینئذ علی أنه</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أراد المجاز لا غیر، و کذلک إن کان اللفظ یفید فی اللغة شیئا و فی الشرع شیئا آخر، وجب القطع علی أنه أراد ما اقتضاه الشرع، إلا أن یدل دلیل علی أنه أراد ما وضع له فی اللغة أو أرادهما جمیعا، </w:t>
      </w:r>
    </w:p>
    <w:p>
      <w:pPr>
        <w:pStyle w:val="BookText"/>
        <w:rPr/>
      </w:pPr>
      <w:r>
        <w:rPr>
          <w:rFonts w:ascii="IRNazanin" w:hAnsi="IRNazanin" w:eastAsia="IRNazanin"/>
          <w:color w:val="111111"/>
          <w:sz w:val="28"/>
          <w:sz w:val="28"/>
          <w:szCs w:val="28"/>
          <w:rtl w:val="true"/>
          <w:lang w:bidi="fa-IR"/>
        </w:rPr>
        <w:t>فیحکم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القول فی الکنایة و الصریح، ینبغی أن یقطع علی أنه أراد الصریح، إلا أن یدل دلیل علی أنه أراد الکنایة أو أرادهما جمیعا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إذا لم یکن اللفظ حقیقة فی الکنایة و الصریح، فأما إذا کان اللفظ حقیقة فیهما علی ما نذهب إلیه فی فحوی الخطاب و دلیل الخطاب، فینبغی أن یکون الحکم حکم الحقیقیّین، علی التفصیل الّذی قدمنا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القول فی الاسم اللغوی و العرفی، أو العرفی و الشرعی مثل القول فی اللغوی و الشرعی علی ما قدمنا القول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 الدلیل إذا دل علی وجوب حکم من الأحکام، ثم یرد نصّ یتناول ذلک الحکم، فلا یخلو من أحد 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إما أن یتناوله حقیقة، أو مجازا، فإن کان متناولا له حقیقة، وجب القطع علی أنه مراد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بالنص، لأنه یقتضی ظاهره و لو أراد غیره لبینه، فمتی لم یبین وجب القطع علی أنه مراد به، و إلا خلا اللفظ من فائدة، و لهذا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دل الدلیل علی وجوب الصلاة، ثم ورد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أَقِیمُوا الصَّلاةَ  </w:t>
      </w:r>
      <w:r>
        <w:rPr>
          <w:rStyle w:val="FootnoteAnchor"/>
          <w:rtl w:val="true"/>
        </w:rPr>
        <w:footnoteReference w:id="120"/>
      </w:r>
    </w:p>
    <w:p>
      <w:pPr>
        <w:pStyle w:val="BookText"/>
        <w:rPr/>
      </w:pP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وجب القطع علی أنها مرادة بالنص، لتناول اللفظ لها</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إن کان اللفظ متناولا لذلک الحکم علی جهة المجاز، لم یجب القطع علی أنه مراد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الخطاب یجب حمله علی ظاهره، إلا أن یدل دلیل علی أن المراد به المجاز، و لیس ثبوت الدلیل علی وجوب حکم یتناوله اللفظ علی جهة المجاز بموجب للقطع علی أنه مراد باللفظ، و لذلک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لا یمکن إبطال مذهب </w:t>
      </w:r>
    </w:p>
    <w:p>
      <w:pPr>
        <w:pStyle w:val="BookText"/>
        <w:rPr/>
      </w:pPr>
      <w:r>
        <w:rPr>
          <w:rFonts w:ascii="Amiri" w:hAnsi="Amiri" w:eastAsia="Amiri" w:cs="Amiri"/>
          <w:color w:val="111111"/>
          <w:sz w:val="28"/>
          <w:sz w:val="28"/>
          <w:szCs w:val="28"/>
          <w:rtl w:val="true"/>
          <w:lang w:bidi="ar-SA"/>
        </w:rPr>
        <w:t xml:space="preserve">الشافعی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تعلقه بقوله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لامَسْتُمُ النِّساءَ فَلَمْ تَجِدُوا ماءً فَتَیَمَّمُوا  </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دل الدلیل علی أن الحکم المذکور فی الآیة یتعلق بالجماع، وجب حمل الآیة علی أن المراد به دون غیره من 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قد بینا أن اللفظ إذا تناول شیئین، فلیس فی ثبوت کون أحدهما مرادا ما ینافی أن یکون الآخر أیضا مرادا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یقتضیه عندنا الوقف إن لم یکن الوقت وقت الحاجة، و إن کان الوقت وقت الحاجة وجب حمله علیهما جمیعا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تسمیة الجماع باللمس إنما هو علی طریق المجاز دون الحقیقة، و قد بینا أن اللفظ یجب حمله علی الحقیقة، إلا أن یدل دلیل علی أنه أراد المجاز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دل أیضا الدلیل علی أنه أراد المجاز، لم یکن ذلک مانعا من أن یرید به ما تقتضیه حقیقته، إلا أن یدل دلیل علی أنه لم یرد حقیقته، علی ما قدمنا القول فیه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کذلک القول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تَنْکِحُوا ما نَکَحَ آباؤُکُمْ مِنَ النِّساءِ  </w:t>
      </w:r>
      <w:r>
        <w:rPr>
          <w:rStyle w:val="FootnoteAnchor"/>
          <w:rtl w:val="true"/>
        </w:rPr>
        <w:footnoteReference w:id="122"/>
      </w:r>
      <w:r>
        <w:rPr>
          <w:rFonts w:ascii="IRNazanin" w:hAnsi="IRNazanin" w:eastAsia="IRNazanin"/>
          <w:color w:val="111111"/>
          <w:sz w:val="28"/>
          <w:sz w:val="28"/>
          <w:szCs w:val="28"/>
          <w:rtl w:val="true"/>
          <w:lang w:bidi="fa-IR"/>
        </w:rPr>
        <w:t>أن ثبوت الوطء مراد بالآیة لا یمنع من إرادة العقد بها أیضا علی ما قدمناه، فینبغی أن یجری الباب علی ما حررناه، فإن أعیان المسائل لا تنحصر، و أصولها ما حررناه</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نعود الآن إلی الترتیب الّذی وعدنا به فی أبواب أصول الفقه علی ما قررناه إن شاء اللّه تعالی</w:t>
      </w:r>
      <w:r>
        <w:rPr>
          <w:rFonts w:eastAsia="IRNazanin" w:cs="IRNazanin"/>
          <w:color w:val="111111"/>
          <w:sz w:val="28"/>
          <w:szCs w:val="28"/>
          <w:rtl w:val="true"/>
          <w:lang w:bidi="fa-IR"/>
        </w:rPr>
        <w:t xml:space="preserve">. </w:t>
      </w:r>
      <w:bookmarkStart w:id="34" w:name="pg6519_49139"/>
    </w:p>
    <w:p>
      <w:pPr>
        <w:pStyle w:val="Heading3"/>
        <w:numPr>
          <w:ilvl w:val="2"/>
          <w:numId w:val="1"/>
        </w:numPr>
        <w:rPr/>
      </w:pPr>
      <w:bookmarkStart w:id="35" w:name="__RefHeading___Toc1757177_653776707"/>
      <w:bookmarkStart w:id="36" w:name="_Toc12"/>
      <w:bookmarkEnd w:id="34"/>
      <w:bookmarkEnd w:id="35"/>
      <w:r>
        <w:rPr>
          <w:rtl w:val="true"/>
        </w:rPr>
        <w:t>الباب الثانی</w:t>
      </w:r>
      <w:r>
        <w:rPr>
          <w:rtl w:val="true"/>
        </w:rPr>
        <w:t xml:space="preserve">: </w:t>
      </w:r>
      <w:r>
        <w:rPr>
          <w:rtl w:val="true"/>
        </w:rPr>
        <w:t>الکلام فی الأخبار</w:t>
      </w:r>
      <w:bookmarkEnd w:id="36"/>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7" w:name="__RefHeading___Toc1757179_653776707"/>
      <w:bookmarkStart w:id="38" w:name="_Toc13"/>
      <w:bookmarkEnd w:id="37"/>
      <w:r>
        <w:rPr>
          <w:rtl w:val="true"/>
        </w:rPr>
        <w:t>اشارة</w:t>
      </w:r>
      <w:bookmarkEnd w:id="38"/>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9" w:name="pg6519_49141"/>
      <w:bookmarkStart w:id="40" w:name="pg6519_49141"/>
      <w:bookmarkEnd w:id="40"/>
    </w:p>
    <w:p>
      <w:pPr>
        <w:pStyle w:val="Heading4"/>
        <w:numPr>
          <w:ilvl w:val="3"/>
          <w:numId w:val="1"/>
        </w:numPr>
        <w:rPr/>
      </w:pPr>
      <w:bookmarkStart w:id="41" w:name="pg6519_49141"/>
      <w:bookmarkStart w:id="42" w:name="__RefHeading___Toc1757181_653776707"/>
      <w:bookmarkStart w:id="43" w:name="_Toc14"/>
      <w:bookmarkEnd w:id="41"/>
      <w:bookmarkEnd w:id="42"/>
      <w:r>
        <w:rPr/>
        <w:t>1</w:t>
      </w:r>
      <w:r>
        <w:rPr>
          <w:rtl w:val="true"/>
        </w:rPr>
        <w:t xml:space="preserve">- </w:t>
      </w:r>
      <w:r>
        <w:rPr>
          <w:rtl w:val="true"/>
        </w:rPr>
        <w:t xml:space="preserve">فصل </w:t>
      </w:r>
      <w:r>
        <w:rPr>
          <w:rtl w:val="true"/>
        </w:rPr>
        <w:t>«</w:t>
      </w:r>
      <w:r>
        <w:rPr>
          <w:rtl w:val="true"/>
        </w:rPr>
        <w:t>فی حقیقة الخبر، و ما به یصیر خبرا، و بیان أقسامه</w:t>
      </w:r>
      <w:r>
        <w:rPr>
          <w:rtl w:val="true"/>
        </w:rPr>
        <w:t>»</w:t>
      </w:r>
      <w:bookmarkEnd w:id="43"/>
    </w:p>
    <w:p>
      <w:pPr>
        <w:pStyle w:val="BookText"/>
        <w:rPr/>
      </w:pPr>
      <w:r>
        <w:rPr>
          <w:rFonts w:ascii="IRNazanin" w:hAnsi="IRNazanin" w:eastAsia="IRNazanin"/>
          <w:color w:val="111111"/>
          <w:sz w:val="28"/>
          <w:sz w:val="28"/>
          <w:szCs w:val="28"/>
          <w:rtl w:val="true"/>
          <w:lang w:bidi="fa-IR"/>
        </w:rPr>
        <w:t>حد الخبر ما صح فیه الصدق أو الکذب، و هذا أولی مما قاله بعضهم من أنه ما صح فیه الصدق و الکذب، لأن ذلک محال، لأنه لا یجوز أن یکون خبر واحد صدقا و کذبا، لأنه لا یخلو أن یکون مخبره</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 xml:space="preserve">المراد بالمخبر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الباء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المحکوم علیه، و بما تناوله الخبر المحکوم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ما تناوله الخبر فیکون صدقا، أو لا یکون علی ما تناوله الخبر فیکون کذبا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احتمالهما جمیعا فمحال علی ما بینا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لو صح لکان منتقضا، لأن هاهنا مخبرات کثیرة لا یصح فیها الکذب، و مخبرات کثیرة لا یصح فیها الصدق، نحو الإخبار عن توحید اللّه و صفاته، فإن جمیع ذلک لا یصح فیها الکذب، و الإخبار عن ثان و معه ثالث لا یصح فیها</w:t>
      </w:r>
      <w:r>
        <w:rPr>
          <w:rStyle w:val="FootnoteAnchor"/>
          <w:rtl w:val="true"/>
        </w:rPr>
        <w:footnoteReference w:id="124"/>
      </w:r>
      <w:r>
        <w:rPr>
          <w:rFonts w:ascii="IRNazanin" w:hAnsi="IRNazanin" w:eastAsia="IRNazanin"/>
          <w:color w:val="111111"/>
          <w:sz w:val="28"/>
          <w:sz w:val="28"/>
          <w:szCs w:val="28"/>
          <w:rtl w:val="true"/>
          <w:lang w:bidi="fa-IR"/>
        </w:rPr>
        <w:t>الصدق أصلا، فعلم أن الأولی ما قلناه</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إلا أن یراد بهذه اللفظة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یحتمل الصدق و الکذب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یحتمل أحدهما، فإن أرید ذلک کان مثل ما قلناه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ینبغی أن یذکر فی اللفظ ما یزیل الإبهام، لأن الحدود مبنیة علی الألفاظ دون المعانی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حد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ما احتمل التصدیق و التکذیب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هذا صحیح، غیر أن ما ذکرناه أولی من حیث أن التصدیق و التکذیب یرجع إلی غیر الخبر، و ینبغی أن یحد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الشیء بصفة هو علیها لا بما یرجع إلی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توصف الإشارة و الدلالة بأنهما خبران، و ذلک مجاز، و إنما یدخل فی کونه خبرا بقصد المخاطب إلی إیقاع کونه خبرا، و إنما قلنا ذلک لأنه یوجد الصیغة و لا یکون خبرا فلا بد من أن یکون هناک أمر خصصه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الناس من جعل القصد من قبیل الإرادة، و منهم من جعله من قبیل الداعی، و لیس هذا موضع تصحیح أحدهما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الخبر لا یخلو من أن یکون مخبره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هو به فیکون صدقا، أو لا یکون مخبره علی ما هو به فیکون کذبا، و هذا أولی مما قاله بعضهم فی الکذب أن یکون خبره علی خلاف ما هو به، لأن ذلک بعض الکذب، و قد یکون الخبر کذبا و إن لم یکن متناولا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للشیء علی خلاف ما هو به، أ لا تری أن القائل إذا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زید قاعدا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قاعد یکون خبره کذبا و إن لم یکن قد أخبر بصفة تخالف کونه قاعدا، فعلم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بذلک</w:t>
      </w:r>
      <w:r>
        <w:rPr>
          <w:rFonts w:eastAsia="IRNazanin" w:cs="IRNazanin"/>
          <w:color w:val="111111"/>
          <w:sz w:val="28"/>
          <w:szCs w:val="28"/>
          <w:rtl w:val="true"/>
          <w:lang w:bidi="fa-IR"/>
        </w:rPr>
        <w:t>)</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زیادة من 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الحد بما ذکرناه أولی لأنه أعم</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هذا التحریر یکون قول القائل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عبد اللّه و مسیلمة صادقان أو کاذبان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ینبغی أن یکون کذبا، لأنه فی الحالین جمیعا لیس مخبره علی ما تناوله الخبر، </w:t>
      </w:r>
    </w:p>
    <w:p>
      <w:pPr>
        <w:pStyle w:val="BookText"/>
        <w:rPr/>
      </w:pPr>
      <w:r>
        <w:rPr>
          <w:rFonts w:ascii="IRNazanin" w:hAnsi="IRNazanin" w:eastAsia="IRNazanin"/>
          <w:color w:val="111111"/>
          <w:sz w:val="28"/>
          <w:sz w:val="28"/>
          <w:szCs w:val="28"/>
          <w:rtl w:val="true"/>
          <w:lang w:bidi="fa-IR"/>
        </w:rPr>
        <w:t>لأنه إن أخبر عنهما بالصدق فأحدهما کاذب، و إن أخبر عنهما بالکذب فأحدهما صادق، فعلی الوجهین جمیعا یکون الخبر کذبا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أولی مما قاله أبو هاشم</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 xml:space="preserve">المعتمد فی أصول الفقه </w:t>
      </w:r>
      <w:r>
        <w:rPr>
          <w:rFonts w:eastAsia="IRNazanin" w:cs="IRNazanin"/>
          <w:color w:val="111111"/>
          <w:sz w:val="28"/>
          <w:szCs w:val="28"/>
          <w:lang w:bidi="fa-IR"/>
        </w:rPr>
        <w:t>74:2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أن تقدیر هذا الکلام تقدیر خبرین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یکون صدقا، و الآخر یکون کذبا، لأن ظاهر ذلک أنه خبر واحد، فتقدیر کون الخبرین فیه ترک 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من شرط کون الخبر صدقا أو کذبا علم المخبر بما أخبر به، و إنما ذلک شرط فی حسن</w:t>
      </w:r>
      <w:r>
        <w:rPr>
          <w:rStyle w:val="FootnoteAnchor"/>
          <w:rtl w:val="true"/>
        </w:rPr>
        <w:footnoteReference w:id="127"/>
      </w:r>
      <w:r>
        <w:rPr>
          <w:rFonts w:ascii="IRNazanin" w:hAnsi="IRNazanin" w:eastAsia="IRNazanin"/>
          <w:color w:val="111111"/>
          <w:sz w:val="28"/>
          <w:sz w:val="28"/>
          <w:szCs w:val="28"/>
          <w:rtl w:val="true"/>
          <w:lang w:bidi="fa-IR"/>
        </w:rPr>
        <w:t>إخباره به، و یفارق ذلک حکم</w:t>
      </w:r>
      <w:r>
        <w:rPr>
          <w:rStyle w:val="FootnoteAnchor"/>
          <w:rtl w:val="true"/>
        </w:rPr>
        <w:footnoteReference w:id="128"/>
      </w:r>
      <w:r>
        <w:rPr>
          <w:rFonts w:ascii="IRNazanin" w:hAnsi="IRNazanin" w:eastAsia="IRNazanin"/>
          <w:color w:val="111111"/>
          <w:sz w:val="28"/>
          <w:sz w:val="28"/>
          <w:szCs w:val="28"/>
          <w:rtl w:val="true"/>
          <w:lang w:bidi="fa-IR"/>
        </w:rPr>
        <w:t>العلم لأن الاعتقاد قد یخلو من أن یکون علما أو جهلا بأن یکون تقلیدا لیس معه سکون النّفس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الخبر علی ضربین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یعلم أن مخبره علی ما تناوله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یعلم ذلک فیه، و هو علی ضربین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یعلم أنه علی خلاف ما تناوله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متوقف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الخبر الّذی یعلم أن مخبره علی ما تناوله الخبر فعلی ضربین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یعلم ذلک، و یجوز أن یکون ضرورة أو اکتسابا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یقطع علی أنه یعلم ذلک استدلالا</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فالأوّل نحو العلم بالبلدان، و الوقائع، و الملوک، و مبعث النبی صلی اللّه علیه و آله و سلم و هجرته، و غزواته، و ما یجری مجری ذلک، فإن کل ذلک</w:t>
      </w:r>
      <w:r>
        <w:rPr>
          <w:rStyle w:val="FootnoteAnchor"/>
          <w:rtl w:val="true"/>
        </w:rPr>
        <w:footnoteReference w:id="130"/>
      </w:r>
      <w:r>
        <w:rPr>
          <w:rFonts w:ascii="IRNazanin" w:hAnsi="IRNazanin" w:eastAsia="IRNazanin"/>
          <w:color w:val="111111"/>
          <w:sz w:val="28"/>
          <w:sz w:val="28"/>
          <w:szCs w:val="28"/>
          <w:rtl w:val="true"/>
          <w:lang w:bidi="fa-IR"/>
        </w:rPr>
        <w:t xml:space="preserve">من الأمرین </w:t>
      </w:r>
    </w:p>
    <w:p>
      <w:pPr>
        <w:pStyle w:val="BookText"/>
        <w:rPr/>
      </w:pPr>
      <w:r>
        <w:rPr>
          <w:rFonts w:ascii="IRNazanin" w:hAnsi="IRNazanin" w:eastAsia="IRNazanin"/>
          <w:color w:val="111111"/>
          <w:sz w:val="28"/>
          <w:sz w:val="28"/>
          <w:szCs w:val="28"/>
          <w:rtl w:val="true"/>
          <w:lang w:bidi="fa-IR"/>
        </w:rPr>
        <w:t>جائز فیه علی ما سنبینه فیما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و أما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یعلم مخبره بالاستدلال فعلی ضروب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اللّه تعالی، و خبر الرسول، و خبر الإمام 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الأمة إذا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اعتبرنا کونها 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من أخبر بحضرة جماعة کثیرة لا یجوز علی مثلها</w:t>
      </w:r>
      <w:r>
        <w:rPr>
          <w:rStyle w:val="FootnoteAnchor"/>
          <w:rtl w:val="true"/>
        </w:rPr>
        <w:footnoteReference w:id="132"/>
      </w:r>
      <w:r>
        <w:rPr>
          <w:rFonts w:ascii="IRNazanin" w:hAnsi="IRNazanin" w:eastAsia="IRNazanin"/>
          <w:color w:val="111111"/>
          <w:sz w:val="28"/>
          <w:sz w:val="28"/>
          <w:szCs w:val="28"/>
          <w:rtl w:val="true"/>
          <w:lang w:bidi="fa-IR"/>
        </w:rPr>
        <w:t>الکتمان و التواطؤ و ما یجری مجری ذلک، و ادعی علیهم المشاهدة، و لا صارف لهم عن تکذیبه، فیعلم أن خبره صدق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المخبر إذا أخبر بحضرة النبی صلی اللّه علیه و آله و سلم و ادعی علیه العلم بذلک فلم ینکره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المتواترین الذین یعلم خبرهم إذا حصلت الشرائط فیهم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تجتمع الأمة أو الفرقة المحقة علی العمل بخبر الواحد، و علم أنه لا دلیل علی ذلک الحکم إلا ذلک الخبر، فیعلم أنه صدق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تلقته الأمة أو الطائفة المحقة بالقبول، و إن کان الأصل فیه واحدا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w:t>
      </w:r>
      <w:r>
        <w:rPr>
          <w:rStyle w:val="FootnoteAnchor"/>
          <w:rtl w:val="true"/>
        </w:rPr>
        <w:footnoteReference w:id="133"/>
      </w:r>
      <w:r>
        <w:rPr>
          <w:rFonts w:ascii="IRNazanin" w:hAnsi="IRNazanin" w:eastAsia="IRNazanin"/>
          <w:color w:val="111111"/>
          <w:sz w:val="28"/>
          <w:sz w:val="28"/>
          <w:szCs w:val="28"/>
          <w:rtl w:val="true"/>
          <w:lang w:bidi="fa-IR"/>
        </w:rPr>
        <w:t>ما یعلم أن مخبره علی خلاف ما تناوله فعلی ضربین أیضا</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یعلم ذلک من حاله، و یجوز کونه ضروریا و مکتسبا مثل ما قلناه فیما </w:t>
      </w:r>
    </w:p>
    <w:p>
      <w:pPr>
        <w:pStyle w:val="BookText"/>
        <w:rPr/>
      </w:pPr>
      <w:r>
        <w:rPr>
          <w:rFonts w:ascii="IRNazanin" w:hAnsi="IRNazanin" w:eastAsia="IRNazanin"/>
          <w:color w:val="111111"/>
          <w:sz w:val="28"/>
          <w:sz w:val="28"/>
          <w:szCs w:val="28"/>
          <w:rtl w:val="true"/>
          <w:lang w:bidi="fa-IR"/>
        </w:rPr>
        <w:t>یعلم صحته، و ذلک مثل ما یعلم أنه لیس بین بغداد و البصرة بلد أکبر منهما، و أنه لم یکن مع النبی صلی اللّه علیه و آله و سلم نبی آخر، و لا أن له هجرة إلی خراسان، و ما جری مجری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یعلم أنه علی خلاف ما تناوله بضرب من الاستدلال، و هو علی ضروب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یعلم بدلیل عقلی أو شرعی أنه علی خلاف ما تناوله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یعلم أن مخبره لو کان صحیحا لوجب نقله علی خلاف الوجه الّذی نقل علیه، بل علی وجه تقوم به الحجة، فإذا لم ینقل کذلک علم أنه کذب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مخبره مما لو فتش عنه من یلزمه العمل به لوجب أن یعلمه، فإذا لم تکن هذه حاله علم أنه کذب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مخبر الخبر حادثة عظیمة مما لو کانت لکانت الدواعی إلی نقلها یقتضی ظهور نقلها إذا لم یکون هناک مانع، فمتی لم ینقل علم أنه کذب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یعلم أن نقله لیس کنقل نظیره، و الأحوال فیهما متساویة، فیعلم حینئذ أنه کذب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لا یعلم أن مخبره علی ما تناوله، و لا أنه علی خلافه، فعلی ضربین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العمل به، و الآخر لا یجب العمل به، فعلی</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العمل به عقلا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ذلک فیه سمعا</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فما یجب العمل به عقلا نحو الأخبار المتعلقة بالمنافع و المضار الدنیویة، فإنه </w:t>
      </w:r>
    </w:p>
    <w:p>
      <w:pPr>
        <w:pStyle w:val="BookText"/>
        <w:rPr/>
      </w:pPr>
      <w:r>
        <w:rPr>
          <w:rFonts w:ascii="IRNazanin" w:hAnsi="IRNazanin" w:eastAsia="IRNazanin"/>
          <w:color w:val="111111"/>
          <w:sz w:val="28"/>
          <w:sz w:val="28"/>
          <w:szCs w:val="28"/>
          <w:rtl w:val="true"/>
          <w:lang w:bidi="fa-IR"/>
        </w:rPr>
        <w:t>یجب العمل بها عقلا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یجب العمل به شرعا فکالشهادات، و الأخبار الواردة فی فروع الدین إذا کانت من طرق</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فی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مخصوصة و رواها من له صفة مخصوصة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الضرب الثانی من الضربین الأولین، و هو ما لا یجب العمل به فعلی ضربین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یقتضی ظاهره الرد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التوقف فیه، و یجوز کونه کذبا و صدقا علی حد واحد، و نحن نبین شرح ذلک فیما بعد إن شاء اللّه تعالی</w:t>
      </w:r>
      <w:r>
        <w:rPr>
          <w:rFonts w:eastAsia="IRNazanin" w:cs="IRNazanin"/>
          <w:color w:val="111111"/>
          <w:sz w:val="28"/>
          <w:szCs w:val="28"/>
          <w:rtl w:val="true"/>
          <w:lang w:bidi="fa-IR"/>
        </w:rPr>
        <w:t xml:space="preserve">. </w:t>
      </w:r>
      <w:bookmarkStart w:id="44" w:name="pg6519_49147"/>
    </w:p>
    <w:p>
      <w:pPr>
        <w:pStyle w:val="Heading4"/>
        <w:numPr>
          <w:ilvl w:val="3"/>
          <w:numId w:val="1"/>
        </w:numPr>
        <w:rPr/>
      </w:pPr>
      <w:bookmarkStart w:id="45" w:name="__RefHeading___Toc1757183_653776707"/>
      <w:bookmarkStart w:id="46" w:name="_Toc15"/>
      <w:bookmarkEnd w:id="44"/>
      <w:bookmarkEnd w:id="45"/>
      <w:r>
        <w:rPr/>
        <w:t>2</w:t>
      </w:r>
      <w:r>
        <w:rPr>
          <w:rtl w:val="true"/>
        </w:rPr>
        <w:t xml:space="preserve">- </w:t>
      </w:r>
      <w:r>
        <w:rPr>
          <w:rtl w:val="true"/>
        </w:rPr>
        <w:t xml:space="preserve">فصل </w:t>
      </w:r>
      <w:r>
        <w:rPr>
          <w:rtl w:val="true"/>
        </w:rPr>
        <w:t>«</w:t>
      </w:r>
      <w:r>
        <w:rPr>
          <w:rtl w:val="true"/>
        </w:rPr>
        <w:t>فی أن الأخبار قد یحصل عندها العلم، و کیفیة حصوله، و أقسام ذلک</w:t>
      </w:r>
      <w:r>
        <w:rPr>
          <w:rtl w:val="true"/>
        </w:rPr>
        <w:t>»</w:t>
      </w:r>
      <w:bookmarkEnd w:id="46"/>
    </w:p>
    <w:p>
      <w:pPr>
        <w:pStyle w:val="BookText"/>
        <w:rPr/>
      </w:pPr>
      <w:r>
        <w:rPr>
          <w:rFonts w:ascii="IRNazanin" w:hAnsi="IRNazanin" w:eastAsia="IRNazanin"/>
          <w:color w:val="111111"/>
          <w:sz w:val="28"/>
          <w:sz w:val="28"/>
          <w:szCs w:val="28"/>
          <w:rtl w:val="true"/>
          <w:lang w:bidi="fa-IR"/>
        </w:rPr>
        <w:t xml:space="preserve">حکی عن قوم یعرفون بالسمنیة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أنهم أنکروا وقوع العلم بالأخبار، و عندها خصوا العلم بالإدراکات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مذهب ظاهر البطلان، لا معنی للتشاغل بإبطاله و الإکثار فی رده، لأن المشکک فیما یحصل من العلم عند الإخبار کالمشکک فیما یحصل عند المشاهدة و غیرها من ضروب الإدراکات من السوفسطائیة</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فی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الإدراک</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 أصحاب العنود، و مدخل الشبهات فی هذا کمدخل الشبهات فی ذلک، لأن نفوسنا تسکن إلی وجود البلدان</w:t>
      </w:r>
    </w:p>
    <w:p>
      <w:pPr>
        <w:pStyle w:val="BookText"/>
        <w:rPr/>
      </w:pPr>
      <w:r>
        <w:rPr>
          <w:rFonts w:ascii="IRNazanin" w:hAnsi="IRNazanin" w:eastAsia="IRNazanin"/>
          <w:color w:val="111111"/>
          <w:sz w:val="28"/>
          <w:sz w:val="28"/>
          <w:szCs w:val="28"/>
          <w:rtl w:val="true"/>
          <w:lang w:bidi="fa-IR"/>
        </w:rPr>
        <w:t>التی لم نشاهدها مثل الصین، و الهند، و الروم، و غیر ذلک مما لم نشاهدها، و إلی وجود الملوک و غیرهم، و إلی هجرة النبی صلی اللّه علیه و آله و سلم و إلی وقوع المغازی، و حصول الوقائع الحادثة فی الأیام الماضیة، کما تسکن إلی العلم بالمشاهدات، فمن ادعی فیما یحصل عند الإخبار أنه ظن و حسبان کمن ادعی ذلک فی المشاهدات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القدر کاف فی إبطال هذا المذهب لأنه ظاهر البطلان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کیفیة حصول هذا العلم فقد اختلف العلماء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فذهب أبو القاسم البلخی</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 xml:space="preserve">هو أبو القاسم عبد اللّه، بن أحمد، بن محمود الکعبی البلخی، من أعلام المعتزلة، و أعیانها، أصله من بلخ، عاش ببغداد و تتلمذ بها علی الخیاط مدة طویلة ثم عاد إلی مسقط رأسه و توفی عام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عرف أتباعه باسم الکعبیة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قبول الاخبار و معرفة الرّجال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تبعه إلی أن الأخبار المتواترة التی تحصل عندها العلوم لکل عاقل کلها مکتسبة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إلی ذلک کان یذهب شیخنا أبو عبد اللّه</w:t>
      </w:r>
      <w:r>
        <w:rPr>
          <w:rStyle w:val="FootnoteAnchor"/>
          <w:rtl w:val="true"/>
        </w:rPr>
        <w:footnoteReference w:id="138"/>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ذهب أبو علی</w:t>
      </w:r>
      <w:r>
        <w:rPr>
          <w:rStyle w:val="FootnoteAnchor"/>
          <w:rtl w:val="true"/>
        </w:rPr>
        <w:footnoteReference w:id="139"/>
      </w:r>
      <w:r>
        <w:rPr>
          <w:rFonts w:ascii="IRNazanin" w:hAnsi="IRNazanin" w:eastAsia="IRNazanin"/>
          <w:color w:val="111111"/>
          <w:sz w:val="28"/>
          <w:sz w:val="28"/>
          <w:szCs w:val="28"/>
          <w:rtl w:val="true"/>
          <w:lang w:bidi="fa-IR"/>
        </w:rPr>
        <w:t>و أبو هاشم، و البصریون</w:t>
      </w:r>
      <w:r>
        <w:rPr>
          <w:rStyle w:val="FootnoteAnchor"/>
          <w:rtl w:val="true"/>
        </w:rPr>
        <w:footnoteReference w:id="140"/>
      </w:r>
      <w:r>
        <w:rPr>
          <w:rFonts w:ascii="IRNazanin" w:hAnsi="IRNazanin" w:eastAsia="IRNazanin"/>
          <w:color w:val="111111"/>
          <w:sz w:val="28"/>
          <w:sz w:val="28"/>
          <w:szCs w:val="28"/>
          <w:rtl w:val="true"/>
          <w:lang w:bidi="fa-IR"/>
        </w:rPr>
        <w:t>و أکثر الفقهاء، و أصحاب الأشعری إلی أن العلم بهذه الأخبار یحصل ضرورة من فعل اللّه تعالی لا صنع للعباد فیها</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 ذهب المرتضی رحمه اللّه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تقسیم 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أخبار البلدان، و الوقائع، و الملوک، و هجرة النبی صلی اللّه علیه و آله و سلم و مغازیه، و ما یجری هذا المجری یجوز أن یکون ضرورة من فعل اللّه تعالی، و یجوز أن یکون مکتسبة من فعل العباد، و أما ما عدا أخبار البلدان، و ما ذکرناه مثل العلم بمعجزات النبی صلی اللّه علیه و آله، و کثیر من أحکام الشریعة، و النص الحاصل علی الأئمة علیهم السلام، فیقطع علی أنه مستدل علیه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المذهب عندی أوضح من المذهبین جمیعا، و إنما قلنا بهذا المذهب لأنه لا دلیل هاهنا یقطع به علی صحة أحد المذهبین دون الآخر، فالأدلة فیها کالمتکافئة، و إذا کان کذلک وجب الوقف و تجویز کل واحد من المذهبین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نحن نعترض ما استدل به کل فریق من الفئتین و نبین ما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لأنه أیضا لا یمتنع أن یکون العالم بهذه الأخبار قد یقدم له علی الجملة العلم بصفة الجماعة التی لا یجوز أن یتفق منها الکذب، فلا</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و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یجوز علی مثلها أیضا التواطؤ لأن علم ذلک مستند إلی العبادة، فجائز أن یکون قد عرف ذلک و تقرر فی نفسه، فلما أخبره عن البلدان، و أخبار الملوک، و الوقائع، من هو علی تلک الصفة فعل لنفسه اعتقاد الصدق لهذه الأخبار، و کان ذلک الاعتقاد علما للجملة المتقدمة، فیکون کسبیا لا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ضروریا فیه</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لیس لأحد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إدخال التفصیل فی الجملة إنما یکون فیما له أصل ضروری علی سبیل الجملة کما نقول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من شأن الظلم أن یکون قبیحا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علی الجملة ضروری، فإذا علمنا فی ضرر بعینه أنه ظلم فعلنا اعتقادا لقبحه، و کان علما </w:t>
      </w:r>
    </w:p>
    <w:p>
      <w:pPr>
        <w:pStyle w:val="BookText"/>
        <w:rPr/>
      </w:pPr>
      <w:r>
        <w:rPr>
          <w:rFonts w:ascii="IRNazanin" w:hAnsi="IRNazanin" w:eastAsia="IRNazanin"/>
          <w:color w:val="111111"/>
          <w:sz w:val="28"/>
          <w:sz w:val="28"/>
          <w:szCs w:val="28"/>
          <w:rtl w:val="true"/>
          <w:lang w:bidi="fa-IR"/>
        </w:rPr>
        <w:t>لمطابقته للجملة المتقررة، و أنتم قد جعلتم علم الجملة مکتسبا، و التفصیل کذلک، و ذلک أنه لا فرق بین أن یکون علم الجملة حاصلا بالضرورة أو الاکتساب، فی جواز أن یبنی علیه التفصیل، لأن من علم منا بالاکتساب أن من صح منه الفعل یجب أن یکون قادرا، ثم علم فی ذات بعینها أنه یصح منها</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فی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الفعل، فعل اعتقادا لکونها قادرة، فیکون ذلک الاعتقاد علما لمطابقته للجملة المتقدمة، و إن کانت تلک الجملة مکتسبة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إذا علم بالاکتساب أن من شأن القادر أن یکون حیا، ثم علم فی ذات بعینها أنها قادرة، فعل اعتقادا لکونها حیة فیکون علما لمطابقته للجملة المتقررة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فرق إذا فی إدخال التفصیل فی الجملة المتقدمة بین الضروری و المکتسب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کما أن ما ذکرناه ممکن، یمکن أیضا أن یکون اللّه تعالی أجری العادة بأن یفعل العلم فینا عند سماع الأخبار عن البلدان و ما شاکلها علی ما ذهب إلیه آخرون، و لیس فی العقل دلیل علی أحد القولین، فلا یخل الشک فی ذلک بشیء من شرائط التکلیف، فیجب أن یجوز کلا الأمرین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نحن نتتبع أدلة کل فرقة من الفریقین لیتم لنا ما قصدناه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استدل به أبو القاسم البلخی و من تبعه علی أن هذه العلوم مکتسبة أن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أن یقع العلم الضروری بما لیس بمدرک، و مخبر الأخبار عن البلدان أمر غائب عن الإدراک، فلا یجوز أن یکون ذلک ضروریا، لأنه لو جاز کون العلم بالغائبات ضروریا، جاز أن یکون العلم بالمشاهدات مستدلا علیه</w:t>
      </w:r>
      <w:r>
        <w:rPr>
          <w:rFonts w:eastAsia="IRNazanin" w:cs="IRNazanin"/>
          <w:color w:val="111111"/>
          <w:sz w:val="28"/>
          <w:szCs w:val="28"/>
          <w:rtl w:val="true"/>
          <w:lang w:bidi="fa-IR"/>
        </w:rPr>
        <w:t>»</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استدل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بأن العلم بمخبر الأخبار إنما یحصل بعد تأمل أحوال المخبرین بها و صفاتهم، فدل ذلک علی أنه مکتسب</w:t>
      </w:r>
      <w:r>
        <w:rPr>
          <w:rFonts w:eastAsia="IRNazanin" w:cs="IRNazanin"/>
          <w:color w:val="111111"/>
          <w:sz w:val="28"/>
          <w:szCs w:val="28"/>
          <w:rtl w:val="true"/>
          <w:lang w:bidi="fa-IR"/>
        </w:rPr>
        <w:t>»</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فیقال له فیما ذکره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زعمت أن العلم بالغائب عن الحس لا یکون ضروریا، أو لیس اللّه تعالی قادرا علی فعل العلم بالغائب مع غیبته، فما المنکر من أن </w:t>
      </w:r>
    </w:p>
    <w:p>
      <w:pPr>
        <w:pStyle w:val="BookText"/>
        <w:rPr/>
      </w:pPr>
      <w:r>
        <w:rPr>
          <w:rFonts w:ascii="IRNazanin" w:hAnsi="IRNazanin" w:eastAsia="IRNazanin"/>
          <w:color w:val="111111"/>
          <w:sz w:val="28"/>
          <w:sz w:val="28"/>
          <w:szCs w:val="28"/>
          <w:rtl w:val="true"/>
          <w:lang w:bidi="fa-IR"/>
        </w:rPr>
        <w:t>یفعل بمجری العادة عند إخبار جماعة مخصوصة‌؟ و لیس له أن یدعی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ذلک غیر مقدور له تعالی، کما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العلم بذاته تعالی لا یوصف بالقدرة علیه، لأنه یذهب إلی أن العلم بالمدرکات قد یکون من فعل اللّه تعالی علی بعض الوجوه، و لیس یفعل العلم بذلک إلا و هو فی مقدوره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کذلک علی مذهبه العلم بذاته تعالی لأنه لا یصح وقوعه منه علی وجه من الوجوه، و علی هذا أی فرق بین أن یفعل العلم بالمدرک عند إدراکه، و بین أن یفعل هذا العلم بعینه عند بعض الأخبار عنه‌؟ و إنما لم یجز أن یکون المشاهد مستدلا علیه، لأن المشاهد معلوم ضرورة للکامل 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یصح أن یستدل و ینظر فیما یعلمه، لأن من شرط صحة النّظر ارتفاع العلم بالمنظور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الشبهة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فبعیدة عن الصواب، لأنها مبنیة علی الدعوی، لأن خصومه لا یسلمون أن العلم بمخبر الأخبار عن البلدان و ما جری مجراها یقع عقیب التأمل لصفات المخبرین، بل یقولون إنه یقع من غیر تأمل لأحوال المخبرین، و أنه إنما یعلم أحوال المخبرین بعد حصول العلم الضروری له بما أخبروا عنه</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تعلق من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 إلی أن هذا العلم ضروری بأشیاء</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العلم بمخبر هذه الأخبار لو کان مکتسبا و واقعا عن تأمل حال المخبرین، و بلوغهم إلی الحد الّذی لا یجوز أن یکذبوا، لوجب أن یکون من لم یستدل علی ذلک و لم ینظر فیه من العوام و المقلدین و ضروب من الناس لا یعلمون </w:t>
      </w:r>
    </w:p>
    <w:p>
      <w:pPr>
        <w:pStyle w:val="BookText"/>
        <w:rPr/>
      </w:pPr>
      <w:r>
        <w:rPr>
          <w:rFonts w:ascii="IRNazanin" w:hAnsi="IRNazanin" w:eastAsia="IRNazanin"/>
          <w:color w:val="111111"/>
          <w:sz w:val="28"/>
          <w:sz w:val="28"/>
          <w:szCs w:val="28"/>
          <w:rtl w:val="true"/>
          <w:lang w:bidi="fa-IR"/>
        </w:rPr>
        <w:t>البلدان، و الحوادث العظام، و معلوم ضرورة الاشتراک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حد العلم الضروری قائم فی العلم بمخبر الأخبار، و لأنا لا نتمکن من إزالة ذلک عن نفوسنا و لا التشکیک فیه، و هذا حد العلم الضروری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أن اعتقاد من ذهب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ذهب إلی أن هذا العلم ضروری صارف عن النّظر فیه و الاستدلال علیه، فکان یجب أن یکون کل من اعتقد أن هذا العلم ضروری، غیر عالم بمخبر هذه الأخبار لأن اعتقاده یصرفه عن النّظر، فکان یجب خلو جماعتنا من العلم بالبلدان و ما أشبهها، و معلوم ضرورة خلاف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فیقال لهم فیما تعلقوا به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طریق اکتساب العلم بالفرق بین الجماعة التی لا یجوز أن تکذب فی خبرها، و بین من یجوز ذلک علیه قریب لا یحتاج إلی دقیق النّظر و طویل التأمل، و کل عاقل یعرف بالعادات الفرق بین الجماعة التی قضت العادات بامتناع الکذب علیها فیما ترویه، و بین من لیس کذلک، و المنافع الدنیویة من التجارات و ضروب التصرفات مبنیة علی حصول هذا العلم، فهو مستند إلی العادة، و یسیر التأمل کاف فی ذلک، فلا یجب فی المقلدین و العامة إلا یعلموا مخبر هذه الأخبار من حیث لم یکونوا أهل تحقیق و تدقیق لما ذکرناه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یقال لهم فیما تعلقوا به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نسلم لکم أن حد العلم الضروری هو ما یمتنع علی العالم دفعه عن نفسه، بل حده ما فعله فینا من هو أقدر منا علی وجه لا یمکننا دفعه عن أنفسنا، و لا ینبغی أن یجعلوا ما تفردوا به من الحد دلیلا علی موضع الخلاف</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یقال لهم فیما تعلقوا به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العالم بالفرق بین صفة الجماعة التی لا یجوز علیها الکذب لامتناع التواطؤ علیها، و استحالة الکذب منها کالملجإ عند کمال عقله، و حاجته إلی التفتیش و التصرف إلی العلم بذلک و الدواعی إلیه قویة، و البواعث علی فعله متوفرة، و قد حصل للعقلاء هذا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الفرق قبل أن یختص بعضهم </w:t>
      </w:r>
    </w:p>
    <w:p>
      <w:pPr>
        <w:pStyle w:val="BookText"/>
        <w:rPr/>
      </w:pPr>
      <w:r>
        <w:rPr>
          <w:rFonts w:ascii="IRNazanin" w:hAnsi="IRNazanin" w:eastAsia="IRNazanin"/>
          <w:color w:val="111111"/>
          <w:sz w:val="28"/>
          <w:sz w:val="28"/>
          <w:szCs w:val="28"/>
          <w:rtl w:val="true"/>
          <w:lang w:bidi="fa-IR"/>
        </w:rPr>
        <w:t>بالاعتقاد الّذی ذکروه، أنه صارف لهم، فإذن لا یجب خلو مخالفینا من هذه العلوم لأجل ما ادعی من الاعتقاد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صارف، لأنا قد بینا أنه غیر ممتنع أن یکون العلم بما قلناه قد سبقه و تقدم علیه، و یلزم علی هذا الوجه أن لا یکون أبو القاسم البلخی عالما بأن المحدثات تفتقر إلی محدث، لأنه یعتقد أن العلم بذلک ضروری، و اعتقاده ذلک صارف له عن النّظر، فیجب أن لا یکون عالما بذلک، و یجوز أن یکون غیر عارف باللّه تعالی و صفاته و أحواله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 شیء قالوه فیه</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أی فی البلخی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 مثله فیما تعلقوا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الناس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العلم الحاصل عند الإخبار متولد عنها، و هو من فعل فاعل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الّذی یدل علی بطلان هذا المذهب، أنه لو کان العلم الحاصل عند الإخبار متولدا لوجب أن یتولد عن خبر آخر المخبرین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لأن العلم عند ذلک یحصل، فلو کان کذلک لوجب أن یکون لو أخبرنا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ابتداء أن یحصل لنا العلم بخبره، لأن خبره هو الموجب للعلم، و کان یجب إذا أخبرنا عما یعلم باستدلال أیضا أن یحصل لنا العلم به، کما یحصل لنا العلم بما یعلم ضرورة، لأن خبره هو الموجب، و اختلاف حاله فی کونه عالما ضرورة و استدلالا یؤثر فی ذلک، فإذا بطل ذلک ثبت ما قلناه</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جوزتم حصول هذا العلم ضرورة فما شرائطه‌؟ و هل هی التی راعاها البصریون أم لا؟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الشرائط التی اعتبروها، نحن نعتبرها و نعتبر شرطا آخر لا یعتبرونه، فالشرائط التی اعتبروها هی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أن یکون المخبرون أکثر من أربعة، و لا یقطعون علی عدد منهم دون عدد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یکونوا عالمین بما یخبرونه ضرورة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یکونوا ممن إذا وقع العلم بخبر عدد منهم أن یقع العلم بکل عدد مثلهم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نختص به فهو أن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یمتنع أن یکون من شرطه أن یکون من یسمع الخبر لا یکون قد سبق إلی اعتقاد یخالف ما تضمنه الخبر بشبهة أو تقلید، و نحن ندل علی وجوب جمیع ذلک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إنما قلنا أنه لا بد أن یکونوا أکثر من أربعة، لأنه لو جاز أن یقع العلم بخبر أربعة، لکان شهود الزنا إذا شهدوا بالزنی و هم أربعة، کان یجب أن یحصل العلم للحاکم بصحة ما شهدوا به أنهم کانوا صادقین، و متی لم یحصل له العلم علم أنهم کاذبون، فکان یجب أن یرد شهادتهم، و یقیم حد القذف علیهم، و إن کان ظاهرهم ظاهر العدالة مزکین، و قد أجمع المسلمون علی خلاف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لأحد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لا یأتون بلفظ الخبر، فلذلک لا یقع العلم بشهادتهم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لأنه لا اعتبار عندنا بالألفاظ، لأنه لو أخبر المخبر بالأعجمیة</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بالعجمیة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النبطیة لکان کإخباره بالعربیة، بل لو عرف قصد المشیر لکان حاله حال المخبر فی وجوب العلم عنده، فما ذکروه لا یصح</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لیس لهم أیضا أن یقولوا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الشهود یشهدون مجتمعین غیر متفرقین، و کونهم کذلک یوجب أن یکونوا فی حکم من تواطأ علی ما أخبر به، و من شرط من یقع العلم بخبرهم ألا</w:t>
      </w:r>
      <w:r>
        <w:rPr>
          <w:rStyle w:val="FootnoteAnchor"/>
          <w:rtl w:val="true"/>
        </w:rPr>
        <w:footnoteReference w:id="151"/>
      </w:r>
      <w:r>
        <w:rPr>
          <w:rFonts w:ascii="IRNazanin" w:hAnsi="IRNazanin" w:eastAsia="IRNazanin"/>
          <w:color w:val="111111"/>
          <w:sz w:val="28"/>
          <w:sz w:val="28"/>
          <w:szCs w:val="28"/>
          <w:rtl w:val="true"/>
          <w:lang w:bidi="fa-IR"/>
        </w:rPr>
        <w:t>یتواطئوا، فلذلک لا نعلم بشهادتهم</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ذلک أن هذا فاسد من وجهین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لو فرقنا الشهود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الأفضل عندنا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وقع العلم بخبرهم، فکونهم مجتمعین ککونهم متفرقین فی انتفاء العلم عند شهادتهم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الوجه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لا نجعل من شرط من یقع العلم بخبره أن لا یتواطئوا، فإن ذلک إنما یشرط</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یشترط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الخبر الّذی یستدل علی صحة مخبره دون ما یقع العلم عنده ضرورة، و لا فرق فیما یخبرون به بین أن یکونوا مجتمعین أو متفرقین أو متواطئین أو غیر ذلک، إذا علموا ما أخبروا به ضرورة فی وجوب حصول العلم عند خبرهم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لا هذا الدلیل لما وقف علی أربعة أیضا، فکان یجب أن یحصل العلم عند کل عدد دون ذلک، کما أن ما زاد علی أربعة لم یقف علی عدد دون عدد، بل جوزنا أن یحصل العلم عند کل عدد زاد علی الأربعة، فنظیر هذا أن یجوز حصول العلم عند کل عدد دون الأربعة، لأنه لیس هاهنا دلیل علی وجوب مراعاة هذا العدد المدعاة، فلما لم نقطع علی عدد زاد علی الأربعة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لفقد الدلیل علی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فکذلک هاهنا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عشرون تعلقا بقوله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یَکُنْ مِنْکُمْ عِشْرُونَ صابِرُونَ  </w:t>
      </w:r>
      <w:r>
        <w:rPr>
          <w:rStyle w:val="FootnoteAnchor"/>
          <w:rtl w:val="true"/>
        </w:rPr>
        <w:footnoteReference w:id="153"/>
      </w:r>
      <w:r>
        <w:rPr>
          <w:rFonts w:ascii="IRNazanin" w:hAnsi="IRNazanin" w:eastAsia="IRNazanin"/>
          <w:color w:val="111111"/>
          <w:sz w:val="28"/>
          <w:sz w:val="28"/>
          <w:szCs w:val="28"/>
          <w:rtl w:val="true"/>
          <w:lang w:bidi="fa-IR"/>
        </w:rPr>
        <w:t>، و أنه لما أوجب الجهاد علیهم، وجب أن یکونوا ممن إذا دعوا إلی الدین علم ما دعوا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یصح من 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البغیة بالآیة التنبیه علی وجوب ثبات الواحد للعشرة، لا إیجاب الجهاد علی هذا العدد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قد اتفقت الأمة علی وجوب الجهاد علی الواحد إذا کان له غنا، و لم یوجب وقوع العلم بخبره</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 یدعون إلیه من الدین معلوم باستدلال، و نحن نبین أن ما یعلم بالدلیل لا یقع العلم بخبرهم و إن کثروا، و لا بد من أن یکون عالمین به ضرورة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أما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سبعون مثل عدد الذین أحضرهم موسی علیه السلام عند المیقات، لأنه إنما أحضرهم لیقوم بخبرهم حجة علی غیرهم</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 xml:space="preserve">شرح اللمع </w:t>
      </w:r>
      <w:r>
        <w:rPr>
          <w:rFonts w:eastAsia="IRNazanin" w:cs="IRNazanin"/>
          <w:color w:val="111111"/>
          <w:sz w:val="28"/>
          <w:szCs w:val="28"/>
          <w:lang w:bidi="fa-IR"/>
        </w:rPr>
        <w:t>574:2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یصح أیضا، لآخر الوجهین الذین دل ما</w:t>
      </w:r>
      <w:r>
        <w:rPr>
          <w:rStyle w:val="FootnoteAnchor"/>
          <w:rtl w:val="true"/>
        </w:rPr>
        <w:footnoteReference w:id="155"/>
      </w:r>
      <w:r>
        <w:rPr>
          <w:rFonts w:ascii="IRNazanin" w:hAnsi="IRNazanin" w:eastAsia="IRNazanin"/>
          <w:color w:val="111111"/>
          <w:sz w:val="28"/>
          <w:sz w:val="28"/>
          <w:szCs w:val="28"/>
          <w:rtl w:val="true"/>
          <w:lang w:bidi="fa-IR"/>
        </w:rPr>
        <w:t>فی الشبهة الأولی أنه</w:t>
      </w:r>
      <w:r>
        <w:rPr>
          <w:rStyle w:val="FootnoteAnchor"/>
          <w:rtl w:val="true"/>
        </w:rPr>
        <w:footnoteReference w:id="156"/>
      </w:r>
      <w:r>
        <w:rPr>
          <w:rFonts w:ascii="IRNazanin" w:hAnsi="IRNazanin" w:eastAsia="IRNazanin"/>
          <w:color w:val="111111"/>
          <w:sz w:val="28"/>
          <w:sz w:val="28"/>
          <w:szCs w:val="28"/>
          <w:rtl w:val="true"/>
          <w:lang w:bidi="fa-IR"/>
        </w:rPr>
        <w:t>لا یمتنع</w:t>
      </w:r>
      <w:r>
        <w:rPr>
          <w:rStyle w:val="FootnoteAnchor"/>
          <w:rtl w:val="true"/>
        </w:rPr>
        <w:footnoteReference w:id="157"/>
      </w:r>
      <w:r>
        <w:rPr>
          <w:rFonts w:ascii="IRNazanin" w:hAnsi="IRNazanin" w:eastAsia="IRNazanin"/>
          <w:color w:val="111111"/>
          <w:sz w:val="28"/>
          <w:sz w:val="28"/>
          <w:szCs w:val="28"/>
          <w:rtl w:val="true"/>
          <w:lang w:bidi="fa-IR"/>
        </w:rPr>
        <w:t xml:space="preserve">أن یکون من دونهم بمنزلتهم، سیما و خبر موسی علیه السلام عن ربه کان یغنی عن خبرهم، فإذا جاز أن یختاروا مع أن خبره یغنی عن خبرهم، فیجب أن یکون اختیار السبعین و إن وقع العلم بمن دونهم أو لم یقع العلم بخبرهم أصلا کذلک، فمن أین أن سبب اختیارهم کان ما ادعاه السائل‌؟ فأما من اعتبر الثلاثمائة </w:t>
      </w:r>
      <w:r>
        <w:rPr>
          <w:rStyle w:val="FootnoteAnchor"/>
          <w:rtl w:val="true"/>
        </w:rPr>
        <w:footnoteReference w:id="1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ثلاثة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لأنهم العدد الذین جاهد بهم النبی صلی اللّه علیه و آله و سلم فی غزاة بدر، فلیس له تعلق بوقوع العلم بخبرهم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الکلام علیه یقارب الکلام علی الوجهین الأولین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الشرط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أنه یجب أن یکونوا عالمین بما أخبروا به ضرورة، فإنما اعتبرناه لأن جماعة المسلمین یخبرون الملحدة بأن اللّه تعالی أحد، و یخبرون الیهود و النصاری بنبوة النبی</w:t>
      </w:r>
      <w:r>
        <w:rPr>
          <w:rStyle w:val="FootnoteAnchor"/>
          <w:rtl w:val="true"/>
        </w:rPr>
        <w:footnoteReference w:id="159"/>
      </w:r>
      <w:r>
        <w:rPr>
          <w:rFonts w:ascii="IRNazanin" w:hAnsi="IRNazanin" w:eastAsia="IRNazanin"/>
          <w:color w:val="111111"/>
          <w:sz w:val="28"/>
          <w:sz w:val="28"/>
          <w:szCs w:val="28"/>
          <w:rtl w:val="true"/>
          <w:lang w:bidi="fa-IR"/>
        </w:rPr>
        <w:t>صلی اللّه علیه و آله و سلم فلا یحصل لهم العلم بصحة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یخبر بعضهم عن البلدان و ما أشبهها فیحصل العلم بخبرهم</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العلة فی ذلک علی التقریب أن العلم الضروری لو وقع بذلک لأدی إلی أن یکون حال المخبر أقوی من حال المخبر، و هذا لا یجوز، و إذا لم یقع العلم بخبر من یعلم ما أخبر عنه باکتساب فبأن لا یقع بخبر من لا یعلم المخبر عنه أصلا من المقلدین </w:t>
      </w:r>
    </w:p>
    <w:p>
      <w:pPr>
        <w:pStyle w:val="BookText"/>
        <w:rPr/>
      </w:pPr>
      <w:r>
        <w:rPr>
          <w:rFonts w:ascii="IRNazanin" w:hAnsi="IRNazanin" w:eastAsia="IRNazanin"/>
          <w:color w:val="111111"/>
          <w:sz w:val="28"/>
          <w:sz w:val="28"/>
          <w:szCs w:val="28"/>
          <w:rtl w:val="true"/>
          <w:lang w:bidi="fa-IR"/>
        </w:rPr>
        <w:t>و المبختین</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البخت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بالفتح الحظ وزنا و معنی، و هو فارسی معرب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 المصباح المنیر، مجمع البحرین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أولی و أحری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الشرط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أن کل عدد وقع العلم عند خبرهم فیجب أن تطرد العادة فیه، فیقع العلم عند کل عدد مثله إذا ساووهم فی الإخبار بما علموه ضرورة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قلنا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لأنا لو جوزنا خلاف ذلک، لم نأمن أن یکون فی الناس من تخبره الجماعة الکثیرة و لا یعلم بخبرها، و هذا یوجب أن یصدق من أخبر عن نفسه مع مخالطته الناس أنه لا یعلم أن فی الدنیا مکة، بل یجب أن یصدق المقیم فی الجانب الشرقی أن لا یعلم الجانب الغربی إذا لم یعبر إلیه، و ذلک سفسطة لا یصیر إلیه عاقل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الشرط الّذی نختص بمراعاته فإنما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لا یمتنع </w:t>
      </w:r>
      <w:r>
        <w:rPr>
          <w:rStyle w:val="FootnoteAnchor"/>
          <w:rtl w:val="true"/>
        </w:rPr>
        <w:footnoteReference w:id="1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لأنه إذا کان هذا العلم مستندا إلی العادة و لیس بموجب عن سبب، جاز وقوعه علی شروط زائدة و ناقصة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بحسب ما یعلمه اللّه تعالی من المصلحة و أجری به العادة</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إنما احتجنا إلی زیادة هذا الشرط لئلا یقال أی فرق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خبر البلدان، و الأخبار الواردة بمعجزات النبی صلی اللّه علیه و آله و سلم سوی القرآن، کحنین الجذع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انشقاق القمر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تسبیح الحصی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غیر ذلک‌؟ و أی فرق أیضا بین أخبار البلدان، و بین خبر النص الجلی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یتفرد بنقله الإمامیة‌؟ و إلا أجزتم أن یکون العلم بذلک کله ضروریا، کما أجزتموه فی أخبار البلدان و ما أشبهها؟ و لیس یمتنع أن یکون السبق إلی اعتقاد مانعا من فعل العلم الضروری بالعادة، کما أن السبق إلی اعتقاد بخلاف ما یولده النّظر عند مخالفینا مانع من تولید النّظر و العلم، و إذا جاز ذلک فیما هو سبب موجب فأولی أن یجوز فیما طریقه العادة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لأحد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فیجب علی هذا أن لا یفعل العلم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الضروری</w:t>
      </w:r>
      <w:r>
        <w:rPr>
          <w:rFonts w:eastAsia="IRNazanin" w:cs="IRNazanin"/>
          <w:color w:val="111111"/>
          <w:sz w:val="28"/>
          <w:szCs w:val="28"/>
          <w:rtl w:val="true"/>
          <w:lang w:bidi="fa-IR"/>
        </w:rPr>
        <w:t>)</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زیادة من النسخة الحجریة</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لمن سبق إلی اعتقاد لنفی ذلک المعلوم، و یفعل لمن لم یسبق، و هذا یقتضی أن یفعل</w:t>
      </w:r>
    </w:p>
    <w:p>
      <w:pPr>
        <w:pStyle w:val="BookText"/>
        <w:rPr/>
      </w:pPr>
      <w:r>
        <w:rPr>
          <w:rFonts w:ascii="IRNazanin" w:hAnsi="IRNazanin" w:eastAsia="IRNazanin"/>
          <w:color w:val="111111"/>
          <w:sz w:val="28"/>
          <w:sz w:val="28"/>
          <w:szCs w:val="28"/>
          <w:rtl w:val="true"/>
          <w:lang w:bidi="fa-IR"/>
        </w:rPr>
        <w:t>العلم الضروری بالنص الجلی للشیعة، لأنهم لم یسبقوا إلی اعتقاد یخالفه، و کذلک المسلمون فی المعجزات التی ذکرناها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أنه یمکن أن 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المعلوم فی نفسه إذا کان من باب ما یمکن السبق إلی الاعتقاد لنفیه إما لشبهة، أو تقلید لم یجر اللّه تعالی العادة بفعل العلم الضروری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کان مما لا یجوز أن یدعو العقلاء داع إلی اعتقاد نفیه، و لا تعرض لشبهة فی مثله،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کالخبر عن البلدان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جاز أن یکون العمل به ضروریا عند الخبر علی ما ذکرناه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لأحد أن یقول، أجیزوا أن یکون فی العقلاء المخالطین لنا السامعین للأخبار من سبق إلی اعتقاد منع</w:t>
      </w:r>
      <w:r>
        <w:rPr>
          <w:rStyle w:val="FootnoteAnchor"/>
          <w:rtl w:val="true"/>
        </w:rPr>
        <w:footnoteReference w:id="163"/>
      </w:r>
    </w:p>
    <w:p>
      <w:pPr>
        <w:pStyle w:val="BookText"/>
        <w:rPr/>
      </w:pPr>
      <w:r>
        <w:rPr>
          <w:rFonts w:ascii="Amiri" w:hAnsi="Amiri" w:eastAsia="Amiri" w:cs="Amiri"/>
          <w:color w:val="111111"/>
          <w:sz w:val="28"/>
          <w:sz w:val="28"/>
          <w:szCs w:val="28"/>
          <w:rtl w:val="true"/>
          <w:lang w:bidi="ar-SA"/>
        </w:rPr>
        <w:t>منع بالعادة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فعل العلم الضروری له، فإذا أخبرکم بأنه لا یعرف بعض البلدان الکبار، و الحوادث العظام، مع سماعه الأخبار، و کمال عقله، کان صادقا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ذلک أنا نعلم ضرورة أنه لا داعی للعقلاء یدعوهم إلی سبق اعتقاد نفی بلد من البلدان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حادث عظیم من الحوادث، و لا شبهة تدخل فی مثل ذلک ففارق هذا الباب</w:t>
      </w:r>
      <w:r>
        <w:rPr>
          <w:rFonts w:eastAsia="IRNazanin" w:cs="IRNazanin"/>
          <w:color w:val="111111"/>
          <w:sz w:val="28"/>
          <w:szCs w:val="28"/>
          <w:rtl w:val="true"/>
          <w:lang w:bidi="fa-IR"/>
        </w:rPr>
        <w:t>)</w:t>
      </w:r>
      <w:r>
        <w:rPr>
          <w:rStyle w:val="FootnoteAnchor"/>
          <w:rtl w:val="true"/>
        </w:rPr>
        <w:footnoteReference w:id="164"/>
      </w:r>
      <w:r>
        <w:rPr>
          <w:rFonts w:ascii="IRNazanin" w:hAnsi="IRNazanin" w:eastAsia="IRNazanin"/>
          <w:color w:val="111111"/>
          <w:sz w:val="28"/>
          <w:sz w:val="28"/>
          <w:szCs w:val="28"/>
          <w:rtl w:val="true"/>
          <w:lang w:bidi="fa-IR"/>
        </w:rPr>
        <w:t>أخبار المعجزات و النص، لأن کل ذلک مما یجوز السبق فیه إلی الاعتقادات الفاسدة للدواعی المختلفة</w:t>
      </w:r>
      <w:r>
        <w:rPr>
          <w:rFonts w:eastAsia="IRNazanin" w:cs="IRNazanin"/>
          <w:color w:val="111111"/>
          <w:sz w:val="28"/>
          <w:szCs w:val="28"/>
          <w:rtl w:val="true"/>
          <w:lang w:bidi="fa-IR"/>
        </w:rPr>
        <w:t>»</w:t>
      </w:r>
      <w:r>
        <w:rPr>
          <w:rStyle w:val="FootnoteAnchor"/>
          <w:rtl w:val="true"/>
        </w:rPr>
        <w:footnoteReference w:id="165"/>
      </w:r>
      <w:r>
        <w:rPr>
          <w:rFonts w:ascii="IRNazanin" w:hAnsi="IRNazanin" w:eastAsia="IRNazanin"/>
          <w:color w:val="111111"/>
          <w:sz w:val="28"/>
          <w:sz w:val="28"/>
          <w:szCs w:val="28"/>
          <w:rtl w:val="true"/>
          <w:lang w:bidi="fa-IR"/>
        </w:rPr>
        <w:t>و لیس من شرط المخبرین أن یکونوا مؤمنین، و لا أن یکون فیهم حجة حتی یقع العلم بخبرهم، لأن الکفار قد یخبرون عن أشیاء یعلمونها ضرورة، فیحصل لنا العلم عند خبرهم، فلو</w:t>
      </w:r>
      <w:r>
        <w:rPr>
          <w:rStyle w:val="FootnoteAnchor"/>
          <w:rtl w:val="true"/>
        </w:rPr>
        <w:footnoteReference w:id="166"/>
      </w:r>
      <w:r>
        <w:rPr>
          <w:rFonts w:ascii="IRNazanin" w:hAnsi="IRNazanin" w:eastAsia="IRNazanin"/>
          <w:color w:val="111111"/>
          <w:sz w:val="28"/>
          <w:sz w:val="28"/>
          <w:szCs w:val="28"/>
          <w:rtl w:val="true"/>
          <w:lang w:bidi="fa-IR"/>
        </w:rPr>
        <w:t>کان ذلک شرطا صحیحا لاستحال ذلک</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لیس أیضا من شرط وقوع العلم تصدیق جمیع الناس لخبرهم، لأن العلم بتصدیقهم کلهم لا یقع إلا بمشاهدتهم و ذلک متعذر، أو بالخبر عن حالهم و ذلک یوجب وقوع العلم بخبر طائفة و إن لم یعلم أن غیرهم مصدقون لهم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هذه الجملة کافیة فی جواز أن یعلم مخبر الأخبار ضرورة و اکتسابا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الأخبار التی نعلم مخبرها استدلالا، فقد ذکر سیدنا المرتضی رحمه اللّه</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أدام اللّه علوه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جملة وجیزة فی هذا الباب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الذخیرة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أذکرها بألفاظه لأنها کافیة فی هذا الباب و الزیادة علیها یطول به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الخبر إذا لم یکن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باب ما یجب وقوع العلم عنده، و اشتراک العقلاء فیه، و جاز وقوع الشبهة فیه، فهو أن یرویه جماعة قد بلغت من الکثرة إلی حد لا یصح معه أن یتفق الکذب منها عن المخبر الواحد، فإن</w:t>
      </w:r>
      <w:r>
        <w:rPr>
          <w:rStyle w:val="FootnoteAnchor"/>
          <w:rtl w:val="true"/>
        </w:rPr>
        <w:footnoteReference w:id="168"/>
      </w:r>
      <w:r>
        <w:rPr>
          <w:rFonts w:ascii="IRNazanin" w:hAnsi="IRNazanin" w:eastAsia="IRNazanin"/>
          <w:color w:val="111111"/>
          <w:sz w:val="28"/>
          <w:sz w:val="28"/>
          <w:szCs w:val="28"/>
          <w:rtl w:val="true"/>
          <w:lang w:bidi="fa-IR"/>
        </w:rPr>
        <w:t xml:space="preserve">یعلم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إلی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لم یجمعها</w:t>
      </w:r>
      <w:r>
        <w:rPr>
          <w:rStyle w:val="FootnoteAnchor"/>
          <w:rtl w:val="true"/>
        </w:rPr>
        <w:footnoteReference w:id="169"/>
      </w:r>
      <w:r>
        <w:rPr>
          <w:rFonts w:ascii="IRNazanin" w:hAnsi="IRNazanin" w:eastAsia="IRNazanin"/>
          <w:color w:val="111111"/>
          <w:sz w:val="28"/>
          <w:sz w:val="28"/>
          <w:szCs w:val="28"/>
          <w:rtl w:val="true"/>
          <w:lang w:bidi="fa-IR"/>
        </w:rPr>
        <w:t>علی الکذب جامع کالتواطؤ و ما یقوم مقامه، و یعلم أیضا أن اللبس و الشبهة زائلان عما خبروا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إذا کانت الجماعة تخبر بلا واسطة عن المخبر، فإن کان بینهما واسطة وجب اعتبار هذه الشروط المذکورة فی جمیع من خبرت</w:t>
      </w:r>
      <w:r>
        <w:rPr>
          <w:rStyle w:val="FootnoteAnchor"/>
          <w:rtl w:val="true"/>
        </w:rPr>
        <w:footnoteReference w:id="170"/>
      </w:r>
      <w:r>
        <w:rPr>
          <w:rFonts w:ascii="IRNazanin" w:hAnsi="IRNazanin" w:eastAsia="IRNazanin"/>
          <w:color w:val="111111"/>
          <w:sz w:val="28"/>
          <w:sz w:val="28"/>
          <w:szCs w:val="28"/>
          <w:rtl w:val="true"/>
          <w:lang w:bidi="fa-IR"/>
        </w:rPr>
        <w:t>عنه من الجماعات حتی یقع الانتهاء إلی نفس المخبر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تأثیر هذه الشروط المذکورة فی العلم بصحة هذا الخبر ظاهر، لأن الجماعة إذا لم تبلغ من الکثرة إلی الحد الّذی یعلم معه أنه لا یجوز أن یتفق الکذب منها عن المخبر الواحد، لم نأمن أن تکون کذبت علی سبیل الاتفاق، کما یجوز ذلک فی الواحد و الاثنین</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إذا لم یعلم أن التواطؤ و ما یقوم مقامه مرتفع عنها، جوزنا أن یکون الکذب </w:t>
      </w:r>
    </w:p>
    <w:p>
      <w:pPr>
        <w:pStyle w:val="BookText"/>
        <w:rPr/>
      </w:pPr>
      <w:r>
        <w:rPr>
          <w:rFonts w:ascii="IRNazanin" w:hAnsi="IRNazanin" w:eastAsia="IRNazanin"/>
          <w:color w:val="111111"/>
          <w:sz w:val="28"/>
          <w:sz w:val="28"/>
          <w:szCs w:val="28"/>
          <w:rtl w:val="true"/>
          <w:lang w:bidi="fa-IR"/>
        </w:rPr>
        <w:t>وقع منها علی سبیل التواطؤ</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الشبهة أیضا تدعو إلی الکذب و تجمع علیه، کأخبار الخلق الکثیر من المبطلین، عن مذاهبهم الباطلة لأجل الشبهة الداخلة علیهم فیها، و إن لم یکن هناک تواطؤ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فصل فیما اشترطناه من ارتفاع اللبس و الشبهة بین أن یکون المخبر عنه مشاهدا أو غیر مشاهد فی أن الشبهة قد یصح اعتراضها فی الأمرین، أ لا تری أن الیهود و النصاری مع کثرتهم نقلوا صلب المسیح علیه السلام و قتله، لما التبس علیهم الأمر فیه</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فی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 ظنوا أن الشخص الّذی رأوه مصلوبا هو المسیح علیه السلام، و دخلت الشبهة علیهم، لأن المصلوب قد تتغیر حلیته، و تتبدل صورته فلا یعرفه کثیر ممن کان عارفا به، و لبعد المصلوب أیضا عن التأمل، تقوی الشبهة فی أمره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Style w:val="FootnoteAnchor"/>
          <w:rtl w:val="true"/>
        </w:rPr>
        <w:footnoteReference w:id="172"/>
      </w:r>
      <w:r>
        <w:rPr>
          <w:rFonts w:ascii="IRNazanin" w:hAnsi="IRNazanin" w:eastAsia="IRNazanin"/>
          <w:color w:val="111111"/>
          <w:sz w:val="28"/>
          <w:sz w:val="28"/>
          <w:szCs w:val="28"/>
          <w:rtl w:val="true"/>
          <w:lang w:bidi="fa-IR"/>
        </w:rPr>
        <w:t>اشتراط هذه الشروط فی کل الجماعات المتوسطة بیننا و بین المخبر، لأن ذلک لو لم یکن معلوما فی جمیعهم، جوزنا کون من ولینا من المخبرین صادقا عمن أخبر عنه من الجماعات، و إن کان الخبر فی الأصل باطلا من حیث لم تتکامل الشرائط فی الجمیع، و متی تکاملت هذه الشروط فلا بدّ من کون الخبر صدقا، لأنه لا ینفک عن کونه صدقا أو کذبا، و متی کان کذبا فلا بدّ أن یکون وقع اتفاقا، أو لتواطؤ، أو لأجل شبهة، و إذا قطعنا علی فقد ذلک کله فلا بدّ من کونه صدقا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الطریق إلی العلم بثبوت الشرائط فنحن نبینه</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اتفاق الکذب عن المخبر الواحد فلا یجوز أن یقع من الجماعات، و العلم </w:t>
      </w:r>
    </w:p>
    <w:p>
      <w:pPr>
        <w:pStyle w:val="BookText"/>
        <w:rPr/>
      </w:pPr>
      <w:r>
        <w:rPr>
          <w:rFonts w:ascii="IRNazanin" w:hAnsi="IRNazanin" w:eastAsia="IRNazanin"/>
          <w:color w:val="111111"/>
          <w:sz w:val="28"/>
          <w:sz w:val="28"/>
          <w:szCs w:val="28"/>
          <w:rtl w:val="true"/>
          <w:lang w:bidi="fa-IR"/>
        </w:rPr>
        <w:t>بحال الجماعة، و أن ذلک لا یتفق منها، و أنها مخالفة للواحد و الاثنین ضرورة</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ضروری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 لا یدخل علی عاقل فیه شبهة، و لهذا أجزنا أن یخبر واحد ممن حضر الجامع یوم الجمعة بأن الإمام تنکس علی أم رأسه من المنبر کاذبا، و لا نجوز أن یخبر عن مثل ذلک علی سبیل الکذب جمیع من حضر المسجد الجامع، أو جماعة منهم کثیرة، إلا لتواطؤ أو ما یقوم مقامه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شبه امتناع ما ذکرناه من الجماعات باستحالة اجتماع الجماعة الکثیرة علی نظم شعر علی صفة واحدة، و اجتماعهم علی تصرف مخصوص، و أکل شیء معین من غیر سبب جامع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شبه أیضا بما علمناه من استحالة أن یخبر الواحد أو الجماعة من غیر علم عن أمور کثیرة، فیقع الخبر بالاتفاق صدقا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جواز إخبار الجماعة الکثیرة</w:t>
      </w:r>
      <w:r>
        <w:rPr>
          <w:rStyle w:val="FootnoteAnchor"/>
          <w:rtl w:val="true"/>
        </w:rPr>
        <w:footnoteReference w:id="174"/>
      </w:r>
      <w:r>
        <w:rPr>
          <w:rFonts w:ascii="IRNazanin" w:hAnsi="IRNazanin" w:eastAsia="IRNazanin"/>
          <w:color w:val="111111"/>
          <w:sz w:val="28"/>
          <w:sz w:val="28"/>
          <w:szCs w:val="28"/>
          <w:rtl w:val="true"/>
          <w:lang w:bidi="fa-IR"/>
        </w:rPr>
        <w:t xml:space="preserve">بالصدق من غیر تواطؤ مفارق لإخبارها بالکذب من غیر سبب جامع، لأن الصدق یجری فی العادة مجری ما حصل فیه سبب جامع من تواطؤ، أو ما یقوم مقامه، و علم المخبر بکون الخبر صدقا داع إلیه و باعث علیه، و لیس کذلک الکذب، لأن الکذب لا بد فی اجتماع الجماعة علیه من أمر جامع لها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لم یستحل أن یخبروا بذلک و هم صادقون من غیر تواطؤ</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الطریق إلی العلم بفقد التواطؤ علی الجماعة، فربما کان کثرة الجماعات یستحیل معها التواطؤ علیها مراسلة أو مکاتبة، و علی کل وجه و سبب، لأنا نعلم </w:t>
      </w:r>
    </w:p>
    <w:p>
      <w:pPr>
        <w:pStyle w:val="BookText"/>
        <w:rPr/>
      </w:pPr>
      <w:r>
        <w:rPr>
          <w:rFonts w:ascii="IRNazanin" w:hAnsi="IRNazanin" w:eastAsia="IRNazanin"/>
          <w:color w:val="111111"/>
          <w:sz w:val="28"/>
          <w:sz w:val="28"/>
          <w:szCs w:val="28"/>
          <w:rtl w:val="true"/>
          <w:lang w:bidi="fa-IR"/>
        </w:rPr>
        <w:t>ضرورة أن جمیع أهل بغداد لا یجوز أن یواطئوا جمیع أهل الشام لا باجتماع و مشافهة، و لا بمکاتبة أو مراسلة، علی أن التواطؤ فیمن یجوز ذلک علیه من الجماعة بمشافهة أو مکاتبة أو مراسلة لا بد بمجری العادة من أن یظهر لمن خالطهم ظهورا یشترک کل من خالطهم فی علمه، و هذا حکم مستند إلی العادات لا یمکن دفعه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یقوم مقام التواطؤ من الأسباب الجامعة کتخویف السلطان و ما یجری مجراه، فلا بدّ أیضا من ظهوره و علم الناس به، لأن الجماعة لا تجتمع علی الأمر الواحد لأجل خوف السلطان إلا بعد أن یظهر لهم غایة الظهور، و ما هذه حاله لا بد من العلم به و القطع علی فقده إذا لم یعثر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به یعلم ارتفاع اللبس و الشبهة عن مخبر الخبر الّذی خبرت به الجماعة، فهو أن تخبر الجماعة عن أمر مدرک إما بمشاهدة، أو بسماع، و یعلم انتفاء أسباب اللبس و الشبهة عن ذلک المخبر، فإن أسباب التباس المدرکات معلومة محصورة یعلم انتفاؤها حیث ینتفی ضرورة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فأما</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به یعلم ثبوت الشرائط التی ذکرناها فی الطبقات التی تروی الخبر، فهو أن العادات جاریة بأن المذاهب أو الأقوال التی تقوی بعد ضعف، و تظهر بعد خفاء، و توجد بعد فقد لا بد أن یعرف ذلک من حالها، و یفرق العقلاء المخالطون لأهلها بین زمانی فقدها و وجودها، و ضعفها و قوتها، و لهذا علم الناس کلهم ابتداء حال الخوارج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ظهور مقالة الجهمیة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النجاریة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جری مجراهم، و فرق العقلاء من سامعی الأخبار بین زمان حدوث مقالاتهم و بین ما تقدمها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صحت هذه الجملة التی ذکرناها فی صفة الخبر الّذی لا بد أن یکون المخبر به صادقا من طریق الاستدلال</w:t>
      </w:r>
      <w:r>
        <w:rPr>
          <w:rFonts w:eastAsia="IRNazanin" w:cs="IRNazanin"/>
          <w:color w:val="111111"/>
          <w:sz w:val="28"/>
          <w:szCs w:val="28"/>
          <w:rtl w:val="true"/>
          <w:lang w:bidi="fa-IR"/>
        </w:rPr>
        <w:t>»</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 xml:space="preserve">نهایة الفقرة المنقولة عن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الذخیرة فی علم الکلام</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r>
        <w:rPr>
          <w:rFonts w:eastAsia="IRNazanin" w:cs="IRNazanin"/>
          <w:color w:val="111111"/>
          <w:sz w:val="28"/>
          <w:szCs w:val="28"/>
          <w:rtl w:val="true"/>
          <w:lang w:bidi="fa-IR"/>
        </w:rPr>
        <w:t>-</w:t>
      </w:r>
      <w:r>
        <w:rPr>
          <w:rFonts w:eastAsia="IRNazanin" w:cs="IRNazanin"/>
          <w:color w:val="111111"/>
          <w:sz w:val="28"/>
          <w:szCs w:val="28"/>
          <w:lang w:bidi="fa-IR"/>
        </w:rPr>
        <w:t>351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بنینا علیها صحة تلک المعجزات و النصوص علی الأئمة علیهم السلام علی ما نذهب إلیه، و غیر ذلک من أحکام الشریعة 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خبر اللّه تعالی فإنما یعلم صدقه إذا علم أولا أنه لا یلغز فی إخباره، و لا یرید بها غیر ظاهرها و لا یدل علیه، و أنه لا یجوز علیه الکذب، و لا یعلم ذلک من حاله إلا من علم أنه عالم بقبح القبیح، و غنی عن فعله، و أنه إذا کان کذلک لا یجوز أن یختار القبیح، و قد بینا جملة من القول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خبر الرسول صلی اللّه علیه و آله و سلم فإنه یعلم به</w:t>
      </w:r>
      <w:r>
        <w:rPr>
          <w:rStyle w:val="FootnoteAnchor"/>
          <w:rtl w:val="true"/>
        </w:rPr>
        <w:footnoteReference w:id="177"/>
      </w:r>
      <w:r>
        <w:rPr>
          <w:rFonts w:ascii="IRNazanin" w:hAnsi="IRNazanin" w:eastAsia="IRNazanin"/>
          <w:color w:val="111111"/>
          <w:sz w:val="28"/>
          <w:sz w:val="28"/>
          <w:szCs w:val="28"/>
          <w:rtl w:val="true"/>
          <w:lang w:bidi="fa-IR"/>
        </w:rPr>
        <w:t>صدقه، لأن العلم المعجز قد دل علی أنه رسول اللّه صلی اللّه علیه و آله و سلم و لا یجوز أن یرسل اللّه من یکذب فیما یؤدیه عنه، و قد أمرنا بتصدیقه فی کل أخباره، فیجب أن یکون صدقا، لأن تصدیق الکذاب قبیح، و اللّه یتعالی عن ذلک، فعلم عند ذلک أن أخباره علیه السلام صدق</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القول فی أخبار الإمام علیه السلام القائم مقامه کالقول فی أخباره، لأن الدلیل الدال علی وجوب عصمته أمننا من وقوع القبیح من جهته، و فی ذلک أمان من أن </w:t>
      </w:r>
    </w:p>
    <w:p>
      <w:pPr>
        <w:pStyle w:val="BookText"/>
        <w:rPr/>
      </w:pPr>
      <w:r>
        <w:rPr>
          <w:rFonts w:ascii="IRNazanin" w:hAnsi="IRNazanin" w:eastAsia="IRNazanin"/>
          <w:color w:val="111111"/>
          <w:sz w:val="28"/>
          <w:sz w:val="28"/>
          <w:szCs w:val="28"/>
          <w:rtl w:val="true"/>
          <w:lang w:bidi="fa-IR"/>
        </w:rPr>
        <w:t>یکون خبره کذبا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خبر الأمة إذا اعتبرناه، فإنما یعلم مخبره</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فی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مخبرها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تقدم لنا من العلم بکون المعصوم فیها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خبر الواحد بمحضر من الجماعة الکثیرة، و ادعاؤه علیهم المشاهدة کنحو من ینصرف من الجامع و یخبر بوقوع الإمام من المنبر، و یدعی علی جمیع المنصرفین من الجامع مشاهدة ذلک، و یعلم أنه لا صارف لهم عن تکذیبه، فمتی لم یکذبوه علمنا أنه صادق، لأنه لو لم یکن صادقا لأنکروه علی مقتضی العادة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فأما خبر المخبر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بحضرة النبی صلی اللّه علیه و آله و سلم عن الشیء إذا لم ینکر علیه، فإن کان هذا المخبر یدعی</w:t>
      </w:r>
      <w:r>
        <w:rPr>
          <w:rFonts w:eastAsia="IRNazanin" w:cs="IRNazanin"/>
          <w:color w:val="111111"/>
          <w:sz w:val="28"/>
          <w:szCs w:val="28"/>
          <w:rtl w:val="true"/>
          <w:lang w:bidi="fa-IR"/>
        </w:rPr>
        <w:t>]</w:t>
      </w:r>
      <w:r>
        <w:rPr>
          <w:rStyle w:val="FootnoteAnchor"/>
          <w:rtl w:val="true"/>
        </w:rPr>
        <w:footnoteReference w:id="179"/>
      </w:r>
      <w:r>
        <w:rPr>
          <w:rFonts w:ascii="IRNazanin" w:hAnsi="IRNazanin" w:eastAsia="IRNazanin"/>
          <w:color w:val="111111"/>
          <w:sz w:val="28"/>
          <w:sz w:val="28"/>
          <w:szCs w:val="28"/>
          <w:rtl w:val="true"/>
          <w:lang w:bidi="fa-IR"/>
        </w:rPr>
        <w:t>المشاهدة لذلک و لم ینکر علیه، فذلک دلیل علی صدقه، و إن أطلق الخبر إطلاقا فانه لا یدل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الأمة إذا تلقت الخبر بالقبول و صدقت به، فذلک دلیل علی صحته، لأنه لو لم یکن صحیحا لأدی إلی اجتماعها علی خطأ، و ذلک لا یجوز مع کون المعصوم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متی تلقت الخبر بالقبول و لم تصدق به، فذلک لا یدل علی صدقه، لأن هذا حکم أکثر أخبار الآحاد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الخبر إذا روی و عملت الأمة بأجمعها بموجبة لأجله، فعند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العمل بخبر الواحد، ینبغی أن یکون دلالة علی صحته، لأنه لو لم یکن صحیحا لأدی إلی إجماعهم علی العمل به و هو خطأ، و ذلک غیر جائز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من قال یجوز العمل بخبر الواحد</w:t>
      </w:r>
      <w:r>
        <w:rPr>
          <w:rStyle w:val="FootnoteAnchor"/>
          <w:rtl w:val="true"/>
        </w:rPr>
        <w:footnoteReference w:id="180"/>
      </w:r>
    </w:p>
    <w:p>
      <w:pPr>
        <w:pStyle w:val="BookText"/>
        <w:rPr/>
      </w:pP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المنخول</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المستصفی </w:t>
      </w:r>
      <w:r>
        <w:rPr>
          <w:rFonts w:eastAsia="IRNazanin" w:cs="IRNazanin"/>
          <w:color w:val="111111"/>
          <w:sz w:val="28"/>
          <w:szCs w:val="28"/>
          <w:lang w:bidi="fa-IR"/>
        </w:rPr>
        <w:t>146:1</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 یمکنه أن یقول أن ذلک دلالة علی</w:t>
      </w:r>
    </w:p>
    <w:p>
      <w:pPr>
        <w:pStyle w:val="BookText"/>
        <w:rPr/>
      </w:pPr>
      <w:r>
        <w:rPr>
          <w:rFonts w:ascii="IRNazanin" w:hAnsi="IRNazanin" w:eastAsia="IRNazanin"/>
          <w:color w:val="111111"/>
          <w:sz w:val="28"/>
          <w:sz w:val="28"/>
          <w:szCs w:val="28"/>
          <w:rtl w:val="true"/>
          <w:lang w:bidi="fa-IR"/>
        </w:rPr>
        <w:t>صحته، لأنهم إذا اعتقدوا جواز العمل بخبر الواحد، جاز أن یجمعوا علیه و إن لم یکن صحیحا فی الأصل، کما أنهم یجوز أن یجتمعوا</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یجمعوا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شیء من طریق الاجتهاد عندهم، و إن لم یکن طریق ذلک العلم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الخبر إذا ظهر بین الطائفة المحقة، و عمل به أکثرهم، و أنکروا علی من لم یعمل به، فإن کان الّذی لم یعمل به علم أنه إمام، أو الإمام داخل فی جملتهم، علم أن الخبر 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علم أنه لیس بإمام، و لا هو داخل معهم، علم أن الخبر صحیح، لأن الإمام داخل فی الفرقة التی عملت بالخبر</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هذه جملة کافیة فی هذا الباب</w:t>
      </w:r>
      <w:r>
        <w:rPr>
          <w:rFonts w:eastAsia="IRNazanin" w:cs="IRNazanin"/>
          <w:color w:val="111111"/>
          <w:sz w:val="28"/>
          <w:szCs w:val="28"/>
          <w:rtl w:val="true"/>
          <w:lang w:bidi="fa-IR"/>
        </w:rPr>
        <w:t xml:space="preserve">. </w:t>
      </w:r>
      <w:bookmarkStart w:id="47" w:name="pg6519_49167"/>
    </w:p>
    <w:p>
      <w:pPr>
        <w:pStyle w:val="Heading4"/>
        <w:numPr>
          <w:ilvl w:val="3"/>
          <w:numId w:val="1"/>
        </w:numPr>
        <w:rPr/>
      </w:pPr>
      <w:bookmarkStart w:id="48" w:name="__RefHeading___Toc1757185_653776707"/>
      <w:bookmarkStart w:id="49" w:name="_Toc16"/>
      <w:bookmarkEnd w:id="47"/>
      <w:bookmarkEnd w:id="48"/>
      <w:r>
        <w:rPr/>
        <w:t>3</w:t>
      </w:r>
      <w:r>
        <w:rPr>
          <w:rtl w:val="true"/>
        </w:rPr>
        <w:t xml:space="preserve">- </w:t>
      </w:r>
      <w:r>
        <w:rPr>
          <w:rtl w:val="true"/>
        </w:rPr>
        <w:t xml:space="preserve">فصل </w:t>
      </w:r>
      <w:r>
        <w:rPr>
          <w:rtl w:val="true"/>
        </w:rPr>
        <w:t>«</w:t>
      </w:r>
      <w:r>
        <w:rPr>
          <w:rtl w:val="true"/>
        </w:rPr>
        <w:t>فی أن فی الأخبار المرویة ما هو کذب ، و الطریق الّذی یعلم به ذلک من المعلوم الّذی لا یتخالج فیه شک</w:t>
      </w:r>
      <w:r>
        <w:rPr>
          <w:rtl w:val="true"/>
        </w:rPr>
        <w:t>»</w:t>
      </w:r>
      <w:bookmarkEnd w:id="49"/>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فی الأخبار المرویة عن النبی صلی اللّه علیه و آله و سلم کذبا، کما أن فیها صدقا، فمن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جمیعها صدق فقد أبعد القول فیه، و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کلها کذب </w:t>
      </w:r>
    </w:p>
    <w:p>
      <w:pPr>
        <w:pStyle w:val="BookText"/>
        <w:rPr/>
      </w:pPr>
      <w:r>
        <w:rPr>
          <w:rFonts w:ascii="IRNazanin" w:hAnsi="IRNazanin" w:eastAsia="IRNazanin"/>
          <w:color w:val="111111"/>
          <w:sz w:val="28"/>
          <w:sz w:val="28"/>
          <w:szCs w:val="28"/>
          <w:rtl w:val="true"/>
          <w:lang w:bidi="fa-IR"/>
        </w:rPr>
        <w:t>فکذلک، لفقد الدلالة علی کلا القولین، و قد توعد النبی صلی اللّه علیه و آله و سلم علی الکذب علیه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کذب علی متعمدا فلیتبوأ مقعده من النار</w:t>
      </w:r>
      <w:r>
        <w:rPr>
          <w:rFonts w:eastAsia="IRNazanin" w:cs="IRNazanin"/>
          <w:color w:val="111111"/>
          <w:sz w:val="28"/>
          <w:szCs w:val="28"/>
          <w:rtl w:val="true"/>
          <w:lang w:bidi="fa-IR"/>
        </w:rPr>
        <w:t>)</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 xml:space="preserve">أصول الکافی </w:t>
      </w:r>
      <w:r>
        <w:rPr>
          <w:rFonts w:eastAsia="IRNazanin" w:cs="IRNazanin"/>
          <w:color w:val="111111"/>
          <w:sz w:val="28"/>
          <w:szCs w:val="28"/>
          <w:lang w:bidi="fa-IR"/>
        </w:rPr>
        <w:t>62:1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اختلاف الحدیث، ح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العلم، باب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مسند أحمد بن حنبل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303</w:t>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تجنب کثیر من أصحابه الروایة نحو الزبیر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البراء بن عازب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تبینوا أنه وقع فیها الکذب، فروی عن البراء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سمعنا کما سمعوا لکنهم رووا ما لم یسمعوا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روی عن شعبة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نصف الحدیث کذب</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لأجل ما قلنا حمل أصحاب</w:t>
      </w:r>
    </w:p>
    <w:p>
      <w:pPr>
        <w:pStyle w:val="BookText"/>
        <w:rPr/>
      </w:pPr>
      <w:r>
        <w:rPr>
          <w:rFonts w:ascii="IRNazanin" w:hAnsi="IRNazanin" w:eastAsia="IRNazanin"/>
          <w:color w:val="111111"/>
          <w:sz w:val="28"/>
          <w:sz w:val="28"/>
          <w:szCs w:val="28"/>
          <w:rtl w:val="true"/>
          <w:lang w:bidi="fa-IR"/>
        </w:rPr>
        <w:t>الحدیث نفوسهم علی نقد</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فقد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الحدیث، و تمییز الصحیح منها من الفاسد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لأحد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 یتعلق بالدین إذا لم یقم به الحجة، وجب القطع علی کذبه، کما نعلم کذب المدعی للنبوة إذا لم یظهر علیه المعجز، و ذلک أنه لا یمتنع أن یتعبد بالخبر و إن لم تقم به الحجة، کما تعبد بالشهادات و إن لم تعلم صحتها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یجوز أن یتعبد بتصدیق نبی و لا علم له، أو بتصدیق کذاب، فلذلک کذبنا المدعی للنبوة إذا لم یکن له معجزة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غایة ما فی هذا ألا یجب العمل به، و لیس إذا لم یجب العمل به وجب القطع علی کذبه، بل ینبغی أن یتوقف فیه إلی أن یدل دلیل عقلی أو شرعی علی کذبه أو کذب بعضه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w:t>
      </w:r>
      <w:r>
        <w:rPr>
          <w:rStyle w:val="FootnoteAnchor"/>
          <w:rtl w:val="true"/>
        </w:rPr>
        <w:footnoteReference w:id="184"/>
      </w:r>
      <w:r>
        <w:rPr>
          <w:rFonts w:ascii="IRNazanin" w:hAnsi="IRNazanin" w:eastAsia="IRNazanin"/>
          <w:color w:val="111111"/>
          <w:sz w:val="28"/>
          <w:sz w:val="28"/>
          <w:szCs w:val="28"/>
          <w:rtl w:val="true"/>
          <w:lang w:bidi="fa-IR"/>
        </w:rPr>
        <w:t>الطریق الّذی به یعلم کذب الخبر فلا یجوز أن یکون الخبر، سواء أوجب العلم ضرورة أو اکتسابا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یفارق الکذب فی هذا الباب الصدق، لأنا بالخبر نعلم صدق الخبر و لا نعلم به کذبه، بل العلم بکذبه یحتاج إلی أمور أخر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الأخبار علی ضربین</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یعلم کونه کذبا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ضرورة، و هو أن یعلم</w:t>
      </w:r>
      <w:r>
        <w:rPr>
          <w:rFonts w:eastAsia="IRNazanin" w:cs="IRNazanin"/>
          <w:color w:val="111111"/>
          <w:sz w:val="28"/>
          <w:szCs w:val="28"/>
          <w:rtl w:val="true"/>
          <w:lang w:bidi="fa-IR"/>
        </w:rPr>
        <w:t>)</w:t>
      </w:r>
      <w:r>
        <w:rPr>
          <w:rStyle w:val="FootnoteAnchor"/>
          <w:rtl w:val="true"/>
        </w:rPr>
        <w:footnoteReference w:id="185"/>
      </w:r>
      <w:r>
        <w:rPr>
          <w:rFonts w:ascii="IRNazanin" w:hAnsi="IRNazanin" w:eastAsia="IRNazanin"/>
          <w:color w:val="111111"/>
          <w:sz w:val="28"/>
          <w:sz w:val="28"/>
          <w:szCs w:val="28"/>
          <w:rtl w:val="true"/>
          <w:lang w:bidi="fa-IR"/>
        </w:rPr>
        <w:t xml:space="preserve">، ضرورة أن مخبره علی </w:t>
      </w:r>
    </w:p>
    <w:p>
      <w:pPr>
        <w:pStyle w:val="BookText"/>
        <w:rPr/>
      </w:pPr>
      <w:r>
        <w:rPr>
          <w:rFonts w:ascii="IRNazanin" w:hAnsi="IRNazanin" w:eastAsia="IRNazanin"/>
          <w:color w:val="111111"/>
          <w:sz w:val="28"/>
          <w:sz w:val="28"/>
          <w:szCs w:val="28"/>
          <w:rtl w:val="true"/>
          <w:lang w:bidi="fa-IR"/>
        </w:rPr>
        <w:t>خلاف ما تناوله، فیعلم أنه کذب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لذلک قلنا أن المخبر عن کون فیل بحضرتنا یعلم بطلان خبره بالاضطرار</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 xml:space="preserve">فی الأصل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باضطراب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الصحیح ما أثبتناه من النسخة 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لأنه لو کان هناک فیل لرأیناه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الضرب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یعلم کونه کذبا باکتساب، و هو کل خبر نعلم أن مخبره علی خلاف ما تناوله بدلیل عقلی، أو بالکتاب و السنة، أو الإجماع، و قد یعلم ذلک بأن یکون لو کان صحیحا لوجب قیام الحجة به علی المکلفین أو بعضهم، فإذا لم تقم به الحجة علم أنه باطل، و العلة فی ذلک أن اللّه تعالی لا یجوز أن یکلف عباده فعلا و لا یزیح علتهم فی معرفته، فإذا صح ذلک و کان ذلک الفعل مما طریقه العلم لا العمل، أو مما علم بالدلیل أنه مما یجب أن یعلمه المکلف، و إن کان طریقه العمل، فیجب ورود الخبر به علی وجه یعلم مخبره إذا لم یعرف</w:t>
      </w:r>
      <w:r>
        <w:rPr>
          <w:rStyle w:val="FootnoteAnchor"/>
          <w:rtl w:val="true"/>
        </w:rPr>
        <w:footnoteReference w:id="187"/>
      </w:r>
      <w:r>
        <w:rPr>
          <w:rFonts w:ascii="IRNazanin" w:hAnsi="IRNazanin" w:eastAsia="IRNazanin"/>
          <w:color w:val="111111"/>
          <w:sz w:val="28"/>
          <w:sz w:val="28"/>
          <w:szCs w:val="28"/>
          <w:rtl w:val="true"/>
          <w:lang w:bidi="fa-IR"/>
        </w:rPr>
        <w:t>من جهة المکلفین ما یمنع من وروده، فإذا لم یکن ذلک حاله علم بطلانه، اللهم إلا أن یکون هناک طریق آخر یعلم به صحة ما تضمنه ذلک الخبر فیستغنی بذلک الطریق عن الخبر و لا یقطع علی کذبه، و لذلک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الخبر إذا صار بحیث لا تقوم به الحجة قام قول الإمام فی ذلک مقامه، إذا أوجب العلم و صارت الحجة به قوله دون الخبر، و العلة فی ذلک أن ما تضمنه الخبر إذا کان من باب الدین و مصلحة المکلف فلا بدّ من أن یکون للمکلف طریق إلی العلم به، فإن کان حاصلا من طریق النقل، و إلا فما ذکرناه من قول الإمام، لأنه إن لم یکن أحد هذین أدی إلی أن لا یکون للمکلف طریق یعلم به ما هو مصلحة له، و ذلک لا یجوز</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المخبر عنه مما لو کان علی ما تناوله الخبر لکانت الدواعی تقوی إلی نقله، و قد جرت العادة بتعذر کتمانه، فإذا لم ینقل ذلک نقل مثله علم کذبه، و هو أن یخبر المخبر بحادثة عظیمة وقعت فی الجامع، و رؤیة الهلال و السماء مصیحة، فی أنه إذا لم یظهر النقل فیه علم أنه کذب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تکون الحاجة فی باب الدین إلی نقله ماسة، فإذا لم ینقل نقل نظیره فی هذا الباب علم أنه کذب، نحو ما نقول أن العرب لو عارضت القرآن لوجب نقله کنقل نظیره، لأن الحاجة إلی نقله کالحاجة إلی نقل القرآن، و حالهما فی قرب العهد سواء، و لذلک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یجوز أن یکون للنبی صلی اللّه علیه و آله و سلم شرائع أخر لم تنقل إلینا، لأنها لو کانت لنقلت نقل نظیرها لمساواتها لها فی الحاجة إلیها و قرب العهد بها، هذا إذا فرضنا أن الموانع و الصوارف عن نقله کلها مرتفعة یحب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إذا جوزنا أن یمنع من نقل بعض الأخبار مانع من خوف و ما یجری مجراه فلم یجب القطع علی کذب ذلک الخبر، لأن هذا الّذی ذکرناه حکم أکثر الفضائل المرویة لأمیر المؤمنین علیه السلام و النص علیه، و العلة فیها ما قلناه من اعتراض موانع من خوف و تقیة 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ما یعم البلوی به، أو ما وقع فی الأصل شائعا ذائعا، فیجب</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یجب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علی وجه یوجب العلم، ما لم یعرض فیه ما یمنع من نقله، فمتی لم یعرض هناک ما یمنع من نقله و کان فی الأصل شائعا ذائعا، علم أنه 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الخبر إذا کان ظاهره یقتضی الجبر و التشبیه، أو أمرا علم بالدلیل بطلانه، و لا یمکن تأویله علی وجه یطابق الحق غیر متعسف و لا بعید من الاستعمال، وجب القطع علی کذبه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أمکن تأویله علی وجه قریب أو علی ضرب من المجاز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w:t>
      </w:r>
      <w:r>
        <w:rPr>
          <w:rFonts w:eastAsia="IRNazanin" w:cs="IRNazanin"/>
          <w:color w:val="111111"/>
          <w:sz w:val="28"/>
          <w:szCs w:val="28"/>
          <w:rtl w:val="true"/>
          <w:lang w:bidi="fa-IR"/>
        </w:rPr>
        <w:t>)</w:t>
      </w:r>
      <w:r>
        <w:rPr>
          <w:rStyle w:val="FootnoteAnchor"/>
          <w:rtl w:val="true"/>
        </w:rPr>
        <w:footnoteReference w:id="189"/>
      </w:r>
      <w:r>
        <w:rPr>
          <w:rFonts w:ascii="IRNazanin" w:hAnsi="IRNazanin" w:eastAsia="IRNazanin"/>
          <w:color w:val="111111"/>
          <w:sz w:val="28"/>
          <w:sz w:val="28"/>
          <w:szCs w:val="28"/>
          <w:rtl w:val="true"/>
          <w:lang w:bidi="fa-IR"/>
        </w:rPr>
        <w:t>جرت العادة باستعماله یقطع علی کذبه</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فأما ما تکلفه محمد بن شجاع الثلجی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تأویل الأخبار الواردة من الجبر و التشبیه من التعسف و الخروج عن حد الاستعمال فلا یحتاج إلیه، لأنه لو ساغ ذلک </w:t>
      </w:r>
    </w:p>
    <w:p>
      <w:pPr>
        <w:pStyle w:val="BookText"/>
        <w:rPr/>
      </w:pPr>
      <w:r>
        <w:rPr>
          <w:rFonts w:ascii="IRNazanin" w:hAnsi="IRNazanin" w:eastAsia="IRNazanin"/>
          <w:color w:val="111111"/>
          <w:sz w:val="28"/>
          <w:sz w:val="28"/>
          <w:szCs w:val="28"/>
          <w:rtl w:val="true"/>
          <w:lang w:bidi="fa-IR"/>
        </w:rPr>
        <w:t>لم یکن لنا طریق نقطع علی کذب أحد، و ذلک 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الفائدة فی نقل ما علم کذبه هو أن ینحصر المنقول من الأحادیث لیعلم أن ما ادخل فیه معمول، کما حصر</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خص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الخلاف فی الفقه لیعلم به الخلاف الحادث فیطرح و لا یلتفت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لأحد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فی تجویزکم</w:t>
      </w:r>
      <w:r>
        <w:rPr>
          <w:rStyle w:val="FootnoteAnchor"/>
          <w:rtl w:val="true"/>
        </w:rPr>
        <w:footnoteReference w:id="191"/>
      </w:r>
      <w:r>
        <w:rPr>
          <w:rFonts w:ascii="IRNazanin" w:hAnsi="IRNazanin" w:eastAsia="IRNazanin"/>
          <w:color w:val="111111"/>
          <w:sz w:val="28"/>
          <w:sz w:val="28"/>
          <w:szCs w:val="28"/>
          <w:rtl w:val="true"/>
          <w:lang w:bidi="fa-IR"/>
        </w:rPr>
        <w:t>الکذب علی هذه الأخبار أو فی بعضها طعنا علی الصحابة، لأن ذلک یوجب تعمدهم الکذب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یمتنع أن یکون وقع الغلط من بعض الصحابة، لأنه لیس کل واحد منهم معصوما لا یجوز علیه الغلط، و إنما یمنع من إجماعهم علی الخطأ دون أن یکون ذلک ممتنعا من آحادهم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فإنهم کانوا یسمعون الحدیث من النبی صلی اللّه علیه و آله و سلم و لا یکتبونه فیسهون</w:t>
      </w:r>
      <w:r>
        <w:rPr>
          <w:rStyle w:val="FootnoteAnchor"/>
          <w:rtl w:val="true"/>
        </w:rPr>
        <w:footnoteReference w:id="192"/>
      </w:r>
      <w:r>
        <w:rPr>
          <w:rFonts w:ascii="IRNazanin" w:hAnsi="IRNazanin" w:eastAsia="IRNazanin"/>
          <w:color w:val="111111"/>
          <w:sz w:val="28"/>
          <w:sz w:val="28"/>
          <w:szCs w:val="28"/>
          <w:rtl w:val="true"/>
          <w:lang w:bidi="fa-IR"/>
        </w:rPr>
        <w:t>عنه أو عن بعضه، فیقع الغلط فی نقله</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کانوا یحضرونه علیه السلام و قد ابتدأ الحدیث فیلحقه بعضهم فینقلونه بانفراده فیتغیر معناه لذلک، و لذلک کان علیه السلام إذا أحس برجل داخل ابتدأ الحدیث</w:t>
      </w:r>
      <w:r>
        <w:rPr>
          <w:rStyle w:val="FootnoteAnchor"/>
          <w:rtl w:val="true"/>
        </w:rPr>
        <w:footnoteReference w:id="194"/>
      </w:r>
      <w:r>
        <w:rPr>
          <w:rFonts w:ascii="IRNazanin" w:hAnsi="IRNazanin" w:eastAsia="IRNazanin"/>
          <w:color w:val="111111"/>
          <w:sz w:val="28"/>
          <w:sz w:val="28"/>
          <w:szCs w:val="28"/>
          <w:rtl w:val="true"/>
          <w:lang w:bidi="fa-IR"/>
        </w:rPr>
        <w:t xml:space="preserve">، و لهذا أنکرت عائشة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من روی عن النبی صلی اللّه علیه و آله </w:t>
      </w:r>
    </w:p>
    <w:p>
      <w:pPr>
        <w:pStyle w:val="BookText"/>
        <w:rPr/>
      </w:pPr>
      <w:r>
        <w:rPr>
          <w:rFonts w:ascii="IRNazanin" w:hAnsi="IRNazanin" w:eastAsia="IRNazanin"/>
          <w:color w:val="111111"/>
          <w:sz w:val="28"/>
          <w:sz w:val="28"/>
          <w:szCs w:val="28"/>
          <w:rtl w:val="true"/>
          <w:lang w:bidi="fa-IR"/>
        </w:rPr>
        <w:t>و سلم انه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الشؤم فی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الفرس، و المرأة، و الدار</w:t>
      </w:r>
      <w:r>
        <w:rPr>
          <w:rFonts w:eastAsia="IRNazanin" w:cs="IRNazanin"/>
          <w:color w:val="111111"/>
          <w:sz w:val="28"/>
          <w:szCs w:val="28"/>
          <w:rtl w:val="true"/>
          <w:lang w:bidi="fa-IR"/>
        </w:rPr>
        <w:t>»</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قال العجلونی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البخاری و السیوطی فی ذیل الجامع الصغیر و الترمذی و النسائی و غیرهم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کشف الخفاء و مزیل الإلباس</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 ذکرت أنه علیه السلام کان حاکیا لذلک فلم یسمع الراوی أول کلامه و کذلک خطأت من روی عنه علیه السلام أنه قال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التاجر فاجر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ولد الزنا شر الثلاثة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 ذکرت أن کلامه خرج علی تاجر قد دلس، و ولد زنا قد سب أمه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هذا الوجه أنکرت و ابن عباس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جمیعا ما رواه ابن عمر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المیت لیعذب ببکاء أهله علیه</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غیر ذلک، فقالا و هل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عمر، و إنما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المیت لیعذب و أن أهله یبکون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کان منهم من ینقل الحدیث بالمعنی دون اللفظ فیقع الغلط فیه من هذا الوجه</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هذه الوجوه التی ذکرناها أو أکثرها تنفی الطعن عن ناقل الخبر، و إن کان کذبا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فأما من تأخر عن زمان الصحابة و التابعین فلا یمنع أن یکون فیهم من یدخل فی الأحادیث الکذب عمدا و یکون غرضه الإفساد فی الدین کما روی عن عبد الکریم بن أبی العوجاء</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 xml:space="preserve">من کبار الزنادقة، اتهم بالمانویة و القدریة و اعتقاده بالتناسخ و الحلول، فقبض علیه و عذب ثم صلب سنة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أیام المهدی العباسی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لما صلب و قتل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إنکم إن قتلتمونی لقد أدخلت فی أحادیثکم أربعة آلاف حدیث مکذوبة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واحد من الزنادقة و الملحدین، فکیف الصورة فی الباقین</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فأما الأخبار التی هی من باب العمل کالأخبار الواردة فی فروع الدین فسنذکر القول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شاء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الفصل الّذی یلیه</w:t>
      </w:r>
      <w:r>
        <w:rPr>
          <w:rFonts w:eastAsia="IRNazanin" w:cs="IRNazanin"/>
          <w:color w:val="111111"/>
          <w:sz w:val="28"/>
          <w:szCs w:val="28"/>
          <w:rtl w:val="true"/>
          <w:lang w:bidi="fa-IR"/>
        </w:rPr>
        <w:t xml:space="preserve">. </w:t>
      </w:r>
      <w:bookmarkStart w:id="50" w:name="pg6519_49175"/>
    </w:p>
    <w:p>
      <w:pPr>
        <w:pStyle w:val="Heading4"/>
        <w:numPr>
          <w:ilvl w:val="3"/>
          <w:numId w:val="1"/>
        </w:numPr>
        <w:rPr/>
      </w:pPr>
      <w:bookmarkStart w:id="51" w:name="__RefHeading___Toc1757187_653776707"/>
      <w:bookmarkStart w:id="52" w:name="_Toc17"/>
      <w:bookmarkEnd w:id="50"/>
      <w:bookmarkEnd w:id="51"/>
      <w:r>
        <w:rPr/>
        <w:t>4</w:t>
      </w:r>
      <w:r>
        <w:rPr>
          <w:rtl w:val="true"/>
        </w:rPr>
        <w:t xml:space="preserve">- </w:t>
      </w:r>
      <w:r>
        <w:rPr>
          <w:rtl w:val="true"/>
        </w:rPr>
        <w:t xml:space="preserve">فصل </w:t>
      </w:r>
      <w:r>
        <w:rPr>
          <w:rtl w:val="true"/>
        </w:rPr>
        <w:t>«</w:t>
      </w:r>
      <w:r>
        <w:rPr>
          <w:rtl w:val="true"/>
        </w:rPr>
        <w:t>فی ذکر الخبر الواحد و جملة من القول فی أحکامه</w:t>
      </w:r>
      <w:r>
        <w:rPr>
          <w:rtl w:val="true"/>
        </w:rPr>
        <w:t>»</w:t>
      </w:r>
      <w:bookmarkEnd w:id="52"/>
    </w:p>
    <w:p>
      <w:pPr>
        <w:pStyle w:val="Heading5"/>
        <w:numPr>
          <w:ilvl w:val="4"/>
          <w:numId w:val="1"/>
        </w:numPr>
        <w:rPr/>
      </w:pPr>
      <w:bookmarkStart w:id="53" w:name="__RefHeading___Toc1757189_653776707"/>
      <w:bookmarkStart w:id="54" w:name="_Toc18"/>
      <w:bookmarkEnd w:id="53"/>
      <w:r>
        <w:rPr>
          <w:rtl w:val="true"/>
        </w:rPr>
        <w:t>اشارة</w:t>
      </w:r>
      <w:bookmarkEnd w:id="54"/>
    </w:p>
    <w:p>
      <w:pPr>
        <w:pStyle w:val="BookText"/>
        <w:rPr/>
      </w:pPr>
      <w:r>
        <w:rPr>
          <w:rFonts w:ascii="IRNazanin" w:hAnsi="IRNazanin" w:eastAsia="IRNazanin"/>
          <w:color w:val="111111"/>
          <w:sz w:val="28"/>
          <w:sz w:val="28"/>
          <w:szCs w:val="28"/>
          <w:rtl w:val="true"/>
          <w:lang w:bidi="fa-IR"/>
        </w:rPr>
        <w:t xml:space="preserve">اختلف الناس فی خبر الواحد، فحکی عن النظام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یوجب العلم الضروری إذا قارنه سبب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کان یجوز فی الطائفة الکثیرة ألا یحصل العلم بخبرها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حکی عن قوم من أهل الظاهر أنه یوجب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یوجب العلم مطلقا</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 ربما سموا ذلک علما</w:t>
      </w:r>
    </w:p>
    <w:p>
      <w:pPr>
        <w:pStyle w:val="BookText"/>
        <w:rPr/>
      </w:pPr>
      <w:r>
        <w:rPr>
          <w:rFonts w:ascii="IRNazanin" w:hAnsi="IRNazanin" w:eastAsia="IRNazanin"/>
          <w:color w:val="111111"/>
          <w:sz w:val="28"/>
          <w:sz w:val="28"/>
          <w:szCs w:val="28"/>
          <w:rtl w:val="true"/>
          <w:lang w:bidi="fa-IR"/>
        </w:rPr>
        <w:t>ظاهرا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ذهب الباقون من العلماء، من المتکلمین و الفقهاء إلی أنه لا یوجب العلم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اختلفوا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فمنهم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یجوز العمل به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یجب العمل به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اختلف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العمل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یجوز العمل به عقلا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آخرون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یجوز العمل به، لأن العبادة لم ترد به و إن کان جائزا فی العقل ورودها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ربما قالوا و قد ورد السمع بالمنع من العمل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اختلف من قال یجب العمل به</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فمنهم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یجب العمل به عقلا، و حکی هذا المذهب عن ابن سریج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آخرون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یجب العمل به شرعا، و العقل لا یدل علیه، و هو مذهب أکثر الفقهاء و المتکلمین ممن خالفنا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اختلفوا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فمنهم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یجب العمل به و لم یراع فی ذلک عددا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راعی فی ذلک العدد، و هو أن یکون رواته أکثر من واحد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هذا </w:t>
      </w:r>
    </w:p>
    <w:p>
      <w:pPr>
        <w:pStyle w:val="BookText"/>
        <w:rPr/>
      </w:pPr>
      <w:r>
        <w:rPr>
          <w:rFonts w:ascii="IRNazanin" w:hAnsi="IRNazanin" w:eastAsia="IRNazanin"/>
          <w:color w:val="111111"/>
          <w:sz w:val="28"/>
          <w:sz w:val="28"/>
          <w:szCs w:val="28"/>
          <w:rtl w:val="true"/>
          <w:lang w:bidi="fa-IR"/>
        </w:rPr>
        <w:t xml:space="preserve">المذهب هو المحکی عن أبی علی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الّذی أذهب إلیه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خبر الواحد لا یوجب العلم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أنه کان یجوز أن ترد العبادة بالعمل به عقلا، و قد ورد جواز العمل به فی الشرع، إلا أن ذلک موقوف علی طریق مخصوص و هو ما یرویه من کان من الطائفة المحقة، و یختص بروایته، و یکون علی صفة یجوز معها قبول خبره من العدالة 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أنا أبتدئ أولا فأدل علی فساد هذه المذاهب التی حکیتها، ثم أدل علی صحة ما ذهبت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الّذی یدل علی أن خبر الواحد لا یوجب العلم، فهو أنه لو أوجب العلم لکان یوجبه کل خبر واحد، إذا کان المخبر صادقا و إلی ما أخبر به مضطرا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کان کذلک لوجب أن یعلم صدق أحد المتلاعنین و کذب الآخر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کان یجب أن لا یصح الشک فی خبر النبی صلی اللّه علیه و آله و سلم أنه أسری به إلی السماء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علمنا خلاف ذلک، لأنا لا نعلم صدق أحد المتلاعنین، و نجوز أن تدخل الشبهة فی نبوة النبی صلی اللّه علیه و آله و سلم فلا یعتقد صحة نبوته، فیشک فی خبره عن الإسراء به، و لو کان یوجب العلم الضروری لما صح ذلک، و لکان یجب أیضا أن یحصل لنا العلم بصدق کل رسول ادعی رسالة بعضنا إلی بعض، لأن ذلک یعلم ضرورة، فکان یجب حصول العلم به، و قد علمنا خلاف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بطل جمیع ذلک علم أنه لا یوجب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ما اعتبره النظام من اقتران السبب به</w:t>
      </w:r>
      <w:r>
        <w:rPr>
          <w:rStyle w:val="FootnoteAnchor"/>
          <w:rtl w:val="true"/>
        </w:rPr>
        <w:footnoteReference w:id="198"/>
      </w:r>
    </w:p>
    <w:p>
      <w:pPr>
        <w:pStyle w:val="BookText"/>
        <w:rPr/>
      </w:pPr>
      <w:r>
        <w:rPr>
          <w:rFonts w:ascii="Amiri" w:hAnsi="Amiri" w:eastAsia="Amiri" w:cs="Amiri"/>
          <w:color w:val="111111"/>
          <w:sz w:val="28"/>
          <w:sz w:val="28"/>
          <w:szCs w:val="28"/>
          <w:rtl w:val="true"/>
          <w:lang w:bidi="ar-SA"/>
        </w:rPr>
        <w:t xml:space="preserve">راجع هامش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فلیس یخلو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یقع العلم به و بالسبب جمیعا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العلم یقع به بشرط أن یقارنه السبب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العلم یقع به إلا أن یکون</w:t>
      </w:r>
      <w:r>
        <w:rPr>
          <w:rStyle w:val="FootnoteAnchor"/>
          <w:rtl w:val="true"/>
        </w:rPr>
        <w:footnoteReference w:id="199"/>
      </w:r>
      <w:r>
        <w:rPr>
          <w:rFonts w:ascii="IRNazanin" w:hAnsi="IRNazanin" w:eastAsia="IRNazanin"/>
          <w:color w:val="111111"/>
          <w:sz w:val="28"/>
          <w:sz w:val="28"/>
          <w:szCs w:val="28"/>
          <w:rtl w:val="true"/>
          <w:lang w:bidi="fa-IR"/>
        </w:rPr>
        <w:t xml:space="preserve">السبب حاصلا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 هذه الوجوه یبطل، لأنه یوجب أن لا یمتنع أن یخبر الجماعة العظیمة عن الشیء</w:t>
      </w:r>
      <w:r>
        <w:rPr>
          <w:rStyle w:val="FootnoteAnchor"/>
          <w:rtl w:val="true"/>
        </w:rPr>
        <w:footnoteReference w:id="200"/>
      </w:r>
      <w:r>
        <w:rPr>
          <w:rFonts w:ascii="IRNazanin" w:hAnsi="IRNazanin" w:eastAsia="IRNazanin"/>
          <w:color w:val="111111"/>
          <w:sz w:val="28"/>
          <w:sz w:val="28"/>
          <w:szCs w:val="28"/>
          <w:rtl w:val="true"/>
          <w:lang w:bidi="fa-IR"/>
        </w:rPr>
        <w:t>و لا یقترن بها ذلک السبب، فلا یحصل عند خبرها العلم، و هذا یؤدی إلی تجویز أن نصدق من یخبرنا عن نفسه بأنه لا یعلم أن فی الدنیا مکة مع اختلاطه بالناس و نشوئه بینهم، و قد علمنا خلاف ذلک</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فأما ما یذکره من مشاهدة من رأی مخرق الثیاب یلطم</w:t>
      </w:r>
      <w:r>
        <w:rPr>
          <w:rStyle w:val="FootnoteAnchor"/>
          <w:rtl w:val="true"/>
        </w:rPr>
        <w:footnoteReference w:id="201"/>
      </w:r>
      <w:r>
        <w:rPr>
          <w:rFonts w:ascii="IRNazanin" w:hAnsi="IRNazanin" w:eastAsia="IRNazanin"/>
          <w:color w:val="111111"/>
          <w:sz w:val="28"/>
          <w:sz w:val="28"/>
          <w:szCs w:val="28"/>
          <w:rtl w:val="true"/>
          <w:lang w:bidi="fa-IR"/>
        </w:rPr>
        <w:t xml:space="preserve">علی وجهه، و قد کان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علم أن له علیلا و یخبر بموته، إنا نعلم عند خبره أنه میت، فدعوی</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فی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برهان علیها، لأن مثل ذلک قد یفعله العقلاء، لأغراض کثیرة، ثم ینکشف الأمر عن خلاف ذلک، فمن أین أن الّذی یعتقده عند خبره علم لا یجوز التشکک فیه‌؟ فأما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لو لم یوجب العلم لما صح أن یتعبد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لأن العبادة لا تصح إلا بما نعلمه دون ما لا نعلمه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فإنما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کان یدل لو ثبت أن فی العقل لا یجوز العبادة بما طریقه الظن، ثم یثبت أنه تعبد به، و لم یثبت لهذا القائل واحد من الأمرین، فلا یصح التعلق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فأما تعلقه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تَقُولُوا عَلَی اللّهِ ما لا تَعْلَمُونَ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فهو لا یدل علی إیجاب خبر الواحد العلم، لأن معنی الآیة النهی عن الکذب علی اللّه تعالی، و لیس من عمل بخبر الواحد یضیف إلیه أن اللّه تعالی قد قال ما تضمنه الخبر، و إنما یضیف إلیه أنه تعبده بالعمل بما تضمنه الخبر، و ذلک معلوم عنده بدلیل دل علیه، فیسقط بجمیع ذلک هذا المذهب</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کان خبر الواحد یوجب العلم، لما کان اختلاف الناس فی قبوله و شکهم فی صحته صحیحا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صح التعارض فی الأخبار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لا احتیج إلی اعتبار صفات </w:t>
      </w:r>
    </w:p>
    <w:p>
      <w:pPr>
        <w:pStyle w:val="BookText"/>
        <w:rPr/>
      </w:pPr>
      <w:r>
        <w:rPr>
          <w:rFonts w:ascii="IRNazanin" w:hAnsi="IRNazanin" w:eastAsia="IRNazanin"/>
          <w:color w:val="111111"/>
          <w:sz w:val="28"/>
          <w:sz w:val="28"/>
          <w:szCs w:val="28"/>
          <w:rtl w:val="true"/>
          <w:lang w:bidi="fa-IR"/>
        </w:rPr>
        <w:t>الراوی، و لا ترجیح بعض الأخبار علی بعض، و کل ذلک یبین فساد هذا المذهب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تسمیته من سماه علما ظاهرا</w:t>
      </w:r>
      <w:r>
        <w:rPr>
          <w:rStyle w:val="FootnoteAnchor"/>
          <w:rtl w:val="true"/>
        </w:rPr>
        <w:footnoteReference w:id="204"/>
      </w:r>
    </w:p>
    <w:p>
      <w:pPr>
        <w:pStyle w:val="BookText"/>
        <w:rPr/>
      </w:pPr>
      <w:r>
        <w:rPr>
          <w:rFonts w:ascii="Amiri" w:hAnsi="Amiri" w:eastAsia="Amiri" w:cs="Amiri"/>
          <w:color w:val="111111"/>
          <w:sz w:val="28"/>
          <w:sz w:val="28"/>
          <w:szCs w:val="28"/>
          <w:rtl w:val="true"/>
          <w:lang w:bidi="ar-SA"/>
        </w:rPr>
        <w:t xml:space="preserve">راجع هامش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فربما عبر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علم، لأن العلم لا یختلف حاله إلی أن یکون ظاهرا و باطنا، فإن أراد ذلک فهو خلاف فی العبارة لا اعتبار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من قال لا یجوز العمل به عقلا</w:t>
      </w:r>
      <w:r>
        <w:rPr>
          <w:rStyle w:val="FootnoteAnchor"/>
          <w:rtl w:val="true"/>
        </w:rPr>
        <w:footnoteReference w:id="2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فالذی یدل علی بطلان قوله أن 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تعبد اللّه تعالی بالشیء فإنما یتعبد به لأنه مصلحة لنا، و ینبغی أن یدلنا علیه و علی صفته التی إذا</w:t>
      </w:r>
      <w:r>
        <w:rPr>
          <w:rStyle w:val="FootnoteAnchor"/>
          <w:rtl w:val="true"/>
        </w:rPr>
        <w:footnoteReference w:id="206"/>
      </w:r>
      <w:r>
        <w:rPr>
          <w:rFonts w:ascii="IRNazanin" w:hAnsi="IRNazanin" w:eastAsia="IRNazanin"/>
          <w:color w:val="111111"/>
          <w:sz w:val="28"/>
          <w:sz w:val="28"/>
          <w:szCs w:val="28"/>
          <w:rtl w:val="true"/>
          <w:lang w:bidi="fa-IR"/>
        </w:rPr>
        <w:t>علمناه علیها کان مصلحة لنا، و صح منا أداؤه علی ذلک الوجه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یمتنع أن تختلف الطرق التی بها یعلم أن اللّه سبحانه تعبدنا به، کما لا یمتنع اختلاف الأدلة التی بها تعلم صحة ذلک، فإذا صحت هذه الجملة لم یمتنع أن یدلنا علی أنه قد أمرنا بأن نفعل ما ورد به خبر الواحد إذا علمناه علی صفة ظننا أنه صادق کعلمنا أنه تعبدنا بما أنزله من القرآن، و إن کان أحدهما قد علق بشرط و الآخر لم یعلق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صح هذا، و کان صورة الخبر الواحد هذه الصورة، فیجب أن لا یمتنع ورود العبادة بالعمل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 یبین ذلک أیضا ورود العبادة بالشهادات و إن لم یعلم صدقهم، و جری وجوب الحکم بقولهم فی أنه معلوم مجری الحکم بما علمناه بقول الرسول صلی اللّه علیه و آله و سلم</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لیس لأحد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یصح أن یتعبد اللّه تعالی بالقبول من النبی بلا علم معجز یظهر علیه، فبأن لا یجوز القبول من غیره 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ذلک أن فقد ظهور العلم علی الرسول صلی اللّه علیه و آله و سلم یقتضی الجهل بالمصالح التی لا تعلم إلا من جهته، و لیس فی فقد الدلالة علی صدق خبر الواحد ذلک، لأنه یصح أن یعلم بقول النبی </w:t>
      </w:r>
    </w:p>
    <w:p>
      <w:pPr>
        <w:pStyle w:val="BookText"/>
        <w:rPr/>
      </w:pPr>
      <w:r>
        <w:rPr>
          <w:rFonts w:ascii="IRNazanin" w:hAnsi="IRNazanin" w:eastAsia="IRNazanin"/>
          <w:color w:val="111111"/>
          <w:sz w:val="28"/>
          <w:sz w:val="28"/>
          <w:szCs w:val="28"/>
          <w:rtl w:val="true"/>
          <w:lang w:bidi="fa-IR"/>
        </w:rPr>
        <w:t>صلی اللّه علیه و آله و سلم وجوب ما أخبر به الواحد، فیصیر فی حکم علم قد ظهر علیه، و إن جوزنا کونه کاذبا فیه، لأنه لا یمتنع أن تکون المصلحة لنا فی العمل به و إن کان هو کاذبا، کما لا یمتنع أن یکون الواجب علینا ترک سلوک الطریق إذا خوفنا الواحد من سبع فیه أو لص، و إن کان کاذبا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هذا یوجب علیه ألا</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أن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یحکم بشهادة الشهود مع تجویز أن یکونوا کذبة، کما لا تقبل من الرسول صلی اللّه علیه و آله و سلم الشریعة إلا بعلم یدل علی نبوته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لا یجوز أن یعلم أیضا بقول نبی متقدم وجوب تصدیق نبی آخر یجیء بعده‌؟ و العمل بما معه مثل</w:t>
      </w:r>
      <w:r>
        <w:rPr>
          <w:rStyle w:val="FootnoteAnchor"/>
          <w:rtl w:val="true"/>
        </w:rPr>
        <w:footnoteReference w:id="208"/>
      </w:r>
      <w:r>
        <w:rPr>
          <w:rFonts w:ascii="IRNazanin" w:hAnsi="IRNazanin" w:eastAsia="IRNazanin"/>
          <w:color w:val="111111"/>
          <w:sz w:val="28"/>
          <w:sz w:val="28"/>
          <w:szCs w:val="28"/>
          <w:rtl w:val="true"/>
          <w:lang w:bidi="fa-IR"/>
        </w:rPr>
        <w:t>ما قلتموه فی خبر الواحد من أنه یعلم وجوب العمل به بقول الرسول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 سؤالک عن وجوب العمل بما یجیء به إنسان فی المستقبل، فهذا هو معنی قبول خبر الواحد و جواز العمل به بعینه، فذلک جائز، و إن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سؤالک</w:t>
      </w:r>
      <w:r>
        <w:rPr>
          <w:rFonts w:eastAsia="IRNazanin" w:cs="IRNazanin"/>
          <w:color w:val="111111"/>
          <w:sz w:val="28"/>
          <w:szCs w:val="28"/>
          <w:rtl w:val="true"/>
          <w:lang w:bidi="fa-IR"/>
        </w:rPr>
        <w:t>)</w:t>
      </w:r>
      <w:r>
        <w:rPr>
          <w:rStyle w:val="FootnoteAnchor"/>
          <w:rtl w:val="true"/>
        </w:rPr>
        <w:footnoteReference w:id="209"/>
      </w:r>
      <w:r>
        <w:rPr>
          <w:rFonts w:ascii="IRNazanin" w:hAnsi="IRNazanin" w:eastAsia="IRNazanin"/>
          <w:color w:val="111111"/>
          <w:sz w:val="28"/>
          <w:sz w:val="28"/>
          <w:szCs w:val="28"/>
          <w:rtl w:val="true"/>
          <w:lang w:bidi="fa-IR"/>
        </w:rPr>
        <w:t>عن تصدیق نبی یجیء، فذلک طریقه العلم لا العمل، فلا یجوز أن یعمل بقوله، لأنا بینا أن خبر الواحد لا یوجب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إلا أن یفرض المسألة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النبی المتقدم ینص لنا علی صفة من یدعی النبوة و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کان علیها و ادعی النبوة فاعلموا أنه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ذلک جائز، و یکون ذلک نصا علی نبوته، و ما دل علی صدقه دال علی تصدیق هذا و إن کان بواسطة، فبطل بهذا التجویز جمیع ما تعلق به فی هذا الباب</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قالوا</w:t>
      </w:r>
      <w:r>
        <w:rPr>
          <w:rStyle w:val="FootnoteAnchor"/>
          <w:rtl w:val="true"/>
        </w:rPr>
        <w:footnoteReference w:id="2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جاز قبول خبر الواحد فی الفروع، لجاز ذلک فی الأصول، و فی ثبوت القرآن، لأن جمیع ذلک من مصالح الدین، فإذا لم یصح ذلک فی بعضه لم یصح فی سائره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ما کان یمتنع أن یتعبد بقبول خبر الواحد فی أصول الدین، کما تعبدنا الآن بقبوله فی فروعه، و إن کان لا بد من قیام الحجة ببعض الشرائع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إثبات القرآن، فإن کان لم یرد</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ما یرد علی مثل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القرآن، و علی صفته فی الإعجاز، صح أن یتعبد به، لأن کونه علی هذه الصفة یوجب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ما یرد لا یکون بصفة القرآن فی الإعجاز فإنه لا یمتنع أیضا ورود العبادة بالعمل به من غیر قطع علی أنه قرآن، مثل ما قلناه فی خبر الواحد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ما کان یمتنع أن یتعبد بتخصیص عموم القرآن، و نسخه بخبر الواحد، و إن کان لم یقع ذلک أصلا، لأن الکلام فیما یجوز من ذلک و ما لا یجوز، فلیس لأحد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أوجبوا العمل به کما أجزتموه، لأن إیجاب العمل یحتاج إلی دلیل منفصل من دلیل الجواز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من ذهب إلی أن العبادة لم ترد به</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 أراد أنها لم ترد به بالإطلاق، فهو مذهبنا الّذی اخترناه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إن أراد أنها لم ترد علی التفصیل الّذی فصلناه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فنستدل نحن فیما بعد علی ورود العبادة به إذا انتهینا إلی الدلالة علی صحة ما اخترناه</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العبادة منعت منه</w:t>
      </w:r>
      <w:r>
        <w:rPr>
          <w:rStyle w:val="FootnoteAnchor"/>
          <w:rtl w:val="true"/>
        </w:rPr>
        <w:footnoteReference w:id="213"/>
      </w:r>
      <w:r>
        <w:rPr>
          <w:rFonts w:ascii="Amiri" w:hAnsi="Amiri" w:eastAsia="Amiri" w:cs="Amiri"/>
          <w:color w:val="111111"/>
          <w:sz w:val="28"/>
          <w:sz w:val="28"/>
          <w:szCs w:val="28"/>
          <w:rtl w:val="true"/>
          <w:lang w:bidi="ar-SA"/>
        </w:rPr>
        <w:t>و تعلقهم فی ذلک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تَقُولُوا عَلَی اللّهِ ما لا تَعْلَمُونَ  </w:t>
      </w:r>
      <w:r>
        <w:rPr>
          <w:rStyle w:val="FootnoteAnchor"/>
          <w:rtl w:val="true"/>
        </w:rPr>
        <w:footnoteReference w:id="214"/>
      </w:r>
      <w:r>
        <w:rPr>
          <w:rFonts w:ascii="Amiri" w:hAnsi="Amiri" w:eastAsia="Amiri" w:cs="Amiri"/>
          <w:color w:val="111111"/>
          <w:sz w:val="28"/>
          <w:sz w:val="28"/>
          <w:szCs w:val="28"/>
          <w:rtl w:val="true"/>
          <w:lang w:bidi="ar-SA"/>
        </w:rPr>
        <w:t>، و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تَقْفُ ما لَیْسَ لَکَ بِهِ عِلْمٌ  </w:t>
      </w:r>
      <w:r>
        <w:rPr>
          <w:rStyle w:val="FootnoteAnchor"/>
          <w:rtl w:val="true"/>
        </w:rPr>
        <w:footnoteReference w:id="215"/>
      </w:r>
      <w:r>
        <w:rPr>
          <w:rFonts w:ascii="IRNazanin" w:hAnsi="IRNazanin" w:eastAsia="IRNazanin"/>
          <w:color w:val="111111"/>
          <w:sz w:val="28"/>
          <w:sz w:val="28"/>
          <w:szCs w:val="28"/>
          <w:rtl w:val="true"/>
          <w:lang w:bidi="fa-IR"/>
        </w:rPr>
        <w:t xml:space="preserve">و ما أشبه ذلک </w:t>
      </w:r>
    </w:p>
    <w:p>
      <w:pPr>
        <w:pStyle w:val="BookText"/>
        <w:rPr/>
      </w:pPr>
      <w:r>
        <w:rPr>
          <w:rFonts w:ascii="IRNazanin" w:hAnsi="IRNazanin" w:eastAsia="IRNazanin"/>
          <w:color w:val="111111"/>
          <w:sz w:val="28"/>
          <w:sz w:val="28"/>
          <w:szCs w:val="28"/>
          <w:rtl w:val="true"/>
          <w:lang w:bidi="fa-IR"/>
        </w:rPr>
        <w:t xml:space="preserve">من الآیات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بینا تأویل الآیة الأولی</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 xml:space="preserve">انظر کلام المصنف عن تأویل الآیة صفحة </w:t>
      </w:r>
      <w:r>
        <w:rPr>
          <w:rFonts w:eastAsia="IRNazanin" w:cs="IRNazanin"/>
          <w:color w:val="111111"/>
          <w:sz w:val="28"/>
          <w:szCs w:val="28"/>
          <w:lang w:bidi="fa-IR"/>
        </w:rPr>
        <w:t>102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فأما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تَقْفُ ما لَیْسَ لَکَ بِهِ عِلْمٌ   فلا یدل علی ذلک أیضا، لأن من عمل بخبر الواحد فإنما یعمل به إذا دله دلیل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وجوب العمل به، إما من الکتاب أو السنة أو الإجماع، فلا یکون قد عمل بغیر علم، و إنما الآیة مانعة من العمل بغیر علم أصلا، و قد بینا أنا لا نقول ذلک، لأن من علم وجوب العمل بخبر الواحد فهو عالم بما یعمل به، فسقط التعلق بهذه الآیة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w:t>
      </w:r>
      <w:r>
        <w:rPr>
          <w:rStyle w:val="FootnoteAnchor"/>
          <w:rtl w:val="true"/>
        </w:rPr>
        <w:footnoteReference w:id="217"/>
      </w:r>
      <w:r>
        <w:rPr>
          <w:rFonts w:ascii="IRNazanin" w:hAnsi="IRNazanin" w:eastAsia="IRNazanin"/>
          <w:color w:val="111111"/>
          <w:sz w:val="28"/>
          <w:sz w:val="28"/>
          <w:szCs w:val="28"/>
          <w:rtl w:val="true"/>
          <w:lang w:bidi="fa-IR"/>
        </w:rPr>
        <w:t>من أوجب العمل به عقلا</w:t>
      </w:r>
      <w:r>
        <w:rPr>
          <w:rStyle w:val="FootnoteAnchor"/>
          <w:rtl w:val="true"/>
        </w:rPr>
        <w:footnoteReference w:id="2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فالذی یدل علی بطلان قوله، أنه لیس فی العقل ما یدل علی وجوب ذلک، و قد سبرنا</w:t>
      </w:r>
      <w:r>
        <w:rPr>
          <w:rStyle w:val="FootnoteAnchor"/>
          <w:rtl w:val="true"/>
        </w:rPr>
        <w:footnoteReference w:id="219"/>
      </w:r>
      <w:r>
        <w:rPr>
          <w:rFonts w:ascii="IRNazanin" w:hAnsi="IRNazanin" w:eastAsia="IRNazanin"/>
          <w:color w:val="111111"/>
          <w:sz w:val="28"/>
          <w:sz w:val="28"/>
          <w:szCs w:val="28"/>
          <w:rtl w:val="true"/>
          <w:lang w:bidi="fa-IR"/>
        </w:rPr>
        <w:t>أدلة العقل فلم نجد فیها ما یدل علی وجوبه، فینبغی أن لا یکون واجبا، و أن یکون مبقی</w:t>
      </w:r>
      <w:r>
        <w:rPr>
          <w:rStyle w:val="FootnoteAnchor"/>
          <w:rtl w:val="true"/>
        </w:rPr>
        <w:footnoteReference w:id="220"/>
      </w:r>
      <w:r>
        <w:rPr>
          <w:rFonts w:ascii="IRNazanin" w:hAnsi="IRNazanin" w:eastAsia="IRNazanin"/>
          <w:color w:val="111111"/>
          <w:sz w:val="28"/>
          <w:sz w:val="28"/>
          <w:szCs w:val="28"/>
          <w:rtl w:val="true"/>
          <w:lang w:bidi="fa-IR"/>
        </w:rPr>
        <w:t>علی ما کان علیه</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الشریعة مبنیة علی المصالح، فإذا لم نجد ما یدل علی قبول خبر الواحد فی العقل فینبغی أن یکون مبقی</w:t>
      </w:r>
      <w:r>
        <w:rPr>
          <w:rStyle w:val="FootnoteAnchor"/>
          <w:rtl w:val="true"/>
        </w:rPr>
        <w:footnoteReference w:id="221"/>
      </w:r>
      <w:r>
        <w:rPr>
          <w:rFonts w:ascii="IRNazanin" w:hAnsi="IRNazanin" w:eastAsia="IRNazanin"/>
          <w:color w:val="111111"/>
          <w:sz w:val="28"/>
          <w:sz w:val="28"/>
          <w:szCs w:val="28"/>
          <w:rtl w:val="true"/>
          <w:lang w:bidi="fa-IR"/>
        </w:rPr>
        <w:t>علی ما کان علیه فی العقل من الحظر أو الإباحة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لیس لأحد أن یقول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فی العقل وجوب التحرز من المضار، و إذا لم نأمن عند خبر الواحد أن یکون الأمر علی ما تضمنه الخبر، یجب علینا التحرز منه و العمل بموجبة، کما أنه یجب علینا إذا أردنا سلوک طریق أو تجارة و غیر ذلک فخبرنا مخبر أن فی الطریق سبعا أو لصا، أو یخبرنا بالخسران الظاهر، وجب علینا أن نتوقف علیه و نمتنع من السلوک فیه، فحکم خبر الواحد فی الشریعة هذا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أن الّذی ذکروه غیر صحیح من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الاعتبار الّذی اعتبروه یوجب علیهم قبول خبر من یدعی النبوة من غیر علم یدل علی نبوته، لأن العلة قائمة فیه و هی وجوب التحرز من المضار، فأی فرق فرقوا فی ذلک فرقنا بمثله فی خبر الواحد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الّذی ذکروه إنما یسوغ فیما طریقه المنافع و المضار الدنیویة، فأما ما یتعلق بالمصالح الدینیة، فلا یجوز أن یسلک فیها إلا طریق العلم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لهذه العلة أوجبنا بعثة الأنبیاء، و إظهار الأعلام</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أی المعجزات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أیدیهم، و لو لا ذلک لما وجب ذلک کله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خبر الواحد لا یخلو أن یکون واردا بالحظر أو الإباحة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ورد بالحظر، لا نأمن أن تکون المصلحة فی إباحته، و أن کونه محظورا یکون مفسدة لنا</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کذلک إن ورد بالحظر لا نأمن أن تکون المصلحة تقتضی حظره، و أن تکون </w:t>
      </w:r>
      <w:bookmarkStart w:id="55" w:name="pg6519_49186"/>
    </w:p>
    <w:p>
      <w:pPr>
        <w:pStyle w:val="BookText"/>
        <w:rPr/>
      </w:pPr>
      <w:bookmarkEnd w:id="55"/>
      <w:r>
        <w:rPr>
          <w:rFonts w:ascii="IRNazanin" w:hAnsi="IRNazanin" w:eastAsia="IRNazanin"/>
          <w:color w:val="111111"/>
          <w:sz w:val="28"/>
          <w:sz w:val="28"/>
          <w:szCs w:val="28"/>
          <w:rtl w:val="true"/>
          <w:lang w:bidi="fa-IR"/>
        </w:rPr>
        <w:t>إباحته مفسدة لنا، فنقدم علی ما لا نأمن أن یکون مفسدة لنا، لأن الخبر لیس بموجب للعلم، فنقطع به علی أحد الأمرین، و ذلک لا یجوز فی العقول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لیس لأحد أن یقول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یکن فی السمع دلالة علی الحادثة إلا ما تضمنه خبر الواحد، وجب العمل به بحکم العقل، لأنا متی لم نعمل به أدی إلی أن تکون الحادثة لا حکم لها، و ذلک لا یجوز لأنه إذا لم یکن فی الشرع دلیل علی حکم تلک الحادثة وجب تبقیتها علی مقتضی العقل، من الحظر، أو الإباحة، أو الوقف، و یحتاج إلی خبر الواحد، فعلم بهذه الجملة بطلان هذا المذهب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من أوجب العمل</w:t>
      </w:r>
      <w:r>
        <w:rPr>
          <w:rStyle w:val="FootnoteAnchor"/>
          <w:rtl w:val="true"/>
        </w:rPr>
        <w:footnoteReference w:id="223"/>
      </w:r>
    </w:p>
    <w:p>
      <w:pPr>
        <w:pStyle w:val="BookText"/>
        <w:rPr/>
      </w:pPr>
      <w:r>
        <w:rPr>
          <w:rFonts w:ascii="Amiri" w:hAnsi="Amiri" w:eastAsia="Amiri" w:cs="Amiri"/>
          <w:color w:val="111111"/>
          <w:sz w:val="28"/>
          <w:sz w:val="28"/>
          <w:szCs w:val="28"/>
          <w:rtl w:val="true"/>
          <w:lang w:bidi="ar-SA"/>
        </w:rPr>
        <w:t xml:space="preserve">انظر هامش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علی ما یذهب إلیه مخالفونا فی الأحکام، فالذی یبطله أن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لم یکن فی العقل ما یدل علی ذلک فالطریق إلی إیجابه السمع، و لیس فی السمع دلیل علی وجوب العمل بخبر الواحد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یذهبون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جمیع ما یدعونه دلیلا لیس فی شیء منه دلیل علی وجه، و نحن نذکر شبههم فی ذلک و نتکلم علیها بموجز من القول</w:t>
      </w:r>
      <w:r>
        <w:rPr>
          <w:rFonts w:eastAsia="IRNazanin" w:cs="IRNazanin"/>
          <w:color w:val="111111"/>
          <w:sz w:val="28"/>
          <w:szCs w:val="28"/>
          <w:rtl w:val="true"/>
          <w:lang w:bidi="fa-IR"/>
        </w:rPr>
        <w:t>:</w:t>
      </w:r>
    </w:p>
    <w:p>
      <w:pPr>
        <w:pStyle w:val="Heading5"/>
        <w:numPr>
          <w:ilvl w:val="4"/>
          <w:numId w:val="1"/>
        </w:numPr>
        <w:rPr/>
      </w:pPr>
      <w:bookmarkStart w:id="56" w:name="__RefHeading___Toc1757191_653776707"/>
      <w:bookmarkStart w:id="57" w:name="_Toc19"/>
      <w:bookmarkEnd w:id="56"/>
      <w:r>
        <w:rPr>
          <w:rtl w:val="true"/>
        </w:rPr>
        <w:t>ما استدلوا به علی وجوب العمل بخبر الواحد</w:t>
      </w:r>
      <w:bookmarkEnd w:id="57"/>
    </w:p>
    <w:p>
      <w:pPr>
        <w:pStyle w:val="Heading6"/>
        <w:numPr>
          <w:ilvl w:val="5"/>
          <w:numId w:val="1"/>
        </w:numPr>
        <w:rPr/>
      </w:pPr>
      <w:bookmarkStart w:id="58" w:name="__RefHeading___Toc1757193_653776707"/>
      <w:bookmarkStart w:id="59" w:name="_Toc20"/>
      <w:bookmarkEnd w:id="58"/>
      <w:r>
        <w:rPr>
          <w:rtl w:val="true"/>
        </w:rPr>
        <w:t>الاستدلال بآیة النفر</w:t>
      </w:r>
      <w:bookmarkEnd w:id="59"/>
    </w:p>
    <w:p>
      <w:pPr>
        <w:pStyle w:val="BookText"/>
        <w:rPr/>
      </w:pPr>
      <w:r>
        <w:rPr>
          <w:rFonts w:ascii="Amiri" w:hAnsi="Amiri" w:eastAsia="Amiri" w:cs="Amiri"/>
          <w:color w:val="111111"/>
          <w:sz w:val="28"/>
          <w:sz w:val="28"/>
          <w:szCs w:val="28"/>
          <w:rtl w:val="true"/>
          <w:lang w:bidi="ar-SA"/>
        </w:rPr>
        <w:t>أحد ما استدلوا به علی وجوب العمل بخبر الواحد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لا نَفَرَ مِنْ کُلِّ فِرْقَةٍ مِنْهُمْ طائِفَةٌ لِیَتَفَقَّهُوا فِی الدِّینِ وَ لِیُنْذِرُوا قَوْمَهُمْ إِذا رَجَعُوا إِلَیْهِمْ لَعَلَّهُمْ یَحْذَرُونَ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فحث اللّه تعالی کل طائفة علی التفقه، و أوجب علیهم الإنذار، و الطائفة </w:t>
      </w:r>
    </w:p>
    <w:p>
      <w:pPr>
        <w:pStyle w:val="BookText"/>
        <w:rPr/>
      </w:pPr>
      <w:r>
        <w:rPr>
          <w:rFonts w:ascii="IRNazanin" w:hAnsi="IRNazanin" w:eastAsia="IRNazanin"/>
          <w:color w:val="111111"/>
          <w:sz w:val="28"/>
          <w:sz w:val="28"/>
          <w:szCs w:val="28"/>
          <w:rtl w:val="true"/>
          <w:lang w:bidi="fa-IR"/>
        </w:rPr>
        <w:t xml:space="preserve">یعبر بها عن عدد قلیل لا یوجب خبرهم العلم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فلو لا أنه یجب العمل بخبرهم لما أوجب علیهم الإنذار، لأنه لا فائدة فیه</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التبصرة</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xml:space="preserve">، الأحکام </w:t>
      </w:r>
      <w:r>
        <w:rPr>
          <w:rFonts w:eastAsia="IRNazanin" w:cs="IRNazanin"/>
          <w:color w:val="111111"/>
          <w:sz w:val="28"/>
          <w:szCs w:val="28"/>
          <w:lang w:bidi="fa-IR"/>
        </w:rPr>
        <w:t>103:1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المعتمد </w:t>
      </w:r>
      <w:r>
        <w:rPr>
          <w:rFonts w:eastAsia="IRNazanin" w:cs="IRNazanin"/>
          <w:color w:val="111111"/>
          <w:sz w:val="28"/>
          <w:szCs w:val="28"/>
          <w:lang w:bidi="fa-IR"/>
        </w:rPr>
        <w:t>110:2</w:t>
      </w:r>
      <w:r>
        <w:rPr>
          <w:rFonts w:ascii="IRNazanin" w:hAnsi="IRNazanin" w:eastAsia="IRNazanin"/>
          <w:color w:val="111111"/>
          <w:sz w:val="28"/>
          <w:sz w:val="28"/>
          <w:szCs w:val="28"/>
          <w:rtl w:val="true"/>
          <w:lang w:bidi="fa-IR"/>
        </w:rPr>
        <w:t xml:space="preserve">، شرح اللمع </w:t>
      </w:r>
      <w:r>
        <w:rPr>
          <w:rFonts w:eastAsia="IRNazanin" w:cs="IRNazanin"/>
          <w:color w:val="111111"/>
          <w:sz w:val="28"/>
          <w:szCs w:val="28"/>
          <w:lang w:bidi="fa-IR"/>
        </w:rPr>
        <w:t>588:2</w:t>
      </w:r>
      <w:r>
        <w:rPr>
          <w:rFonts w:ascii="IRNazanin" w:hAnsi="IRNazanin" w:eastAsia="IRNazanin"/>
          <w:color w:val="111111"/>
          <w:sz w:val="28"/>
          <w:sz w:val="28"/>
          <w:szCs w:val="28"/>
          <w:rtl w:val="true"/>
          <w:lang w:bidi="fa-IR"/>
        </w:rPr>
        <w:t xml:space="preserve">، الذریعة </w:t>
      </w:r>
      <w:r>
        <w:rPr>
          <w:rFonts w:eastAsia="IRNazanin" w:cs="IRNazanin"/>
          <w:color w:val="111111"/>
          <w:sz w:val="28"/>
          <w:szCs w:val="28"/>
          <w:lang w:bidi="fa-IR"/>
        </w:rPr>
        <w:t>55:2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ربما قووا ذلک بأن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أوجب اللّه تعالی علی النبی صلی اللّه علیه و آله و سلم الإنذار وجب علینا القبول، و لو لم یجب علینا القبول لما وجب علیه الإنذار</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هذه الآیة لا دلالة فیها، لأن الّذی یقتضیه ظاهر الآیة وجوب الإنذار علی الطائفة، و لیس فی وجوب الإنذار علیهم وجوب القبول منهم، لأنه غیر ممتنع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تتعلق المصلحة بوجوب الإنذار علیهم و لا تتعلق بوجوب القبول منهم، إلا إذا انضاف إلیه شیء آخر، أ لا تری أنه قد یجب التحذیر و الإنذار من ترک معرفة اللّه و معرفة صفاته، و إن لم یجب القبول من المخبر فی ذلک، بل یجب الرجوع إلی أدلة العقل و ما یقتضیه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یجب علی النبی صلی اللّه علیه و آله و سلم الإنذار و إن لم یجب القبول منه إلا إذا دل العلم المعجز علی صدقه، فیجب حینئذ القبول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فکذلک القول فی تحذیر الطائفة أنه یجب علیهم التحذیر، و یجب علی المنذر الرجوع إلی طرق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علی أحد الشاهدین إقامة الشهادة، و لا یجب علی الحاکم تنفیذ الحکم بشهادته، إلا إذا انضاف إلیه من تتکامل الشهادة به، ثم یعتبر أیضا بعد تکاملهم صفاتهم، و هل هم عدول أو لا؟ حتی یجب علیه الحکم بشهادتهم</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کذلک یجب علی آحاد المتواترین النقل فیما طریقه العمل، و إن کان لا </w:t>
      </w:r>
      <w:bookmarkStart w:id="60" w:name="pg6519_49188"/>
    </w:p>
    <w:p>
      <w:pPr>
        <w:pStyle w:val="BookText"/>
        <w:rPr/>
      </w:pPr>
      <w:bookmarkEnd w:id="60"/>
      <w:r>
        <w:rPr>
          <w:rFonts w:ascii="IRNazanin" w:hAnsi="IRNazanin" w:eastAsia="IRNazanin"/>
          <w:color w:val="111111"/>
          <w:sz w:val="28"/>
          <w:sz w:val="28"/>
          <w:szCs w:val="28"/>
          <w:rtl w:val="true"/>
          <w:lang w:bidi="fa-IR"/>
        </w:rPr>
        <w:t xml:space="preserve">یحصل العلم بخبره، و لا یجب علینا أن نعتقد صحة ما أخبر به إلا بعد أن ینضاف من یتکامل به التواتر إلیهم، فحینئذ یوجب العلم، و لذلک نظائر کثیرة فی العقلیات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 لا تری أنه قد یجب علی الواحد منا العطیة إلی غیره، و إن کان ذلک الغیر لا یجوز له أخذها، أ لا تری أن من ألجأ غیره ظلما بتخویف القتل إلی إعطائه المال أو الثیاب یجب علیه إعطاؤه بحکم العقل خوفا من القتل، و لا یجوز للظالم الملجئ أخذ ذلک علی وجه من الوجوه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لأحد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یبطل فائدة الإنذار، لأنه متی لم یجب القبول فلا وجه لوجوب الإنذار علیهم، و ذلک إنا قد بینا أنه قد یجب الإنذار فی مواضع ذکرناها، و إن لم یجب القبول من المنذر لما بیناه، فکذلک القول فیما قالوه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حملهم</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أی قیاسهم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ذلک علی النبی صلی اللّه علیه و آله و سلم فذلک دلیلنا، لأنا قد بینا أنه لا یجب القبول منه إلا بعد أن یدل العلم المعجز علی صدقه فحینئذ یجب القبول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فنظیر هذا أن یدل دلیل علی وجوب العمل بما أنذروا به حتی یجب علینا العمل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هذا القدر کفایة فی إبطال التعلق بهذه الآیة</w:t>
      </w:r>
      <w:r>
        <w:rPr>
          <w:rFonts w:eastAsia="IRNazanin" w:cs="IRNazanin"/>
          <w:color w:val="111111"/>
          <w:sz w:val="28"/>
          <w:szCs w:val="28"/>
          <w:rtl w:val="true"/>
          <w:lang w:bidi="fa-IR"/>
        </w:rPr>
        <w:t>.</w:t>
      </w:r>
    </w:p>
    <w:p>
      <w:pPr>
        <w:pStyle w:val="Heading6"/>
        <w:numPr>
          <w:ilvl w:val="5"/>
          <w:numId w:val="1"/>
        </w:numPr>
        <w:rPr/>
      </w:pPr>
      <w:bookmarkStart w:id="61" w:name="__RefHeading___Toc1757195_653776707"/>
      <w:bookmarkStart w:id="62" w:name="_Toc21"/>
      <w:bookmarkEnd w:id="61"/>
      <w:r>
        <w:rPr>
          <w:rtl w:val="true"/>
        </w:rPr>
        <w:t>الاستدلال بآیة النبأ</w:t>
      </w:r>
      <w:bookmarkEnd w:id="62"/>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استدلوا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إِنْ جاءَکُمْ فاسِقٌ بِنَبَإٍ </w:t>
      </w:r>
    </w:p>
    <w:p>
      <w:pPr>
        <w:pStyle w:val="BookText"/>
        <w:rPr/>
      </w:pPr>
      <w:r>
        <w:rPr>
          <w:rFonts w:ascii="Amiri" w:hAnsi="Amiri" w:eastAsia="Amiri" w:cs="Amiri"/>
          <w:color w:val="111111"/>
          <w:sz w:val="28"/>
          <w:sz w:val="28"/>
          <w:szCs w:val="28"/>
          <w:rtl w:val="true"/>
          <w:lang w:bidi="ar-SA"/>
        </w:rPr>
        <w:t xml:space="preserve">فَتَبَیَّنُوا أَنْ تُصِیبُوا قَوْماً بِجَهالَةٍ فَتُصْبِحُوا عَلی ما فَعَلْتُمْ نادِمِینَ   </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الحجرات</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أوجب علینا التوقف عند خبر الفاسق، فینبغی أن یکون خبر العدل بخلافه و أن یجب العمل به، و ترک التوقف فیه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هذا أیضا لا دلالة فیه، لأن هذا أولا استدلال بدلیل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الخطاب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من أصحابنا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دلیل الخطاب لیس بدلیل، فعلی هذا المذهب لا یمکن </w:t>
      </w:r>
    </w:p>
    <w:p>
      <w:pPr>
        <w:pStyle w:val="BookText"/>
        <w:rPr/>
      </w:pPr>
      <w:r>
        <w:rPr>
          <w:rFonts w:ascii="IRNazanin" w:hAnsi="IRNazanin" w:eastAsia="IRNazanin"/>
          <w:color w:val="111111"/>
          <w:sz w:val="28"/>
          <w:sz w:val="28"/>
          <w:szCs w:val="28"/>
          <w:rtl w:val="true"/>
          <w:lang w:bidi="fa-IR"/>
        </w:rPr>
        <w:t>الاستدلال بالآیة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من قال بدلیل الخطاب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فإنه یقول لا یصح أیضا الاستدلال بها من وجوه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هذه الآیة نزلت فی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فاسق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 بردة قوم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ذلک لا خلاف </w:t>
      </w:r>
      <w:bookmarkStart w:id="63" w:name="pg6519_49191"/>
    </w:p>
    <w:p>
      <w:pPr>
        <w:pStyle w:val="BookText"/>
        <w:rPr/>
      </w:pPr>
      <w:bookmarkEnd w:id="63"/>
      <w:r>
        <w:rPr>
          <w:rFonts w:ascii="IRNazanin" w:hAnsi="IRNazanin" w:eastAsia="IRNazanin"/>
          <w:color w:val="111111"/>
          <w:sz w:val="28"/>
          <w:sz w:val="28"/>
          <w:szCs w:val="28"/>
          <w:rtl w:val="true"/>
          <w:lang w:bidi="fa-IR"/>
        </w:rPr>
        <w:t>أنه لا یقبل فیه أیضا خبر العدل، لأنه لا یجوز أن یحکم بارتداد أقوام بخبر الواحد العدل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تعلیل الآیة یمنع من الاستدلال بها، لأن اللّه تعالی علل خبر الفاسق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تُصِیبُوا قَوْماً بِجَهالَةٍ   و ذلک قائم فی خبر العدل، لأن خبره إذا کان لا یوجب العلم فالتجویز فی خبره حاصل مثل التجویز فی خبر الفاسق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لأحد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أمنع من تجویز ذلک فی العدل، لأنه لو کان ذلک جائزا لما علق تجویز الجهالة بالفاسق‌؟ لأن ذلک لا یصح من 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یقتضی أن یقطع علی أنه یعلم بخبر العدل، لأن الجهل لا یرتفع إلا و یحصل العلم، و ذلک لا یقوله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لیس من یمنع من تجویز الجهالة فی خبر العدل من حیث علق الحکم بخبر الفاسق، بأولی ممن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أمنع بحکم التعلیل من دلیل الخطاب فی تعلیق الحکم بخبر الفاسق، لأنه لا یمتنع ترک دلیل الخطاب لدلیل، و التعلیل دلیل، فیسقط علی کل حال التعلق بالآیة</w:t>
      </w:r>
      <w:r>
        <w:rPr>
          <w:rFonts w:eastAsia="IRNazanin" w:cs="IRNazanin"/>
          <w:color w:val="111111"/>
          <w:sz w:val="28"/>
          <w:szCs w:val="28"/>
          <w:rtl w:val="true"/>
          <w:lang w:bidi="fa-IR"/>
        </w:rPr>
        <w:t>.</w:t>
      </w:r>
    </w:p>
    <w:p>
      <w:pPr>
        <w:pStyle w:val="Heading6"/>
        <w:numPr>
          <w:ilvl w:val="5"/>
          <w:numId w:val="1"/>
        </w:numPr>
        <w:rPr/>
      </w:pPr>
      <w:bookmarkStart w:id="64" w:name="__RefHeading___Toc1757197_653776707"/>
      <w:bookmarkStart w:id="65" w:name="_Toc22"/>
      <w:bookmarkEnd w:id="64"/>
      <w:r>
        <w:rPr>
          <w:rtl w:val="true"/>
        </w:rPr>
        <w:t>الاستدلال بآیة إِنَّ الَّذِینَ یَکْتُمُونَ ما أَنْزَلْنا مِنَ الْبَیِّناتِ</w:t>
      </w:r>
      <w:bookmarkEnd w:id="65"/>
    </w:p>
    <w:p>
      <w:pPr>
        <w:pStyle w:val="BookText"/>
        <w:rPr/>
      </w:pPr>
      <w:r>
        <w:rPr>
          <w:rFonts w:ascii="Amiri" w:hAnsi="Amiri" w:eastAsia="Amiri" w:cs="Amiri"/>
          <w:color w:val="111111"/>
          <w:sz w:val="28"/>
          <w:sz w:val="28"/>
          <w:szCs w:val="28"/>
          <w:rtl w:val="true"/>
          <w:lang w:bidi="ar-SA"/>
        </w:rPr>
        <w:t>و استدل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یَکْتُمُونَ ما أَنْزَلْنا مِنَ الْبَیِّناتِ وَ الْهُدی مِنْ بَعْدِ ما بَیَّنّاهُ  </w:t>
      </w:r>
      <w:r>
        <w:rPr>
          <w:rStyle w:val="FootnoteAnchor"/>
          <w:rtl w:val="true"/>
        </w:rPr>
        <w:footnoteReference w:id="229"/>
      </w:r>
    </w:p>
    <w:p>
      <w:pPr>
        <w:pStyle w:val="BookText"/>
        <w:rPr/>
      </w:pP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حظر الکتمان یقتضی وجوب الإظهار، و وجوب ذلک یقتضی وجوب القبول، و إلا فلا فائدة فی الآیة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bookmarkStart w:id="66" w:name="pg6519_49192"/>
    </w:p>
    <w:p>
      <w:pPr>
        <w:pStyle w:val="BookText"/>
        <w:rPr/>
      </w:pPr>
      <w:bookmarkEnd w:id="66"/>
      <w:r>
        <w:rPr>
          <w:rFonts w:ascii="IRNazanin" w:hAnsi="IRNazanin" w:eastAsia="IRNazanin"/>
          <w:color w:val="111111"/>
          <w:sz w:val="28"/>
          <w:sz w:val="28"/>
          <w:szCs w:val="28"/>
          <w:rtl w:val="true"/>
          <w:lang w:bidi="fa-IR"/>
        </w:rPr>
        <w:t xml:space="preserve">و هذه الآیة أیضا لا دلالة فیها من وجوه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قدمناه فی الآیة الأولی من أن هاهنا مواضع کثیرة یجب الإنذار فیها و التخویف، و إن لم یجب القبول علی المنذر، إلا أن ینضاف إلیه أمر آخر، فکذلک القول فی الإظهار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لیس فی الآیة إلا تحریم کتمان ما أنزله اللّه تعالی فی الکتاب، و ظاهر ذلک یقتضی أن المراد به القرآن و ذلک یوجب العلم، دون خبر الواحد الّذی لا یوجبه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لأحد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قال بعد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الْهُدی   فیدخل فیه سائر الأدلة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 ذلک لا یصح من وجهین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بعد ذلک مِنْ بَعْدِ ما بَیَّنّاهُ لِلنّاسِ فِی الْکِتابِ   فقد عاد الأمر إلی أنه أراد به الکتاب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یقتضی وجوب إظهار ما هو دلیل، و یحتاج أن یثبت أولا أن خبر الواحد دلیل بغیر الآیة حتی یتناوله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الْهُدی  ، فإذا لم یثبت دلیل لا یمکن حمل الآیة علیه، و إذا ثبت استغنی عن الاستدلال بالآیة</w:t>
      </w:r>
      <w:r>
        <w:rPr>
          <w:rFonts w:eastAsia="IRNazanin" w:cs="IRNazanin"/>
          <w:color w:val="111111"/>
          <w:sz w:val="28"/>
          <w:szCs w:val="28"/>
          <w:rtl w:val="true"/>
          <w:lang w:bidi="fa-IR"/>
        </w:rPr>
        <w:t>.</w:t>
      </w:r>
    </w:p>
    <w:p>
      <w:pPr>
        <w:pStyle w:val="Heading5"/>
        <w:numPr>
          <w:ilvl w:val="4"/>
          <w:numId w:val="1"/>
        </w:numPr>
        <w:rPr/>
      </w:pPr>
      <w:bookmarkStart w:id="67" w:name="__RefHeading___Toc1757199_653776707"/>
      <w:bookmarkStart w:id="68" w:name="_Toc23"/>
      <w:bookmarkEnd w:id="67"/>
      <w:r>
        <w:rPr>
          <w:rtl w:val="true"/>
        </w:rPr>
        <w:t xml:space="preserve">و قد استدل الخلق منهم من الفقهاء، و المتکلمین </w:t>
      </w:r>
      <w:r>
        <w:rPr/>
        <w:t>2</w:t>
      </w:r>
      <w:r>
        <w:rPr>
          <w:rtl w:val="true"/>
        </w:rPr>
        <w:t xml:space="preserve"> </w:t>
      </w:r>
      <w:r>
        <w:rPr>
          <w:rtl w:val="true"/>
        </w:rPr>
        <w:t>بإجماع الصحابة</w:t>
      </w:r>
      <w:bookmarkEnd w:id="68"/>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بأن قالوا</w:t>
      </w:r>
      <w:r>
        <w:rPr>
          <w:rFonts w:eastAsia="IRNazanin" w:cs="IRNazanin"/>
          <w:color w:val="111111"/>
          <w:sz w:val="28"/>
          <w:szCs w:val="28"/>
          <w:rtl w:val="true"/>
          <w:lang w:bidi="fa-IR"/>
        </w:rPr>
        <w:t xml:space="preserve">: </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وجدنا الصحابة قد عملت بأخبار الآحاد و شاع ذلک فیما بینهم، نحو ما روی عن عمر أنه قبل خبر حمل بن مالک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الجنین،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کدنا أن نقضی فیه برأینا</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خبر الضحاک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توریث المرأة من دیة زوجها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خبر عبد الرحمن فی أخذ الجزیة من المجوس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کانوا فی ذلک بین طائفتین، طائفة تعمل بهذه الأخبار، و الأخری لا </w:t>
      </w:r>
    </w:p>
    <w:p>
      <w:pPr>
        <w:pStyle w:val="BookText"/>
        <w:rPr/>
      </w:pPr>
      <w:r>
        <w:rPr>
          <w:rFonts w:ascii="IRNazanin" w:hAnsi="IRNazanin" w:eastAsia="IRNazanin"/>
          <w:color w:val="111111"/>
          <w:sz w:val="28"/>
          <w:sz w:val="28"/>
          <w:szCs w:val="28"/>
          <w:rtl w:val="true"/>
          <w:lang w:bidi="fa-IR"/>
        </w:rPr>
        <w:t>تنکر علیهم، فلو لا أن العمل بها کان صحیحا جائزا، و إلا کانوا قد أجمعوا علی الخطأ و ذلک لا یجوز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الاستدلال بهذه الطریقة لا یصح من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هذه الأخبار التی رووها کلها أخبار آحاد، و الطریق إلی أنهم عملوا بها أیضا أخبار آحاد، لأنه لو کانت متواترة لکانت توجب العلم الضروری عندهم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نحن لا نعلم ضرورة أن الصحابة عملت بأخبار الآحاد، فإذا لا یصح الاعتماد علی هذه الأخبار، لأن المعتمد علیها یکون أوجب العمل بخبر الواحد و ذلک لا یجوز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خلاف أیضا بین الأصولیین فی أن وجوب العمل بأخبار الآحاد طریقه العلم دون الظن، و أخبار الآحاد قد</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و قد دللنا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دللنا علی أنها لا توجب العلم، فسقط من هذا الوجه الاحتجاج بهذه الطریقة</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لو سلمنا أنهم عملوا بهذه الأخبار، من أین لهم أنهم عملوا بها من حیث کانت أخبار آحاد و من أجلها؟، و ما ینکرون علی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 عملوا لدلیل دلهم علی صحة ما تضمنته هذه الأخبار؟ أو قرینة اقترنت إلیها أوجبت صحتها؟ أو یکون العامل بها کان قد سمع کما یسمع الراوی، فلما روی له ذلک تذکر ما کان نسیه، فعمل به لأجل علمه لا لأجل روایته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لیس لأحد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عملوا عند سماع هذه الأخبار و لم یعملوا قبل ذلک، علم أن عملهم لأجلها دون أمر آخر، و یبین ذلک قول عمر فی خبر الجنین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کدنا أن نقضی فیه برأینا</w:t>
      </w:r>
      <w:r>
        <w:rPr>
          <w:rFonts w:eastAsia="IRNazanin" w:cs="IRNazanin"/>
          <w:color w:val="111111"/>
          <w:sz w:val="28"/>
          <w:szCs w:val="28"/>
          <w:rtl w:val="true"/>
          <w:lang w:bidi="fa-IR"/>
        </w:rPr>
        <w:t>»</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 xml:space="preserve">راجع تخریج الحدیث فی هامش رقم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صفحة </w:t>
      </w:r>
      <w:r>
        <w:rPr>
          <w:rFonts w:eastAsia="IRNazanin" w:cs="IRNazanin"/>
          <w:color w:val="111111"/>
          <w:sz w:val="28"/>
          <w:szCs w:val="28"/>
          <w:lang w:bidi="fa-IR"/>
        </w:rPr>
        <w:t>115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 فی خبر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لا هذا لقضینا فیه برأینا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فنبه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أنه عدل عن الرّأی إلی ما عمل به لأجل الخبر لا لأجل علمه أو أمر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روی عنه أنه کان ممن یری المفاضلة فی دیة الأصابع حتی أخبر عن کتاب عمرو بن حزم أن النبی صلی اللّه علیه و آله و 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کل إصبع عشرة من الإبل</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فسوی بین الکل، و فی ذلک إبطال قول من قال جوزوا أن یکونوا عملوا بهذه الأخبار لأمر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یمتنع أنهم قبل روایة هذه الأخبار لم یعلموا، لأنهم کانوا ناسین لذلک، فلما روی لهم الخبر ذکروا ما کانوا نسوه فعملوا به لأجل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قول عمر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کدنا أن نقضی فیه برأینا</w:t>
      </w:r>
      <w:r>
        <w:rPr>
          <w:rFonts w:eastAsia="IRNazanin" w:cs="IRNazanin"/>
          <w:color w:val="111111"/>
          <w:sz w:val="28"/>
          <w:szCs w:val="28"/>
          <w:rtl w:val="true"/>
          <w:lang w:bidi="fa-IR"/>
        </w:rPr>
        <w:t>»</w:t>
      </w:r>
      <w:r>
        <w:rPr>
          <w:rStyle w:val="FootnoteAnchor"/>
          <w:rtl w:val="true"/>
        </w:rPr>
        <w:footnoteReference w:id="232"/>
      </w:r>
      <w:r>
        <w:rPr>
          <w:rFonts w:ascii="IRNazanin" w:hAnsi="IRNazanin" w:eastAsia="IRNazanin"/>
          <w:color w:val="111111"/>
          <w:sz w:val="28"/>
          <w:sz w:val="28"/>
          <w:szCs w:val="28"/>
          <w:rtl w:val="true"/>
          <w:lang w:bidi="fa-IR"/>
        </w:rPr>
        <w:t>، فلا یمتنع أیضا أن یکون لما کان نسی الخبر و بعد عهده به أراد أن یقضی برأیه فیه، فلما روی له الخبر تذکر ما تضمنه الخبر، فرجع إلی ما عمله، و أخبر أنه لو لا هذا الخبر الّذی کان سببا لتذکاره کاد أن یقضی برأیه</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رجوعه إلی کتاب عمرو بن حزم فی الدیة، فإن کتاب عمرو بن حزم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کان معلوما بین الصحابة، و أنه من إملاء رسول اللّه صلی اللّه علیه و آله و سلم و لم یکن طریق ذلک خبر الواحد، فلأجل ذلک رجع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لو سلمنا أنهم عملوا بهذه الأخبار لأجلها، لم یکن أیضا فیه دلالة، لأنه لیس جمیع الصحابة عمل بها، و إنما عمل بها بعضهم، و لیس فعل بعضهم حجة، و إنما الحجة فی فعل جمیعهم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لهم أن یقولوا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بین طائفتین، طائفة عملت بها، و طائفة لم تنکر علیهم العمل بها، فلو لم یکن صحیحا لکانوا قد أجمعوا علی الخطأ</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 xml:space="preserve">المعتمد </w:t>
      </w:r>
      <w:r>
        <w:rPr>
          <w:rFonts w:eastAsia="IRNazanin" w:cs="IRNazanin"/>
          <w:color w:val="111111"/>
          <w:sz w:val="28"/>
          <w:szCs w:val="28"/>
          <w:lang w:bidi="fa-IR"/>
        </w:rPr>
        <w:t>115:2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کذلک</w:t>
      </w:r>
      <w:r>
        <w:rPr>
          <w:rStyle w:val="FootnoteAnchor"/>
          <w:rtl w:val="true"/>
        </w:rPr>
        <w:footnoteReference w:id="234"/>
      </w:r>
      <w:r>
        <w:rPr>
          <w:rFonts w:ascii="IRNazanin" w:hAnsi="IRNazanin" w:eastAsia="IRNazanin"/>
          <w:color w:val="111111"/>
          <w:sz w:val="28"/>
          <w:sz w:val="28"/>
          <w:szCs w:val="28"/>
          <w:rtl w:val="true"/>
          <w:lang w:bidi="fa-IR"/>
        </w:rPr>
        <w:t>أن هذا لا یصح من 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من أین لهم أنه حیث لم ینکروا کانوا راضین بأفعالهم، مصوبین لهم ما عملوا؟، و ما المانع من أن یکونوا کارهین لذلک منکرین بقلوبهم، و منع من إظهار ذلک بعض الموانع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یمکن الاعتماد علی سکوتهم إذا لم یکن لسکوتهم وجه غیر الرضا فحینئذ یحمل علیه، فأما و یمکن غیر ذلک فینبغی أن لا یقطع به علی الرضا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فإنما یجب علیهم إنکار ذلک إذا علموا أنهم عملوا بهذه الأخبار لأجلها، و غیر ممتنع أن یکونوا شاکین فی حال العاملین بها مجوزین، لأنهم عملوا بها لدلیل دلهم علی صحة هذه الأخبار، أو لتذکرهم، فلأجل ذلک لم ینکروهم</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قد أنکروا أجمع العمل بأخبار</w:t>
      </w:r>
      <w:r>
        <w:rPr>
          <w:rStyle w:val="FootnoteAnchor"/>
          <w:rtl w:val="true"/>
        </w:rPr>
        <w:footnoteReference w:id="235"/>
      </w:r>
      <w:r>
        <w:rPr>
          <w:rFonts w:ascii="IRNazanin" w:hAnsi="IRNazanin" w:eastAsia="IRNazanin"/>
          <w:color w:val="111111"/>
          <w:sz w:val="28"/>
          <w:sz w:val="28"/>
          <w:szCs w:val="28"/>
          <w:rtl w:val="true"/>
          <w:lang w:bidi="fa-IR"/>
        </w:rPr>
        <w:t xml:space="preserve">الآحاد، أ لا تری إلی ما </w:t>
      </w:r>
    </w:p>
    <w:p>
      <w:pPr>
        <w:pStyle w:val="BookText"/>
        <w:rPr/>
      </w:pPr>
      <w:r>
        <w:rPr>
          <w:rFonts w:ascii="IRNazanin" w:hAnsi="IRNazanin" w:eastAsia="IRNazanin"/>
          <w:color w:val="111111"/>
          <w:sz w:val="28"/>
          <w:sz w:val="28"/>
          <w:szCs w:val="28"/>
          <w:rtl w:val="true"/>
          <w:lang w:bidi="fa-IR"/>
        </w:rPr>
        <w:t xml:space="preserve">روی عن أبی بکر أنه لم یقبل خبر المغیرة بن شعبة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الجدة حتی شهد معه محمد بن مسلمة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روی عن عمر أنه لم یقبل خبر أبی موسی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الاستئذان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شهد معه أبو سعید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ما روی عن علی علیه السلام أنه لم یقبل خبر ابن سنان الأشجعی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غیر </w:t>
      </w:r>
    </w:p>
    <w:p>
      <w:pPr>
        <w:pStyle w:val="BookText"/>
        <w:rPr/>
      </w:pPr>
      <w:r>
        <w:rPr>
          <w:rFonts w:ascii="IRNazanin" w:hAnsi="IRNazanin" w:eastAsia="IRNazanin"/>
          <w:color w:val="111111"/>
          <w:sz w:val="28"/>
          <w:sz w:val="28"/>
          <w:szCs w:val="28"/>
          <w:rtl w:val="true"/>
          <w:lang w:bidi="fa-IR"/>
        </w:rPr>
        <w:t>ذلک مما لا یحصی کثرة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رد هذه الأخبار ظاهر بینهم، کما ظهر بینهم العمل بما ذکروه من الأخبار، فإن کان عملهم بما عملوه دلیلا علی جوازه، فردهم لما ردوه یجب أن یکون دلیلا علی المنع منه، و لا فرق بینهما علی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لیس لأحد أن یقول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لا ننکر رد کثیر من الأخبار إذا لم یکن شرط وجوب القبول فیه ثابتا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هذا التأویل فی رد هذه الأخبار إنما یسوغ إذا ثبت أنهم عملوا بخبر الواحد، فأما و لما یثبت ذلک، بل نحن فی سبر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فلا یمکن تأویل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فرق بین من تأول هذه الأخبار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ردوها لبعض العلل لیسلم له العمل بتلک الأخبار، و بین من عکس 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عملوا بتلک الأخبار لقیام دلیل دلهم علی ذلک غیر نفس الأخبار لتسلم له ظواهر هذه الأخبار، و لا فرق بینهما علی حال</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أن هذه الطریقة التی اعتمدوها توجب علیهم وجوب النسخ بخبر الواحد لأنهم نسخوا القبلة بخبر الواحد، لأنه روی أن أهل قباء کانوا فی الصلاة </w:t>
      </w:r>
    </w:p>
    <w:p>
      <w:pPr>
        <w:pStyle w:val="BookText"/>
        <w:rPr/>
      </w:pPr>
      <w:r>
        <w:rPr>
          <w:rFonts w:ascii="IRNazanin" w:hAnsi="IRNazanin" w:eastAsia="IRNazanin"/>
          <w:color w:val="111111"/>
          <w:sz w:val="28"/>
          <w:sz w:val="28"/>
          <w:szCs w:val="28"/>
          <w:rtl w:val="true"/>
          <w:lang w:bidi="fa-IR"/>
        </w:rPr>
        <w:t>متوجهین إلی بیت المقدس فجاءهم مخبر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النبی صلی اللّه علیه و آله و سلم حول قبلته إلی الکعبة، فداروا إلی التوجه إلی الکعبة</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 xml:space="preserve">سیرة ابن هشام </w:t>
      </w:r>
      <w:r>
        <w:rPr>
          <w:rFonts w:eastAsia="IRNazanin" w:cs="IRNazanin"/>
          <w:color w:val="111111"/>
          <w:sz w:val="28"/>
          <w:szCs w:val="28"/>
          <w:lang w:bidi="fa-IR"/>
        </w:rPr>
        <w:t>257:2</w:t>
      </w:r>
      <w:r>
        <w:rPr>
          <w:rFonts w:ascii="IRNazanin" w:hAnsi="IRNazanin" w:eastAsia="IRNazanin"/>
          <w:color w:val="111111"/>
          <w:sz w:val="28"/>
          <w:sz w:val="28"/>
          <w:szCs w:val="28"/>
          <w:rtl w:val="true"/>
          <w:lang w:bidi="fa-IR"/>
        </w:rPr>
        <w:t>، تاریخ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حوادث السنة الثانیة للهجرة، تاریخ الیعقوبی </w:t>
      </w:r>
      <w:r>
        <w:rPr>
          <w:rFonts w:eastAsia="IRNazanin" w:cs="IRNazanin"/>
          <w:color w:val="111111"/>
          <w:sz w:val="28"/>
          <w:szCs w:val="28"/>
          <w:lang w:bidi="fa-IR"/>
        </w:rPr>
        <w:t>42:2</w:t>
      </w:r>
      <w:r>
        <w:rPr>
          <w:rFonts w:ascii="IRNazanin" w:hAnsi="IRNazanin" w:eastAsia="IRNazanin"/>
          <w:color w:val="111111"/>
          <w:sz w:val="28"/>
          <w:sz w:val="28"/>
          <w:szCs w:val="28"/>
          <w:rtl w:val="true"/>
          <w:lang w:bidi="fa-IR"/>
        </w:rPr>
        <w:t>، الرسالة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السیرة الحلبیة </w:t>
      </w:r>
      <w:r>
        <w:rPr>
          <w:rFonts w:eastAsia="IRNazanin" w:cs="IRNazanin"/>
          <w:color w:val="111111"/>
          <w:sz w:val="28"/>
          <w:szCs w:val="28"/>
          <w:lang w:bidi="fa-IR"/>
        </w:rPr>
        <w:t>128:2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 و کان ذلک فی عصر النبی صلی اللّه علیه و آله و سلم و لم نجده علیه السلام أنکر علیهم ذلک، فینبغی أن یکون علی قانون طریقتهم یجوز النسخ بخبر الواحد، و ذلک لا یقوله أحد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لهم أن یقولوا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أهل قباء کانوا قد علموا نسخ القبلة بغیر ذلک الخبر، فلأجل ذلک عملوا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 علیهم فیما استدلوا به من الأخبار مثله بأن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عملوا بتلک الأخبار لأنه کان سبق لهم العلم بما تضمنته تلک الأخبار، فذکروه عند حصولها کما قلتموه فی أهل قباء حذو النعل بالنعل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استدلوا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کان من النبی صلی اللّه علیه و آله و سلم من بعثه رسله إلی الأطراف، و عماله، و سعاته إلی النواحی، و أمره إیاهم بالدعاء إلی اللّه تعالی و إلی رسوله و شریعته، فلو لا أن القبول کان واجبا منهم و إلا لم یکن لذلک فائدة</w:t>
      </w:r>
      <w:r>
        <w:rPr>
          <w:rStyle w:val="FootnoteAnchor"/>
          <w:rtl w:val="true"/>
        </w:rPr>
        <w:footnoteReference w:id="237"/>
      </w:r>
    </w:p>
    <w:p>
      <w:pPr>
        <w:pStyle w:val="BookText"/>
        <w:rPr/>
      </w:pP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الذریعة </w:t>
      </w:r>
      <w:r>
        <w:rPr>
          <w:rFonts w:eastAsia="IRNazanin" w:cs="IRNazanin"/>
          <w:color w:val="111111"/>
          <w:sz w:val="28"/>
          <w:szCs w:val="28"/>
          <w:lang w:bidi="fa-IR"/>
        </w:rPr>
        <w:t>58:2</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هذا لا یمکن الاعتماد علیه، لأن النبی صلی اللّه علیه و آله و سلم کان یبعث، برسله و یأمرهم أولا بالدعاء إلی اللّه تعالی و إلی رسوله صلی اللّه علیه و آله و سلم و لا خلاف أن ذلک طریقة الدلیل، و أنه لا یجوز قبول خبر الواحد فیه، بل یجب الرجوع </w:t>
      </w:r>
    </w:p>
    <w:p>
      <w:pPr>
        <w:pStyle w:val="BookText"/>
        <w:rPr/>
      </w:pPr>
      <w:r>
        <w:rPr>
          <w:rFonts w:ascii="IRNazanin" w:hAnsi="IRNazanin" w:eastAsia="IRNazanin"/>
          <w:color w:val="111111"/>
          <w:sz w:val="28"/>
          <w:sz w:val="28"/>
          <w:szCs w:val="28"/>
          <w:rtl w:val="true"/>
          <w:lang w:bidi="fa-IR"/>
        </w:rPr>
        <w:t>فی ذلک إلی الأدلة الواضحة فیه، فکذلک القول فی الأحکام الشرعیة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کانوا یدعونهم إلی معرفة اللّه تعالی، و ینبهونهم علی ما هو مرکوز فی عقولهم من الأدلة الدالة علی توحیده و عدله، و کذلک یدعونهم إلی النبوة و الإقرار به، و یقرءون علیهم القرآن الدال علی صدقه فی دعواه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قد صار لدعائهم إلی ما یدعون إلیه فائدة غیر وجوب القبول منهم، و إذا جاز ذلک فی المعرفة و النبوة جاز له أن یقول فی أحکام الشریعة مثله، بأن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کانوا ینبهونهم علی الطرق الدالة علی أحکام الشریعة من الکتاب و السنة المتواترة بها، و یجب علیهم النّظر فیها لیحصل لهم العلم بصحة ما یتضمنه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 التعبد بخبر الواحد و وجوب العمل به الشرع، لأن العقل قد بینا أنه لا یدل علی ذلک، فمن أین یعلمون أنهم قد تعبدوا بوجوب</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القبول من الرسل و العمال و غیرهم حتی یجب علیهم القبول منهم‌؟ فإن أحالوا علی جهة من الجهات من تواتر أو غیر ذلک، قلنا مثله فی سائر الأحکام، و سقط التعلق بهذه الطریقة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قولکم فی المواضع النائیة التی یقطع علی أنه لا تواتر اتصل بهم بأحکام الشریعة، أ لیس کان یجب علیهم القبول من الرسل و العمال، و لیس هناک طریق یعلمون به أحکام الشریعة‌؟ 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فرضت المسألة فی الموضع الّذی ذکر فی السؤال، فلأصحابنا عن ذلک جوابان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یجب علیهم القبول منهم، و ینبغی أن یکونوا متمسکین بحکم العقل إلی أن ینقطع عذرهم بأحکام الشریعة، فحینئذ یجب علیهم العمل به</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إذا کان القوم بحیث لم تتصل بهم الشریعة علی وجه ینقطع العذر، و کانت المصلحة لهم فی العمل بتلک الشریعة، فإنه لا یجوز أن یبعث </w:t>
      </w:r>
      <w:bookmarkStart w:id="69" w:name="pg6519_49201"/>
    </w:p>
    <w:p>
      <w:pPr>
        <w:pStyle w:val="BookText"/>
        <w:rPr/>
      </w:pPr>
      <w:bookmarkEnd w:id="69"/>
      <w:r>
        <w:rPr>
          <w:rFonts w:ascii="IRNazanin" w:hAnsi="IRNazanin" w:eastAsia="IRNazanin"/>
          <w:color w:val="111111"/>
          <w:sz w:val="28"/>
          <w:sz w:val="28"/>
          <w:szCs w:val="28"/>
          <w:rtl w:val="true"/>
          <w:lang w:bidi="fa-IR"/>
        </w:rPr>
        <w:t>إلیهم إلا معصوما لا یجوز علیه التغییر و التبدیل، و یظهر علی یده علم معجز یستدلون به علی صدقه، فإذا علموا صدقه وجب علیهم القبول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الوجهین جمیعا سقط السؤال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القوم بحیث فرضتم من البعد من أین یعلمون أنهم متعبدون بوجوب قبول قول الرسل و الرجوع إلی ما یقولونه فی أحکام الشریعة‌؟ فلا بدّ لهم من أن یحیلوا علی جهة أخری غیر مجرد أقوالهم، فنقول لهم مثل ذلک فی سائر الأحکام، و سقط السؤال</w:t>
      </w:r>
      <w:r>
        <w:rPr>
          <w:rFonts w:eastAsia="IRNazanin" w:cs="IRNazanin"/>
          <w:color w:val="111111"/>
          <w:sz w:val="28"/>
          <w:szCs w:val="28"/>
          <w:rtl w:val="true"/>
          <w:lang w:bidi="fa-IR"/>
        </w:rPr>
        <w:t>.</w:t>
      </w:r>
    </w:p>
    <w:p>
      <w:pPr>
        <w:pStyle w:val="Heading5"/>
        <w:numPr>
          <w:ilvl w:val="4"/>
          <w:numId w:val="1"/>
        </w:numPr>
        <w:rPr/>
      </w:pPr>
      <w:bookmarkStart w:id="70" w:name="__RefHeading___Toc1757201_653776707"/>
      <w:bookmarkStart w:id="71" w:name="_Toc24"/>
      <w:bookmarkEnd w:id="70"/>
      <w:r>
        <w:rPr>
          <w:rtl w:val="true"/>
        </w:rPr>
        <w:t>و استدلوا أیضا بأن قالوا</w:t>
      </w:r>
      <w:r>
        <w:rPr>
          <w:rtl w:val="true"/>
        </w:rPr>
        <w:t xml:space="preserve">: </w:t>
      </w:r>
      <w:r>
        <w:rPr>
          <w:rtl w:val="true"/>
        </w:rPr>
        <w:t>لا خلاف فی أنه یجب علی المستفتی الرجوع إلی المفتی</w:t>
      </w:r>
      <w:bookmarkEnd w:id="71"/>
    </w:p>
    <w:p>
      <w:pPr>
        <w:pStyle w:val="BookText"/>
        <w:rPr/>
      </w:pPr>
      <w:r>
        <w:rPr>
          <w:rFonts w:ascii="IRNazanin" w:hAnsi="IRNazanin" w:eastAsia="IRNazanin"/>
          <w:color w:val="111111"/>
          <w:sz w:val="28"/>
          <w:sz w:val="28"/>
          <w:szCs w:val="28"/>
          <w:rtl w:val="true"/>
          <w:lang w:bidi="fa-IR"/>
        </w:rPr>
        <w:t>، مع تجویزه الغلط علیه، فکذلک أیضا یجب الرجوع إلی خبر الواحد و إن جوز علی المخبر الغلط</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التبصرة</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 شرح اللمع </w:t>
      </w:r>
      <w:r>
        <w:rPr>
          <w:rFonts w:eastAsia="IRNazanin" w:cs="IRNazanin"/>
          <w:color w:val="111111"/>
          <w:sz w:val="28"/>
          <w:szCs w:val="28"/>
          <w:lang w:bidi="fa-IR"/>
        </w:rPr>
        <w:t>585:2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600</w:t>
      </w:r>
      <w:r>
        <w:rPr>
          <w:rFonts w:ascii="IRNazanin" w:hAnsi="IRNazanin" w:eastAsia="IRNazanin"/>
          <w:color w:val="111111"/>
          <w:sz w:val="28"/>
          <w:sz w:val="28"/>
          <w:szCs w:val="28"/>
          <w:rtl w:val="true"/>
          <w:lang w:bidi="fa-IR"/>
        </w:rPr>
        <w:t xml:space="preserve">، المعتمد </w:t>
      </w:r>
      <w:r>
        <w:rPr>
          <w:rFonts w:eastAsia="IRNazanin" w:cs="IRNazanin"/>
          <w:color w:val="111111"/>
          <w:sz w:val="28"/>
          <w:szCs w:val="28"/>
          <w:lang w:bidi="fa-IR"/>
        </w:rPr>
        <w:t>123:2</w:t>
      </w:r>
      <w:r>
        <w:rPr>
          <w:rFonts w:eastAsia="IRNazanin" w:cs="IRNazanin"/>
          <w:color w:val="111111"/>
          <w:sz w:val="28"/>
          <w:szCs w:val="28"/>
          <w:rtl w:val="true"/>
          <w:lang w:bidi="fa-IR"/>
        </w:rPr>
        <w:t>-</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الذریعة </w:t>
      </w:r>
      <w:r>
        <w:rPr>
          <w:rFonts w:eastAsia="IRNazanin" w:cs="IRNazanin"/>
          <w:color w:val="111111"/>
          <w:sz w:val="28"/>
          <w:szCs w:val="28"/>
          <w:lang w:bidi="fa-IR"/>
        </w:rPr>
        <w:t>58:2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هذا أیضا لا یصح الاستدلال به، لأن لأصحابنا فی هذه المسألة مذهبین</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 یجوز للمستفتی القبول من المفتی، بل یلزمه طلب الدلیل کما لزم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المفتی، فعلی هذا سقط السؤال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المذهب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یجوز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هذا المذهب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قیاس، و لا خلاف أن هذه المسألة لا تثبت بالقیاس لأن طریقها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إذا وجب ذلک فی المستفتی و المفتی یجب مثل ذلک فی خبر الواحد؟ فإن جمعوا بینهما بعلة أنه یجوز علی کل واحد منهما الخطأ کان ذلک قیاسا، و قد اتفقنا علی أن طریق وجوب العمل بخبر الواحد العلم دون القیاس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ذلک إنما یمکن أن یستدل به علی جواز ورود العبادة بخبر الواحد، دون أن یجعل طریقا إلی وجوب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الجملة کافیة فی إبطال هذه الشبهة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استدلوا بأشیاء یجری مجری ما ذکرناه، مثل حملهم ذلک علی الشهادة و غیر ذلک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الجملة التی ذکرناها تنبه علی طریقة الکلام علی جمیع ذلک، فلا فائدة فی التطویل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فأما من راعی أن یکون الراوی أکثر من واحد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استدلاله علی ذلک بخبر أبی بکر فی الجدة</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 xml:space="preserve">انظر تخریج الحدیث فی صفحة </w:t>
      </w:r>
      <w:r>
        <w:rPr>
          <w:rFonts w:eastAsia="IRNazanin" w:cs="IRNazanin"/>
          <w:color w:val="111111"/>
          <w:sz w:val="28"/>
          <w:szCs w:val="28"/>
          <w:rtl w:val="true"/>
          <w:lang w:bidi="fa-IR"/>
        </w:rPr>
        <w:t>(</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هامش رقم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 خبر عمر فی الاستئذان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 و حدیث ذی الیدین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سهو النبی صلی اللّه علیه و آله و سلم و أنه لم یقبل منه حتی سأل غیره من الصحابة، و حمله ذلک علی الشهادة و غیر ذلک</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فما ذکرناه من الکلام علی من لم یراع العدد کلام علیه، لأنا اعتبرنا المنع من کل </w:t>
      </w:r>
      <w:bookmarkStart w:id="72" w:name="pg6519_49204"/>
    </w:p>
    <w:p>
      <w:pPr>
        <w:pStyle w:val="BookText"/>
        <w:rPr/>
      </w:pPr>
      <w:bookmarkEnd w:id="72"/>
      <w:r>
        <w:rPr>
          <w:rFonts w:ascii="IRNazanin" w:hAnsi="IRNazanin" w:eastAsia="IRNazanin"/>
          <w:color w:val="111111"/>
          <w:sz w:val="28"/>
          <w:sz w:val="28"/>
          <w:szCs w:val="28"/>
          <w:rtl w:val="true"/>
          <w:lang w:bidi="fa-IR"/>
        </w:rPr>
        <w:t>خبر لا یوجب العلم، فلا وجه لاعتبار هذا العدد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الأخبار کلها أخبار آحاد لا یصح التعلق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منعنا من أنهم عملوا بها لأجلها و منعنا أیضا من أن یکونوا کلهم عملوا بها و بینا أیضا أنهم أنکروا أیضا العمل بأخبار الآحاد فی مواضع، فالطریق إلی إبطال ذلک واحد</w:t>
      </w:r>
      <w:r>
        <w:rPr>
          <w:rFonts w:eastAsia="IRNazanin" w:cs="IRNazanin"/>
          <w:color w:val="111111"/>
          <w:sz w:val="28"/>
          <w:szCs w:val="28"/>
          <w:rtl w:val="true"/>
          <w:lang w:bidi="fa-IR"/>
        </w:rPr>
        <w:t>.</w:t>
      </w:r>
    </w:p>
    <w:p>
      <w:pPr>
        <w:pStyle w:val="Heading5"/>
        <w:numPr>
          <w:ilvl w:val="4"/>
          <w:numId w:val="1"/>
        </w:numPr>
        <w:rPr/>
      </w:pPr>
      <w:bookmarkStart w:id="73" w:name="__RefHeading___Toc1757203_653776707"/>
      <w:bookmarkStart w:id="74" w:name="_Toc25"/>
      <w:bookmarkEnd w:id="73"/>
      <w:r>
        <w:rPr>
          <w:rtl w:val="true"/>
        </w:rPr>
        <w:t>مختار المصنف</w:t>
      </w:r>
      <w:bookmarkEnd w:id="74"/>
    </w:p>
    <w:p>
      <w:pPr>
        <w:pStyle w:val="BookText"/>
        <w:rPr/>
      </w:pPr>
      <w:r>
        <w:rPr>
          <w:rFonts w:ascii="IRNazanin" w:hAnsi="IRNazanin" w:eastAsia="IRNazanin"/>
          <w:color w:val="111111"/>
          <w:sz w:val="28"/>
          <w:sz w:val="28"/>
          <w:szCs w:val="28"/>
          <w:rtl w:val="true"/>
          <w:lang w:bidi="fa-IR"/>
        </w:rPr>
        <w:t>فأما ما اخترته من المذهب فهو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 خبر الواحد إذا کان واردا من طریق أصحابنا القائلین بالإمامة، و کان ذلک مرویا عن النبی صلی اللّه علیه و آله و سلم أو عن واحد من الأئمة علیهم السلام، و کان ممن لا یطعن فی روایته، و یکون سدیدا فی نقله، و لم تکن هناک قرینة تدل علی صحة ما تضمنه الخبر، لأنه إن کانت هناک قرینة تدل علی صحة ذلک، کان الاعتبار بالقرینة، و کان ذلک موجبا للعلم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نحن نذکر القرائن فیما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جاز العمل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یدل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إجماع الفرقة المحقة، فإنی وجدتها مجمعة علی العمل بهذه الأخبار التی رووها فی تصانیفهم و دونوها فی أصولهم، لا یتناکرون ذلک و لا یتدافعونه</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فی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یتدافعون</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حتی أن واحدا منهم إذا أفتی بشیء لا یعرفونه سألوه من أین قلت هذا؟ فإذا أحالهم علی کتاب معروف، أو أصل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و کان راویه ثقة لا ینکر حدیثه، سکتوا و سلموا الأمر فی ذلک و قبلوا قوله، و هذه عادتهم و سجیتهم من عهد</w:t>
      </w:r>
    </w:p>
    <w:p>
      <w:pPr>
        <w:pStyle w:val="BookText"/>
        <w:rPr/>
      </w:pPr>
      <w:r>
        <w:rPr>
          <w:rFonts w:ascii="IRNazanin" w:hAnsi="IRNazanin" w:eastAsia="IRNazanin"/>
          <w:color w:val="111111"/>
          <w:sz w:val="28"/>
          <w:sz w:val="28"/>
          <w:szCs w:val="28"/>
          <w:rtl w:val="true"/>
          <w:lang w:bidi="fa-IR"/>
        </w:rPr>
        <w:t>النبی صلی اللّه علیه و آله و سلم و من بعده من الأئمة علیهم السلام، و من زمن الصادق جعفر بن محمد علیه السلام الّذی انتشر العلم عنه و کثرت الروایة من جهته، فلو لا أن العمل بهذه الأخبار کان جائزا لما أجمعوا علی ذلک و لأنکروه، لأن إجماعهم فیه معصوم لا یجوز علیه الغلط و السهو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الّذی یکشف عن ذلک أنه لما کان العمل بالقیاس محظورا فی الشریعة عندهم، لم یعملوا به أصلا، و إذا شذ منهم واحد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به فی بعض المسائل، أو استعمله علی وجه المحاجة لخصمه و إن لم یعلم اعتقاده، ترکوا قوله و أنکروا علیه و تبرءوا من قوله، حتی إنهم یترکون تصانیف من وصفناه و روایاته لما کان عاملا بالقیاس، فلو کان العمل بخبر الواحد یجری ذلک المجری لوجب أیضا فیه مثل ذلک، و قد علمنا 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تدعون الإجماع علی الفرقة المحقة فی العمل بخبر الواحد، و المعلوم من حالها أنه لا تری العمل بخبر الواحد، کما أن المعلوم من حالها أنها لا تری العمل بالقیاس، فإن جاز ادعاء أحدهما جاز ادعاء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 لهم</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یقال لهم</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المعلوم من حالها الّذی لا ینکر و لا یدفع أنهم لا یرون العمل بخبر</w:t>
      </w:r>
    </w:p>
    <w:p>
      <w:pPr>
        <w:pStyle w:val="BookText"/>
        <w:rPr/>
      </w:pPr>
      <w:r>
        <w:rPr>
          <w:rFonts w:ascii="IRNazanin" w:hAnsi="IRNazanin" w:eastAsia="IRNazanin"/>
          <w:color w:val="111111"/>
          <w:sz w:val="28"/>
          <w:sz w:val="28"/>
          <w:szCs w:val="28"/>
          <w:rtl w:val="true"/>
          <w:lang w:bidi="fa-IR"/>
        </w:rPr>
        <w:t>الواحد الّذی یرویه مخالفهم فی الاعتقاد، و یختصون بطریقه، فأما ما یکون راویه منهم و طریقة أصحابهم، فقد بینا أن المعلوم خلاف ذلک، و بینا الفرق بین ذلک و بین القیاس أیضا، و أنه لو کان معلوما حظر العمل بخبر الواحد لجری مجری العلم بحظر القیاس، و قد علم خلاف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لیس شیوخکم لا تزال یناظرون خصومهم فی أن خبر الواحد لا یعمل به، و یدفعونهم عن صحة</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التذکرة بأصول الفقه</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أوائل المقالات</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ذلک، حتی إن منهم من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یجوز ذلک عقلا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منهم من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یجوز ذلک لأن السمع لم یرد به</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ما رأینا أحدا منهم تکلم فی جواز ذلک، و لا صنف فیه کتابا و لا أملی فیه مسألة، فکیف تدعون أنتم خلاف ذلک‌؟ 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أشرت إلیهم من المنکرین لأخبار الآحاد إنما کلموا من خالفهم فی الاعتقاد و دفعوهم عن وجوب العمل بما یروونه من الأخبار المتضمنة للأحکام التی یروون هم خلافها، و ذلک صحیح علی ما قدمنا، و لم نجدهم اختلفوا فیما بینهم، و أنکر بعضهم علی بعض العمل بما یروونه، إلا مسائل دل الدلیل الموجب للعلم علی صحتها، فإذا خالفوهم فیها أنکروا علیهم لمکان الأدلة الموجبة للعلم، و الأخبار المتواترة بخلافه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من أحال ذلک عقلا</w:t>
      </w:r>
      <w:r>
        <w:rPr>
          <w:rStyle w:val="FootnoteAnchor"/>
          <w:rtl w:val="true"/>
        </w:rPr>
        <w:footnoteReference w:id="244"/>
      </w:r>
      <w:r>
        <w:rPr>
          <w:rFonts w:ascii="IRNazanin" w:hAnsi="IRNazanin" w:eastAsia="IRNazanin"/>
          <w:color w:val="111111"/>
          <w:sz w:val="28"/>
          <w:sz w:val="28"/>
          <w:szCs w:val="28"/>
          <w:rtl w:val="true"/>
          <w:lang w:bidi="fa-IR"/>
        </w:rPr>
        <w:t>، فقد دللنا فیما مضی علی بطلان</w:t>
      </w:r>
      <w:r>
        <w:rPr>
          <w:rStyle w:val="FootnoteAnchor"/>
          <w:rtl w:val="true"/>
        </w:rPr>
        <w:footnoteReference w:id="245"/>
      </w:r>
      <w:r>
        <w:rPr>
          <w:rFonts w:ascii="IRNazanin" w:hAnsi="IRNazanin" w:eastAsia="IRNazanin"/>
          <w:color w:val="111111"/>
          <w:sz w:val="28"/>
          <w:sz w:val="28"/>
          <w:szCs w:val="28"/>
          <w:rtl w:val="true"/>
          <w:lang w:bidi="fa-IR"/>
        </w:rPr>
        <w:t>قوله، و بینا أن ذلک جائز، فمن أنکره کان محجوجا بذلک</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أن الذین أشیر إلیهم فی السؤال أقوالهم متمیزة من بین أقوال الطائفة </w:t>
      </w:r>
    </w:p>
    <w:p>
      <w:pPr>
        <w:pStyle w:val="BookText"/>
        <w:rPr/>
      </w:pPr>
      <w:r>
        <w:rPr>
          <w:rFonts w:ascii="IRNazanin" w:hAnsi="IRNazanin" w:eastAsia="IRNazanin"/>
          <w:color w:val="111111"/>
          <w:sz w:val="28"/>
          <w:sz w:val="28"/>
          <w:szCs w:val="28"/>
          <w:rtl w:val="true"/>
          <w:lang w:bidi="fa-IR"/>
        </w:rPr>
        <w:t>المحقة، و علمنا أنهم لم یکونوا أئمة معصومین، و کل قول علم قائله و عرف نسبه</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فی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تمیز من أقاویل سائر الفرقة المحقة، لم یعتد بذلک القول، لأن قول الطائفة إنما کان حجة من حیث کان فیها معصوم، فإذا کان القول صادرا من غیر معصوم علم أن قول المعصوم داخل فی باقی الأقوال، و وجب المسیر إلیه، علی ما نبینه فی باب 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العقل یجوز العمل بخبر الواحد، و الشرع قد ورد به، ما الّذی حملکم علی الفرق بین ما ترویه الطائفة المحقة، و بین ما یرویه أصحاب الحدیث من العامة عن النبی صلی اللّه علیه و آله و سلم‌؟ و هلا عملتم بالجمیع، أو منعتم من الکل‌؟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العمل بخبر الواحد إذا کان دلیلا شرعیا فینبغی أن نستعمله بحیث قررته الشریعة، و الشرع یری العمل بما یرویه طائفة مخصوصة، فلیس لنا أن نتعدی إلی غیرها، کما أنه لیس لنا أن نتعدی من روایة العدل إلی روایة الفاسق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العقل مجوزا لذلک، أجمع علی أن من شرط العمل بخبر الواحد أن یکون راویه عدلا بلا خلاف، و کل من أسند إلیه ممن خالف الحق لم تثبت عدالته، بل ثبت فسقه، فلأجل ذلک لم یجز العمل بخبره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القول یؤدی إلی أن یکون الحق فی جهتین مختلفتین إذا عملوا بخبرین مختلفین، و المعلوم من حال أئمتکم و شیوخکم خلاف ذلک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المعلوم من ذلک أنه لا یکون الحق فی جهتهم و جهة من خالفهم فی الاعتقاد فأما أن یکون المعلوم أنه لا یکون الحق فی جهتین إذا کان ذلک صادرا من خبرین مختلفین، فقد بینا أن المعلوم خلافه، و الّذی یکشف عن ذلک أیضا أن من منع من العمل بخبر الواحد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هاهنا أخبارا کثیرة لا ترجیح لبعضها علی بعض، و الإنسان فیها مخیر، فلو أن اثنین اختار کل واحد منهما العمل بواحد من الخبرین </w:t>
      </w:r>
    </w:p>
    <w:p>
      <w:pPr>
        <w:pStyle w:val="BookText"/>
        <w:rPr/>
      </w:pPr>
      <w:r>
        <w:rPr>
          <w:rFonts w:ascii="IRNazanin" w:hAnsi="IRNazanin" w:eastAsia="IRNazanin"/>
          <w:color w:val="111111"/>
          <w:sz w:val="28"/>
          <w:sz w:val="28"/>
          <w:szCs w:val="28"/>
          <w:rtl w:val="true"/>
          <w:lang w:bidi="fa-IR"/>
        </w:rPr>
        <w:t>أ لیس کانا یکونان مختلفین و قولهما حق علی مذهب هذا القائل‌؟ فکیف یدعی أن المعلوم خلاف ذلک‌؟ و یبین ذلک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قد روی عن الصادق علیه السلام أنه سئل عن اختلاف أصحابه فی المواقیت و غیر ذلک‌؟ 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خالفت بینهم</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فترک الإنکار لاختلافهم، ثم أضاف الاختلاف إلی أنه أمرهم به، فلو لا أن ذلک کان جائزا لما جاز ذلک عنه</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منه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اعتبارکم الطریقة التی ذکرتموها فی وجوب العمل بخبر الواحد یوجب علیکم قبولها فیما طریقه العلم، لأن الذین أشرتم إلیهم إذا قالوا قولا طریقه العلم من التوحید و العدل و النبوة و الإمامة و غیر ذلک، فسألوا عن الدلالة علی صحته أحالوا علی هذه الأخبار بعینها، فإن کان هذا القدر حجة فینبغی أن یکون حجة فی وجوب قبولها فیما طریقه العلم، و قد أقررتم بخلاف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 له</w:t>
      </w:r>
      <w:r>
        <w:rPr>
          <w:rStyle w:val="FootnoteAnchor"/>
          <w:rtl w:val="true"/>
        </w:rPr>
        <w:footnoteReference w:id="2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نسلم أن جمیع الطائفة تحیل علی أخبار الآحاد فیما طریقه العلم مما عددتموهم، و کیف نسلم ذلک و قد علمنا بالأدلة الواضحة العقلیة أن طریق هذه الأمور العقل، أو ما یوجب العلم من أدلة الشرع فیما یمکن ذلک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علمنا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الإمام المعصوم لا بد أن یکون قائلا به، فنحن لا نجوز أن یکون قول المعصوم داخلا فی قول العاملین فی هذه المسائل بالأخبار، و إذا لم یکن قوله داخلا فی جملة أقوالهم فلا اعتبار بها، و کانت أقوالهم فی ذلک مطرحة</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لیس کذلک القول فی أخبار الآحاد، لأنه لم یدل دلیل علی أن قول الإمام </w:t>
      </w:r>
    </w:p>
    <w:p>
      <w:pPr>
        <w:pStyle w:val="BookText"/>
        <w:rPr/>
      </w:pPr>
      <w:r>
        <w:rPr>
          <w:rFonts w:ascii="IRNazanin" w:hAnsi="IRNazanin" w:eastAsia="IRNazanin"/>
          <w:color w:val="111111"/>
          <w:sz w:val="28"/>
          <w:sz w:val="28"/>
          <w:szCs w:val="28"/>
          <w:rtl w:val="true"/>
          <w:lang w:bidi="fa-IR"/>
        </w:rPr>
        <w:t>داخل فی جملة أقوال المنکرین لها، بل بینا أن قوله علیه السلام داخل فی جملة أقوال العاملین بها، و علی هذا سقط السؤال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الّذی ذکروه مجرد الدعوی من الّذی أشیر إلیه ممن یرجع إلی الأخبار فی هذه المسائل، فلا یمکن إسناد ذلک إلی قوم علماء متمیزین، و إن قال ذلک بعض غفلة أصحاب الحدیث، فذلک لا یلتفت إلیه علی ما بیناه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تعملون بهذه الأخبار، و نحن نعلم أن رواتها أکثرهم کما رووها رووا أیضا أخبار الجبر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التشبیه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غیر ذلک من الغلو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التناسخ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ذلک من المناکیر، فکیف یجوز الاعتماد علی ما یرویه أمثال هؤلاء؟ قیل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کل الثقات نقل حدیث الجبر و التشبیه و غیر ذلک مما ذکر فی السؤال، و لو صح أنه نقله لم یدل علی أنه کان معتقدا لما تضمنه الخبر، و لا یمتنع أن یکون، إنما رواه لیعلم أنه لم یشذ عنه شیء من الروایات، لا لأنه یعتقد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نحن لم نعتمد علی مجرد نقلهم، بل اعتمادنا علی العمل الصادر من جهتهم، و ارتفاع النزاع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بینهم، فأما مجرد الروایة فلا حجة فیه علی حال</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تعولون علی هذه الأخبار و أکثر رواتها المجبرة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المقلدة، </w:t>
      </w:r>
    </w:p>
    <w:p>
      <w:pPr>
        <w:pStyle w:val="BookText"/>
        <w:rPr/>
      </w:pPr>
      <w:r>
        <w:rPr>
          <w:rFonts w:ascii="Amiri" w:hAnsi="Amiri" w:eastAsia="Amiri" w:cs="Amiri"/>
          <w:color w:val="111111"/>
          <w:sz w:val="28"/>
          <w:sz w:val="28"/>
          <w:szCs w:val="28"/>
          <w:rtl w:val="true"/>
          <w:lang w:bidi="ar-SA"/>
        </w:rPr>
        <w:t>و الغلاة</w:t>
      </w:r>
      <w:r>
        <w:rPr>
          <w:rStyle w:val="FootnoteAnchor"/>
          <w:rtl w:val="true"/>
        </w:rPr>
        <w:footnoteReference w:id="249"/>
      </w:r>
    </w:p>
    <w:p>
      <w:pPr>
        <w:pStyle w:val="BookText"/>
        <w:rPr/>
      </w:pPr>
      <w:r>
        <w:rPr>
          <w:rFonts w:ascii="Amiri" w:hAnsi="Amiri" w:eastAsia="Amiri" w:cs="Amiri"/>
          <w:color w:val="111111"/>
          <w:sz w:val="28"/>
          <w:sz w:val="28"/>
          <w:szCs w:val="28"/>
          <w:rtl w:val="true"/>
          <w:lang w:bidi="ar-SA"/>
        </w:rPr>
        <w:t xml:space="preserve">انظر هامش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 و الواقفة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الفطحیة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غیر هؤلاء من فرق الشیعة المخالفة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اعتقادهم للاعتقاد الصحیح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شرط خبر الواحد أن یکون راویه عدلا عند من أوجب العمل به، و هذا مفقود فی هؤلاء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عولتم علی عملهم دون روایتهم، فقد وجدناهم عملوا بما طریقه هؤلاء الذین ذکرناهم، و</w:t>
      </w:r>
      <w:r>
        <w:rPr>
          <w:rStyle w:val="FootnoteAnchor"/>
          <w:rtl w:val="true"/>
        </w:rPr>
        <w:footnoteReference w:id="250"/>
      </w:r>
      <w:r>
        <w:rPr>
          <w:rFonts w:ascii="IRNazanin" w:hAnsi="IRNazanin" w:eastAsia="IRNazanin"/>
          <w:color w:val="111111"/>
          <w:sz w:val="28"/>
          <w:sz w:val="28"/>
          <w:szCs w:val="28"/>
          <w:rtl w:val="true"/>
          <w:lang w:bidi="fa-IR"/>
        </w:rPr>
        <w:t>ذلک لا یدل علی جواز العمل بأخبار الکفار و الفساق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لا نقول أن جمیع أخبار الآحاد یجوز العمل بها، بل لها شرائط نحن نذکرها فیما بعد، و نشیر هاهنا إلی جملة من القول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ما ترویه العلماء المعتقدون للحق، فلا طعن علی ذلک بهذا السؤال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یرویه قوم من المقلدة فالصحیح الّذی أعتقده، أن المقلد للحق و إن کان مخطئا فی الأصل معفو عنه، و لا أحکم فیه بحکم الفساق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یلزم علی هذا ترک ما نقلوه</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أن من أشاروا إلیه لا نسلم أنهم کلهم مقلدة، بل لا یمتنع أن یکونوا عالمین بالدلیل علی سبیل الجملة کما تقوله جماعة أهل العدل فی کثیر من أهل الأسواق </w:t>
      </w:r>
    </w:p>
    <w:p>
      <w:pPr>
        <w:pStyle w:val="BookText"/>
        <w:rPr/>
      </w:pPr>
      <w:r>
        <w:rPr>
          <w:rFonts w:ascii="IRNazanin" w:hAnsi="IRNazanin" w:eastAsia="IRNazanin"/>
          <w:color w:val="111111"/>
          <w:sz w:val="28"/>
          <w:sz w:val="28"/>
          <w:szCs w:val="28"/>
          <w:rtl w:val="true"/>
          <w:lang w:bidi="fa-IR"/>
        </w:rPr>
        <w:t>و العامة، و لیس من حیث یتعذر علیهم إیراد الحجج فی ذلک ینبغی أن یکونوا غیر عالمین، لأن إیراد الحجج و المناظرة صناعة و لیس یقف حصول المعرفة علی حصوله، کما قلناه فی أصحاب الجمل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لأحد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هؤلاء لیسوا من أصحاب الجمل لأنهم إذا سألوا عن التوحید، أو العدل، أو صفات اللّه تعالی، أو صحة النبوة، قالوا کذا روینا و یروون فی ذلک کله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لیس هذا طریقة أصحاب الجمل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ذلک لأنه لا یمتنع أن یکون هؤلاء أصحاب الجمل و قد حصلت لهم المعرفة</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المعارف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باللّه تعالی، غیر أنهم لما تعذر علیهم إیراد الحجج فی ذلک أحالوا علی ما کان سهلا علیهم، و لیس یلزمهم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یعلموا أن ذلک لا یصح أن یکون دلیلا إلا بعد أن یتقدم المعرفة باللّه تعالی، و إنما الواجب علیهم أن یکونوا عالمین، و هم عالمون علی الجملة کما قررناه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 فما یتفرع علیه الخطأ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لا یوجب التکفیر و لا التضلیل</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الفرق الذین أشاروا إلیهم من الواقفة، و الفطحیة و غیر ذلک، فعن ذلک جوابان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ما یرویه هؤلاء یجوز العمل به إذا کانوا ثقات فی النقل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کانوا مخطئین فی الاعتقاد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القول بالوقف</w:t>
      </w:r>
      <w:r>
        <w:rPr>
          <w:rFonts w:eastAsia="IRNazanin" w:cs="IRNazanin"/>
          <w:color w:val="111111"/>
          <w:sz w:val="28"/>
          <w:szCs w:val="28"/>
          <w:rtl w:val="true"/>
          <w:lang w:bidi="fa-IR"/>
        </w:rPr>
        <w:t>)</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زیادة من الأصل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علم من اعتقادهم و تمسکهم بالدین، و تحرجهم من الکذب، و وضع الأحادیث، و هذه کانت طریقة جماعة عاصروا الأئمة علیهم السلام نحو عبد اللّه بن بکیر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سماعة بن مهران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نحو بنی فضال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المتأخرین عنهم، و بنی سماعة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شاکلهم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علمنا أن هؤلاء الذین أشرنا إلیهم، و إن کانوا مخطئین فی الاعتقاد من القول بالوقف و غیر ذلک، کانوا ثقات فی النقل، فما یکون طریقة هؤلاء جاز العمل به</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جمیع ما یرویه هؤلاء إذا اختصوا بروایته لا یعمل به، و إنما یعمل به إذا انضاف إلی روایتهم روایة من هو علی الطریقة المستقیمة و الاعتقاد الصحیح، فحینئذ یجوز العمل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إذا انفرد فلا یجوز ذلک فیه علی حال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علی هذا سقط الاعتراض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ما رواه الغلاة، و من هو مطعون علیه فی روایته، و متهم فی وضع الأحادیث، فلا یجوز العمل بروایته إذا انفرد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انضاف إلی روایته روایة بعض الثقات جاز ذلک، و یکون ذلک لأجل روایة الثقة دون روایته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المجبرة و المشبهة فأقل</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فی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فی ذلک أنا لا نعلم أنهم مجبرة و لا مشبهة، و أکثر ما معنا أنهم کانوا یروون ما یتضمن الجبر و التشبیه، و لیس روایتهم لها دلیلا علی أنهم کانوا معتقدین لصحتها، بل بینا الوجه فی روایتهم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أو أنه غیر الاعتقاد لمتضمنها، و لو کانوا معتقدین للجبر و التشبیه کان الکلام علی ما یروونه کالکلام علی ما ترویه الفرق المتقدم ذکرها، و قد بینا ما عندنا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جملة کافیة فی إبطال هذا السؤال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أنکرتم أن یکون الذین أشرتم إلیهم لم یعملوا بهذه الأخبار لمجردها</w:t>
      </w:r>
      <w:r>
        <w:rPr>
          <w:rStyle w:val="FootnoteAnchor"/>
          <w:rtl w:val="true"/>
        </w:rPr>
        <w:footnoteReference w:id="254"/>
      </w:r>
      <w:r>
        <w:rPr>
          <w:rFonts w:ascii="IRNazanin" w:hAnsi="IRNazanin" w:eastAsia="IRNazanin"/>
          <w:color w:val="111111"/>
          <w:sz w:val="28"/>
          <w:sz w:val="28"/>
          <w:szCs w:val="28"/>
          <w:rtl w:val="true"/>
          <w:lang w:bidi="fa-IR"/>
        </w:rPr>
        <w:t xml:space="preserve">؟ بل إنما عملوا بها لقرائن اقترنت بها دلتهم علی صحتها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لأجلها عملوا بها، و لو تجردت لما عملوا بها، و إذا جاز ذلک لم یمکن الاعتماد علی عملهم بها</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القرائن التی تقترن بالخبر و تدل علی صحته أشیاء مخصوصة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نذکرها فیما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الکتاب، و السنة، و الإجماع، و التواتر، و نحن نعلم أنه لیس فی جمیع المسائل التی استعملوا فیها أخبار الآحاد، ذلک لأنها أکثر من أن تحصی، موجودة فی کتبهم و تصانیفهم و فتاواهم، لأنه لیس فی جمیعها یمکن الاستدلال بالقرآن لعدم ذکر ذلک فی صریحه و فحواه، أو دلیله و معناه، و لا فی السنة المتواترة لعدم ذلک فی أکثر </w:t>
      </w:r>
    </w:p>
    <w:p>
      <w:pPr>
        <w:pStyle w:val="BookText"/>
        <w:rPr/>
      </w:pPr>
      <w:r>
        <w:rPr>
          <w:rFonts w:ascii="IRNazanin" w:hAnsi="IRNazanin" w:eastAsia="IRNazanin"/>
          <w:color w:val="111111"/>
          <w:sz w:val="28"/>
          <w:sz w:val="28"/>
          <w:szCs w:val="28"/>
          <w:rtl w:val="true"/>
          <w:lang w:bidi="fa-IR"/>
        </w:rPr>
        <w:t>الأحکام</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عمن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بل لوجودها فی مسائل معدودة، و لا فی الإجماع لوجود الاختلاف فی ذلک، فعلم أن ادعاء القرائن فی جمیع هذه المسائل دعوی محالة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ادعی القرائن فی جمیع ما ذکرناه کان السبر</w:t>
      </w:r>
      <w:r>
        <w:rPr>
          <w:rStyle w:val="FootnoteAnchor"/>
          <w:rtl w:val="true"/>
        </w:rPr>
        <w:footnoteReference w:id="256"/>
      </w:r>
      <w:r>
        <w:rPr>
          <w:rFonts w:ascii="IRNazanin" w:hAnsi="IRNazanin" w:eastAsia="IRNazanin"/>
          <w:color w:val="111111"/>
          <w:sz w:val="28"/>
          <w:sz w:val="28"/>
          <w:szCs w:val="28"/>
          <w:rtl w:val="true"/>
          <w:lang w:bidi="fa-IR"/>
        </w:rPr>
        <w:t>بیننا و بینه، بل کان معولا علی ما یعلم ضرورة خلافه، مدافعا لما یعلم من نفسه ضده و نقیضه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قال عند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متی عدمت شیئا من القرائن حکمت بما کان یقتضیه العقل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یلزمه أن یترک أکثر الأخبار و أکثر الأحکام و لا یحکم فیها بشیء ورد الشرع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حد یرغب أهل العلم عنه، و من صار إلیه لا یحسن مکالمته، لأنه یکون معولا علی ما یعلم ضرورة من الشرع 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یدل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جواز العمل بهذه الأخبار التی أشرنا إلیها، ما ظهر بین الفرقة المحقة من الاختلاف الصادر عن العمل بها، فإنی وجدتها مختلفة المذاهب فی الأحکام، یفتی أحدهم بما لا یفتی به صاحبه فی جمیع أبواب الفقه من الطهارة إلی أبواب الدّیات من العبادات، و الأحکام، و المعاملات، و الفرائض، و غیر ذلک، مثل اختلافهم فی العدد، و الرؤیة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الصوم</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اختلافهم فی أن التلفظ بثلاث تطلیقات هل یقع واحدة أم لا؟ و مثل اختلافهم فی باب الطهارة، و فی مقدار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الماء الّذی لا ینجسه شیء</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نحو اختلافهم فی حد الکر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نحو اختلافهم فی استئناف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الماء الجدید لمسح الرّأس و الرجلین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اختلافهم فی اعتبار أقصی مدة النفاس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اختلافهم فی عدة فصول الأذان و الإقامة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غیر ذلک فی سائر أبواب الفقه، حتی أن بابا منه لا یسلم إلا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w:t>
      </w:r>
      <w:r>
        <w:rPr>
          <w:rFonts w:eastAsia="IRNazanin" w:cs="IRNazanin"/>
          <w:color w:val="111111"/>
          <w:sz w:val="28"/>
          <w:szCs w:val="28"/>
          <w:rtl w:val="true"/>
          <w:lang w:bidi="fa-IR"/>
        </w:rPr>
        <w:t>)</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زیادة من الأصل</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وجدت العلماء من الطائفة مختلفة فی مسائل منه، أو مسألة متفاوتة الفتاوی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ذکرت ما ورد عنهم علیهم السلام من الأحادیث المختلفة التی تختص الفقه فی کتابی المعروف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الأحکام</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یزید</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خمسة آلاف حدیث، و ذکرت فی أکثرها اختلاف الطائفة فی العمل بها و ذلک أشهر من أن یخفی، حتی أنک لو تأملت اختلافهم فی هذه الأحکام وجدته یزید علی اختلاف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حنیفة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الشافعی، و مالک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وجدتهم مع هذا الاختلاف العظیم لم یقطع أحد منهم موالاة صاحبه، و لم ینته إلی تضلیله و تفسیقه و البراءة من مخالفته، فلو لا أن العمل بهذه الأخبار کان جائزا لما جاز ذلک، و کان یکون من عمل بخبر عنده أنه صحیح یکون مخالفه مخطئا مرتکبا للقبیح، یستحق التفسیق بذلک، و فی ترکهم ذلک و العدول عنه دلیل علی جواز العمل بما عملوا به من الأخبار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فإن تجاسر متجاسر إلی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مسألة مما اختلفوا فیه علیه دلیل قاطع، و من خالفه مخطئ 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یلزمه أن یفسق الطائفة بأجمعها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یضلل الشیوخ المتقدمین کلهم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لا یمکن أن یدعی علی أحد موافقته فی جمیع أحکام الشرع، و من بلغ إلی هذا الحد لا یحسن مکالمته، و یجب التغافل عنه بالسکوت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إن امتنع من تفسیقهم و تضلیلهم، فلا یمکنه إلا أن العمل بما عملوا به کان حسنا جائزا خاصة، و علی أصولنا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کل خطأ و قبیح کبیر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خطأهم کان صغیرا، فانحبط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تذهب إلیه المعتزلة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فلأجل ذلک لم یقطعوا الموالاة و ترکوا التفسیق فیه و التضلیل</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قال قائل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أکثر ما فی هذا الاعتبار أن یدل علی أنهم غیر مؤاخذین بالعمل بهذه الأخبار، و أنه قد عفی عنهم، و ذلک لا یدل علی صوابهم، لأنه لا یمتنع </w:t>
      </w:r>
    </w:p>
    <w:p>
      <w:pPr>
        <w:pStyle w:val="BookText"/>
        <w:rPr/>
      </w:pPr>
      <w:r>
        <w:rPr>
          <w:rFonts w:ascii="IRNazanin" w:hAnsi="IRNazanin" w:eastAsia="IRNazanin"/>
          <w:color w:val="111111"/>
          <w:sz w:val="28"/>
          <w:sz w:val="28"/>
          <w:szCs w:val="28"/>
          <w:rtl w:val="true"/>
          <w:lang w:bidi="fa-IR"/>
        </w:rPr>
        <w:t>أن یکون من خالف الدلیل منهم أخطأ و أثم و استحق العقاب، إلا أنه عفی له عن خطئه و أسقط عنه ما استحقه من العقاب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الجواب عن ذلک من 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غرضنا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اخترناه من المذهب هو هذا، و أن من عمل بهذه الأخبار لا یکون فاسقا مستحقا للعقاب، فإذا سلم لنا ذلک ثبت لنا ما هو الغرض المقصود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الثانی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ذلک لا یجوز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لو کان قد عفی لهم عن العمل بذلک مع أنه قبیح یستحق به العقاب و أسقط عقابهم، لکانوا مغیرین بالقبیح و ذلک لا یجوز، لأنهم إذا علموا أنهم إذا عملوا بهذه الأخبار لا یستحقون العقاب لم یصرفهم عن العمل بها صارف، فلو کان فیها ما هو قبیح العمل به لما جاز ذلک علی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کانت هذه الطریقة دالة علی جواز العمل بما اختلف من الأخبار المتعلقة بالشرع من حیث لم ینکر بعضهم علی بعض، و لم یفسق بعضهم بعضا، ینبغی أن تکون دالة علی صوابهم فیما طریقه العلم، فإنهم قد اختلفوا فی الجبر، و التشبیه، و التجسیم، و الصورة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ذلک، و اختلفوا فی أعیان الأئمة، و لم نرهم قطعوا الموالاة و لا أنکروا علی من خالفهم، و ذلک یبطل ما اعتمدتموه</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جمیع ما عددتموه من الاختلاف الواقع بین الطائفة فإن النکیر واقع فیه من الطائفة، و التفسیق حاصل فیه، و ربما تجاوزوا ذلک أیضا إلی التکفیر و ذلک أشهر من أن یخفی، حتی أن کثیرا منهم جعل ذلک طعنا علی روایة من خالفه فی المذاهب التی ذکرت فی السؤال، و صنفوا فی ذلک الکتب، و صدر عن الأئمة علیهم السلام </w:t>
      </w:r>
    </w:p>
    <w:p>
      <w:pPr>
        <w:pStyle w:val="BookText"/>
        <w:rPr/>
      </w:pPr>
      <w:r>
        <w:rPr>
          <w:rFonts w:ascii="IRNazanin" w:hAnsi="IRNazanin" w:eastAsia="IRNazanin"/>
          <w:color w:val="111111"/>
          <w:sz w:val="28"/>
          <w:sz w:val="28"/>
          <w:szCs w:val="28"/>
          <w:rtl w:val="true"/>
          <w:lang w:bidi="fa-IR"/>
        </w:rPr>
        <w:t>أیضا النکیر علیهم، نحو إنکارهم علی من یقول بالتجسیم، و التشبیه، و الصورة، و الغلو</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راجع الروایات الواردة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أصول الکافی </w:t>
      </w:r>
      <w:r>
        <w:rPr>
          <w:rFonts w:eastAsia="IRNazanin" w:cs="IRNazanin"/>
          <w:color w:val="111111"/>
          <w:sz w:val="28"/>
          <w:szCs w:val="28"/>
          <w:lang w:bidi="fa-IR"/>
        </w:rPr>
        <w:t>112:1</w:t>
      </w:r>
      <w:r>
        <w:rPr>
          <w:rFonts w:eastAsia="IRNazanin" w:cs="IRNazanin"/>
          <w:color w:val="111111"/>
          <w:sz w:val="28"/>
          <w:szCs w:val="28"/>
          <w:rtl w:val="true"/>
          <w:lang w:bidi="fa-IR"/>
        </w:rPr>
        <w:t>-</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و معجم رجال الحدیث </w:t>
      </w:r>
      <w:r>
        <w:rPr>
          <w:rFonts w:eastAsia="IRNazanin" w:cs="IRNazanin"/>
          <w:color w:val="111111"/>
          <w:sz w:val="28"/>
          <w:szCs w:val="28"/>
          <w:lang w:bidi="fa-IR"/>
        </w:rPr>
        <w:t>255:14</w:t>
      </w:r>
      <w:r>
        <w:rPr>
          <w:rFonts w:eastAsia="IRNazanin" w:cs="IRNazanin"/>
          <w:color w:val="111111"/>
          <w:sz w:val="28"/>
          <w:szCs w:val="28"/>
          <w:rtl w:val="true"/>
          <w:lang w:bidi="fa-IR"/>
        </w:rPr>
        <w:t>-</w:t>
      </w:r>
      <w:r>
        <w:rPr>
          <w:rFonts w:eastAsia="IRNazanin" w:cs="IRNazanin"/>
          <w:color w:val="111111"/>
          <w:sz w:val="28"/>
          <w:szCs w:val="28"/>
          <w:lang w:bidi="fa-IR"/>
        </w:rPr>
        <w:t>244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غیر ذلک، و کذلک من خالف فی أعیان الأئمة علیهم السلام، لأنهم جعلوا ما یختص الفطحیة، و الواقفة، و الناووسیة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غیرهم من الفرق المختلفة بروایته لا یقبلونه و لا یلتفتون إلیه، فلو کان اختلافهم فی العمل بأخبار الآحاد یجری مجری اختلافهم فی المذاهب التی أشرنا إلیها لوجب أن یجروا فیها ذلک المجری، و من نظر فی الکتب و سبر أحوال الطائفة و أقاویلها وجد الأمر بخلاف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أیضا طریقة معتمدة فی هذا الباب</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مما یدل أیضا علی صحة ما ذهبنا إلیه، أنا وجدنا الطائفة میزت الرّجال الناقلة لهذه الأخبار، و وثقت الثقات منهم، و ضعفت الضعفاء، و فرقوا بین من یعتمد علی حدیثه و روایته، و من لا یعتمد علی خبره، و مدحوا الممدوح منهم و ذموا المذموم، و قالوا فلان متهم فی حدیثه، و فلان کذاب، و فلان مخلط، و فلان مخالف فی المذهب و الاعتقاد، و فلان واقفی، و فلان فطحی، و غیر ذلک من الطعون التی ذکروها، و صنفوا فی ذلک الکتب، و استثنوا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الرّجال من جملة ما رووه من التصانیف فی فهارسهم، حتی إن واحدا منهم إذا أنکر حدیثا نظر فی إسناده و ضعفه برواته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هذه عادتهم علی قدیم الوقت و حدیثه لا تنخرم، فلو لا أن العمل بما یسلم من الطعن و یرویه من هو موثوق به جائز، لما کان بینه و بین غیره فرق، و کان یکون خبره مطروحا</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مطرحا</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 خبر غیره، فلا یکون فائدة لشروعهم فیما شرعوا فیه من التضعیف و التوثیق و ترجیح الأخبار بعضها علی بعض، و فی ثبوت ذلک دلیل علی صحة ما اخترنا</w:t>
      </w:r>
      <w:r>
        <w:rPr>
          <w:rFonts w:eastAsia="IRNazanin" w:cs="IRNazanin"/>
          <w:color w:val="111111"/>
          <w:sz w:val="28"/>
          <w:szCs w:val="28"/>
          <w:rtl w:val="true"/>
          <w:lang w:bidi="fa-IR"/>
        </w:rPr>
        <w:t>.</w:t>
      </w:r>
      <w:bookmarkStart w:id="75" w:name="pg6519_49221"/>
    </w:p>
    <w:p>
      <w:pPr>
        <w:pStyle w:val="Heading4"/>
        <w:numPr>
          <w:ilvl w:val="3"/>
          <w:numId w:val="1"/>
        </w:numPr>
        <w:rPr/>
      </w:pPr>
      <w:bookmarkStart w:id="76" w:name="__RefHeading___Toc1757205_653776707"/>
      <w:bookmarkStart w:id="77" w:name="_Toc26"/>
      <w:bookmarkEnd w:id="75"/>
      <w:bookmarkEnd w:id="76"/>
      <w:r>
        <w:rPr/>
        <w:t>5</w:t>
      </w:r>
      <w:r>
        <w:rPr>
          <w:rtl w:val="true"/>
        </w:rPr>
        <w:t xml:space="preserve">- </w:t>
      </w:r>
      <w:r>
        <w:rPr>
          <w:rtl w:val="true"/>
        </w:rPr>
        <w:t xml:space="preserve">فصل </w:t>
      </w:r>
      <w:r>
        <w:rPr>
          <w:rtl w:val="true"/>
        </w:rPr>
        <w:t>«</w:t>
      </w:r>
      <w:r>
        <w:rPr>
          <w:rtl w:val="true"/>
        </w:rPr>
        <w:t>فی ذکر القرائن التی تدل علی صحة أخبار الآحاد أو علی بطلانها</w:t>
      </w:r>
      <w:bookmarkEnd w:id="77"/>
    </w:p>
    <w:p>
      <w:pPr>
        <w:pStyle w:val="BookText"/>
        <w:rPr/>
      </w:pPr>
      <w:r>
        <w:rPr>
          <w:rFonts w:ascii="IRNazanin" w:hAnsi="IRNazanin" w:eastAsia="IRNazanin"/>
          <w:color w:val="111111"/>
          <w:sz w:val="28"/>
          <w:sz w:val="28"/>
          <w:szCs w:val="28"/>
          <w:rtl w:val="true"/>
          <w:lang w:bidi="fa-IR"/>
        </w:rPr>
        <w:t>، و ما ترجح به الأخبار بعضها علی بعض، و حکم المراسیل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القرائن التی تدل علی صحة متضمن الأخبار التی لا توجب العلم أربع</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أشیاء أربعة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أشیاء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تکون موافقة لأدلة العقل و ما اقتضاه، لأن الأشیاء فی العقل إذا کانت إما علی الخطر أو الإباحة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مذهب 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الوقف علی ما نذهب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فمتی ورد الخبر متضمنا للحظر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الإباحة و لا یکون هناک ما یدل علی العمل بخلافه، وجب أن یکون ذلک دلیلا علی صحة متضمنه عند من اختار ذلک</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علی مذهبنا الّذی نختاره فی الوقف، فمتی ورد الخبر موافقا لذلک، </w:t>
      </w:r>
    </w:p>
    <w:p>
      <w:pPr>
        <w:pStyle w:val="BookText"/>
        <w:rPr/>
      </w:pPr>
      <w:r>
        <w:rPr>
          <w:rFonts w:ascii="IRNazanin" w:hAnsi="IRNazanin" w:eastAsia="IRNazanin"/>
          <w:color w:val="111111"/>
          <w:sz w:val="28"/>
          <w:sz w:val="28"/>
          <w:szCs w:val="28"/>
          <w:rtl w:val="true"/>
          <w:lang w:bidi="fa-IR"/>
        </w:rPr>
        <w:t>و تضمن وجوب التوقف کان دلیلا</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کان ذلک دلیلا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أیضا علی صحة متضمنه، إلا أن یدل دلیل علی العمل بأحدهما فیترک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له الخبر و الأصل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متی کان الخبر متناولا للحظر، و لم یکن هناک دلیل یدل علی الإباحة، فینبغی أیضا المصیر إلیه، و لا یجوز العمل بخلافه، إلا أن یدل دلیل یوجب العمل بخلافه، لأن هذا</w:t>
      </w:r>
      <w:r>
        <w:rPr>
          <w:rStyle w:val="FootnoteAnchor"/>
          <w:rtl w:val="true"/>
        </w:rPr>
        <w:footnoteReference w:id="262"/>
      </w:r>
      <w:r>
        <w:rPr>
          <w:rFonts w:ascii="IRNazanin" w:hAnsi="IRNazanin" w:eastAsia="IRNazanin"/>
          <w:color w:val="111111"/>
          <w:sz w:val="28"/>
          <w:sz w:val="28"/>
          <w:szCs w:val="28"/>
          <w:rtl w:val="true"/>
          <w:lang w:bidi="fa-IR"/>
        </w:rPr>
        <w:t>حکم مستفاد بالعقل، و لا ینبغی أن یقطع</w:t>
      </w:r>
      <w:r>
        <w:rPr>
          <w:rStyle w:val="FootnoteAnchor"/>
          <w:rtl w:val="true"/>
        </w:rPr>
        <w:footnoteReference w:id="263"/>
      </w:r>
      <w:r>
        <w:rPr>
          <w:rFonts w:ascii="IRNazanin" w:hAnsi="IRNazanin" w:eastAsia="IRNazanin"/>
          <w:color w:val="111111"/>
          <w:sz w:val="28"/>
          <w:sz w:val="28"/>
          <w:szCs w:val="28"/>
          <w:rtl w:val="true"/>
          <w:lang w:bidi="fa-IR"/>
        </w:rPr>
        <w:t>علی حظر ما تضمنه ذلک الخبر لأنه خبر واحد لا یوجب العلم فنقطع به، و لا هو موجب</w:t>
      </w:r>
      <w:r>
        <w:rPr>
          <w:rStyle w:val="FootnoteAnchor"/>
          <w:rtl w:val="true"/>
        </w:rPr>
        <w:footnoteReference w:id="264"/>
      </w:r>
      <w:r>
        <w:rPr>
          <w:rFonts w:ascii="IRNazanin" w:hAnsi="IRNazanin" w:eastAsia="IRNazanin"/>
          <w:color w:val="111111"/>
          <w:sz w:val="28"/>
          <w:sz w:val="28"/>
          <w:szCs w:val="28"/>
          <w:rtl w:val="true"/>
          <w:lang w:bidi="fa-IR"/>
        </w:rPr>
        <w:t>العمل فنعمل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الخبر متضمنا للإباحة، و لا یکون هناک خبر آخر أو دلیل شرعی یدل علی خلافه، وجب الانتقال إلیه و العمل به و ترک ما اقتضاه الأصل</w:t>
      </w:r>
      <w:r>
        <w:rPr>
          <w:rStyle w:val="FootnoteAnchor"/>
          <w:rtl w:val="true"/>
        </w:rPr>
        <w:footnoteReference w:id="265"/>
      </w:r>
      <w:r>
        <w:rPr>
          <w:rFonts w:ascii="IRNazanin" w:hAnsi="IRNazanin" w:eastAsia="IRNazanin"/>
          <w:color w:val="111111"/>
          <w:sz w:val="28"/>
          <w:sz w:val="28"/>
          <w:szCs w:val="28"/>
          <w:rtl w:val="true"/>
          <w:lang w:bidi="fa-IR"/>
        </w:rPr>
        <w:t>، لأن هذا فائدة العمل بأخبار الآحاد، و لا ینبغی أن یقطع علی ما تضمنه، لما قدمناه من</w:t>
      </w:r>
      <w:r>
        <w:rPr>
          <w:rStyle w:val="FootnoteAnchor"/>
          <w:rtl w:val="true"/>
        </w:rPr>
        <w:footnoteReference w:id="266"/>
      </w:r>
      <w:r>
        <w:rPr>
          <w:rFonts w:ascii="IRNazanin" w:hAnsi="IRNazanin" w:eastAsia="IRNazanin"/>
          <w:color w:val="111111"/>
          <w:sz w:val="28"/>
          <w:sz w:val="28"/>
          <w:szCs w:val="28"/>
          <w:rtl w:val="true"/>
          <w:lang w:bidi="fa-IR"/>
        </w:rPr>
        <w:t>وروده موردا لا یوجب العلم</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الخبر مطابقا لنص الکتاب</w:t>
      </w:r>
      <w:r>
        <w:rPr>
          <w:rStyle w:val="FootnoteAnchor"/>
          <w:rtl w:val="true"/>
        </w:rPr>
        <w:footnoteReference w:id="267"/>
      </w:r>
      <w:r>
        <w:rPr>
          <w:rFonts w:ascii="IRNazanin" w:hAnsi="IRNazanin" w:eastAsia="IRNazanin"/>
          <w:color w:val="111111"/>
          <w:sz w:val="28"/>
          <w:sz w:val="28"/>
          <w:szCs w:val="28"/>
          <w:rtl w:val="true"/>
          <w:lang w:bidi="fa-IR"/>
        </w:rPr>
        <w:t>إما خصوصه، أو عمومه، أو دلیله، أو فحواه، فإن جمیع ذلک دلیل علی صحة متضمنه، إلا أن یدل دلیل یوجب العلم</w:t>
      </w:r>
      <w:r>
        <w:rPr>
          <w:rStyle w:val="FootnoteAnchor"/>
          <w:rtl w:val="true"/>
        </w:rPr>
        <w:footnoteReference w:id="268"/>
      </w:r>
      <w:r>
        <w:rPr>
          <w:rFonts w:ascii="IRNazanin" w:hAnsi="IRNazanin" w:eastAsia="IRNazanin"/>
          <w:color w:val="111111"/>
          <w:sz w:val="28"/>
          <w:sz w:val="28"/>
          <w:szCs w:val="28"/>
          <w:rtl w:val="true"/>
          <w:lang w:bidi="fa-IR"/>
        </w:rPr>
        <w:t>یقترن بذلک الخبر یدل علی جواز تخصیص العموم به، أو ترک دلیل الخطاب فیجب حینئذ المصیر إلیه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إنما قلنا ذلک لما نبینه فیما بعد من المنع من جواز تخصیص العموم بأخبار الآحاد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الخبر موافقا للسنة المقطوع بها من جهة التواتر، فإن ما یتضمنه الخبر الواحد إذا وافقه، مقطوع علی صحته أیضا و جواز</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 xml:space="preserve">فی النسخ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ما فی النسخ اسم إن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العمل به، و إن لم یکن ذلک دلیلا علی صحة نفس الخبر لجواز</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أن یکون الخبر کذبا و إن وافق السنة المقطوع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موافقا لما أجمعت الفرقة المحقة علیه، فإنه متی کان کذلک دل أیضا علی صحة متضمنه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یمکننا أیضا أن نجعل إجماعهم دلیلا علی صحة نفس الخبر، لأنهم یجوز أن یکونوا أجمعوا علی ذلک عن دلیل غیر هذا الخبر، أو خبر غیر هذا الخبر و لم ینقلوه استغناء بإجماعهم علی العمل به، و لا یدل ذلک علی صحة نفس هذا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فهذه القرائن کلها تدل علی صحة متضمن أخبار الآحاد، و لا یدل علی صحتها أنفسها، لما بیناه من جواز أن تکون الأخبار مصنوعة و إن وافقت هذه الأدلة، فمتی تجرد الخبر عن واحد من هذه القرائن کان خبر واحد محضا، ثم ینظر فیه فإن کان ما تضمنه هذا الخبر هناک ما یدل علی خلاف متضمنه من کتاب أو سنة أو إجماع وجب إطراحه و العمل بما دل الدلیل علیه، و إن کان ما تضمنه لیس هناک ما یدل علی العمل بخلافه، و لا یعرف فتوی الطائفة فیه، نظر فإن کان هناک خبر آخر یعارضه مما یجری مجراه وجب ترجیح أحدهما علی الآخر، و سنبین من بعد ما یرجح به الأخبار بعضها علی بعض</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لم یکن هناک خبر آخر مخالفه</w:t>
      </w:r>
      <w:r>
        <w:rPr>
          <w:rStyle w:val="FootnoteAnchor"/>
          <w:rtl w:val="true"/>
        </w:rPr>
        <w:footnoteReference w:id="270"/>
      </w:r>
      <w:r>
        <w:rPr>
          <w:rFonts w:ascii="IRNazanin" w:hAnsi="IRNazanin" w:eastAsia="IRNazanin"/>
          <w:color w:val="111111"/>
          <w:sz w:val="28"/>
          <w:sz w:val="28"/>
          <w:szCs w:val="28"/>
          <w:rtl w:val="true"/>
          <w:lang w:bidi="fa-IR"/>
        </w:rPr>
        <w:t xml:space="preserve">وجب العمل به، لأن ذلک إجماع منهم </w:t>
      </w:r>
    </w:p>
    <w:p>
      <w:pPr>
        <w:pStyle w:val="BookText"/>
        <w:rPr/>
      </w:pPr>
      <w:r>
        <w:rPr>
          <w:rFonts w:ascii="IRNazanin" w:hAnsi="IRNazanin" w:eastAsia="IRNazanin"/>
          <w:color w:val="111111"/>
          <w:sz w:val="28"/>
          <w:sz w:val="28"/>
          <w:szCs w:val="28"/>
          <w:rtl w:val="true"/>
          <w:lang w:bidi="fa-IR"/>
        </w:rPr>
        <w:t>علی نقله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فإذا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أجمعوا علی نقله و لیس هناک دلیل علی العمل بخلافه، فینبغی أن یکون العمل به مقطوعا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إن وجد هناک فتاوی مختلفة من الطائفة، و لیس القول المخالف له مستندا إلی خبر آخر، و لا إلی دلیل یوجب العلم</w:t>
      </w:r>
      <w:r>
        <w:rPr>
          <w:rStyle w:val="FootnoteAnchor"/>
          <w:rtl w:val="true"/>
        </w:rPr>
        <w:footnoteReference w:id="272"/>
      </w:r>
      <w:r>
        <w:rPr>
          <w:rFonts w:ascii="IRNazanin" w:hAnsi="IRNazanin" w:eastAsia="IRNazanin"/>
          <w:color w:val="111111"/>
          <w:sz w:val="28"/>
          <w:sz w:val="28"/>
          <w:szCs w:val="28"/>
          <w:rtl w:val="true"/>
          <w:lang w:bidi="fa-IR"/>
        </w:rPr>
        <w:t>وجب إطراح القول الآخر و العمل بالقول الموافق لهذا الخبر، لأن ذلک القول لا بد أن یکون علیه 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لم یکن هناک دلیل یدل علی صحته، و لسنا نقول بالاجتهاد</w:t>
      </w:r>
      <w:r>
        <w:rPr>
          <w:rStyle w:val="FootnoteAnchor"/>
          <w:rtl w:val="true"/>
        </w:rPr>
        <w:footnoteReference w:id="273"/>
      </w:r>
      <w:r>
        <w:rPr>
          <w:rFonts w:ascii="IRNazanin" w:hAnsi="IRNazanin" w:eastAsia="IRNazanin"/>
          <w:color w:val="111111"/>
          <w:sz w:val="28"/>
          <w:sz w:val="28"/>
          <w:szCs w:val="28"/>
          <w:rtl w:val="true"/>
          <w:lang w:bidi="fa-IR"/>
        </w:rPr>
        <w:t>و القیاس یسند ذلک القول إلیه، و لا هناک خبر آخر یضاف إلیه، وجب أن یکون ذلک القول مطرحا، و وجب العمل بهذا الخبر، و الأخذ بالقول الّذی یوافقه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القرائن التی تدل علی العمل بخلاف ما یتضمنه الخبر الواحد، فهو أن یکون هناک دلیل مقطوع به من کتاب، أو سنة مقطوع بها، أو إجماع من الفرقة المحقة علی العمل بخلاف ما تضمنه، فإن جمیع ذلک یوجب ترک العمل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قلنا ذلک، لأن هذه الأدلة توجب العلم، و الخبر الواحد لا یوجب العلم و إنما یقتضی غالب الظن</w:t>
      </w:r>
      <w:r>
        <w:rPr>
          <w:rStyle w:val="FootnoteAnchor"/>
          <w:rtl w:val="true"/>
        </w:rPr>
        <w:footnoteReference w:id="274"/>
      </w:r>
      <w:r>
        <w:rPr>
          <w:rFonts w:ascii="IRNazanin" w:hAnsi="IRNazanin" w:eastAsia="IRNazanin"/>
          <w:color w:val="111111"/>
          <w:sz w:val="28"/>
          <w:sz w:val="28"/>
          <w:szCs w:val="28"/>
          <w:rtl w:val="true"/>
          <w:lang w:bidi="fa-IR"/>
        </w:rPr>
        <w:t>، و الظن لا یقابل العلم</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روی عنهم علیهم السلام أنهم قالوا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جاءکم عنا حدیثان فاعرضوهما علی کتاب اللّه و سنة رسوله صلی اللّه علیه و آله و سلم فإن وافقهما فخذوا به، و ما لم یوافقهما فردوه إلینا</w:t>
      </w:r>
      <w:r>
        <w:rPr>
          <w:rFonts w:eastAsia="IRNazanin" w:cs="IRNazanin"/>
          <w:color w:val="111111"/>
          <w:sz w:val="28"/>
          <w:szCs w:val="28"/>
          <w:rtl w:val="true"/>
          <w:lang w:bidi="fa-IR"/>
        </w:rPr>
        <w:t>»</w:t>
      </w:r>
      <w:r>
        <w:rPr>
          <w:rStyle w:val="FootnoteAnchor"/>
          <w:rtl w:val="true"/>
        </w:rPr>
        <w:footnoteReference w:id="275"/>
      </w:r>
      <w:r>
        <w:rPr>
          <w:rFonts w:ascii="IRNazanin" w:hAnsi="IRNazanin" w:eastAsia="IRNazanin"/>
          <w:color w:val="111111"/>
          <w:sz w:val="28"/>
          <w:sz w:val="28"/>
          <w:szCs w:val="28"/>
          <w:rtl w:val="true"/>
          <w:lang w:bidi="fa-IR"/>
        </w:rPr>
        <w:t xml:space="preserve">فلأجل ذلک رددنا هذا الخبر، و لا یجب علی هذا أن نقطع علی بطلانه فی نفسه، لأنه لا یمتنع أن یکون الخبر فی نفسه صحیحا و له وجه </w:t>
      </w:r>
    </w:p>
    <w:p>
      <w:pPr>
        <w:pStyle w:val="BookText"/>
        <w:rPr/>
      </w:pPr>
      <w:r>
        <w:rPr>
          <w:rFonts w:ascii="IRNazanin" w:hAnsi="IRNazanin" w:eastAsia="IRNazanin"/>
          <w:color w:val="111111"/>
          <w:sz w:val="28"/>
          <w:sz w:val="28"/>
          <w:szCs w:val="28"/>
          <w:rtl w:val="true"/>
          <w:lang w:bidi="fa-IR"/>
        </w:rPr>
        <w:t>من التأویل لا نقف علیه، أو خرج علی سبب خفی علینا الحال فیه، أو تناول شخصا بعینه، أو خرج مخرج التقیة و غیر ذلک من الوجوه، فلا یمکننا أن نقطع علی کذبه، و إنما یجب الامتناع من العمل به حسب ما قدمناه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الأخبار إذا تعارضت و تقابلت فإنه یحتاج فی العمل ببعضها إلی ترجیح، و الترجیح یکون بأشیاء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أحد الخبرین موافقا للکتاب أو السنة المقطوع بها و الآخر مخالفا لهما، فإنه یجب العمل بما وافقهما و ترک العمل بما خالفهما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إن وافق أحدهما إجماع الفرقة المحقة و الآخر یخالفه، وجب العمل بما یوافق إجماعهم و یترک</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ترک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العمل بما یخالفه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لم یکن مع أحد الخبرین شیء من ذلک، و کانت فتیا الطائفة مختلفة، نظر فی حال رواتهما فما کان راویه عدلا وجب العمل به و ترک العمل بما لم یروه العدل، و سنبین القول فی العدالة المراعاة فی هذا الباب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کان رواتهما جمیعا عدلین، نظر فی أکثرهما رواة عمل به و ترک العمل بقلیل الرّواة</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کان رواتهما متساویین فی العدد و العدالة، عمل بأبعدهما من قول العامة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یترک العمل بما یوافقهم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إن کان الخبران یوافقان العامة أو یخالفانها جمیعا نظر فی حالهما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کان متی عمل بأحد الخبرین أمکن العمل بالخبر الآخر علی وجه من الوجوه و ضرب من التأویل، و إذا عمل بالخبر الآخر لا یمکن العمل بهذا الخبر، وجب العمل بالخبر الّذی یمکن مع العمل به العمل بالخبر الآخر، لأن الخبرین جمیعا منقولان مجمع علی نقلهما، و لیس هناک قرینة تدل علی صحة أحدهما، و لا ما یرجح أحدهما به علی الآخر فینبغی أن یعمل بها إذا أمکن و لا یعمل بالخبر الّذی إذا عمل به وجب إطراح العمل بالخبر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إن لم یمکن العمل بهما جمیعا لتضادهما و تنافیهما و أمکن حمل کل واحد منهما علی ما یوافق الخبر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الآخر</w:t>
      </w:r>
      <w:r>
        <w:rPr>
          <w:rFonts w:eastAsia="IRNazanin" w:cs="IRNazanin"/>
          <w:color w:val="111111"/>
          <w:sz w:val="28"/>
          <w:szCs w:val="28"/>
          <w:rtl w:val="true"/>
          <w:lang w:bidi="fa-IR"/>
        </w:rPr>
        <w:t>)</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زیادة من النسخة 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وجه، کان الإنسان مخیرا فی العمل بأیهما شاء</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العدالة المراعاة فی ترجیح أحد الخبرین علی الآخر فهو</w:t>
      </w:r>
      <w:r>
        <w:rPr>
          <w:rStyle w:val="FootnoteAnchor"/>
          <w:rtl w:val="true"/>
        </w:rPr>
        <w:footnoteReference w:id="2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الراوی معتقدا للحق، مستبصرا، ثقة فی دینه، متحرجا من الکذب، غیر متهم فیما </w:t>
      </w:r>
    </w:p>
    <w:p>
      <w:pPr>
        <w:pStyle w:val="BookText"/>
        <w:rPr/>
      </w:pPr>
      <w:r>
        <w:rPr>
          <w:rFonts w:ascii="IRNazanin" w:hAnsi="IRNazanin" w:eastAsia="IRNazanin"/>
          <w:color w:val="111111"/>
          <w:sz w:val="28"/>
          <w:sz w:val="28"/>
          <w:szCs w:val="28"/>
          <w:rtl w:val="true"/>
          <w:lang w:bidi="fa-IR"/>
        </w:rPr>
        <w:t>یرویه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إذا کان مخالفا فی الاعتقاد لأصل المذهب و روی مع ذلک عن الأئمة علیهم السلام نظر فیما یرویه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کان هناک من طرق الموثوق بهم ما یخالفه وجب إطراح خبره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لم یکن هناک ما یوجب إطراح خبره، و یکون هناک ما یوافقه وجب العمل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لم یکن من الفرقة</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 xml:space="preserve">و إن لم یکن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الفرقة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المحقة خبر یوافق ذلک و لا یخالفه، و لا یعرف لهم قول فیه، وجب أیضا العمل به، لما روی عن الصادق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نزلت بکم حادثة لا تجدون حکمها فیما رووا عنا فانظروا إلی ما رووا عن علی علیه السلام فاعملوا 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و لأجل ما قلناه عملت الطائفة بما رواه حفص بن غیاث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غیاث بن کلوب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نوح بن دراج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السکونی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غیرهم من العامة عن أئمتنا علیهم</w:t>
      </w:r>
    </w:p>
    <w:p>
      <w:pPr>
        <w:pStyle w:val="BookText"/>
        <w:rPr/>
      </w:pPr>
      <w:r>
        <w:rPr>
          <w:rFonts w:ascii="IRNazanin" w:hAnsi="IRNazanin" w:eastAsia="IRNazanin"/>
          <w:color w:val="111111"/>
          <w:sz w:val="28"/>
          <w:sz w:val="28"/>
          <w:szCs w:val="28"/>
          <w:rtl w:val="true"/>
          <w:lang w:bidi="fa-IR"/>
        </w:rPr>
        <w:t>السلام، فیما لم ینکروه و لم یکن عندهم 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و أما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کان الراوی من فرق الشیعة مثل الفطحیة، و الواقفة، و الناووسیة و غیرهم نظر فیما یرویه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کان هناک قرینة تعضده، أو خبر آخر من جهة الموثوقین بهم، وجب العمل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هناک خبر آخر یخالفه من طریق الموثوقین، وجب إطراح ما اختصوا بروایته و العمل بما رواه الثقة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ما رووه لیس هناک ما یخالفه، و لا یعرف من الطائفة العمل بخلافه، وجب أیضا العمل به إذا کان متحرجا فی روایته موثوقا فی أمانته، و إن کان مخطئا فی أصل الاعتقاد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لأجل</w:t>
      </w:r>
      <w:r>
        <w:rPr>
          <w:rStyle w:val="FootnoteAnchor"/>
          <w:rtl w:val="true"/>
        </w:rPr>
        <w:footnoteReference w:id="281"/>
      </w:r>
      <w:r>
        <w:rPr>
          <w:rFonts w:ascii="IRNazanin" w:hAnsi="IRNazanin" w:eastAsia="IRNazanin"/>
          <w:color w:val="111111"/>
          <w:sz w:val="28"/>
          <w:sz w:val="28"/>
          <w:szCs w:val="28"/>
          <w:rtl w:val="true"/>
          <w:lang w:bidi="fa-IR"/>
        </w:rPr>
        <w:t xml:space="preserve">ما قلناه عملت الطائفة بأخبار الفطحیة مثل عبد اللّه بن بکیر و غیره، و أخبار الواقفة مثل سماعة بن مهران، و علی بن أبی حمزة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عثمان بن عیسی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من بعد هؤلاء بما رواه بنو فضال، و بنو سماعة، و الطاطریون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غیرهم فیما لم یکن </w:t>
      </w:r>
    </w:p>
    <w:p>
      <w:pPr>
        <w:pStyle w:val="BookText"/>
        <w:rPr/>
      </w:pPr>
      <w:r>
        <w:rPr>
          <w:rFonts w:ascii="IRNazanin" w:hAnsi="IRNazanin" w:eastAsia="IRNazanin"/>
          <w:color w:val="111111"/>
          <w:sz w:val="28"/>
          <w:sz w:val="28"/>
          <w:szCs w:val="28"/>
          <w:rtl w:val="true"/>
          <w:lang w:bidi="fa-IR"/>
        </w:rPr>
        <w:t>عندهم فیه 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ترویه الغلاة، و المتهمون، و المضعفون و غیر هؤلاء، فما یختص الغلاة بروایته، فإن کانوا ممن عرف لهم حال استقامة و حال غلو، عمل بما رووه فی حال الاستقامة و ترک ما رووه فی حال خطائهم</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تخلیطهم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 و لأجل ذلک عملت الطائفة بما رواه أبو الخطاب محمد بن أبی زینب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حال استقامته و ترکوا ما رواه فی حال تخلیطه، و کذلک القول فی أحمد بن هلال العبرتائی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ابن أبی عذافر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هؤلاء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ما یرویه فی حال تخلیطهم فلا یجوز العمل به علی کل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القول فیما ترویه المتهمون و المضعفون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هناک ما یعضد روایتهم و یدل علی صحتها وجب العمل به</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لم یکن هناک ما یشهد لروایتهم بالصحّة وجب التوقف فی أخبارهم، و لأجل</w:t>
      </w:r>
      <w:r>
        <w:rPr>
          <w:rStyle w:val="FootnoteAnchor"/>
          <w:rtl w:val="true"/>
        </w:rPr>
        <w:footnoteReference w:id="283"/>
      </w:r>
      <w:r>
        <w:rPr>
          <w:rFonts w:ascii="IRNazanin" w:hAnsi="IRNazanin" w:eastAsia="IRNazanin"/>
          <w:color w:val="111111"/>
          <w:sz w:val="28"/>
          <w:sz w:val="28"/>
          <w:szCs w:val="28"/>
          <w:rtl w:val="true"/>
          <w:lang w:bidi="fa-IR"/>
        </w:rPr>
        <w:t>ذلک توقف المشایخ عن أخبار کثیرة هذه صورتها و لم یرووها و استثنوها فی فهارسهم من جملة ما یروونه من التصنیفات</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فأما من کان مخطئا فی بعض الأفعال، أو فاسقا بأفعال</w:t>
      </w:r>
      <w:r>
        <w:rPr>
          <w:rStyle w:val="FootnoteAnchor"/>
          <w:rtl w:val="true"/>
        </w:rPr>
        <w:footnoteReference w:id="285"/>
      </w:r>
    </w:p>
    <w:p>
      <w:pPr>
        <w:pStyle w:val="BookText"/>
        <w:rPr/>
      </w:pPr>
      <w:r>
        <w:rPr>
          <w:rFonts w:ascii="IRNazanin" w:hAnsi="IRNazanin" w:eastAsia="IRNazanin"/>
          <w:color w:val="111111"/>
          <w:sz w:val="28"/>
          <w:sz w:val="28"/>
          <w:szCs w:val="28"/>
          <w:rtl w:val="true"/>
          <w:lang w:bidi="fa-IR"/>
        </w:rPr>
        <w:t>فی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أفعال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الجوارح، و کان ثقة فی روایته متحرزا فیها، فإن ذلک لا یوجب رد خبره، و یجوز العمل به لأن العدالة المطلوبة فی الروایة حاصلة فیه، و إنما الفسق بأفعال الجوارح یمنع من قبول شهادته و لیس بمانع من قبول خبره، و لأجل ذلک قبلت الطائفة أخبار جماعة هذه صفتهم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ترجیح أحد الخبرین علی الآخر من حیث إن أحدهما یقتضی الحظر و الآخر الإباحة، و الأخذ بما یقتضیه</w:t>
      </w:r>
      <w:r>
        <w:rPr>
          <w:rStyle w:val="FootnoteAnchor"/>
          <w:rtl w:val="true"/>
        </w:rPr>
        <w:footnoteReference w:id="286"/>
      </w:r>
      <w:r>
        <w:rPr>
          <w:rFonts w:ascii="IRNazanin" w:hAnsi="IRNazanin" w:eastAsia="IRNazanin"/>
          <w:color w:val="111111"/>
          <w:sz w:val="28"/>
          <w:sz w:val="28"/>
          <w:szCs w:val="28"/>
          <w:rtl w:val="true"/>
          <w:lang w:bidi="fa-IR"/>
        </w:rPr>
        <w:t>الحظر أولی أو الإباحة</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فلا یمکن الاعتماد علیه علی ما نذهب إلیه فی الوقف، لأن الحظر و الإباحة عندنا</w:t>
      </w:r>
      <w:r>
        <w:rPr>
          <w:rStyle w:val="FootnoteAnchor"/>
          <w:rtl w:val="true"/>
        </w:rPr>
        <w:footnoteReference w:id="288"/>
      </w:r>
      <w:r>
        <w:rPr>
          <w:rFonts w:ascii="IRNazanin" w:hAnsi="IRNazanin" w:eastAsia="IRNazanin"/>
          <w:color w:val="111111"/>
          <w:sz w:val="28"/>
          <w:sz w:val="28"/>
          <w:szCs w:val="28"/>
          <w:rtl w:val="true"/>
          <w:lang w:bidi="fa-IR"/>
        </w:rPr>
        <w:t>مستفادان بالشرع فلا ترجیح بذلک، و ینبغی لنا التوقف فیهما جمیعا، أو یکون الإنسان فیهما مخیرا فی العمل بأیهما 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کان أحد الراویین یروی الخبر بلفظه و الآخر بمعناه ینظر فی حال الّذی یرویه بالمعنی، فإن کان ضابطا عارفا بذلک فلا ترجیح لأحدهما علی الآخر، لأنه قد أبیح له الروایة بالمعنی و اللفظ معا فأیهما کان أسهل علیه رواه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الّذی یروی الخبر بالمعنی لا یکون ضابطا للمعنی، أو یجوز أن یکون غالطا فیه، ینبغی أن یؤخذ بخبر من رواه اللفظ</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إذا کان أحد الراویین أعلم و أفقه و أضبط من الآخر، فینبغی أن یقدم خبره علی خبر الآخر و یرجح علیه، و لأجل ذلک قدمت الطائفة ما یرویه زرارة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محمد </w:t>
      </w:r>
    </w:p>
    <w:p>
      <w:pPr>
        <w:pStyle w:val="BookText"/>
        <w:rPr/>
      </w:pPr>
      <w:r>
        <w:rPr>
          <w:rFonts w:ascii="IRNazanin" w:hAnsi="IRNazanin" w:eastAsia="IRNazanin"/>
          <w:color w:val="111111"/>
          <w:sz w:val="28"/>
          <w:sz w:val="28"/>
          <w:szCs w:val="28"/>
          <w:rtl w:val="true"/>
          <w:lang w:bidi="fa-IR"/>
        </w:rPr>
        <w:t xml:space="preserve">ابن مسلم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برید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أبو بصیر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الفضیل بن یسار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نظراؤهم من الحفاظ الضابطین علی روایة من لیس له تلک 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متی کان أحد الراویین متیقظا فی روایته و الآخر ممن یلحقه غفلة و نسیان فی بعض الأوقات، فینبغی أن یرجح خبر الضابط المتیقظ علی خبر صاحبه، لأنه لا یؤمن أن یکون قد سها أو دخل علیه شبهة أو غلط فی روایته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کان عدلا لم یتعمد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لا ینافی العدالة علی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إذا کان أحد الراویین یروی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زیادة من 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سماعا و قراءة و الآخر یرویه إجازة، فینبغی أن یقدم روایة السامع علی روایة المستجیز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إلا أن یروی المستجیز بإجازته أصلا معروفا، أو مصنفا مشهورا، فیسقط حینئذ الترجیح</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إذا کان أحد الراویین یذکر جمیع ما یرویه و یقول إنه سمعه، و هو ذاکر لسماعه، و الآخر یرویه من کتابه، نظر فی حال الراوی من کتابه، فإن ذکر أن جمیع ما فی کتابه سماعه فلا ترجیح لروایة غیره علی روایته، لأنه ذکر علی الجملة أنه سمع جمیع ما فی دفتره، و إن لم یذکر تفاصیله، و إن لم یذکر تفاصیله، و إن لم یذکر أنه سمع جمیع ما فی دفتره، و إن وجده بخطه أو وجد سماعه علیه فی حواشیه بغیر خطه، فلا </w:t>
      </w:r>
    </w:p>
    <w:p>
      <w:pPr>
        <w:pStyle w:val="BookText"/>
        <w:rPr/>
      </w:pPr>
      <w:r>
        <w:rPr>
          <w:rFonts w:ascii="IRNazanin" w:hAnsi="IRNazanin" w:eastAsia="IRNazanin"/>
          <w:color w:val="111111"/>
          <w:sz w:val="28"/>
          <w:sz w:val="28"/>
          <w:szCs w:val="28"/>
          <w:rtl w:val="true"/>
          <w:lang w:bidi="fa-IR"/>
        </w:rPr>
        <w:t>یجوز له أولا أن یرویه و یرجح خبر غیره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کان أحد الراویین معروفا و الآخر مجهولا، قدم خبر المعروف علی خبر المجهول، لأنه لا یؤمن أن یکون المجهول علی صفة لا یجوز معها قبول خبره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 کان أحد الراویین مصرحا و الآخر مدلسا، فلیس ذلک مما یرجح به خبره، لأن التدلیس 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یذکره باسم أو صفة غریبة، أو ینسبه إلی قبیلة، أو صناعة و هو بغیر ذلک 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فکل ذلک لا یوجب ترک خبره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إذا کان أحد الراویین مسندا و الآخر مرسلا، نظر فی حال المرسل، فإن کان ممن یعلم أنه لا یرسل إلا عن ثقة موثوق به فلا ترجیح لخبر غیره علی خبره، و لأجل ذلک سوت الطائفة بین ما یرویه محمد بن أبی عمیر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صفوان بن یحیی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أحمد بن محمد بن أبی نصر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غیرهم من الثقات الذین عرفوا بأنهم لا یروون و لا یرسلون إلا عمن</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فی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یوثق به و بین ما أسنده غیرهم، و لذلک عملوا بمراسیلهم إذا انفردوا عن روایة غیرهم</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فاما إذا انفرد، وجب التوقف فی خبره إلی أن یدل دلیل علی وجوب العمل به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فأما إذا انفردت المراسیل فیجوز العمل بها علی الشرط الّذی ذکرناه، و دلیلنا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الأدلة التی قدمناها علی جواز العمل بأخبار الآحاد، فإن الطائفة کما عملت بالمسانید عملت بالمراسیل، فبما یطعن فی واحد منهما یطعن فی الآخر، و ما أجاز أحدهما أجاز الآخر، فلا فرق بینهما علی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کان إحدی الروایتین أزید من الروایة الأخری، کان العمل بالروایة الزائدة أولی، لأن تلک الزیادة فی حکم خبر آخر ینضاف إلی المزید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کان مع إحدی الروایتین عمل الطائفة بأجمعها فذلک خارج عن الترجیح، بل هو دلیل قاطع علی صحته و إبطال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کان مع أحد الخبرین عمل أکثر الطائفة، ینبغی أن یرجح علی الخبر الآخر الّذی عمل به قلیل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کان أحد المرسلین متناولا للحظر و الآخر متناولا للإباحة، فعلی مذهبنا الّذی اخترناه فی الوقف یقتضی التوقف فیهما، لأن الحکمین جمیعا مستفادان شرعا و لیس أحدهما بالعمل أولی من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إذا لم یکن هناک ما یترجح به أحدهما علی الآخر کنا مخیرین، کان ذلک أیضا جائزا کما قلناه فی الخبرین المسندین سواء</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هذه جملة کافیة فی هذا الباب</w:t>
      </w:r>
      <w:r>
        <w:rPr>
          <w:rFonts w:eastAsia="IRNazanin" w:cs="IRNazanin"/>
          <w:color w:val="111111"/>
          <w:sz w:val="28"/>
          <w:szCs w:val="28"/>
          <w:rtl w:val="true"/>
          <w:lang w:bidi="fa-IR"/>
        </w:rPr>
        <w:t xml:space="preserve">. </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8" w:name="pg6519_49235"/>
      <w:bookmarkStart w:id="79" w:name="pg6519_49235"/>
      <w:bookmarkEnd w:id="79"/>
    </w:p>
    <w:p>
      <w:pPr>
        <w:pStyle w:val="Heading3"/>
        <w:numPr>
          <w:ilvl w:val="2"/>
          <w:numId w:val="1"/>
        </w:numPr>
        <w:rPr/>
      </w:pPr>
      <w:bookmarkStart w:id="80" w:name="pg6519_49235"/>
      <w:bookmarkStart w:id="81" w:name="__RefHeading___Toc1757207_653776707"/>
      <w:bookmarkStart w:id="82" w:name="_Toc27"/>
      <w:bookmarkEnd w:id="80"/>
      <w:bookmarkEnd w:id="81"/>
      <w:r>
        <w:rPr>
          <w:rtl w:val="true"/>
        </w:rPr>
        <w:t>الباب الثالث</w:t>
      </w:r>
      <w:r>
        <w:rPr>
          <w:rtl w:val="true"/>
        </w:rPr>
        <w:t xml:space="preserve">: </w:t>
      </w:r>
      <w:r>
        <w:rPr>
          <w:rtl w:val="true"/>
        </w:rPr>
        <w:t>الکلام فی الأوامر</w:t>
      </w:r>
      <w:bookmarkEnd w:id="82"/>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83" w:name="__RefHeading___Toc1757209_653776707"/>
      <w:bookmarkStart w:id="84" w:name="_Toc28"/>
      <w:bookmarkEnd w:id="83"/>
      <w:r>
        <w:rPr>
          <w:rtl w:val="true"/>
        </w:rPr>
        <w:t>اشارة</w:t>
      </w:r>
      <w:bookmarkEnd w:id="84"/>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5" w:name="pg6519_49237"/>
      <w:bookmarkStart w:id="86" w:name="pg6519_49237"/>
      <w:bookmarkEnd w:id="86"/>
    </w:p>
    <w:p>
      <w:pPr>
        <w:pStyle w:val="Heading4"/>
        <w:numPr>
          <w:ilvl w:val="3"/>
          <w:numId w:val="1"/>
        </w:numPr>
        <w:rPr/>
      </w:pPr>
      <w:bookmarkStart w:id="87" w:name="pg6519_49237"/>
      <w:bookmarkStart w:id="88" w:name="__RefHeading___Toc1757211_653776707"/>
      <w:bookmarkStart w:id="89" w:name="_Toc29"/>
      <w:bookmarkEnd w:id="87"/>
      <w:bookmarkEnd w:id="88"/>
      <w:r>
        <w:rPr>
          <w:rtl w:val="true"/>
        </w:rPr>
        <w:t xml:space="preserve">فصل </w:t>
      </w:r>
      <w:r>
        <w:rPr>
          <w:rtl w:val="true"/>
        </w:rPr>
        <w:t xml:space="preserve">- </w:t>
      </w:r>
      <w:r>
        <w:rPr/>
        <w:t>1</w:t>
      </w:r>
      <w:r>
        <w:rPr>
          <w:rtl w:val="true"/>
        </w:rPr>
        <w:t xml:space="preserve"> «</w:t>
      </w:r>
      <w:r>
        <w:rPr>
          <w:rtl w:val="true"/>
        </w:rPr>
        <w:t>فی ذکر حقیقة الأمر و ما به یصیر أمرا</w:t>
      </w:r>
      <w:r>
        <w:rPr>
          <w:rtl w:val="true"/>
        </w:rPr>
        <w:t>»</w:t>
      </w:r>
      <w:bookmarkEnd w:id="89"/>
    </w:p>
    <w:p>
      <w:pPr>
        <w:pStyle w:val="BookText"/>
        <w:rPr/>
      </w:pPr>
      <w:r>
        <w:rPr>
          <w:rFonts w:ascii="Amiri" w:hAnsi="Amiri" w:eastAsia="Amiri" w:cs="Amiri"/>
          <w:color w:val="111111"/>
          <w:sz w:val="28"/>
          <w:sz w:val="28"/>
          <w:szCs w:val="28"/>
          <w:rtl w:val="true"/>
          <w:lang w:bidi="ar-SA"/>
        </w:rPr>
        <w:t xml:space="preserve">الأمر عبارة عن قول القائل لمن هو دونه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افعل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الفعل لا یسمی أمرا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علی وجه المجاز و الاستعارة، و هذا مذهب أکثر المتکلمین و الفقهاء</w:t>
      </w:r>
      <w:r>
        <w:rPr>
          <w:rStyle w:val="FootnoteAnchor"/>
          <w:rtl w:val="true"/>
        </w:rPr>
        <w:footnoteReference w:id="291"/>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المعتمد فی أصول الفقه </w:t>
      </w:r>
      <w:r>
        <w:rPr>
          <w:rFonts w:eastAsia="IRNazanin" w:cs="IRNazanin"/>
          <w:color w:val="111111"/>
          <w:sz w:val="28"/>
          <w:szCs w:val="28"/>
          <w:lang w:bidi="fa-IR"/>
        </w:rPr>
        <w:t>39:1</w:t>
      </w:r>
      <w:r>
        <w:rPr>
          <w:rFonts w:ascii="IRNazanin" w:hAnsi="IRNazanin" w:eastAsia="IRNazanin"/>
          <w:color w:val="111111"/>
          <w:sz w:val="28"/>
          <w:sz w:val="28"/>
          <w:szCs w:val="28"/>
          <w:rtl w:val="true"/>
          <w:lang w:bidi="fa-IR"/>
        </w:rPr>
        <w:t xml:space="preserve">، میزان الأصول </w:t>
      </w:r>
      <w:r>
        <w:rPr>
          <w:rFonts w:eastAsia="IRNazanin" w:cs="IRNazanin"/>
          <w:color w:val="111111"/>
          <w:sz w:val="28"/>
          <w:szCs w:val="28"/>
          <w:lang w:bidi="fa-IR"/>
        </w:rPr>
        <w:t>200:1</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قوم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مشترک بین القول و بین 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یدل علی صحة ما ذهبنا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أهل اللغة قسموا أقسام الکلام، فسموا من جملتها قول القائل لمن هو دونه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أمرا، فینبغی أن یکون ذلک عبارة عنه، و لو جاز لمخالف أن یخالف فی ذلک لجاز أن یخالف فی سائر ما سموه من أقسام الکلام مثل النهی، و التخصیص، و التمنی، و السؤال، و الخبر و غیر ذلک، فإذا کان جمیع ذلک صحیحا مسلما فینبغی أن یکون ما ذکرناه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فإنهم فرقوا فی هذه الصیغة بین کونها أمرا و دعاء و مسألة باعتبار الرتبة بأن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القائل فوق المقول له سمی أمرا، و إذا کان دونه سمی سؤالا و طلبا و دعاء، فلو جاز المخالفة فی تسمیته أمرا جاز المخالفة فی تسمیته سؤالا و طلبا، و ذلک لا یقوله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لأحد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تسمیتهم لذلک بأنه أمر لا خلاف فیه بل هو مسلم و إنما الخلاف فی أن غیره هل یسمی بذلک أم لا؟ لأن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بأن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الصیغة مشترکة بین القول و الفعل یسلم صحة ذلک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تستعمل فی الفعل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لأنا ندل علی فساد هذه الدعوی فیما بعد إن شاء اللّه تعالی</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الّذی یدل علی ما قلناه من أن هذه الصیغة حقیقة فی القول دون الفعل، </w:t>
      </w:r>
    </w:p>
    <w:p>
      <w:pPr>
        <w:pStyle w:val="BookText"/>
        <w:rPr/>
      </w:pPr>
      <w:r>
        <w:rPr>
          <w:rFonts w:ascii="IRNazanin" w:hAnsi="IRNazanin" w:eastAsia="IRNazanin"/>
          <w:color w:val="111111"/>
          <w:sz w:val="28"/>
          <w:sz w:val="28"/>
          <w:szCs w:val="28"/>
          <w:rtl w:val="true"/>
          <w:lang w:bidi="fa-IR"/>
        </w:rPr>
        <w:t>اطرادها فی القول و وقوفها فی الفعل، لأنه لیس کل فعل یسمی أمرا</w:t>
      </w:r>
      <w:r>
        <w:rPr>
          <w:rStyle w:val="FootnoteAnchor"/>
          <w:rtl w:val="true"/>
        </w:rPr>
        <w:footnoteReference w:id="293"/>
      </w:r>
    </w:p>
    <w:p>
      <w:pPr>
        <w:pStyle w:val="BookText"/>
        <w:rPr/>
      </w:pPr>
      <w:r>
        <w:rPr>
          <w:rFonts w:ascii="IRNazanin" w:hAnsi="IRNazanin" w:eastAsia="IRNazanin"/>
          <w:color w:val="111111"/>
          <w:sz w:val="28"/>
          <w:sz w:val="28"/>
          <w:szCs w:val="28"/>
          <w:rtl w:val="true"/>
          <w:lang w:bidi="fa-IR"/>
        </w:rPr>
        <w:t>قولا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 أ لا تری أنه لا یسمی الأکل و الشرب و القیام و القعود بأنه أمر، و إنما یقال لجملة أحوال الإنسان إنه أمر، فیقال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أمره مستقیم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أمره مضطرب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أما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تفاصیل الأفعال فلا توصف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کذلک القول، لأن کل قول یحصل لمن هو دونه بهذه الصیغة یسمی أمرا، فعلمنا بذلک أنه حقیقة فیما قلناه و مجاز فیما ذکروه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هذه اللفظة لها اشتقاق، لأنه یشتق منها اسم الفاعل فیقال آمر، و اسم المأمور، و فعل الماضی و المستقبل، و کل ذلک لا یتأتی فی الفعل، فعلم بذلک أنه مجاز فی الفعل و حقیقة فی القول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من تعلق بالاستعمال فی کون هذه الصیغة مشترکة</w:t>
      </w:r>
      <w:r>
        <w:rPr>
          <w:rStyle w:val="FootnoteAnchor"/>
          <w:rtl w:val="true"/>
        </w:rPr>
        <w:footnoteReference w:id="294"/>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هذه اللفظة قد استعملت فی الفعل کما استعملت فی القول، فینبغی أن یکون حقیقة فیهما، و قد 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أَمْرُنا إِلاّ واحِدَةٌ کَلَمْحٍ بِالْبَصَرِ  </w:t>
      </w:r>
      <w:r>
        <w:rPr>
          <w:rStyle w:val="FootnoteAnchor"/>
          <w:rtl w:val="true"/>
        </w:rPr>
        <w:footnoteReference w:id="295"/>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أَمْرُ فِرْعَوْنَ بِرَشِیدٍ  </w:t>
      </w:r>
      <w:r>
        <w:rPr>
          <w:rStyle w:val="FootnoteAnchor"/>
          <w:rtl w:val="true"/>
        </w:rPr>
        <w:footnoteReference w:id="296"/>
      </w:r>
      <w:r>
        <w:rPr>
          <w:rFonts w:ascii="IRNazanin" w:hAnsi="IRNazanin" w:eastAsia="IRNazanin"/>
          <w:color w:val="111111"/>
          <w:sz w:val="28"/>
          <w:sz w:val="28"/>
          <w:szCs w:val="28"/>
          <w:rtl w:val="true"/>
          <w:lang w:bidi="fa-IR"/>
        </w:rPr>
        <w:t>و غیر ذلک من المواضع</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الجواب عنه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ذلک کله مجاز، و لیس لنفس الاستعمال دلالة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الحقیقة، لأن المجاز أیضا مستعمل کالحقیقة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نحن نبین ذلک فیما بعد، </w:t>
      </w:r>
    </w:p>
    <w:p>
      <w:pPr>
        <w:pStyle w:val="BookText"/>
        <w:rPr/>
      </w:pPr>
      <w:r>
        <w:rPr>
          <w:rFonts w:ascii="IRNazanin" w:hAnsi="IRNazanin" w:eastAsia="IRNazanin"/>
          <w:color w:val="111111"/>
          <w:sz w:val="28"/>
          <w:sz w:val="28"/>
          <w:szCs w:val="28"/>
          <w:rtl w:val="true"/>
          <w:lang w:bidi="fa-IR"/>
        </w:rPr>
        <w:t>و إذا لم یکن ذلک دالا علی الحقیقة بطل التعلق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أبطلنا أن یکون ذلک علی وجه الحقیقة بما ذکرناه من الأدلة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أما قوله تعالی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أَمْرُنا إِلاّ واحِدَةٌ کَلَمْحٍ بِالْبَصَرِ  </w:t>
      </w:r>
      <w:r>
        <w:rPr>
          <w:rStyle w:val="FootnoteAnchor"/>
          <w:rtl w:val="true"/>
        </w:rPr>
        <w:footnoteReference w:id="297"/>
      </w:r>
    </w:p>
    <w:p>
      <w:pPr>
        <w:pStyle w:val="BookText"/>
        <w:rPr/>
      </w:pPr>
      <w:r>
        <w:rPr>
          <w:rFonts w:ascii="IRNazanin" w:hAnsi="IRNazanin" w:eastAsia="IRNazanin"/>
          <w:color w:val="111111"/>
          <w:sz w:val="28"/>
          <w:sz w:val="28"/>
          <w:szCs w:val="28"/>
          <w:rtl w:val="true"/>
          <w:lang w:bidi="fa-IR"/>
        </w:rPr>
        <w:t>القمر</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أَمْرُ فِرْعَوْنَ بِرَشِیدٍ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فقد قیل فیه وجهان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نسلم أن ذلک عبارة عن الفعل، بل لا یمتنع أن یکون أراد بذلک أمره الّذی 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أَمْرُ فِرْعَوْنَ   الّذی هو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یطعن علی هذا الوجه مساواة أفعاله فی هذا الوصف و فی کونها کَلَمْحٍ بِالْبَصَرِ   فی سرعة تأتیها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لأن ذلک یعلم بدلیل آخر، و بخبر آخر، و کذلک یعلم بشیء آخر أن أفعال فرعون مثل أقواله فی کونها غیر رشیدة، فلا یمکن التعلق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الوجه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ذلک مجاز لما دللنا علیه من قبل</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أما من تعلق فی ذلک بأن أهل اللغة جمعوا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هو من قبیل الأقوال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جمعوا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هو من قبیل الأفعال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فینبغی أن یکون ذلک دلالة علی کونها مشترکة فیهما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فقوله یبطل لأنه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الصحیح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فعلا، و إنما یجمع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 ذلک، فأما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فخارج عن القیاس، فإن سمع ذلک فإنه یکون علی أنه جمع الجمع، فکأنه جمع أولا أمورا ثم جمع أمور أوامر، و علی هذا لا یدل علی مخالفتهم بین ذلک لاختلاف المعنیین</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ثبت ما قلناه لا یمکن التعلق بقوله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فَلْیَحْذَرِ الَّذِینَ یُخالِفُونَ عَنْ أَمْرِهِ  </w:t>
      </w:r>
      <w:r>
        <w:rPr>
          <w:rStyle w:val="FootnoteAnchor"/>
          <w:rtl w:val="true"/>
        </w:rPr>
        <w:footnoteReference w:id="299"/>
      </w:r>
    </w:p>
    <w:p>
      <w:pPr>
        <w:pStyle w:val="BookText"/>
        <w:rPr/>
      </w:pPr>
      <w:r>
        <w:rPr>
          <w:rFonts w:ascii="IRNazanin" w:hAnsi="IRNazanin" w:eastAsia="IRNazanin"/>
          <w:color w:val="111111"/>
          <w:sz w:val="28"/>
          <w:sz w:val="28"/>
          <w:szCs w:val="28"/>
          <w:rtl w:val="true"/>
          <w:lang w:bidi="fa-IR"/>
        </w:rPr>
        <w:t>فی وجوب اتباع أفعاله علیه السلام، لأن ذلک غیر داخل فیه علی وجه الحقیقة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کونها مرادة علی وجه المجاز یحتاج إلی دلیل غیر الظاهر، فبطل التعلق به علی کل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اعلم أن هذه الصیغة التی هو قول القائل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وضعها أهل اللغة لاستدعاء الفعل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خالفوا بین معانیها باعتبار الرتبة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فسموها إذا کان القائل فوق المقول له أمرا، و إذا کان دونه، سؤالا و طلبا و دعاء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متی استعملوها فی غیر استدعاء الفعل فی التهدید نحو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اسْتَفْزِزْ مَنِ اسْتَطَعْتَ  </w:t>
      </w:r>
      <w:r>
        <w:rPr>
          <w:rStyle w:val="FootnoteAnchor"/>
          <w:rtl w:val="true"/>
        </w:rPr>
        <w:footnoteReference w:id="300"/>
      </w:r>
    </w:p>
    <w:p>
      <w:pPr>
        <w:pStyle w:val="BookText"/>
        <w:rPr/>
      </w:pPr>
      <w:r>
        <w:rPr>
          <w:rFonts w:ascii="IRNazanin" w:hAnsi="IRNazanin" w:eastAsia="IRNazanin"/>
          <w:color w:val="111111"/>
          <w:sz w:val="28"/>
          <w:sz w:val="28"/>
          <w:szCs w:val="28"/>
          <w:rtl w:val="true"/>
          <w:lang w:bidi="fa-IR"/>
        </w:rPr>
        <w:t>الإسراء</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اِعْمَلُوا ما شِئْتُمْ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 فی التحدی نحو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حَلَلْتُمْ فَاصْطادُوا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 نحو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قُضِیَتِ الصَّلاةُ فَانْتَشِرُوا فِی الْأَرْضِ</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 فی</w:t>
      </w:r>
    </w:p>
    <w:p>
      <w:pPr>
        <w:pStyle w:val="BookText"/>
        <w:rPr/>
      </w:pPr>
      <w:r>
        <w:rPr>
          <w:rFonts w:ascii="Amiri" w:hAnsi="Amiri" w:eastAsia="Amiri" w:cs="Amiri"/>
          <w:color w:val="111111"/>
          <w:sz w:val="28"/>
          <w:sz w:val="28"/>
          <w:szCs w:val="28"/>
          <w:rtl w:val="true"/>
          <w:lang w:bidi="ar-SA"/>
        </w:rPr>
        <w:t>التحدی نحو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فَأْتُوا بِعَشْرِ سُوَرٍ مِثْلِهِ مُفْتَرَیاتٍ  </w:t>
      </w:r>
      <w:r>
        <w:rPr>
          <w:rStyle w:val="FootnoteAnchor"/>
          <w:rtl w:val="true"/>
        </w:rPr>
        <w:footnoteReference w:id="301"/>
      </w:r>
    </w:p>
    <w:p>
      <w:pPr>
        <w:pStyle w:val="BookText"/>
        <w:rPr/>
      </w:pP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و فی تکوین الشیء نحو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کُونُوا قِرَدَةً خاسِئِینَ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 ما أشبه ذلک من الوجوه کانت مجازا خارجة عن باب ما وضعت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مذهب کثیر من الفقهاء و المتکلمین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جماعة من الفریقین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الصیغة مشترکة بین جمیع ذلک حقیقة فیه، و إنما یختص ببعضها بالقصد، فإذا أراد المأمور به کان أمرا و سؤالا بحسب الرتبة، و إن کره الفعل کان ذلک نهیا و تهدیدا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الّذی یدل علی صحة ما ذهبنا إلیه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أهل اللغة فرقوا بین صیغة الأمر و صیغة النهی و صیغة الخبر، فقالوا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صیغة الأمر قول القائل لمن هو 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صیغة النهی قول القائل لمن هو 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تفعل</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الخبر مرکب من مبتدأ و خبر، و من فعل و فاعل نحو 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فی الدار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 زید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لو کان الأمر علی ما قالوه لما کان لفرقهم بین هذه الصیغ معنی، و قد علمنا أنهم فرقوا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إنما</w:t>
      </w:r>
      <w:r>
        <w:rPr>
          <w:rStyle w:val="FootnoteAnchor"/>
          <w:rtl w:val="true"/>
        </w:rPr>
        <w:footnoteReference w:id="302"/>
      </w:r>
    </w:p>
    <w:p>
      <w:pPr>
        <w:pStyle w:val="BookText"/>
        <w:rPr/>
      </w:pPr>
      <w:r>
        <w:rPr>
          <w:rFonts w:ascii="IRNazanin" w:hAnsi="IRNazanin" w:eastAsia="IRNazanin"/>
          <w:color w:val="111111"/>
          <w:sz w:val="28"/>
          <w:sz w:val="28"/>
          <w:szCs w:val="28"/>
          <w:rtl w:val="true"/>
          <w:lang w:bidi="fa-IR"/>
        </w:rPr>
        <w:t>فی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إذا کان الاعتبار بإرادة المأمور به علی قولهم، فلو صادف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 ذلک قول القائل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لکان أمرا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 و کذلک لو صادف کراهة ذلک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لکان نهیا، و هذا یؤدی إلی أنه لا فرق بین هذه الصیغ، و المعلوم من حال أهل اللغة خلاف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یلزمنا مثل ذلک بأن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لیس قد استعمل صیغة الخبر فی الأمر نحو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دَخَلَهُ کانَ آمِناً  </w:t>
      </w:r>
      <w:r>
        <w:rPr>
          <w:rStyle w:val="FootnoteAnchor"/>
          <w:rtl w:val="true"/>
        </w:rPr>
        <w:footnoteReference w:id="303"/>
      </w:r>
      <w:r>
        <w:rPr>
          <w:rFonts w:ascii="Amiri" w:hAnsi="Amiri" w:eastAsia="Amiri" w:cs="Amiri"/>
          <w:color w:val="111111"/>
          <w:sz w:val="28"/>
          <w:sz w:val="28"/>
          <w:szCs w:val="28"/>
          <w:rtl w:val="true"/>
          <w:lang w:bidi="ar-SA"/>
        </w:rPr>
        <w:t>، و نحو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الْمُطَلَّقاتُ یَتَرَبَّصْنَ بِأَنْفُسِهِنَّ  </w:t>
      </w:r>
      <w:r>
        <w:rPr>
          <w:rStyle w:val="FootnoteAnchor"/>
          <w:rtl w:val="true"/>
        </w:rPr>
        <w:footnoteReference w:id="304"/>
      </w:r>
      <w:r>
        <w:rPr>
          <w:rFonts w:ascii="IRNazanin" w:hAnsi="IRNazanin" w:eastAsia="IRNazanin"/>
          <w:color w:val="111111"/>
          <w:sz w:val="28"/>
          <w:sz w:val="28"/>
          <w:szCs w:val="28"/>
          <w:rtl w:val="true"/>
          <w:lang w:bidi="fa-IR"/>
        </w:rPr>
        <w:t>، و ما أشبه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استعمل صیغة الأمر فی النهی و غیره من الأقسام نحو الإباحة، و التحدی، و التکوین، 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استعملوا ذلک علی وجه المجاز دون الحقیقة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استعمالهم یدل علی أنه حقیقة</w:t>
      </w:r>
      <w:r>
        <w:rPr>
          <w:rStyle w:val="FootnoteAnchor"/>
          <w:rtl w:val="true"/>
        </w:rPr>
        <w:footnoteReference w:id="305"/>
      </w:r>
      <w:r>
        <w:rPr>
          <w:rFonts w:ascii="IRNazanin" w:hAnsi="IRNazanin" w:eastAsia="IRNazanin"/>
          <w:color w:val="111111"/>
          <w:sz w:val="28"/>
          <w:sz w:val="28"/>
          <w:szCs w:val="28"/>
          <w:rtl w:val="true"/>
          <w:lang w:bidi="fa-IR"/>
        </w:rPr>
        <w:t>فی الموضعین</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نسلم أن نفس الاستعمال یدل علی الحقیقة، لأن المجاز أیضا مستعمل، و إنما یعلم کون اللفظ حقیقة بأن ینصوا لنا علی أنها حقیقة، أو نجد اللفظة تطرد فی کل موضعین، أو غیر ذلک من الأقسام التی قدمنا ذکرها فیما مضی للفرق بین الحقیقة و المجاز، و لیس مجرد الاستعمال من ذلک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لیس لهم أن یقولوا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المجاز طار و الحقیقة هی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بدلالة أنه یجوز أن تکون حقیقة لا مجاز لها، و لا یجوز أن یکون مجاز لا حقیقة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فعلم بذلک أن أصل الاستعمال الحقیقة، و ذلک أن الّذی ذکروه غیر مسلم لأنه لا یمتنع أن یکون الواضعون للغة وضعوا للفظه و نصوا علی أنه إذا استعملت فی شیء بعینه کانت حقیقة و متی استعملوها فی غیره کانت مجازا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لم یقع استعمال اللفظة</w:t>
      </w:r>
      <w:r>
        <w:rPr>
          <w:rStyle w:val="FootnoteAnchor"/>
          <w:rtl w:val="true"/>
        </w:rPr>
        <w:footnoteReference w:id="306"/>
      </w:r>
    </w:p>
    <w:p>
      <w:pPr>
        <w:pStyle w:val="BookText"/>
        <w:rPr/>
      </w:pPr>
      <w:r>
        <w:rPr>
          <w:rFonts w:ascii="IRNazanin" w:hAnsi="IRNazanin" w:eastAsia="IRNazanin"/>
          <w:color w:val="111111"/>
          <w:sz w:val="28"/>
          <w:sz w:val="28"/>
          <w:szCs w:val="28"/>
          <w:rtl w:val="true"/>
          <w:lang w:bidi="fa-IR"/>
        </w:rPr>
        <w:t>فی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واحد من المعنیین ثم یطرأ علی الوضع الاستعمال، فربما استعملوها أولا فی الحقیقة، و ربما استعملوها أولا فی المجاز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إنما کان یتم ذلک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جعلوا الاستعمال نفسه طریقا إلی معرفة الحقیقة، فیجعل ما ابتدئ باستعماله حقیقة، قد بینا أنا لا نقول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لیس القائل إذا قال لغیره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أرید منک أن تفعل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ناب ذلک مناب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فینبغی أن یکون معناهما واحدا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لا نمنع أن یکون لاستدعاء الفعل لفظة أخری، لأنا ما ادعینا أنه لا لفظة یستدعی به الفعل إلا قول القائل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الّذی ادعیناه أن هذه اللفظة یستدعی بها الفعل، و إن شارکها غیرها فی فائدة هذه اللفظة، إلا أنه متی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أرید أن تفعل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یسمی أمرا بل یکون مخبرا، و الخبر غیر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لهم ان یقولوا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السؤال أیضا لا یسمی أمرا، و هو لاستدعاء الفعل</w:t>
      </w:r>
      <w:r>
        <w:rPr>
          <w:rStyle w:val="FootnoteAnchor"/>
          <w:rtl w:val="true"/>
        </w:rPr>
        <w:footnoteReference w:id="307"/>
      </w:r>
      <w:r>
        <w:rPr>
          <w:rFonts w:ascii="IRNazanin" w:hAnsi="IRNazanin" w:eastAsia="IRNazanin"/>
          <w:color w:val="111111"/>
          <w:sz w:val="28"/>
          <w:sz w:val="28"/>
          <w:szCs w:val="28"/>
          <w:rtl w:val="true"/>
          <w:lang w:bidi="fa-IR"/>
        </w:rPr>
        <w:t>علی ما قررتموه</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لأنا قد بینا أن معناهما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 و إنما فرقوا بینهما فی التسمیة لشیء یرجع </w:t>
      </w:r>
    </w:p>
    <w:p>
      <w:pPr>
        <w:pStyle w:val="BookText"/>
        <w:rPr/>
      </w:pPr>
      <w:r>
        <w:rPr>
          <w:rFonts w:ascii="IRNazanin" w:hAnsi="IRNazanin" w:eastAsia="IRNazanin"/>
          <w:color w:val="111111"/>
          <w:sz w:val="28"/>
          <w:sz w:val="28"/>
          <w:szCs w:val="28"/>
          <w:rtl w:val="true"/>
          <w:lang w:bidi="fa-IR"/>
        </w:rPr>
        <w:t xml:space="preserve">إلی اعتبار الرتبة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لیس یمکن مثل ذلک فی صیغة الخبر، لأنهم فرقوا بینها و بین صیغة الأمر فی أصل الوضع دون اعتبار أمر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لیس القائل إذا قال لغیره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أرید أن تفعل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دون المقول له یسمی سائلا، فینبغی إذا قال ذلک و هو فوقه أن یسمی آمرا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إثبات اللغة بالقیاس و ذلک لا یجوز، لأنه لیس إذا کان للسؤال لفظتان یطلق علی مستعملهما لفظ السائل ینبغی أن یکون حکم الأمر مثل ذلک، و لو جاز ذلک لأدی إلی بطلان ما بیناه من اعتبار أهل اللغة الفرق بین هذه الصیغ، و لو لزم ذلک للزم أن تسمی الإشارة أمرا، لأن المشیر قد یشیر بما یفهم منه استدعاء الفعل و یسمی سائلا، و لا یقول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آمر علی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لم یحتج فی کونه آمرا إلی إرادة المأمور به، جاز أن یکون کارها له، و قد علمنا استحالة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أردت بأنه إذا استدعی الفعل لا یجوز أن یکون کارها له بمعنی أن ذلک مستحیل، فلیس الأمر کذلک بل ذلک یمکن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أردت أن ذلک لا یحسن، فهو مسلم لأنه متی استدعی الفعل و کان کارها له کان مناقضا لغرضه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إن فرضنا أن الآمر حکیم یدل أمره علی حسن المأمور به، فلو کرهه لکان مقبحا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ذلک لا یجوز علی الحکیم، فلأجل ذلک لا یجوز، و متی فرض فیمن لیس بحکیم فإن جمیع ذلک جائز غیر مستحیل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حملهم ذلک علی النهی بأن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کان من شرط النهی أن یکون کارها للمنهی عنه وجب فی الآمر أن یکون مریدا للمأمور به</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فالجواب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الکلام فی النهی کالکلام فی الأمر فی أن ذلک لیس </w:t>
      </w:r>
    </w:p>
    <w:p>
      <w:pPr>
        <w:pStyle w:val="BookText"/>
        <w:rPr/>
      </w:pPr>
      <w:r>
        <w:rPr>
          <w:rFonts w:ascii="IRNazanin" w:hAnsi="IRNazanin" w:eastAsia="IRNazanin"/>
          <w:color w:val="111111"/>
          <w:sz w:val="28"/>
          <w:sz w:val="28"/>
          <w:szCs w:val="28"/>
          <w:rtl w:val="true"/>
          <w:lang w:bidi="fa-IR"/>
        </w:rPr>
        <w:t>بمستحیل، و لا یخل ذلک بکونه نهیا</w:t>
      </w:r>
      <w:r>
        <w:rPr>
          <w:rStyle w:val="FootnoteAnchor"/>
          <w:rtl w:val="true"/>
        </w:rPr>
        <w:footnoteReference w:id="308"/>
      </w:r>
    </w:p>
    <w:p>
      <w:pPr>
        <w:pStyle w:val="BookText"/>
        <w:rPr/>
      </w:pPr>
      <w:r>
        <w:rPr>
          <w:rFonts w:ascii="IRNazanin" w:hAnsi="IRNazanin" w:eastAsia="IRNazanin"/>
          <w:color w:val="111111"/>
          <w:sz w:val="28"/>
          <w:sz w:val="28"/>
          <w:szCs w:val="28"/>
          <w:rtl w:val="true"/>
          <w:lang w:bidi="fa-IR"/>
        </w:rPr>
        <w:t>فی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 إنما یقبح لأن من نهی عن فعل و کان حکیما دل نهیه علی قبح المنهی عنه، فلأجل ذلک وجب أن یکون کارها له، و لم یحسن منه أن یریده لأن إرادة القبیح قبیحة، و متی فرض فیمن لیس بحکیم فإن ذلک جائز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فبأی شیء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یدخل فی أن یکون مستعملا لما وضعه أهل اللغة حقیقة دون المجاز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یقصد إلی استعمال فیما وضعوه و یطلق</w:t>
      </w:r>
      <w:r>
        <w:rPr>
          <w:rStyle w:val="FootnoteAnchor"/>
          <w:rtl w:val="true"/>
        </w:rPr>
        <w:footnoteReference w:id="309"/>
      </w:r>
      <w:r>
        <w:rPr>
          <w:rFonts w:ascii="IRNazanin" w:hAnsi="IRNazanin" w:eastAsia="IRNazanin"/>
          <w:color w:val="111111"/>
          <w:sz w:val="28"/>
          <w:sz w:val="28"/>
          <w:szCs w:val="28"/>
          <w:rtl w:val="true"/>
          <w:lang w:bidi="fa-IR"/>
        </w:rPr>
        <w:t>القول، فإنه إذا کان حکیما فإنا نعلم أنه أمر لأنه لو أراد غیر ما وضع له علی وجه التجوز لبینه، فمتی لم یقرن به البیان دل علی أنه أراد ما وضع له 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متی لم نعرف أن القائل حکیم لا یفهم</w:t>
      </w:r>
      <w:r>
        <w:rPr>
          <w:rStyle w:val="FootnoteAnchor"/>
          <w:rtl w:val="true"/>
        </w:rPr>
        <w:footnoteReference w:id="310"/>
      </w:r>
      <w:r>
        <w:rPr>
          <w:rFonts w:ascii="IRNazanin" w:hAnsi="IRNazanin" w:eastAsia="IRNazanin"/>
          <w:color w:val="111111"/>
          <w:sz w:val="28"/>
          <w:sz w:val="28"/>
          <w:szCs w:val="28"/>
          <w:rtl w:val="true"/>
          <w:lang w:bidi="fa-IR"/>
        </w:rPr>
        <w:t xml:space="preserve">مراده إلا بقرینة، أو یضطر إلی قصده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لأنه یجوز أن یکون أراد غیر ما وضع له، و إن لم یبین ذلک فی الحال، لأن القبیح غیر مأمون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الکلام فی القصد و هل هو من قبیل الاعتقادات أو هو جنس مفرد؟، فلیس هذا موضع ذکره و بیان الصحیح منه</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لا یمکن أن یدعی أن الأمر أمر بجنسه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لأنا نجد من جنسه ما لیس بأمر ما </w:t>
      </w:r>
    </w:p>
    <w:p>
      <w:pPr>
        <w:pStyle w:val="BookText"/>
        <w:rPr/>
      </w:pPr>
      <w:r>
        <w:rPr>
          <w:rFonts w:ascii="IRNazanin" w:hAnsi="IRNazanin" w:eastAsia="IRNazanin"/>
          <w:color w:val="111111"/>
          <w:sz w:val="28"/>
          <w:sz w:val="28"/>
          <w:szCs w:val="28"/>
          <w:rtl w:val="true"/>
          <w:lang w:bidi="fa-IR"/>
        </w:rPr>
        <w:t xml:space="preserve">هو فی مثل صورته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ادعی أن ذلک غیر ما هو موضوع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للأمر کان ذلک فاسدا من 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أنهما یشتبهان علی الحاسة و لا یفصل السامع بینهما من جهة الإدراک، أ لا تری أن السامع لا یفصل بین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أَقِیمُوا الصَّلاةَ  </w:t>
      </w:r>
      <w:r>
        <w:rPr>
          <w:rStyle w:val="FootnoteAnchor"/>
          <w:rtl w:val="true"/>
        </w:rPr>
        <w:footnoteReference w:id="311"/>
      </w:r>
    </w:p>
    <w:p>
      <w:pPr>
        <w:pStyle w:val="BookText"/>
        <w:rPr/>
      </w:pP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بین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اِعْمَلُوا ما شِئْتُمْ   </w:t>
      </w:r>
      <w:r>
        <w:rPr>
          <w:rStyle w:val="FootnoteAnchor"/>
          <w:rtl w:val="true"/>
        </w:rPr>
        <w:footnoteReference w:id="312"/>
      </w:r>
      <w:r>
        <w:rPr>
          <w:rFonts w:ascii="IRNazanin" w:hAnsi="IRNazanin" w:eastAsia="IRNazanin"/>
          <w:color w:val="111111"/>
          <w:sz w:val="28"/>
          <w:sz w:val="28"/>
          <w:szCs w:val="28"/>
          <w:rtl w:val="true"/>
          <w:lang w:bidi="fa-IR"/>
        </w:rPr>
        <w:t>من حیث الإدراک، و إن کان أحدهما أمرا و الآخر تهدیدا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ذلک یبطل التوسع و المجاز، لأن معنی المجاز أن تستعمل اللفظة الموضوعة لشیء فی غیر ما وضعت له، فمتی قیل أن هذه اللفظة لیست تلک بطل هذا الاعتبار</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یمکن أیضا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یکون أمرا، لأنه خطاب و لا أنه علم الآمر ما أمر به، و لا أنه بصورته، لأن جمیع ذلک یثبت فیما لیس بأمر، فیبطل اعتبار جمیع ذلک</w:t>
      </w:r>
      <w:r>
        <w:rPr>
          <w:rFonts w:eastAsia="IRNazanin" w:cs="IRNazanin"/>
          <w:color w:val="111111"/>
          <w:sz w:val="28"/>
          <w:szCs w:val="28"/>
          <w:rtl w:val="true"/>
          <w:lang w:bidi="fa-IR"/>
        </w:rPr>
        <w:t xml:space="preserve">. </w:t>
      </w:r>
      <w:bookmarkStart w:id="90" w:name="pg6519_49248"/>
    </w:p>
    <w:p>
      <w:pPr>
        <w:pStyle w:val="Heading4"/>
        <w:numPr>
          <w:ilvl w:val="3"/>
          <w:numId w:val="1"/>
        </w:numPr>
        <w:rPr/>
      </w:pPr>
      <w:bookmarkStart w:id="91" w:name="__RefHeading___Toc1757213_653776707"/>
      <w:bookmarkStart w:id="92" w:name="_Toc30"/>
      <w:bookmarkEnd w:id="90"/>
      <w:bookmarkEnd w:id="91"/>
      <w:r>
        <w:rPr>
          <w:rtl w:val="true"/>
        </w:rPr>
        <w:t xml:space="preserve">فصل </w:t>
      </w:r>
      <w:r>
        <w:rPr>
          <w:rtl w:val="true"/>
        </w:rPr>
        <w:t xml:space="preserve">- </w:t>
      </w:r>
      <w:r>
        <w:rPr/>
        <w:t>2</w:t>
      </w:r>
      <w:r>
        <w:rPr>
          <w:rtl w:val="true"/>
        </w:rPr>
        <w:t xml:space="preserve"> «</w:t>
      </w:r>
      <w:r>
        <w:rPr>
          <w:rtl w:val="true"/>
        </w:rPr>
        <w:t>فی ذکر مقتضی الأمر هل هو الوجوب، أو الندب، أو الوقف، و الخلاف فیه</w:t>
      </w:r>
      <w:r>
        <w:rPr>
          <w:rtl w:val="true"/>
        </w:rPr>
        <w:t>».</w:t>
      </w:r>
      <w:bookmarkEnd w:id="92"/>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نسب أکثر المتکلمین من المعتزلة و غیرهم، و قوم من الفقهاء إلی أن الأمر لا یقتضی الإیجاب، و إنما یقتضی أن الآمر أراد المأمور به، ثم ینظر فیه فإن کان حکیما علم أن المأمور به حسن و لیس بقبیح</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إن کان قدیما علم أن له صفة زائدة علی الحسن و هی صفة الندب لأن المباح لا یجوز أن یریده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إن کان الآمر غیر حکیم لا یعلم بأمره حسن الفعل أصلا، لأنه یجوز أن یرید القبیح و الحسن جمیعا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ذهب قوم من المتکلمین و جل الفقهاء إلی أن الأمر یقتضی الإیجاب</w:t>
      </w:r>
      <w:r>
        <w:rPr>
          <w:rStyle w:val="FootnoteAnchor"/>
          <w:rtl w:val="true"/>
        </w:rPr>
        <w:footnoteReference w:id="313"/>
      </w:r>
    </w:p>
    <w:p>
      <w:pPr>
        <w:pStyle w:val="BookText"/>
        <w:rPr/>
      </w:pPr>
      <w:r>
        <w:rPr>
          <w:rFonts w:ascii="IRNazanin" w:hAnsi="IRNazanin" w:eastAsia="IRNazanin"/>
          <w:color w:val="111111"/>
          <w:sz w:val="28"/>
          <w:sz w:val="28"/>
          <w:szCs w:val="28"/>
          <w:rtl w:val="true"/>
          <w:lang w:bidi="fa-IR"/>
        </w:rPr>
        <w:t xml:space="preserve">انظر التعلیقة رقم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صفحة </w:t>
      </w:r>
      <w:r>
        <w:rPr>
          <w:rFonts w:eastAsia="IRNazanin" w:cs="IRNazanin"/>
          <w:color w:val="111111"/>
          <w:sz w:val="28"/>
          <w:szCs w:val="28"/>
          <w:lang w:bidi="fa-IR"/>
        </w:rPr>
        <w:t>170</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ذهب کثیر من المتکلمین إلی الوقف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ذلک</w:t>
      </w:r>
      <w:r>
        <w:rPr>
          <w:rStyle w:val="FootnoteAnchor"/>
          <w:rtl w:val="true"/>
        </w:rPr>
        <w:footnoteReference w:id="314"/>
      </w:r>
    </w:p>
    <w:p>
      <w:pPr>
        <w:pStyle w:val="BookText"/>
        <w:rPr/>
      </w:pPr>
      <w:r>
        <w:rPr>
          <w:rFonts w:ascii="IRNazanin" w:hAnsi="IRNazanin" w:eastAsia="IRNazanin"/>
          <w:color w:val="111111"/>
          <w:sz w:val="28"/>
          <w:sz w:val="28"/>
          <w:szCs w:val="28"/>
          <w:rtl w:val="true"/>
          <w:lang w:bidi="fa-IR"/>
        </w:rPr>
        <w:t xml:space="preserve">انظر التعلیقة رقم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صفحة </w:t>
      </w:r>
      <w:r>
        <w:rPr>
          <w:rFonts w:eastAsia="IRNazanin" w:cs="IRNazanin"/>
          <w:color w:val="111111"/>
          <w:sz w:val="28"/>
          <w:szCs w:val="28"/>
          <w:lang w:bidi="fa-IR"/>
        </w:rPr>
        <w:t>170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نعلم بظاهر اللفظ أحد الأمرین و یحتاج فی العلم بأحدهما إلی دلیل، و هو الّذی اختاره سیدنا المرتضی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رحمه اللّه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غیر أنه و إن قال ذلک بمقتضی اللغة، فانه 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استقر فی الشرع أن أوامر اللّه تعالی، و أوامر الرسول صلی اللّه علیه و آله و سلم و الأئمة علیهم السلام علی الوجوب</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یقوی فی نفسی أن الأمر یقتضی الإیجاب لغة و شرعا، و یحتاج أن ینظر فی حکم الآمر، فإن کان حکیما علم أن له صفة الوجوب، و إن لم یکن حکیما لم یعلم بأمره صفة الفعل، لأنه یجوز أن یوجب ما هو قبیح، و ما هو واجب و ما لیس بواجب و لا قبیح فظاهر أمره لا یدل علی أحدهما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یدل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أنی وجدت العقلاء بأسرهم یوجهون الذم إلی العبد إذا خالف أمر سیده و یوبخونه علی ذلک، فلو لا أنهم علموا أن الأمر یقتضی الإیجاب لما جاز منهم ذمه علی حال، لأنه إن کان مقتضیا للندب فلا یستحق تارکه الذم، و إن کان مشترکا احتاج إلی بیان المراد، فلا یستحق الذم إذا ترکه و خالفه، و فی علمنا بذلک دلیل علی صحة ما اخترناه</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لیس لأحد أن یعلق ذم العقلاء للعبد بقرینة تنضاف إلی الأمر عقل منها </w:t>
      </w:r>
    </w:p>
    <w:p>
      <w:pPr>
        <w:pStyle w:val="BookText"/>
        <w:rPr/>
      </w:pPr>
      <w:r>
        <w:rPr>
          <w:rFonts w:ascii="IRNazanin" w:hAnsi="IRNazanin" w:eastAsia="IRNazanin"/>
          <w:color w:val="111111"/>
          <w:sz w:val="28"/>
          <w:sz w:val="28"/>
          <w:szCs w:val="28"/>
          <w:rtl w:val="true"/>
          <w:lang w:bidi="fa-IR"/>
        </w:rPr>
        <w:t>الإیجاب، و لأجل</w:t>
      </w:r>
      <w:r>
        <w:rPr>
          <w:rStyle w:val="FootnoteAnchor"/>
          <w:rtl w:val="true"/>
        </w:rPr>
        <w:footnoteReference w:id="315"/>
      </w:r>
    </w:p>
    <w:p>
      <w:pPr>
        <w:pStyle w:val="BookText"/>
        <w:rPr/>
      </w:pPr>
      <w:r>
        <w:rPr>
          <w:rFonts w:ascii="IRNazanin" w:hAnsi="IRNazanin" w:eastAsia="IRNazanin"/>
          <w:color w:val="111111"/>
          <w:sz w:val="28"/>
          <w:sz w:val="28"/>
          <w:szCs w:val="28"/>
          <w:rtl w:val="true"/>
          <w:lang w:bidi="fa-IR"/>
        </w:rPr>
        <w:t>فلأجل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ذلک ذموه، لأن ذلک یفسد من 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العقلاء</w:t>
      </w:r>
      <w:r>
        <w:rPr>
          <w:rFonts w:eastAsia="IRNazanin" w:cs="IRNazanin"/>
          <w:color w:val="111111"/>
          <w:sz w:val="28"/>
          <w:szCs w:val="28"/>
          <w:rtl w:val="true"/>
          <w:lang w:bidi="fa-IR"/>
        </w:rPr>
        <w:t>)</w:t>
      </w:r>
      <w:r>
        <w:rPr>
          <w:rStyle w:val="FootnoteAnchor"/>
          <w:rtl w:val="true"/>
        </w:rPr>
        <w:footnoteReference w:id="316"/>
      </w:r>
      <w:r>
        <w:rPr>
          <w:rFonts w:ascii="IRNazanin" w:hAnsi="IRNazanin" w:eastAsia="IRNazanin"/>
          <w:color w:val="111111"/>
          <w:sz w:val="28"/>
          <w:sz w:val="28"/>
          <w:szCs w:val="28"/>
          <w:rtl w:val="true"/>
          <w:lang w:bidi="fa-IR"/>
        </w:rPr>
        <w:t>إذا ذموه علقوا الذم بمخالفة الأمر دون غیره، حتی إذا استفسروا عن ذلک عتبوا علیه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خالف أمر مولاه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لو کان الأمر علی ذلک لوجب أن لا یذمه إلا من عرف تلک القرینة، و فی علمنا بذمهم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لم یعلموا أمرا آخر أکثر من مخالفته للآمر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علی تعلیق الذم بذلک حسب ما قلناه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قول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یقتضی إرادة المأمور به فحسب</w:t>
      </w:r>
      <w:r>
        <w:rPr>
          <w:rStyle w:val="FootnoteAnchor"/>
          <w:rtl w:val="true"/>
        </w:rPr>
        <w:footnoteReference w:id="317"/>
      </w:r>
      <w:r>
        <w:rPr>
          <w:rFonts w:ascii="IRNazanin" w:hAnsi="IRNazanin" w:eastAsia="IRNazanin"/>
          <w:color w:val="111111"/>
          <w:sz w:val="28"/>
          <w:sz w:val="28"/>
          <w:szCs w:val="28"/>
          <w:rtl w:val="true"/>
          <w:lang w:bidi="fa-IR"/>
        </w:rPr>
        <w:t>، فقد بینا فی الفصل الأول أن الأمر لا یدل علی إرادة المأمور به من حیث کان أمرا، و أنه إذا دل فإنما دل لأمر آخر غیر مطلق الأمر، فسقط الاعتراض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یمکن أن یدعی الاشتراک</w:t>
      </w:r>
      <w:r>
        <w:rPr>
          <w:rStyle w:val="FootnoteAnchor"/>
          <w:rtl w:val="true"/>
        </w:rPr>
        <w:footnoteReference w:id="318"/>
      </w:r>
      <w:r>
        <w:rPr>
          <w:rFonts w:ascii="IRNazanin" w:hAnsi="IRNazanin" w:eastAsia="IRNazanin"/>
          <w:color w:val="111111"/>
          <w:sz w:val="28"/>
          <w:sz w:val="28"/>
          <w:szCs w:val="28"/>
          <w:rtl w:val="true"/>
          <w:lang w:bidi="fa-IR"/>
        </w:rPr>
        <w:t>من حیث وجدت أوامر کثیرة مستعملة فی الندب، لأن ذلک إنما یکون کذلک علی ضرب من المجاز، و قد بینا أن الاستعمال لیس بدلالة علی الحقیقة لأنه حاصل فی الحقیقة و المجاز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أنکرتم علی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عقلوا هناک قرینة لأجلها ذموا العبد إذا خالف سیده‌؟ و ذلک أنه إذا أمره بمنافع نفسه فإن فوتها یضر به فلا بد أن یکون موجبا علیه، و إذا أمره بمنافع تعود إلی العبد و لا یستضر هو بفوتها لم یدل علی ذلک و لا یذمونه متی خالف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یسقط للوجهین اللذین قدمناهما</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علقوا</w:t>
      </w:r>
      <w:r>
        <w:rPr>
          <w:rStyle w:val="FootnoteAnchor"/>
          <w:rtl w:val="true"/>
        </w:rPr>
        <w:footnoteReference w:id="319"/>
      </w:r>
      <w:r>
        <w:rPr>
          <w:rFonts w:ascii="IRNazanin" w:hAnsi="IRNazanin" w:eastAsia="IRNazanin"/>
          <w:color w:val="111111"/>
          <w:sz w:val="28"/>
          <w:sz w:val="28"/>
          <w:szCs w:val="28"/>
          <w:rtl w:val="true"/>
          <w:lang w:bidi="fa-IR"/>
        </w:rPr>
        <w:t>الذم بمخالفة الأمر دون غیره، و کان ینبغی علی ما اقتضی هذا السؤال أن یعلقوا الذم بدخول الضرر علی السید أو فوت المنفعة، و قد علمنا خلاف ذلک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یذمه من لا یعلم أن السید یستضر بمخالفته و أنه ینتفع بامتثاله، فلو کان الأمر علی ما قیل لما جاز أن یذمه إلا من عرف ذلک، و قد علمنا خلاف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أنا لا نسلم ذلک لأن السید قد لا یستبصر بمخالفة عبده و یستحق العبد مع ذلک الذم إذا خالفه، أ لا تری أن من قال لغلامه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اسقنی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یسقه و کان هناک غلام آخر فسقاه، فإن العقلاء یذمون العبد المخالف، و إن کان السید لم یدخل علیه ضرر، لأنه قد بلغ غرضه و مراده، فلو کان لما قالوه لما حسن ذلک علی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یذمونه و إن خالف منافع ترجع إلی العبد، أ لا تری أنه لو 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اغسل ثیابک، و ادخل الحمام، و کل الخبز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أشبه ذلک فلم یفعل یحسن منه أن یؤدبه علی ذلک و یذمه، فلو لا أن ذلک کان یجب علیه و إلا لم یحسن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لهم أن یقولوا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إذا خالفه فیما عددتموه عاد ذلک بالضرر علیه، فلأجل ذلک حسن ذمه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إن کان الأمر علی ما قالوه سقط فرقهم بذلک بین منافع تخصه و بین منافع یرجع إلی السید، لأنهم راموا بذلک أن یفصلوا بین أن یستحق الذم بمخالفة أمر سیده لمنافع تعود إلیه، و بین منافع ترجع إلی العبد، و علی هذا الفرض لا فصل بینهما لأن فی کلا الحالین</w:t>
      </w:r>
      <w:r>
        <w:rPr>
          <w:rStyle w:val="FootnoteAnchor"/>
          <w:rtl w:val="true"/>
        </w:rPr>
        <w:footnoteReference w:id="320"/>
      </w:r>
    </w:p>
    <w:p>
      <w:pPr>
        <w:pStyle w:val="BookText"/>
        <w:rPr/>
      </w:pPr>
      <w:r>
        <w:rPr>
          <w:rFonts w:ascii="IRNazanin" w:hAnsi="IRNazanin" w:eastAsia="IRNazanin"/>
          <w:color w:val="111111"/>
          <w:sz w:val="28"/>
          <w:sz w:val="28"/>
          <w:szCs w:val="28"/>
          <w:rtl w:val="true"/>
          <w:lang w:bidi="fa-IR"/>
        </w:rPr>
        <w:t>فی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 الحالتین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یعود الضرر بالمخالفة علی السید، فبطل الفصل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سوی بینهما کان الجواب عنه ما تقدم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یدل أیضا علی صحة ما ذهبنا إلیه قوله تعالی مخاطبا لإبلیس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مَنَعَکَ أَلاّ تَسْجُدَ إِذْ أَمَرْتُکَ  </w:t>
      </w:r>
      <w:r>
        <w:rPr>
          <w:rStyle w:val="FootnoteAnchor"/>
          <w:rtl w:val="true"/>
        </w:rPr>
        <w:footnoteReference w:id="321"/>
      </w:r>
      <w:r>
        <w:rPr>
          <w:rFonts w:ascii="IRNazanin" w:hAnsi="IRNazanin" w:eastAsia="IRNazanin"/>
          <w:color w:val="111111"/>
          <w:sz w:val="28"/>
          <w:sz w:val="28"/>
          <w:szCs w:val="28"/>
          <w:rtl w:val="true"/>
          <w:lang w:bidi="fa-IR"/>
        </w:rPr>
        <w:t>فقرعه</w:t>
      </w:r>
      <w:r>
        <w:rPr>
          <w:rStyle w:val="FootnoteAnchor"/>
          <w:rtl w:val="true"/>
        </w:rPr>
        <w:footnoteReference w:id="322"/>
      </w:r>
      <w:r>
        <w:rPr>
          <w:rFonts w:ascii="IRNazanin" w:hAnsi="IRNazanin" w:eastAsia="IRNazanin"/>
          <w:color w:val="111111"/>
          <w:sz w:val="28"/>
          <w:sz w:val="28"/>
          <w:szCs w:val="28"/>
          <w:rtl w:val="true"/>
          <w:lang w:bidi="fa-IR"/>
        </w:rPr>
        <w:t>علی مخالفة الأمر، فلو لا أن أمره کان یقتضی الإیجاب، و إلا لم یستحق التوبیخ</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لیس لهم أن یقولوا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إنما ذمه لأنه کان قد دله علی أن ما أمره به واجب </w:t>
      </w:r>
    </w:p>
    <w:p>
      <w:pPr>
        <w:pStyle w:val="BookText"/>
        <w:rPr/>
      </w:pPr>
      <w:r>
        <w:rPr>
          <w:rFonts w:ascii="IRNazanin" w:hAnsi="IRNazanin" w:eastAsia="IRNazanin"/>
          <w:color w:val="111111"/>
          <w:sz w:val="28"/>
          <w:sz w:val="28"/>
          <w:szCs w:val="28"/>
          <w:rtl w:val="true"/>
          <w:lang w:bidi="fa-IR"/>
        </w:rPr>
        <w:t>بقرینة اقترنت إلی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الّذی ذکروه مخالف للظاهر، لأن اللّه تعالی إنما علق ذمه بمخالفة الأمر دون القرینة، فمن ادعی قرینة احتاج إلی دلالة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لیس لهم أن یقولوا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مَنَعَکَ أَلاّ تَسْجُدَ  </w:t>
      </w:r>
      <w:r>
        <w:rPr>
          <w:rStyle w:val="FootnoteAnchor"/>
          <w:rtl w:val="true"/>
        </w:rPr>
        <w:footnoteReference w:id="323"/>
      </w:r>
    </w:p>
    <w:p>
      <w:pPr>
        <w:pStyle w:val="BookText"/>
        <w:rPr/>
      </w:pPr>
      <w:r>
        <w:rPr>
          <w:rFonts w:ascii="IRNazanin" w:hAnsi="IRNazanin" w:eastAsia="IRNazanin"/>
          <w:color w:val="111111"/>
          <w:sz w:val="28"/>
          <w:sz w:val="28"/>
          <w:szCs w:val="28"/>
          <w:rtl w:val="true"/>
          <w:lang w:bidi="fa-IR"/>
        </w:rPr>
        <w:t>الأعراف</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أیضا راجع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التبیان فی تفسیر القرآن </w:t>
      </w:r>
      <w:r>
        <w:rPr>
          <w:rFonts w:eastAsia="IRNazanin" w:cs="IRNazanin"/>
          <w:color w:val="111111"/>
          <w:sz w:val="28"/>
          <w:szCs w:val="28"/>
          <w:lang w:bidi="fa-IR"/>
        </w:rPr>
        <w:t>359:4</w:t>
      </w:r>
      <w:r>
        <w:rPr>
          <w:rFonts w:eastAsia="IRNazanin" w:cs="IRNazanin"/>
          <w:color w:val="111111"/>
          <w:sz w:val="28"/>
          <w:szCs w:val="28"/>
          <w:rtl w:val="true"/>
          <w:lang w:bidi="fa-IR"/>
        </w:rPr>
        <w:t>-</w:t>
      </w:r>
      <w:r>
        <w:rPr>
          <w:rFonts w:eastAsia="IRNazanin" w:cs="IRNazanin"/>
          <w:color w:val="111111"/>
          <w:sz w:val="28"/>
          <w:szCs w:val="28"/>
          <w:lang w:bidi="fa-IR"/>
        </w:rPr>
        <w:t>357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لیس بتوبیخ، و إنما هو تقریر علی الّذی حمله علی مخالفة الأمر، و ذلک أن هذا خلاف الإجماع، لأنه لا خلاف بین الأمة فی أن هذا القول ذم لإبلیس، فمن قال لیس کذلک سقط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یدل أیضا علی ذلک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فَلْیَحْذَرِ الَّذِینَ یُخالِفُونَ عَنْ أَمْرِهِ  </w:t>
      </w:r>
      <w:r>
        <w:rPr>
          <w:rStyle w:val="FootnoteAnchor"/>
          <w:rtl w:val="true"/>
        </w:rPr>
        <w:footnoteReference w:id="324"/>
      </w:r>
      <w:r>
        <w:rPr>
          <w:rFonts w:ascii="IRNazanin" w:hAnsi="IRNazanin" w:eastAsia="IRNazanin"/>
          <w:color w:val="111111"/>
          <w:sz w:val="28"/>
          <w:sz w:val="28"/>
          <w:szCs w:val="28"/>
          <w:rtl w:val="true"/>
          <w:lang w:bidi="fa-IR"/>
        </w:rPr>
        <w:t>فحذرنا من مخالفة أوامر الرسول صلی اللّه علیه و آله و سلم فلو لا أنها کانت مقتضیة للإیجاب، و إلا لم یجب الحذر من مخالفته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المخالفة لیس هو أن لا یفعل ما اقتضاه الأمر، بل المخالفة هو رد القول، و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کذلک، لأن الّذی ذکروه ضرب من المخالفة، و قد یکون المخالفة بترک المأمور به، أ لا تری أن القائل إذا قال لغیره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 أو اقعد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فمضی و قام یقال أنه خالفه، فکل واحد من الأمرین مخالفة و نحن نحمل الآیة علیهما جمیعا</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لیس لهم أن یقولوا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فَلْیَحْذَرِ   قرینة تدل علی أن أمره علی الوجوب دون أن یکون ذلک بمقتضی اللغة، لأنه متی لم یکن الأمر مقتضیا للإیجاب لم یحسن التحذیر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مخالفته، أ لا تری أنه لا یحسن أن یحذرنا من مخالفة ما ندبنا إلیه لما لم یکن لها</w:t>
      </w:r>
      <w:r>
        <w:rPr>
          <w:rStyle w:val="FootnoteAnchor"/>
          <w:rtl w:val="true"/>
        </w:rPr>
        <w:footnoteReference w:id="325"/>
      </w:r>
      <w:r>
        <w:rPr>
          <w:rFonts w:ascii="IRNazanin" w:hAnsi="IRNazanin" w:eastAsia="IRNazanin"/>
          <w:color w:val="111111"/>
          <w:sz w:val="28"/>
          <w:sz w:val="28"/>
          <w:szCs w:val="28"/>
          <w:rtl w:val="true"/>
          <w:lang w:bidi="fa-IR"/>
        </w:rPr>
        <w:t xml:space="preserve">صفة الوجوب، و یحسن ذلک فیما یوجبه علینا، فعلم </w:t>
      </w:r>
    </w:p>
    <w:p>
      <w:pPr>
        <w:pStyle w:val="BookText"/>
        <w:rPr/>
      </w:pPr>
      <w:r>
        <w:rPr>
          <w:rFonts w:ascii="IRNazanin" w:hAnsi="IRNazanin" w:eastAsia="IRNazanin"/>
          <w:color w:val="111111"/>
          <w:sz w:val="28"/>
          <w:sz w:val="28"/>
          <w:szCs w:val="28"/>
          <w:rtl w:val="true"/>
          <w:lang w:bidi="fa-IR"/>
        </w:rPr>
        <w:t>بذلک أن التحذیر إنما یحسن إذا کان الأمر مقتضیا للإیجاب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 أیضا علی صحة ما ذهبنا إلیه ما روی أن النبی صلی اللّه علیه و آله و سلم قال لبریرة</w:t>
      </w:r>
      <w:r>
        <w:rPr>
          <w:rStyle w:val="FootnoteAnchor"/>
          <w:rtl w:val="true"/>
        </w:rPr>
        <w:footnoteReference w:id="326"/>
      </w:r>
    </w:p>
    <w:p>
      <w:pPr>
        <w:pStyle w:val="BookText"/>
        <w:rPr/>
      </w:pPr>
      <w:r>
        <w:rPr>
          <w:rFonts w:ascii="IRNazanin" w:hAnsi="IRNazanin" w:eastAsia="IRNazanin"/>
          <w:color w:val="111111"/>
          <w:sz w:val="28"/>
          <w:sz w:val="28"/>
          <w:szCs w:val="28"/>
          <w:rtl w:val="true"/>
          <w:lang w:bidi="fa-IR"/>
        </w:rPr>
        <w:t>بریرة بضم الموحدة و فتح المهملتین و سکون الخاتمة کانت جاریة لعائشة و لها زوج، فلما أعتقتها عائشة اختارت مفارقة زوجها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ارجعی إلی زوجک فإنه أبو ولدک، و له علیک 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فقالت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تأمرنی بذلک‌؟ فقال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و إنما أنا شافع</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فعدل عن الأمر إلی الشفاعة، فلو لا أنه کان یقتضی الإیجاب و إلا لم یکن فرق بینه و بین الشفاعة، لأن شفاعة النبی صلی اللّه علیه و آله و سلم مرغب فی إجابتها، فعلم بذلک أن أمره کان یقتضی الإیجاب، فلأجل ذلک لم یأمرها، لأنه أراد ترغیبها فی ذلک و لم یرد الإیجاب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یعتمد فی أن الأمر یقتضی الإیجاب علی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الاحتیاط یقتضی ذلک، لأنه متی امتثل المأمور به، فإن کان مقتضاه الندب فقد فعله علی کل حال، و إن کان مشترکا فقد أمن الذم و العقاب من مخالفته لو کان واجبا، و إن کان واجبا فقد امتثل المأمور به، فالاحتیاط یوجب علیه ذلک علی المذاهب کلها</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إلا أن هذا و إن أمکن فإنما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علیه أن یفعل المأمور به و لا یعتقد فیه أن له صفة الوجوب، لأنه إن اعتقد ذلک و هو لا یأمن أن لا یکون کذلک یکون اعتقاده جهلا، و إنما یسلم له ذلک إذا خلا من اعتقاد فی المأمور به و اقتصر علی نفس الفعل، فإذا فعل ذلک کان ذلک معتمدا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یدل أیضا علی صحة ما ذهبنا إلیه رجوع المسلمین بأجمعهم من عهد رسول اللّه</w:t>
      </w:r>
      <w:r>
        <w:rPr>
          <w:rStyle w:val="FootnoteAnchor"/>
          <w:rtl w:val="true"/>
        </w:rPr>
        <w:footnoteReference w:id="327"/>
      </w:r>
    </w:p>
    <w:p>
      <w:pPr>
        <w:pStyle w:val="BookText"/>
        <w:rPr/>
      </w:pPr>
      <w:r>
        <w:rPr>
          <w:rFonts w:ascii="IRNazanin" w:hAnsi="IRNazanin" w:eastAsia="IRNazanin"/>
          <w:color w:val="111111"/>
          <w:sz w:val="28"/>
          <w:sz w:val="28"/>
          <w:szCs w:val="28"/>
          <w:rtl w:val="true"/>
          <w:lang w:bidi="fa-IR"/>
        </w:rPr>
        <w:t>النبی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زماننا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فی وجوب الأفعال و احتجاجهم فی ذلک إلی أوامر اللّه تعالی و أوامر رسول اللّه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فلو لا أنهما یقتضیان الإیجاب و إلا لم یجز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للمحتج علیه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أی شیء فی ذلک مما یقتضی الإیجاب‌؟ و الأمر لا یقتضی الإیجاب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علمنا بإجماعهم علی ذلک دلیل علی صحة ما قلناه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لأحد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عقلوا ذلک بقرینة دلتهم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هذا دعوی محضة، و من ادعی القرینة فعلیه أن یوردها، و لم نر المحتجین بأوامر اللّه تعالی و أوامر رسوله صلی اللّه علیه و آله و سلم ذکروها علی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أیضا طریقة معتمدة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الفقهاء و المتکلمین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استدل علی أن الأمر یقتضی الإیجاب بأن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الإیجاب حکم معقول فلا بد من أن یکون أهل اللغة وضعوا له عبارة، لأن الحاجة إلیه ماسة و لیس نجد عبارة تستعمل فی ذلک إلا هذه اللفظة، فینبغی أن تکون مفیدة للإیجاب</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اعترض علی هذا الدلیل من خالفهم بأن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محض الاقتراح، و لم یجب علی أهل اللغة أن یضعوا لذلک عبارة، إلا أنهم قد وضعوا لکل أمر معقول عبارة فإن ادعیتم ذلک کان الوجوب</w:t>
      </w:r>
      <w:r>
        <w:rPr>
          <w:rStyle w:val="FootnoteAnchor"/>
          <w:rtl w:val="true"/>
        </w:rPr>
        <w:footnoteReference w:id="328"/>
      </w:r>
      <w:r>
        <w:rPr>
          <w:rFonts w:ascii="IRNazanin" w:hAnsi="IRNazanin" w:eastAsia="IRNazanin"/>
          <w:color w:val="111111"/>
          <w:sz w:val="28"/>
          <w:sz w:val="28"/>
          <w:szCs w:val="28"/>
          <w:rtl w:val="true"/>
          <w:lang w:bidi="fa-IR"/>
        </w:rPr>
        <w:t xml:space="preserve">بخلافه، لأنا نعلم أن اختلاف الآراء یبیح أمورا </w:t>
      </w:r>
    </w:p>
    <w:p>
      <w:pPr>
        <w:pStyle w:val="BookText"/>
        <w:rPr/>
      </w:pPr>
      <w:r>
        <w:rPr>
          <w:rFonts w:ascii="IRNazanin" w:hAnsi="IRNazanin" w:eastAsia="IRNazanin"/>
          <w:color w:val="111111"/>
          <w:sz w:val="28"/>
          <w:sz w:val="28"/>
          <w:szCs w:val="28"/>
          <w:rtl w:val="true"/>
          <w:lang w:bidi="fa-IR"/>
        </w:rPr>
        <w:t xml:space="preserve">معقولة و لم یضعوا لکل واحد منها عبارة تخصه کما فعلوا ذلک فی الألوان، و کذلک لم یضعوا لاختلاف الأکوان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 کما وضعوا لاختلاف الألوان، و أمور کثیرة معقولة لم یضعوا لها عبارة، فما المنکر من أن یکون حکم الإیجاب ذلک الحکم‌؟ و لو سلم ذلک لقد وضعوا لذلک و هو 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أوجبت علیک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ألزمتک إیاه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فرضت علیک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متی لم تفعله استحققت الذم و العقاب، و هذه عبارة تفید ما اقترحتموه</w:t>
      </w:r>
      <w:r>
        <w:rPr>
          <w:rStyle w:val="FootnoteAnchor"/>
          <w:rtl w:val="true"/>
        </w:rPr>
        <w:footnoteReference w:id="329"/>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55:1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الندب أیضا معنی معقول، و الإباحة معنی معقولة، و لم یضعوا لها عبارة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وضعوا لهما عبارة و هی قولهم</w:t>
      </w:r>
      <w:r>
        <w:rPr>
          <w:rStyle w:val="FootnoteAnchor"/>
          <w:rtl w:val="true"/>
        </w:rPr>
        <w:footnoteReference w:id="33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ندبتک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أبحتک إیاه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الإیجاب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أوجبت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ألزمت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هو خبر و لیس بأمر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کذلک قولهم </w:t>
      </w:r>
      <w:r>
        <w:rPr>
          <w:rStyle w:val="FootnoteAnchor"/>
          <w:rtl w:val="true"/>
        </w:rPr>
        <w:footnoteReference w:id="3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محض و لیس بأمر، فاستوی القولان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فأما الاستدلال بقوله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أَطِیعُوا اللّهَ وَ أَطِیعُوا الرَّسُولَ  </w:t>
      </w:r>
      <w:r>
        <w:rPr>
          <w:rStyle w:val="FootnoteAnchor"/>
          <w:rtl w:val="true"/>
        </w:rPr>
        <w:footnoteReference w:id="332"/>
      </w:r>
      <w:r>
        <w:rPr>
          <w:rFonts w:ascii="IRNazanin" w:hAnsi="IRNazanin" w:eastAsia="IRNazanin"/>
          <w:color w:val="111111"/>
          <w:sz w:val="28"/>
          <w:sz w:val="28"/>
          <w:szCs w:val="28"/>
          <w:rtl w:val="true"/>
          <w:lang w:bidi="fa-IR"/>
        </w:rPr>
        <w:t>علی أن أمرهما یقتضیان الإیجاب</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 یصح لأن الآیة تضمنت الأمر بالطاعة لهما، و الکلام فی الأمر وقع هل مقتضاه الإیجاب أم لا؟ فالاستدلال بها لا یصح</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أما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 رَبِّکَ لا یُؤْمِنُونَ حَتّی یُحَکِّمُوکَ   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قَضَیْتَ وَ یُسَلِّمُوا تَسْلِیماً  </w:t>
      </w:r>
      <w:r>
        <w:rPr>
          <w:rStyle w:val="FootnoteAnchor"/>
          <w:rtl w:val="true"/>
        </w:rPr>
        <w:footnoteReference w:id="334"/>
      </w:r>
    </w:p>
    <w:p>
      <w:pPr>
        <w:pStyle w:val="BookText"/>
        <w:rPr/>
      </w:pP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فلا یمکن الاعتماد علیه أیضا فی أن الأمر یقتضی الإیجاب، لأن القضاء فی الآیة بمعنی الإلزام و لیس بمعنی الأمر، و الإلزام هو الإیجاب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کذلک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کانَ لِمُؤْمِنٍ وَ لا مُؤْمِنَةٍ إِذا قَضَی اللّهُ وَ رَسُولُهُ أَمْراً أَنْ یَکُونَ لَهُمُ الْخِیَرَةُ مِنْ أَمْرِهِمْ  </w:t>
      </w:r>
      <w:r>
        <w:rPr>
          <w:rStyle w:val="FootnoteAnchor"/>
          <w:rtl w:val="true"/>
        </w:rPr>
        <w:footnoteReference w:id="335"/>
      </w:r>
      <w:r>
        <w:rPr>
          <w:rFonts w:ascii="IRNazanin" w:hAnsi="IRNazanin" w:eastAsia="IRNazanin"/>
          <w:color w:val="111111"/>
          <w:sz w:val="28"/>
          <w:sz w:val="28"/>
          <w:szCs w:val="28"/>
          <w:rtl w:val="true"/>
          <w:lang w:bidi="fa-IR"/>
        </w:rPr>
        <w:t>لا یمکن الاعتماد علیه لأن القضاء بمعنی الإلزام علی ما بیناه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الأمر یقتضی الندب لا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لهم الخیرة، بل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الفعل بصفة الندب و الأولی فعله، و التخییر إنما یثبت فی المباح المحض و لیس ذلک قولا لأحد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یَعْصِ اللّهَ وَ رَسُولَهُ فَقَدْ ضَلَّ ضَلالاً مُبِیناً  </w:t>
      </w:r>
      <w:r>
        <w:rPr>
          <w:rStyle w:val="FootnoteAnchor"/>
          <w:rtl w:val="true"/>
        </w:rPr>
        <w:footnoteReference w:id="336"/>
      </w:r>
      <w:r>
        <w:rPr>
          <w:rFonts w:ascii="Amiri" w:hAnsi="Amiri" w:eastAsia="Amiri" w:cs="Amiri"/>
          <w:color w:val="111111"/>
          <w:sz w:val="28"/>
          <w:sz w:val="28"/>
          <w:szCs w:val="28"/>
          <w:rtl w:val="true"/>
          <w:lang w:bidi="ar-SA"/>
        </w:rPr>
        <w:t>لا یمکن أیضا الاعتماد علیه، لأن العصیان قد یکون بمخالفة المندوب إلیه، و لأجل هذا حملنا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عَصی آدَمُ رَبَّهُ فَغَوی  </w:t>
      </w:r>
      <w:r>
        <w:rPr>
          <w:rStyle w:val="FootnoteAnchor"/>
          <w:rtl w:val="true"/>
        </w:rPr>
        <w:footnoteReference w:id="337"/>
      </w:r>
      <w:r>
        <w:rPr>
          <w:rFonts w:ascii="IRNazanin" w:hAnsi="IRNazanin" w:eastAsia="IRNazanin"/>
          <w:color w:val="111111"/>
          <w:sz w:val="28"/>
          <w:sz w:val="28"/>
          <w:szCs w:val="28"/>
          <w:rtl w:val="true"/>
          <w:lang w:bidi="fa-IR"/>
        </w:rPr>
        <w:t>علی أنه خالف ما ندب إلیه، و قد یتجاوز ذلک إلی أن یقال فیمن خالف المشورة بأنه عصی فیقولون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أشرت علیک فعصیتنی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فلا یمکن الاعتماد علیه</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الّذی قلناه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الاعتراض علی قول من قال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لم یقتض الأمر الإیجاب لما سمی من خالفه عاصیا، لأنا قد بینا أن العصیان قد یطلق علی مخالفة المندوب إلیه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فأما ما وصف اللّه تعالی إبلیس بالعصیان، فإنه علم أنه فعل قبیحا بترکه السجود المأمور به، و قد دللنا علی أن الأمر یقتضی الإیجاب فلم یخرج من بابه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قال بالندب، قال علم ذلک بدلیل غیر الأمر فلا یمکن الاستدلال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من اعتمد علی أن الأمر بالشیء نهی عن ضده لفظا أو معنی فلأجل ذلک اقتضی الإیجاب، فلا یمکن الاعتماد علیه، لأن عندنا لیس الأمر بالشیء نهیا عن ضده، و سنبین ذلک فیما بعد</w:t>
      </w:r>
      <w:r>
        <w:rPr>
          <w:rStyle w:val="FootnoteAnchor"/>
          <w:rtl w:val="true"/>
        </w:rPr>
        <w:footnoteReference w:id="338"/>
      </w:r>
    </w:p>
    <w:p>
      <w:pPr>
        <w:pStyle w:val="BookText"/>
        <w:rPr/>
      </w:pPr>
      <w:r>
        <w:rPr>
          <w:rFonts w:ascii="IRNazanin" w:hAnsi="IRNazanin" w:eastAsia="IRNazanin"/>
          <w:color w:val="111111"/>
          <w:sz w:val="28"/>
          <w:sz w:val="28"/>
          <w:szCs w:val="28"/>
          <w:rtl w:val="true"/>
          <w:lang w:bidi="fa-IR"/>
        </w:rPr>
        <w:t xml:space="preserve">انظر تفصیل الأقوال و اختلاف الآراء فی هذه المسألة فی صفحة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هامش رقم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یمکن الاعتماد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یمکن أیضا أن یعتمد علی أن یقال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الأمر یدل علی أن الآمر مرید للمأمور به، و إذا کان کذلک فلا بد أن یکون کارها لضده لأن ذلک یفسد من 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قد بینا</w:t>
      </w:r>
      <w:r>
        <w:rPr>
          <w:rStyle w:val="FootnoteAnchor"/>
          <w:rtl w:val="true"/>
        </w:rPr>
        <w:footnoteReference w:id="339"/>
      </w:r>
      <w:r>
        <w:rPr>
          <w:rFonts w:ascii="IRNazanin" w:hAnsi="IRNazanin" w:eastAsia="IRNazanin"/>
          <w:color w:val="111111"/>
          <w:sz w:val="28"/>
          <w:sz w:val="28"/>
          <w:szCs w:val="28"/>
          <w:rtl w:val="true"/>
          <w:lang w:bidi="fa-IR"/>
        </w:rPr>
        <w:t>أن الأمر لا یقتضی إرادة المأمور به أصلا فلا یصح ذلک، ثم لو اقتضی ذلک لم یجب أن یکون کارها لضده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ذلک یقتضی أن تکون النوافل واجبة لأنها مرادة، و قد علمنا أنها لیست مکروهة الضد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یمکن أیضا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نفس الإرادة للشیء کراهیة لضده</w:t>
      </w:r>
      <w:r>
        <w:rPr>
          <w:rStyle w:val="FootnoteAnchor"/>
          <w:rtl w:val="true"/>
        </w:rPr>
        <w:footnoteReference w:id="340"/>
      </w:r>
      <w:r>
        <w:rPr>
          <w:rFonts w:ascii="IRNazanin" w:hAnsi="IRNazanin" w:eastAsia="IRNazanin"/>
          <w:color w:val="111111"/>
          <w:sz w:val="28"/>
          <w:sz w:val="28"/>
          <w:szCs w:val="28"/>
          <w:rtl w:val="true"/>
          <w:lang w:bidi="fa-IR"/>
        </w:rPr>
        <w:t>، لأن ذلک یفسد من وجهین أیضا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الشیء الواحد لا یجوز أن یکون بصفتین ضدین فکیف یمکن أن یدعی أن الإرادة بصفة الکراهة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ذلک ینتقض بالنوافل، لأنها مرادة و لیست مکروهة الضد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یمکن أیضا أن نعتمد بأن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الأمر یقتضی المأمور به، و لیس علی جواز ترکه 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 للقائل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لعمری یقتضی المأمور به، و لکن الکلام فی أنه کیف یقتضیه هل هو علی جهة الوجوب أو جهة الندب‌؟ و لا یمکن أیضا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الآمر أراد المأمور به علی جهة الإیجاب، لأن ذلک متی لم یشر به إلی ما قلناه من أن الأمر یقتضی الإیجاب، أو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إذا أراد المراد فلا بدّ من أن یکون کارها لضده، أو إرادة الشیء کراهة لضده لا یعقل، فإن أرید بذلک الوجه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فذلک صحیح، و ینبغی أن یقتصر علی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الأمر یقتضی الإیجاب</w:t>
      </w:r>
      <w:r>
        <w:rPr>
          <w:rFonts w:eastAsia="IRNazanin" w:cs="IRNazanin"/>
          <w:color w:val="111111"/>
          <w:sz w:val="28"/>
          <w:szCs w:val="28"/>
          <w:rtl w:val="true"/>
          <w:lang w:bidi="fa-IR"/>
        </w:rPr>
        <w:t>]</w:t>
      </w:r>
      <w:r>
        <w:rPr>
          <w:rStyle w:val="FootnoteAnchor"/>
          <w:rtl w:val="true"/>
        </w:rPr>
        <w:footnoteReference w:id="341"/>
      </w:r>
    </w:p>
    <w:p>
      <w:pPr>
        <w:pStyle w:val="BookText"/>
        <w:rPr/>
      </w:pPr>
      <w:r>
        <w:rPr>
          <w:rFonts w:ascii="IRNazanin" w:hAnsi="IRNazanin" w:eastAsia="IRNazanin"/>
          <w:color w:val="111111"/>
          <w:sz w:val="28"/>
          <w:sz w:val="28"/>
          <w:szCs w:val="28"/>
          <w:rtl w:val="true"/>
          <w:lang w:bidi="fa-IR"/>
        </w:rPr>
        <w:t>زیادة من النسخة 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یتعرض فی العبارة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أرید به ما عدا ذلک فقد أبطلنا صحة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یلزم القائلین بالندب أن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ینبغی علی قولکم ألا یکون فرق بین الأمر بالنوافل و الفرائض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لأنهم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بمجرد الأمر لا فرق بینهما، و إنما علمنا حکم الفرائض و أنه یستحق بترکه العقاب بدلیل غیر الأمر</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یلزمهم أیضا أن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ینبغی أن یکون الأمر لا یدل علی أکثر من حسن المأمور به فقط إذا کان صادرا من حکیم، و یلزم علی ذلک أن یکون اللّه تعالی مریدا للمباحات</w:t>
      </w:r>
      <w:r>
        <w:rPr>
          <w:rStyle w:val="FootnoteAnchor"/>
          <w:rtl w:val="true"/>
        </w:rPr>
        <w:footnoteReference w:id="342"/>
      </w:r>
      <w:r>
        <w:rPr>
          <w:rFonts w:ascii="Amiri" w:hAnsi="Amiri" w:eastAsia="Amiri" w:cs="Amiri"/>
          <w:color w:val="111111"/>
          <w:sz w:val="28"/>
          <w:sz w:val="28"/>
          <w:szCs w:val="28"/>
          <w:rtl w:val="true"/>
          <w:lang w:bidi="ar-SA"/>
        </w:rPr>
        <w:t>لأنها حسنة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لأنهم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المباحات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کانت حسنة، فلا یحسن من القدیم تعالی أن یریدها فی دار التکلیف لأن ذلک عبث لا فائدة فیه</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فالاعتماد علی ما قلناه و أحکمناه</w:t>
      </w:r>
      <w:r>
        <w:rPr>
          <w:rFonts w:eastAsia="IRNazanin" w:cs="IRNazanin"/>
          <w:color w:val="111111"/>
          <w:sz w:val="28"/>
          <w:szCs w:val="28"/>
          <w:rtl w:val="true"/>
          <w:lang w:bidi="fa-IR"/>
        </w:rPr>
        <w:t xml:space="preserve">. </w:t>
      </w:r>
      <w:bookmarkStart w:id="93" w:name="pg6519_49261"/>
    </w:p>
    <w:p>
      <w:pPr>
        <w:pStyle w:val="Heading4"/>
        <w:numPr>
          <w:ilvl w:val="3"/>
          <w:numId w:val="1"/>
        </w:numPr>
        <w:rPr/>
      </w:pPr>
      <w:bookmarkStart w:id="94" w:name="__RefHeading___Toc1757215_653776707"/>
      <w:bookmarkStart w:id="95" w:name="_Toc31"/>
      <w:bookmarkEnd w:id="93"/>
      <w:bookmarkEnd w:id="94"/>
      <w:r>
        <w:rPr>
          <w:rtl w:val="true"/>
        </w:rPr>
        <w:t xml:space="preserve">فصل </w:t>
      </w:r>
      <w:r>
        <w:rPr>
          <w:rtl w:val="true"/>
        </w:rPr>
        <w:t xml:space="preserve">- </w:t>
      </w:r>
      <w:r>
        <w:rPr/>
        <w:t>3</w:t>
      </w:r>
      <w:r>
        <w:rPr>
          <w:rtl w:val="true"/>
        </w:rPr>
        <w:t xml:space="preserve"> «</w:t>
      </w:r>
      <w:r>
        <w:rPr>
          <w:rtl w:val="true"/>
        </w:rPr>
        <w:t>فی حکم الأمر الوارد عقیب الحظر</w:t>
      </w:r>
      <w:r>
        <w:rPr>
          <w:rtl w:val="true"/>
        </w:rPr>
        <w:t>»</w:t>
      </w:r>
      <w:bookmarkEnd w:id="95"/>
    </w:p>
    <w:p>
      <w:pPr>
        <w:pStyle w:val="BookText"/>
        <w:rPr/>
      </w:pPr>
      <w:r>
        <w:rPr>
          <w:rFonts w:ascii="IRNazanin" w:hAnsi="IRNazanin" w:eastAsia="IRNazanin"/>
          <w:color w:val="111111"/>
          <w:sz w:val="28"/>
          <w:sz w:val="28"/>
          <w:szCs w:val="28"/>
          <w:rtl w:val="true"/>
          <w:lang w:bidi="fa-IR"/>
        </w:rPr>
        <w:t xml:space="preserve">ذهب أکثر الفقهاء و من صنف أصول الفقه إلی أن الأمر إذا ورد عقیب الحظر اقتضی الإباحة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قوم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مقتضی الأمر علی ما کان علیه من إیجاب أو ندب أو وقف</w:t>
      </w:r>
      <w:r>
        <w:rPr>
          <w:rStyle w:val="FootnoteAnchor"/>
          <w:rtl w:val="true"/>
        </w:rPr>
        <w:footnoteReference w:id="343"/>
      </w:r>
    </w:p>
    <w:p>
      <w:pPr>
        <w:pStyle w:val="BookText"/>
        <w:rPr/>
      </w:pPr>
      <w:r>
        <w:rPr>
          <w:rFonts w:ascii="IRNazanin" w:hAnsi="IRNazanin" w:eastAsia="IRNazanin"/>
          <w:color w:val="111111"/>
          <w:sz w:val="28"/>
          <w:sz w:val="28"/>
          <w:szCs w:val="28"/>
          <w:rtl w:val="true"/>
          <w:lang w:bidi="fa-IR"/>
        </w:rPr>
        <w:t>فی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الإیجاب و الندب و الوقف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اعتبار بما تقدم، و هذا هو الأقوی عندی</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الّذی یدل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الاعتبار فی هذه الألفاظ بظواهرها و موضوعها فی اللغة، لأنا متی لم نراع ذلک لم یمکننا الاستدلال بشیء من الکلام، و إذا ثبت ذلک و کانت صیغة الأمر و صورته بعد الحظر کما کانت قبل الحظر، وجب أن یکون </w:t>
      </w:r>
    </w:p>
    <w:p>
      <w:pPr>
        <w:pStyle w:val="BookText"/>
        <w:rPr/>
      </w:pPr>
      <w:r>
        <w:rPr>
          <w:rFonts w:ascii="IRNazanin" w:hAnsi="IRNazanin" w:eastAsia="IRNazanin"/>
          <w:color w:val="111111"/>
          <w:sz w:val="28"/>
          <w:sz w:val="28"/>
          <w:szCs w:val="28"/>
          <w:rtl w:val="true"/>
          <w:lang w:bidi="fa-IR"/>
        </w:rPr>
        <w:t xml:space="preserve">مقتضاها علی ما کان، إلا أن یدل دلیل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خلاف ذلک فتحمل علیه، کما إذا دل دلیل ابتداء علی خلاف مقتضاها فی أصل الوضع مما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یدل أیضا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کون الأمر واردا عقیب الحظر اللفظی لیس بأکثر من کونه واردا عقیب الحظر العقلی، أ لا تری أن الصلاة و رمی الجمار و غیر ذلک من الشرعیات قبیح بالعقل فعلها، و مع ذلک لما ورد الشرع بها و تناولها الأمر حمل ذلک علی الوجوب أو الندب علی الخلاف فیه، و لم یکن ما تقدمها من الحظر العقلی موجبا لإباحتها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حکم الأمر إذا ورد عقیب الحظر اللفظی ینبغی أن یکون حکمه حکم ما ورد ابتداء، و لا یؤثر فی تغییر ذلک ما تقدمه من الحظر إلا بدلیل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تعلقهم فی ذلک بأن قالوا</w:t>
      </w:r>
      <w:r>
        <w:rPr>
          <w:rStyle w:val="FootnoteAnchor"/>
          <w:rtl w:val="true"/>
        </w:rPr>
        <w:footnoteReference w:id="344"/>
      </w:r>
    </w:p>
    <w:p>
      <w:pPr>
        <w:pStyle w:val="BookText"/>
        <w:rPr/>
      </w:pPr>
      <w:r>
        <w:rPr>
          <w:rFonts w:ascii="Amiri" w:hAnsi="Amiri" w:eastAsia="Amiri" w:cs="Amiri"/>
          <w:color w:val="111111"/>
          <w:sz w:val="28"/>
          <w:sz w:val="28"/>
          <w:szCs w:val="28"/>
          <w:rtl w:val="true"/>
          <w:lang w:bidi="ar-SA"/>
        </w:rPr>
        <w:t>انظر التبصرة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الحظر لما کان منعا من الفعل ینبغی أن یکون الأمر رافعا لذلک، و ذلک یفید الإباحة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الّذی یقتضیه هذا الاعتبار أنه ینبغی أن یکون الأمر مخالفا لحکم الحظر، و کذلک نقول، و قد یکون مخالفا له بأن یقتضی الوجوب أو الندب أو الإباحة، فمن أین أن المراد أحدهما دون الآخر؟ و کل ذلک یزیل حکم الحظر، فسقط التعلق بذلک</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فأما تعلقهم فی ذلک بأن أوامر القرآن الواردة عقیب الحظر کلها کذلک نحو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قُضِیَتِ الصَّلاةُ فَانْتَشِرُوا  </w:t>
      </w:r>
      <w:r>
        <w:rPr>
          <w:rStyle w:val="FootnoteAnchor"/>
          <w:rtl w:val="true"/>
        </w:rPr>
        <w:footnoteReference w:id="345"/>
      </w:r>
      <w:r>
        <w:rPr>
          <w:rFonts w:ascii="Amiri" w:hAnsi="Amiri" w:eastAsia="Amiri" w:cs="Amiri"/>
          <w:color w:val="111111"/>
          <w:sz w:val="28"/>
          <w:sz w:val="28"/>
          <w:szCs w:val="28"/>
          <w:rtl w:val="true"/>
          <w:lang w:bidi="ar-SA"/>
        </w:rPr>
        <w:t>، و نحو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حَلَلْتُمْ فَاصْطادُوا  </w:t>
      </w:r>
      <w:r>
        <w:rPr>
          <w:rStyle w:val="FootnoteAnchor"/>
          <w:rtl w:val="true"/>
        </w:rPr>
        <w:footnoteReference w:id="346"/>
      </w:r>
      <w:r>
        <w:rPr>
          <w:rFonts w:ascii="IRNazanin" w:hAnsi="IRNazanin" w:eastAsia="IRNazanin"/>
          <w:color w:val="111111"/>
          <w:sz w:val="28"/>
          <w:sz w:val="28"/>
          <w:szCs w:val="28"/>
          <w:rtl w:val="true"/>
          <w:lang w:bidi="fa-IR"/>
        </w:rPr>
        <w:t>و ما جری مجری ذلک</w:t>
      </w:r>
      <w:r>
        <w:rPr>
          <w:rStyle w:val="FootnoteAnchor"/>
          <w:rtl w:val="true"/>
        </w:rPr>
        <w:footnoteReference w:id="347"/>
      </w:r>
      <w:r>
        <w:rPr>
          <w:rFonts w:ascii="IRNazanin" w:hAnsi="IRNazanin" w:eastAsia="IRNazanin"/>
          <w:color w:val="111111"/>
          <w:sz w:val="28"/>
          <w:sz w:val="28"/>
          <w:szCs w:val="28"/>
          <w:rtl w:val="true"/>
          <w:lang w:bidi="fa-IR"/>
        </w:rPr>
        <w:t>، فینبغی أن یکون حقیقتها ذلک</w:t>
      </w:r>
      <w:r>
        <w:rPr>
          <w:rStyle w:val="FootnoteAnchor"/>
          <w:rtl w:val="true"/>
        </w:rPr>
        <w:footnoteReference w:id="3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w:t>
      </w:r>
      <w:r>
        <w:rPr>
          <w:rStyle w:val="FootnoteAnchor"/>
          <w:rtl w:val="true"/>
        </w:rPr>
        <w:footnoteReference w:id="349"/>
      </w:r>
      <w:r>
        <w:rPr>
          <w:rFonts w:ascii="IRNazanin" w:hAnsi="IRNazanin" w:eastAsia="IRNazanin"/>
          <w:color w:val="111111"/>
          <w:sz w:val="28"/>
          <w:sz w:val="28"/>
          <w:szCs w:val="28"/>
          <w:rtl w:val="true"/>
          <w:lang w:bidi="fa-IR"/>
        </w:rPr>
        <w:t xml:space="preserve">بصحیح لأنا </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علم ذلک بدلیل غیر الظاهر، و لو خلینا و الظاهر لحکمنا فی هذه الأوامر ما کنا نحکم فیها ابتداء من غیر أن یتقدمها حظر، فالتعلق بذلک لا یصح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 أنه قد ورد فی القرآن عقیب الحظر الأمر و إن لم یوجب الإباحة نحو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تَحْلِقُوا رُؤُسَکُمْ حَتّی یَبْلُغَ الْهَدْیُ مَحِلَّهُ   </w:t>
      </w:r>
      <w:r>
        <w:rPr>
          <w:rStyle w:val="FootnoteAnchor"/>
          <w:rtl w:val="true"/>
        </w:rPr>
        <w:footnoteReference w:id="350"/>
      </w:r>
    </w:p>
    <w:p>
      <w:pPr>
        <w:pStyle w:val="BookText"/>
        <w:rPr/>
      </w:pP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انظر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التبیان فی تفسیر القرآن </w:t>
      </w:r>
      <w:r>
        <w:rPr>
          <w:rFonts w:eastAsia="IRNazanin" w:cs="IRNazanin"/>
          <w:color w:val="111111"/>
          <w:sz w:val="28"/>
          <w:szCs w:val="28"/>
          <w:lang w:bidi="fa-IR"/>
        </w:rPr>
        <w:t>160:2</w:t>
      </w:r>
      <w:r>
        <w:rPr>
          <w:rFonts w:eastAsia="IRNazanin" w:cs="IRNazanin"/>
          <w:color w:val="111111"/>
          <w:sz w:val="28"/>
          <w:szCs w:val="28"/>
          <w:rtl w:val="true"/>
          <w:lang w:bidi="fa-IR"/>
        </w:rPr>
        <w:t>-</w:t>
      </w:r>
      <w:r>
        <w:rPr>
          <w:rFonts w:eastAsia="IRNazanin" w:cs="IRNazanin"/>
          <w:color w:val="111111"/>
          <w:sz w:val="28"/>
          <w:szCs w:val="28"/>
          <w:lang w:bidi="fa-IR"/>
        </w:rPr>
        <w:t>154</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حلق الرّأس بعد بلوغ الهدی محله لیس بمباح بل هو نسک، و ذلک یخالف ما أصلوا القول فیه</w:t>
      </w:r>
      <w:r>
        <w:rPr>
          <w:rFonts w:eastAsia="IRNazanin" w:cs="IRNazanin"/>
          <w:color w:val="111111"/>
          <w:sz w:val="28"/>
          <w:szCs w:val="28"/>
          <w:rtl w:val="true"/>
          <w:lang w:bidi="fa-IR"/>
        </w:rPr>
        <w:t>.</w:t>
      </w:r>
      <w:bookmarkStart w:id="96" w:name="pg6519_49264"/>
    </w:p>
    <w:p>
      <w:pPr>
        <w:pStyle w:val="Heading4"/>
        <w:numPr>
          <w:ilvl w:val="3"/>
          <w:numId w:val="1"/>
        </w:numPr>
        <w:rPr/>
      </w:pPr>
      <w:bookmarkStart w:id="97" w:name="__RefHeading___Toc1757217_653776707"/>
      <w:bookmarkStart w:id="98" w:name="_Toc32"/>
      <w:bookmarkEnd w:id="96"/>
      <w:bookmarkEnd w:id="97"/>
      <w:r>
        <w:rPr>
          <w:rtl w:val="true"/>
        </w:rPr>
        <w:t xml:space="preserve">فصل </w:t>
      </w:r>
      <w:r>
        <w:rPr>
          <w:rtl w:val="true"/>
        </w:rPr>
        <w:t xml:space="preserve">- </w:t>
      </w:r>
      <w:r>
        <w:rPr/>
        <w:t>4</w:t>
      </w:r>
      <w:r>
        <w:rPr>
          <w:rtl w:val="true"/>
        </w:rPr>
        <w:t xml:space="preserve"> «</w:t>
      </w:r>
      <w:r>
        <w:rPr>
          <w:rtl w:val="true"/>
        </w:rPr>
        <w:t>فی أن الأمر بالشیء هل هو أمر بما لا یتم إلا به أم لا ؟</w:t>
      </w:r>
      <w:r>
        <w:rPr>
          <w:rtl w:val="true"/>
        </w:rPr>
        <w:t>»</w:t>
      </w:r>
      <w:bookmarkEnd w:id="98"/>
    </w:p>
    <w:p>
      <w:pPr>
        <w:pStyle w:val="BookText"/>
        <w:rPr/>
      </w:pPr>
      <w:r>
        <w:rPr>
          <w:rFonts w:ascii="IRNazanin" w:hAnsi="IRNazanin" w:eastAsia="IRNazanin"/>
          <w:color w:val="111111"/>
          <w:sz w:val="28"/>
          <w:sz w:val="28"/>
          <w:szCs w:val="28"/>
          <w:rtl w:val="true"/>
          <w:lang w:bidi="fa-IR"/>
        </w:rPr>
        <w:t>اعلم أن الأمر إذا ورد فلا یخلو من أن یکون متناولا لمن کان علی صفة مخصوصة، أو یکون مطلقا</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کان متناولا لمن کان علی صفة وجب أن یکون مقصورا علی من کان علیها، و من لیس علیها لا یلزمه أن یجعل نفسه علیها لیتناوله الأمر، إلا أن یدل دلیل </w:t>
      </w:r>
    </w:p>
    <w:p>
      <w:pPr>
        <w:pStyle w:val="BookText"/>
        <w:rPr/>
      </w:pPr>
      <w:r>
        <w:rPr>
          <w:rFonts w:ascii="Amiri" w:hAnsi="Amiri" w:eastAsia="Amiri" w:cs="Amiri"/>
          <w:color w:val="111111"/>
          <w:sz w:val="28"/>
          <w:sz w:val="28"/>
          <w:szCs w:val="28"/>
          <w:rtl w:val="true"/>
          <w:lang w:bidi="ar-SA"/>
        </w:rPr>
        <w:t>علی وجوب تحصیل تلک الصفة له فحینئذ یلزمه لمکان الدلیل، و ذلک نحو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لِلّهِ عَلَی النّاسِ حِجُّ الْبَیْتِ مَنِ اسْتَطاعَ إِلَیْهِ سَبِیلاً  </w:t>
      </w:r>
      <w:r>
        <w:rPr>
          <w:rStyle w:val="FootnoteAnchor"/>
          <w:rtl w:val="true"/>
        </w:rPr>
        <w:footnoteReference w:id="351"/>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فأوجب الحج علی من کان مستطیعا، فمن لیس بمستطیع لا یلزمه تحصیل الاستطاعة لیدخل تحت الأمر، و کذلک لما أوجب الزکاة علی من ملک مائتی درهم أو عشرین دینارا، فمن لیس معه النصاب لا یلزمه تحصیل النصاب لیدخل تحت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الأمر مطلقا نظر فیه، فإن کان لا یصح علی وجه ما إلا بفعل آخر وجب تحصیل ذلک الشیء لیتم معه المأمور به، و ذلک نحو الأمر بالمسبب و هو لا یحصل إلا عن سبب فلا بدّ من أن یکون السبب واجبا علیه، أ لا تری أن من أوجب علی غیره إیلام غیره و ذلک لا یحصل إلا من ضرب فلا بدّ من أن یلزمه الضرب لیحصل عنده الألم، و لهذه الجملة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الکافر إذا کان مخاطبا بالشرائع علی ما نبینه یلزمه الإسلام، لأنه لا یصح منه إیقاع الفعل علی وجه القربة و کونها شرعیة، و کونه کافرا یمنع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ذلک المأمور یصح علی وجه ما حصوله، إلا أنه قد علم بالشرع أنه لا یکون شرعیا إلا بفعل آخر، جری مجری الأول فی وجوب تحصیل ذلک الأمر حتی یصح المأمور به، و ذلک نحو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أَقِیمُوا الصَّلاةَ  </w:t>
      </w:r>
      <w:r>
        <w:rPr>
          <w:rStyle w:val="FootnoteAnchor"/>
          <w:rtl w:val="true"/>
        </w:rPr>
        <w:footnoteReference w:id="352"/>
      </w:r>
      <w:r>
        <w:rPr>
          <w:rFonts w:ascii="IRNazanin" w:hAnsi="IRNazanin" w:eastAsia="IRNazanin"/>
          <w:color w:val="111111"/>
          <w:sz w:val="28"/>
          <w:sz w:val="28"/>
          <w:szCs w:val="28"/>
          <w:rtl w:val="true"/>
          <w:lang w:bidi="fa-IR"/>
        </w:rPr>
        <w:t>و قد علمنا أن الصلاة لا تصح إلا بالطهارة، و ستر العورة، و غیر ذلک من الشرائط، و لا تکون شرعیة إلا کذلک، وجب علیه تحصیل کل ما لا یتم الصلاة إلا بها من الطهارة و غیرها</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لم یدل دلیل علی وجوب فعل آخر، غیر أنه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کان أمر من الأمور وجب علیک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فإنه لا یجب علیه تحصیل ذلک الأمر لیلزمه ما أوجب علیه عند حصوله، و لذلک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آتُوا الزَّکاةَ  </w:t>
      </w:r>
      <w:r>
        <w:rPr>
          <w:rStyle w:val="FootnoteAnchor"/>
          <w:rtl w:val="true"/>
        </w:rPr>
        <w:footnoteReference w:id="353"/>
      </w:r>
      <w:r>
        <w:rPr>
          <w:rFonts w:ascii="IRNazanin" w:hAnsi="IRNazanin" w:eastAsia="IRNazanin"/>
          <w:color w:val="111111"/>
          <w:sz w:val="28"/>
          <w:sz w:val="28"/>
          <w:szCs w:val="28"/>
          <w:rtl w:val="true"/>
          <w:lang w:bidi="fa-IR"/>
        </w:rPr>
        <w:t xml:space="preserve">لا یقتضی وجوب تحصیل </w:t>
      </w:r>
    </w:p>
    <w:p>
      <w:pPr>
        <w:pStyle w:val="BookText"/>
        <w:rPr/>
      </w:pPr>
      <w:r>
        <w:rPr>
          <w:rFonts w:ascii="Amiri" w:hAnsi="Amiri" w:eastAsia="Amiri" w:cs="Amiri"/>
          <w:color w:val="111111"/>
          <w:sz w:val="28"/>
          <w:sz w:val="28"/>
          <w:szCs w:val="28"/>
          <w:rtl w:val="true"/>
          <w:lang w:bidi="ar-SA"/>
        </w:rPr>
        <w:t>النصاب لما لم یدل دلیل شرعی علی ذلک، و فرقنا بینه و بین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أَقِیمُوا الصَّلاةَ  </w:t>
      </w:r>
      <w:r>
        <w:rPr>
          <w:rStyle w:val="FootnoteAnchor"/>
          <w:rtl w:val="true"/>
        </w:rPr>
        <w:footnoteReference w:id="354"/>
      </w:r>
    </w:p>
    <w:p>
      <w:pPr>
        <w:pStyle w:val="BookText"/>
        <w:rPr/>
      </w:pP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علی ما بیناه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فأما استدلال أهل العراق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أن ستر الرکبة واجب لأن ستر العورة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یتم إلا به</w:t>
      </w:r>
      <w:r>
        <w:rPr>
          <w:rStyle w:val="FootnoteAnchor"/>
          <w:rtl w:val="true"/>
        </w:rPr>
        <w:footnoteReference w:id="355"/>
      </w:r>
      <w:r>
        <w:rPr>
          <w:rFonts w:ascii="IRNazanin" w:hAnsi="IRNazanin" w:eastAsia="IRNazanin"/>
          <w:color w:val="111111"/>
          <w:sz w:val="28"/>
          <w:sz w:val="28"/>
          <w:szCs w:val="28"/>
          <w:rtl w:val="true"/>
          <w:lang w:bidi="fa-IR"/>
        </w:rPr>
        <w:t xml:space="preserve">، فبعید، لأن ذلک لیس بمستحیل بل یمکن ستر العورة و إن لم تستر الرکبة إذا سلم لهم أن الفخذ عورة، و إن کان عندنا الأمر بخلافه، اللهم إلا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یدل دلیل آخر علی أن ستر العورة لا یتم إلا بستر الرکبة، فحینئذ یجب علیه الأمر بستر العورة</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ما قاله الشافعی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عَدْلُ ذلِکَ صِیاماً  </w:t>
      </w:r>
      <w:r>
        <w:rPr>
          <w:rStyle w:val="FootnoteAnchor"/>
          <w:rtl w:val="true"/>
        </w:rPr>
        <w:footnoteReference w:id="356"/>
      </w:r>
      <w:r>
        <w:rPr>
          <w:rFonts w:ascii="IRNazanin" w:hAnsi="IRNazanin" w:eastAsia="IRNazanin"/>
          <w:color w:val="111111"/>
          <w:sz w:val="28"/>
          <w:sz w:val="28"/>
          <w:szCs w:val="28"/>
          <w:rtl w:val="true"/>
          <w:lang w:bidi="fa-IR"/>
        </w:rPr>
        <w:t>فی أنه إذا کان بدل کل یوم مدا من طعام فنقص عن المد یجب صوم یوم تام لأن صوم بعضه لا یتم إلا بصوم جمیعه</w:t>
      </w:r>
      <w:r>
        <w:rPr>
          <w:rStyle w:val="FootnoteAnchor"/>
          <w:rtl w:val="true"/>
        </w:rPr>
        <w:footnoteReference w:id="357"/>
      </w:r>
      <w:r>
        <w:rPr>
          <w:rFonts w:ascii="IRNazanin" w:hAnsi="IRNazanin" w:eastAsia="IRNazanin"/>
          <w:color w:val="111111"/>
          <w:sz w:val="28"/>
          <w:sz w:val="28"/>
          <w:szCs w:val="28"/>
          <w:rtl w:val="true"/>
          <w:lang w:bidi="fa-IR"/>
        </w:rPr>
        <w:t>، فصحیح، لأنا قد علمنا بالشریعة أن بعض الیوم لا یکون صوما فأوجبنا تمام الیوم لذلک، و جری ذلک مجری الأمر بالصلاة و أنه لا تکون کذلک إلا بالطهارة، فأوجبنا الطهارة، و لو لم یدل دلیل علی ذلک لما کنا نوجب علیه إلا ذلک القدر الّذی یصیبه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فأما دخول المرفقین فی باب وجوب غسلهما أو غسل الیدین فخارج عن هذا الباب لأن اسم الیدین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علی عضوین المرفقان داخلان فیهما، فلیس ذلک من باب ما لا یتم الشیء إلا به، فمن ظن ذلک فقد أبعد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ما یحکی عن ابن عباس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أَتِمُّوا الْحَجَّ وَ الْعُمْرَةَ لِلّهِ  </w:t>
      </w:r>
      <w:r>
        <w:rPr>
          <w:rStyle w:val="FootnoteAnchor"/>
          <w:rtl w:val="true"/>
        </w:rPr>
        <w:footnoteReference w:id="358"/>
      </w:r>
    </w:p>
    <w:p>
      <w:pPr>
        <w:pStyle w:val="BookText"/>
        <w:rPr/>
      </w:pP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أنه لما کان الإتمام یقتضی الدخول وجب الدخول الّذی لا یصح الإتمام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إلا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فالذی یقوی عندی خلاف ذلک، لأنه لا یمتنع أن یکون الأمر متناولا لمن کان قد دخل فی الحج فحینئذ یلزمه إتمامه، و أما من لم یدخل فیه فلیس یجب علیه الدخول، اللهم إلا أن یدل دلیل علی وجوب الدخول غیر الأمر بالإتمام، فحینئذ یجب المصیر إلیه، و لأجل ما قلنا وجب علی من دخل فی الحج تطوعا إتمامه، و إن کان الدخول لم یکن واجبا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حجة الإسلام یجب الدخول فیها و إتمامها لما دل الدلیل علی ذلک</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هذه جملة کافیة ینبغی أن یجری هذا الباب علی هذا المنهاج إن شاء اللّه تعالی</w:t>
      </w:r>
      <w:r>
        <w:rPr>
          <w:rFonts w:eastAsia="IRNazanin" w:cs="IRNazanin"/>
          <w:color w:val="111111"/>
          <w:sz w:val="28"/>
          <w:szCs w:val="28"/>
          <w:rtl w:val="true"/>
          <w:lang w:bidi="fa-IR"/>
        </w:rPr>
        <w:t xml:space="preserve">. </w:t>
      </w:r>
      <w:bookmarkStart w:id="99" w:name="pg6519_49268"/>
    </w:p>
    <w:p>
      <w:pPr>
        <w:pStyle w:val="Heading4"/>
        <w:numPr>
          <w:ilvl w:val="3"/>
          <w:numId w:val="1"/>
        </w:numPr>
        <w:rPr/>
      </w:pPr>
      <w:bookmarkStart w:id="100" w:name="__RefHeading___Toc1757219_653776707"/>
      <w:bookmarkStart w:id="101" w:name="_Toc33"/>
      <w:bookmarkEnd w:id="99"/>
      <w:bookmarkEnd w:id="100"/>
      <w:r>
        <w:rPr>
          <w:rtl w:val="true"/>
        </w:rPr>
        <w:t xml:space="preserve">فصل </w:t>
      </w:r>
      <w:r>
        <w:rPr>
          <w:rtl w:val="true"/>
        </w:rPr>
        <w:t xml:space="preserve">- </w:t>
      </w:r>
      <w:r>
        <w:rPr/>
        <w:t>5</w:t>
      </w:r>
      <w:r>
        <w:rPr>
          <w:rtl w:val="true"/>
        </w:rPr>
        <w:t xml:space="preserve"> «</w:t>
      </w:r>
      <w:r>
        <w:rPr>
          <w:rtl w:val="true"/>
        </w:rPr>
        <w:t>فی أن الأمر یتناول الکافر و العبد کما یتناول المسلم و الحر</w:t>
      </w:r>
      <w:r>
        <w:rPr>
          <w:rtl w:val="true"/>
        </w:rPr>
        <w:t>»</w:t>
      </w:r>
      <w:bookmarkEnd w:id="101"/>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ذهب أکثر المتکلمین و الفقهاء إلی أن الکافر مخاطب بالشرائع و کذلک العبد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قال قوم شذاذ لیسوا بمخاطبین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أذهب إلیه هو الأول، و الّذی یدل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المراعی فی کون المکلف مخاطبا بالشریعة أن یرد الخطاب علی وجه متناول</w:t>
      </w:r>
      <w:r>
        <w:rPr>
          <w:rStyle w:val="FootnoteAnchor"/>
          <w:rtl w:val="true"/>
        </w:rPr>
        <w:footnoteReference w:id="359"/>
      </w:r>
    </w:p>
    <w:p>
      <w:pPr>
        <w:pStyle w:val="BookText"/>
        <w:rPr/>
      </w:pPr>
      <w:r>
        <w:rPr>
          <w:rFonts w:ascii="IRNazanin" w:hAnsi="IRNazanin" w:eastAsia="IRNazanin"/>
          <w:color w:val="111111"/>
          <w:sz w:val="28"/>
          <w:sz w:val="28"/>
          <w:szCs w:val="28"/>
          <w:rtl w:val="true"/>
          <w:lang w:bidi="fa-IR"/>
        </w:rPr>
        <w:t>یتناوله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ظاهره، و یکون متمکنا من ذلک، فإذا ثبت هذا فمتی ورد الخطاب یحتاج أن ینظر فیه، فإن کان خطابا للمؤمنین مثل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الَّذِینَ آمَنُوا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فینبغی أن یکون الخطاب یختصهم و لا یتناول الکافر، إلا أن یدل دلیل علی أنهم مخاطبون به مثل المؤمنین فیحکم بذلک لأجل الدلیل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متی کان الخطاب متعلقا باسم یتناول الکافر و المسلم مثل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أَیُّهَا النّاسُ  </w:t>
      </w:r>
      <w:r>
        <w:rPr>
          <w:rStyle w:val="FootnoteAnchor"/>
          <w:rtl w:val="true"/>
        </w:rPr>
        <w:footnoteReference w:id="360"/>
      </w:r>
      <w:r>
        <w:rPr>
          <w:rFonts w:ascii="Amiri" w:hAnsi="Amiri" w:eastAsia="Amiri" w:cs="Amiri"/>
          <w:color w:val="111111"/>
          <w:sz w:val="28"/>
          <w:sz w:val="28"/>
          <w:szCs w:val="28"/>
          <w:rtl w:val="true"/>
          <w:lang w:bidi="ar-SA"/>
        </w:rPr>
        <w:t xml:space="preserve">، و وَ لِلّهِ عَلَی النّاسِ  </w:t>
      </w:r>
      <w:r>
        <w:rPr>
          <w:rStyle w:val="FootnoteAnchor"/>
          <w:rtl w:val="true"/>
        </w:rPr>
        <w:footnoteReference w:id="361"/>
      </w:r>
      <w:r>
        <w:rPr>
          <w:rFonts w:ascii="Amiri" w:hAnsi="Amiri" w:eastAsia="Amiri" w:cs="Amiri"/>
          <w:color w:val="111111"/>
          <w:sz w:val="28"/>
          <w:sz w:val="28"/>
          <w:szCs w:val="28"/>
          <w:rtl w:val="true"/>
          <w:lang w:bidi="ar-SA"/>
        </w:rPr>
        <w:t xml:space="preserve">، و خُذْ مِنْ أَمْوالِهِمْ  </w:t>
      </w:r>
      <w:r>
        <w:rPr>
          <w:rStyle w:val="FootnoteAnchor"/>
          <w:rtl w:val="true"/>
        </w:rPr>
        <w:footnoteReference w:id="362"/>
      </w:r>
      <w:r>
        <w:rPr>
          <w:rFonts w:ascii="IRNazanin" w:hAnsi="IRNazanin" w:eastAsia="IRNazanin"/>
          <w:color w:val="111111"/>
          <w:sz w:val="28"/>
          <w:sz w:val="28"/>
          <w:szCs w:val="28"/>
          <w:rtl w:val="true"/>
          <w:lang w:bidi="fa-IR"/>
        </w:rPr>
        <w:t>و ما جری مجری ذلک، فینبغی أن نحمله علی عمومه و شموله فی دخول الکافر و المسلم تحته، إلا أن یدل دلیل علی خلافه فیحکم به و یخرج من جملة العموم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لأحد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الکافر لا یصح منه فعل الصلاة و لا فعل الحج مع کفره، فلا یجوز أن یکون مرادا بالخطاب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ذلک أن الّذی یجب أن یکون علیه حتی یصح تناول الخطاب له أن یکون علی صفة یصح معها أداء ما تناوله الأمر، أو یکون متمکنا من تحصیلها و یحسن تکلیفه فی الحالین علی حد واحد، و إذا ثبت ذلک فالکافر و إن لم یکن بصفة الإیمان </w:t>
      </w:r>
    </w:p>
    <w:p>
      <w:pPr>
        <w:pStyle w:val="BookText"/>
        <w:rPr/>
      </w:pPr>
      <w:r>
        <w:rPr>
          <w:rFonts w:ascii="IRNazanin" w:hAnsi="IRNazanin" w:eastAsia="IRNazanin"/>
          <w:color w:val="111111"/>
          <w:sz w:val="28"/>
          <w:sz w:val="28"/>
          <w:szCs w:val="28"/>
          <w:rtl w:val="true"/>
          <w:lang w:bidi="fa-IR"/>
        </w:rPr>
        <w:t>فتصح منه العبادة فهو متمکن من فعل الإیمان، و یجب علیه تحصیله لیصح منه العبادة، لأن إیجاب الشیء إیجاب ما لا یتم الشیء إلا به علی ما بیناه فی الفصل الأول فی السبب و المسبب و الطهارة و الصلاة</w:t>
      </w:r>
      <w:r>
        <w:rPr>
          <w:rStyle w:val="FootnoteAnchor"/>
          <w:rtl w:val="true"/>
        </w:rPr>
        <w:footnoteReference w:id="363"/>
      </w:r>
    </w:p>
    <w:p>
      <w:pPr>
        <w:pStyle w:val="BookText"/>
        <w:rPr/>
      </w:pPr>
      <w:r>
        <w:rPr>
          <w:rFonts w:ascii="IRNazanin" w:hAnsi="IRNazanin" w:eastAsia="IRNazanin"/>
          <w:color w:val="111111"/>
          <w:sz w:val="28"/>
          <w:sz w:val="28"/>
          <w:szCs w:val="28"/>
          <w:rtl w:val="true"/>
          <w:lang w:bidi="fa-IR"/>
        </w:rPr>
        <w:t xml:space="preserve">انظر الفصل رقم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189</w:t>
      </w:r>
      <w:r>
        <w:rPr>
          <w:rFonts w:eastAsia="IRNazanin" w:cs="IRNazanin"/>
          <w:color w:val="111111"/>
          <w:sz w:val="28"/>
          <w:szCs w:val="28"/>
          <w:rtl w:val="true"/>
          <w:lang w:bidi="fa-IR"/>
        </w:rPr>
        <w:t>-</w:t>
      </w:r>
      <w:r>
        <w:rPr>
          <w:rFonts w:eastAsia="IRNazanin" w:cs="IRNazanin"/>
          <w:color w:val="111111"/>
          <w:sz w:val="28"/>
          <w:szCs w:val="28"/>
          <w:lang w:bidi="fa-IR"/>
        </w:rPr>
        <w:t>186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 أنه لا فرق بین أن یکون متطهرا فی أنه یلزمه فعل الصلاة و بین أن یکون متمکنا منها فی أنه یلزمه کذلک، و کذلک القول فی الکافر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یجری مجری من قطع رجل نفسه فی سقوط فرض الصلاة عنه قائما، لأن مع قطع رجلهم یستحیل منه فعل الصلاة قائما فلأجل ذلک سقط عنه، و لیس کذلک الکافر لأن الإیمان ممکن فیه، و یجری فی هذا الباب مجری من شد رجل نفسه فی أنه یلزمه فعل الصلاة قائما لأنه متمکن من حلها، فیتمکن من فعل الصلاة قائما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یدل أیضا علی صحة ما ذهبنا إلیه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وَیْلٌ لِلْمُشْرِکِینَ اَلَّذِینَ لا یُؤْتُونَ الزَّکاةَ  </w:t>
      </w:r>
      <w:r>
        <w:rPr>
          <w:rStyle w:val="FootnoteAnchor"/>
          <w:rtl w:val="true"/>
        </w:rPr>
        <w:footnoteReference w:id="364"/>
      </w:r>
      <w:r>
        <w:rPr>
          <w:rFonts w:ascii="IRNazanin" w:hAnsi="IRNazanin" w:eastAsia="IRNazanin"/>
          <w:color w:val="111111"/>
          <w:sz w:val="28"/>
          <w:sz w:val="28"/>
          <w:szCs w:val="28"/>
          <w:rtl w:val="true"/>
          <w:lang w:bidi="fa-IR"/>
        </w:rPr>
        <w:t>فذم اللّه تعالی المشرکین بمنعهم الزکاة، فلو لا أنهم یخاطبون بها و إلا ما کانوا یستحقون الذم إذا لم یفعلوها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یدل علی ذلک أیضا قوله تعالی حاکیا عن الکفار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لَمْ نَکُ مِنَ الْمُصَلِّینَ  </w:t>
      </w:r>
      <w:r>
        <w:rPr>
          <w:rStyle w:val="FootnoteAnchor"/>
          <w:rtl w:val="true"/>
        </w:rPr>
        <w:footnoteReference w:id="365"/>
      </w:r>
      <w:r>
        <w:rPr>
          <w:rFonts w:ascii="IRNazanin" w:hAnsi="IRNazanin" w:eastAsia="IRNazanin"/>
          <w:color w:val="111111"/>
          <w:sz w:val="28"/>
          <w:sz w:val="28"/>
          <w:szCs w:val="28"/>
          <w:rtl w:val="true"/>
          <w:lang w:bidi="fa-IR"/>
        </w:rPr>
        <w:t>فلو لا أنهم مخاطبون بها و إلا لم یعدوا من جملة ما عوقبوا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لهم أن یقولوا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عدوا</w:t>
      </w:r>
      <w:r>
        <w:rPr>
          <w:rStyle w:val="FootnoteAnchor"/>
          <w:rtl w:val="true"/>
        </w:rPr>
        <w:footnoteReference w:id="366"/>
      </w:r>
      <w:r>
        <w:rPr>
          <w:rFonts w:ascii="Amiri" w:hAnsi="Amiri" w:eastAsia="Amiri" w:cs="Amiri"/>
          <w:color w:val="111111"/>
          <w:sz w:val="28"/>
          <w:sz w:val="28"/>
          <w:szCs w:val="28"/>
          <w:rtl w:val="true"/>
          <w:lang w:bidi="ar-SA"/>
        </w:rPr>
        <w:t>من جملة ذلک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نَکُ نُطْعِمُ الْمِسْکِینَ  </w:t>
      </w:r>
      <w:r>
        <w:rPr>
          <w:rStyle w:val="FootnoteAnchor"/>
          <w:rtl w:val="true"/>
        </w:rPr>
        <w:footnoteReference w:id="367"/>
      </w:r>
      <w:r>
        <w:rPr>
          <w:rFonts w:ascii="IRNazanin" w:hAnsi="IRNazanin" w:eastAsia="IRNazanin"/>
          <w:color w:val="111111"/>
          <w:sz w:val="28"/>
          <w:sz w:val="28"/>
          <w:szCs w:val="28"/>
          <w:rtl w:val="true"/>
          <w:lang w:bidi="fa-IR"/>
        </w:rPr>
        <w:t>و إن کان ذلک غیر واجب علیهم</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ذلک أنه لا یمتنع أن یکونوا أرادوا بذلک منع الزکاة عن المساکین، أو منع ما وجب علیهم من الکفارات من إطعام المساکین علی ما تضمنته الآیة الأولی، فلأجل ذلک عدوه فی جملة ما عوقبوا علیه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یدل أیضا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لا خلاف فیه بین المسلمین من وجوب حد الزانی علیهم إذا زنوا، و وجوب القطع علیهم إذا سرقوا، فلو لا أنهم مخاطبون بترک الزنا و ترک السرقة و إلا لم یجب علیهم الحد، کما لا یجب علی المجانین و الأطفال لما لم یکن ذلک واجبا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تعلق من خالفنا فی ذلک بأن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لا تصح منه فینبغی أن لا یکون مخاطبا بها، کما أن المقطوع الرّجل لما لم یصح منه فعل الصلاة قائما لم یکن مخاطبا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قلنا ما عندنا فی ذلک فأغنی عن الإعادة</w:t>
      </w:r>
      <w:r>
        <w:rPr>
          <w:rStyle w:val="FootnoteAnchor"/>
          <w:rtl w:val="true"/>
        </w:rPr>
        <w:footnoteReference w:id="368"/>
      </w:r>
    </w:p>
    <w:p>
      <w:pPr>
        <w:pStyle w:val="BookText"/>
        <w:rPr/>
      </w:pPr>
      <w:r>
        <w:rPr>
          <w:rFonts w:ascii="IRNazanin" w:hAnsi="IRNazanin" w:eastAsia="IRNazanin"/>
          <w:color w:val="111111"/>
          <w:sz w:val="28"/>
          <w:sz w:val="28"/>
          <w:szCs w:val="28"/>
          <w:rtl w:val="true"/>
          <w:lang w:bidi="fa-IR"/>
        </w:rPr>
        <w:t xml:space="preserve">انظر ما قاله الشیخ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ردا علی هذه الشبهة فی صفحة </w:t>
      </w:r>
      <w:r>
        <w:rPr>
          <w:rFonts w:eastAsia="IRNazanin" w:cs="IRNazanin"/>
          <w:color w:val="111111"/>
          <w:sz w:val="28"/>
          <w:szCs w:val="28"/>
          <w:lang w:bidi="fa-IR"/>
        </w:rPr>
        <w:t>191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تعلقوا أیضا بأن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 الکافر مخاطبا بالصلاة لوجب علیه قضاؤها إذا أسلم مثل المسلم إذا لم یصل وجب علیه قضاؤها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أیضا غیر صحیح، لأن القضاء فرض ثان یحتاج إلی دلیل مستأنف، و لیس ما دل علی وجوب الفعل دل علی قضائه، أ لا تری من فاتته الجمعة و صلاة العیدین لا یلزمه قضاؤها و إن کان مخاطبا بها فی حال الأداء، و کذلک ما دل علی وجوب القضاء لا یدل علی وجوب المقضی لأن الحائض یلزمها قضاء الصوم و إن لم یکن ذلک واجبا علیها فی حال الحیض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الصوم و إن لم یجب علیها فی حال الحیض، فهو واجب علیها علی وجه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ینتقض بالصلاة، فإنها یجب علیها علی وجه و مع ذلک لا یلزمها أداؤها فی حال الطهر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الکلام فی العبد کالکلام فی الکافر سواء لا فرق بینهما إذا کان داخلا تحت الاسم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لهم أن یقولوا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العبد لا یملک تصرفه فکیف یجب علیه فعل ذلک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لأنا لا نسلم أنه لا یملک تصرفه علی کل حال، لأن الأوقات التی هی أوقات مستثناة من جملة ما یملک منه من الأوقات، فسقط الاعتراض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الصبی الّذی لیس بکامل العقل و لا ممیز لما یجب علیه و إن کان الاسم یتناوله فغیر مراد لأنا نخصه من ذلک من حیث لا یحسن تکلیف من لیس بکامل العقل و من لا یتمکن من فعل ما کلفه علی الوجه الّذی کلف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فأما ما یتعلق بالأموال فهم داخلون تحت الاسم الّذی یوجب ذلک من الزکوات، و قیم المتلفات، و أروش الجنایات و غیر ذلک لأن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مِنْ أَمْوالِهِمْ صَدَقَةً  </w:t>
      </w:r>
      <w:r>
        <w:rPr>
          <w:rStyle w:val="FootnoteAnchor"/>
          <w:rtl w:val="true"/>
        </w:rPr>
        <w:footnoteReference w:id="369"/>
      </w:r>
    </w:p>
    <w:p>
      <w:pPr>
        <w:pStyle w:val="BookText"/>
        <w:rPr/>
      </w:pP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یدخل تحته البالغ و الطفل، فینبغی أن یجب ذلک، و علی هذا یجری الباب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المرأة فإن کان الخطاب یختص النساء فلا خلاف أنها داخلة تحت الخطاب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کان الخطاب یتناول اسم الجنس مثل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لِلّهِ عَلَی النّاسِ حِجُّ الْبَیْتِ  </w:t>
      </w:r>
      <w:r>
        <w:rPr>
          <w:rStyle w:val="FootnoteAnchor"/>
          <w:rtl w:val="true"/>
        </w:rPr>
        <w:footnoteReference w:id="370"/>
      </w:r>
      <w:r>
        <w:rPr>
          <w:rFonts w:ascii="IRNazanin" w:hAnsi="IRNazanin" w:eastAsia="IRNazanin"/>
          <w:color w:val="111111"/>
          <w:sz w:val="28"/>
          <w:sz w:val="28"/>
          <w:szCs w:val="28"/>
          <w:rtl w:val="true"/>
          <w:lang w:bidi="fa-IR"/>
        </w:rPr>
        <w:t>فکمثله</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إن کان الخطاب یختص الذکور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الناس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النساء لا یدخلن فیه </w:t>
      </w:r>
    </w:p>
    <w:p>
      <w:pPr>
        <w:pStyle w:val="BookText"/>
        <w:rPr/>
      </w:pPr>
      <w:r>
        <w:rPr>
          <w:rFonts w:ascii="IRNazanin" w:hAnsi="IRNazanin" w:eastAsia="IRNazanin"/>
          <w:color w:val="111111"/>
          <w:sz w:val="28"/>
          <w:sz w:val="28"/>
          <w:szCs w:val="28"/>
          <w:rtl w:val="true"/>
          <w:lang w:bidi="fa-IR"/>
        </w:rPr>
        <w:t>إلا بدلیل، و هو الظاهر من مذهب الشافعی و علیه کثیر من الفقهاء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ذهب الباقون إلی أنه یدخل مع الرّجال لأن الرّجال و النساء إذا جمعوا فی الخطاب غلب حکم التذکیر، و هو الظاهر علی مذهب أهل اللغة فینبغی أن یعتمد علیه</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هذه جملة کافیة فی هذا الباب</w:t>
      </w:r>
      <w:r>
        <w:rPr>
          <w:rFonts w:eastAsia="IRNazanin" w:cs="IRNazanin"/>
          <w:color w:val="111111"/>
          <w:sz w:val="28"/>
          <w:szCs w:val="28"/>
          <w:rtl w:val="true"/>
          <w:lang w:bidi="fa-IR"/>
        </w:rPr>
        <w:t xml:space="preserve">. </w:t>
      </w:r>
      <w:bookmarkStart w:id="102" w:name="pg6519_49274"/>
    </w:p>
    <w:p>
      <w:pPr>
        <w:pStyle w:val="Heading4"/>
        <w:numPr>
          <w:ilvl w:val="3"/>
          <w:numId w:val="1"/>
        </w:numPr>
        <w:rPr/>
      </w:pPr>
      <w:bookmarkStart w:id="103" w:name="__RefHeading___Toc1757221_653776707"/>
      <w:bookmarkStart w:id="104" w:name="_Toc34"/>
      <w:bookmarkEnd w:id="102"/>
      <w:bookmarkEnd w:id="103"/>
      <w:r>
        <w:rPr>
          <w:rtl w:val="true"/>
        </w:rPr>
        <w:t xml:space="preserve">فصل </w:t>
      </w:r>
      <w:r>
        <w:rPr>
          <w:rtl w:val="true"/>
        </w:rPr>
        <w:t xml:space="preserve">- </w:t>
      </w:r>
      <w:r>
        <w:rPr/>
        <w:t>6</w:t>
      </w:r>
      <w:r>
        <w:rPr>
          <w:rtl w:val="true"/>
        </w:rPr>
        <w:t xml:space="preserve"> «</w:t>
      </w:r>
      <w:r>
        <w:rPr>
          <w:rtl w:val="true"/>
        </w:rPr>
        <w:t>فی أن الأمر بالشیء هل هو نهی عن ضده أم لا</w:t>
      </w:r>
      <w:r>
        <w:rPr>
          <w:rtl w:val="true"/>
        </w:rPr>
        <w:t>»</w:t>
      </w:r>
      <w:bookmarkEnd w:id="104"/>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ذهب أهل العدل من المتکلمین و کثیر من الفقهاء إلی أن الأمر بالشیء لیس بنهی عن ضده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منهم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نهی عن ضده معنی</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أذهب إلیه أن الأمر بالشیء لیس بنهی عن ضده لفظا، و أما من جهة المعنی فعلی المذهب الّذی اخترناه فی أن الأمر یقتضی الإیجاب</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إذا کان صادرا من حکیم دل علی وجوب ذلک الشیء، یقتضی أن تکون ترکه قبیحا و سواء کان له ترک واحد أم تروک کثیرة فی أنه یجب أن یکون کلها قبیحة إذا کان الأمر مضیقا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الأمر مخیرا فیه بینه و بین ضد له آخر، دل علی أن ما عدا ذلک قبیح من تروکه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لم یکن له إلا ترک واحد، فیجب القطع علی أنه قبیح إذا لم یدل علی أنه واجب مثله مخیرا فیهما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مع هذا التفصیل أیضا لا یجوز أن یسمی نهیا عن ضده، لأن النهی من صفات الأقوال دون المعانی، و لیس کل ما علم قبحه سمی منهیا عنه إلا علی ضرب من المجاز</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الّذی یدل علی صحة ما اخترناه أن أهل اللغة فرقوا بین صیغة الأمر و صیغة النهی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صیغة الأمر قول القائل لمن 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النهی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 یدرکان بحاسة السمع، و لیس یسمع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فلا ینبغی أن یکون نهیا من حیث اللفظ، لأنه لو کان کذلک لوجب أن یسمعا معا کما یسمع لو جمع بین اللفظین، و قد علمنا خلاف ذلک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فأما اقتضاؤه للنهی من حیث</w:t>
      </w:r>
      <w:r>
        <w:rPr>
          <w:rStyle w:val="FootnoteAnchor"/>
          <w:rtl w:val="true"/>
        </w:rPr>
        <w:footnoteReference w:id="371"/>
      </w:r>
    </w:p>
    <w:p>
      <w:pPr>
        <w:pStyle w:val="BookText"/>
        <w:rPr/>
      </w:pPr>
      <w:r>
        <w:rPr>
          <w:rFonts w:ascii="Amiri" w:hAnsi="Amiri" w:eastAsia="Amiri" w:cs="Amiri"/>
          <w:color w:val="111111"/>
          <w:sz w:val="28"/>
          <w:sz w:val="28"/>
          <w:szCs w:val="28"/>
          <w:rtl w:val="true"/>
          <w:lang w:bidi="ar-SA"/>
        </w:rPr>
        <w:t>جهة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المعنی، فقد بینا ما عندنا فی ذلک و فیه کفایة و ذلک یبنی علی أن الأمر یقتضی الإیجاب، و قد دللنا علیه فیما مضی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یبین أیضا صحة ما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الأمر بالشیء لو کان نهیا عن ضده لجاز لقائل أن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العلم بالشیء جهل بضده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جهالة، و لا یلزمنا مثل ذلک فیما اخترناه من دلالته علی قبح ترکه لأنه لا یمتنع أن یدل الشیء علی حسن أمر و قبح شیء آخر من وجهین، و لیس ذلک بمتضاد</w:t>
      </w:r>
      <w:r>
        <w:rPr>
          <w:rStyle w:val="FootnoteAnchor"/>
          <w:rtl w:val="true"/>
        </w:rPr>
        <w:footnoteReference w:id="372"/>
      </w:r>
      <w:r>
        <w:rPr>
          <w:rFonts w:ascii="IRNazanin" w:hAnsi="IRNazanin" w:eastAsia="IRNazanin"/>
          <w:color w:val="111111"/>
          <w:sz w:val="28"/>
          <w:sz w:val="28"/>
          <w:szCs w:val="28"/>
          <w:rtl w:val="true"/>
          <w:lang w:bidi="fa-IR"/>
        </w:rPr>
        <w:t>، و یستحیل أن یکون العلم جهلا لأن الصفتین متضادتان، فبان الفرق بینهما</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فأما شبهة من خالف فی ذلک فهو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الأمر یقتضی إرادة المأمور به، و إرادة الشیء کراهة ضده، و الحکمة تقتضی ألا یرید الشیء إلا و یکره ضده</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ذلک یسقط بما قلناه من أن الأمر لا یدل علی إرادة المأمور به، و لو دل لم یکن إرادة الشیء کراهة ضده، لأن إرادة النوافل حاصله و لیست بکراهة لضدها، و متی بنی علی أن الأمر یقتضی الإیجاب، و إذا کان صادرا من حکیم، دل علی وجوبه و أن ما عداه قبیح إذا لم یدل علی أنه واجب مخیر فیه مثله</w:t>
      </w:r>
      <w:r>
        <w:rPr>
          <w:rStyle w:val="FootnoteAnchor"/>
          <w:rtl w:val="true"/>
        </w:rPr>
        <w:footnoteReference w:id="374"/>
      </w:r>
      <w:r>
        <w:rPr>
          <w:rFonts w:ascii="IRNazanin" w:hAnsi="IRNazanin" w:eastAsia="IRNazanin"/>
          <w:color w:val="111111"/>
          <w:sz w:val="28"/>
          <w:sz w:val="28"/>
          <w:szCs w:val="28"/>
          <w:rtl w:val="true"/>
          <w:lang w:bidi="fa-IR"/>
        </w:rPr>
        <w:t>، فهو المعتمد علیه علی ما بیناه</w:t>
      </w:r>
      <w:r>
        <w:rPr>
          <w:rFonts w:eastAsia="IRNazanin" w:cs="IRNazanin"/>
          <w:color w:val="111111"/>
          <w:sz w:val="28"/>
          <w:szCs w:val="28"/>
          <w:rtl w:val="true"/>
          <w:lang w:bidi="fa-IR"/>
        </w:rPr>
        <w:t xml:space="preserve">. </w:t>
      </w:r>
      <w:bookmarkStart w:id="105" w:name="pg6519_49277"/>
    </w:p>
    <w:p>
      <w:pPr>
        <w:pStyle w:val="Heading4"/>
        <w:numPr>
          <w:ilvl w:val="3"/>
          <w:numId w:val="1"/>
        </w:numPr>
        <w:rPr/>
      </w:pPr>
      <w:bookmarkStart w:id="106" w:name="__RefHeading___Toc1757223_653776707"/>
      <w:bookmarkStart w:id="107" w:name="_Toc35"/>
      <w:bookmarkEnd w:id="105"/>
      <w:bookmarkEnd w:id="106"/>
      <w:r>
        <w:rPr>
          <w:rtl w:val="true"/>
        </w:rPr>
        <w:t xml:space="preserve">فصل </w:t>
      </w:r>
      <w:r>
        <w:rPr>
          <w:rtl w:val="true"/>
        </w:rPr>
        <w:t xml:space="preserve">- </w:t>
      </w:r>
      <w:r>
        <w:rPr/>
        <w:t>7</w:t>
      </w:r>
      <w:r>
        <w:rPr>
          <w:rtl w:val="true"/>
        </w:rPr>
        <w:t xml:space="preserve"> «</w:t>
      </w:r>
      <w:r>
        <w:rPr>
          <w:rtl w:val="true"/>
        </w:rPr>
        <w:t>فی أن الأمر بالشیء یقتضی الفعل مرة، أو یقتضی التکرار ؟</w:t>
      </w:r>
      <w:r>
        <w:rPr>
          <w:rtl w:val="true"/>
        </w:rPr>
        <w:t>»</w:t>
      </w:r>
      <w:bookmarkEnd w:id="107"/>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ذهب أکثر المتکلمین و الفقهاء إلی أن الأمر بالشیء لا یقتضی بظاهره أکثر من </w:t>
      </w:r>
    </w:p>
    <w:p>
      <w:pPr>
        <w:pStyle w:val="BookText"/>
        <w:rPr/>
      </w:pPr>
      <w:r>
        <w:rPr>
          <w:rFonts w:ascii="IRNazanin" w:hAnsi="IRNazanin" w:eastAsia="IRNazanin"/>
          <w:color w:val="111111"/>
          <w:sz w:val="28"/>
          <w:sz w:val="28"/>
          <w:szCs w:val="28"/>
          <w:rtl w:val="true"/>
          <w:lang w:bidi="fa-IR"/>
        </w:rPr>
        <w:t>فعل مرة، و یحتاج فی زیادته إلی دلیل آخر، و هو المحکی عن أبی الحسن</w:t>
      </w:r>
      <w:r>
        <w:rPr>
          <w:rStyle w:val="FootnoteAnchor"/>
          <w:rtl w:val="true"/>
        </w:rPr>
        <w:footnoteReference w:id="375"/>
      </w:r>
    </w:p>
    <w:p>
      <w:pPr>
        <w:pStyle w:val="BookText"/>
        <w:rPr/>
      </w:pPr>
      <w:r>
        <w:rPr>
          <w:rFonts w:ascii="IRNazanin" w:hAnsi="IRNazanin" w:eastAsia="IRNazanin"/>
          <w:color w:val="111111"/>
          <w:sz w:val="28"/>
          <w:sz w:val="28"/>
          <w:szCs w:val="28"/>
          <w:rtl w:val="true"/>
          <w:lang w:bidi="fa-IR"/>
        </w:rPr>
        <w:t>أبو الحسن الکرخی، المتکلم الفقیه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 الظاهر من قول الشافعی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قوم شذاذ أن الأمر بظاهره یقتضی التکرار</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ذهب قوم إلی الوقف فی ذلک، و قالوا نقطع أن إرادة المرة الواحدة مرادة و ما زاد علیه فمشکوک فیه متوقف فیه</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فالذی اختاره المذهب الأول، و الّذی یدل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الأمر فی الشاهد علی وتیرة واحدة إذا سبرناه یقتضی الفعل مرة واحدة، و لا یفهم من ظاهره إلا ذلک، أ لا تری أن من قال لغلامه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اسقنی 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یعقل منه أکثر من مرة واحدة، حتی إنه لو </w:t>
      </w:r>
    </w:p>
    <w:p>
      <w:pPr>
        <w:pStyle w:val="BookText"/>
        <w:rPr/>
      </w:pPr>
      <w:r>
        <w:rPr>
          <w:rFonts w:ascii="IRNazanin" w:hAnsi="IRNazanin" w:eastAsia="IRNazanin"/>
          <w:color w:val="111111"/>
          <w:sz w:val="28"/>
          <w:sz w:val="28"/>
          <w:szCs w:val="28"/>
          <w:rtl w:val="true"/>
          <w:lang w:bidi="fa-IR"/>
        </w:rPr>
        <w:t>کرر علیه الماء دفعة ثانیة لعدوه سفیها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لأحد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ذلک عقل فیه بشاهد الحال و بقرینة اقترنت إلی الأمر دلت علی المرة الواحدة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أن ما ذکرناه یعقله من لا یعرف القرینة أصلا و لا تخطر بباله، ثم القرینة تحتاج أن تکون معقولة، و لیس هناک قرینة تدل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القرینة أنه یعلم استکفاؤه بشربة واحدة و ما زاد علیها لا یحتاج إلیه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r>
        <w:rPr>
          <w:rStyle w:val="FootnoteAnchor"/>
          <w:rtl w:val="true"/>
        </w:rPr>
        <w:footnoteReference w:id="378"/>
      </w:r>
    </w:p>
    <w:p>
      <w:pPr>
        <w:pStyle w:val="BookText"/>
        <w:rPr/>
      </w:pPr>
      <w:r>
        <w:rPr>
          <w:rFonts w:ascii="IRNazanin" w:hAnsi="IRNazanin" w:eastAsia="IRNazanin"/>
          <w:color w:val="111111"/>
          <w:sz w:val="28"/>
          <w:sz w:val="28"/>
          <w:szCs w:val="28"/>
          <w:rtl w:val="true"/>
          <w:lang w:bidi="fa-IR"/>
        </w:rPr>
        <w:t>زیادة تقتضیها الجملة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هذا لا طریق له إلی العلم به، لأنه قد لا یکتفی بشربة واحدة و یحتاج فی زیادتها إلی تجدید الأمر، فلو کان ذلک معقولا بالأمر الأول لما احتاج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ثبت ذلک فی الأوامر فی الشاهد، وجب أن یکون حکم أوامر اللّه تعالی ذلک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 علی ذلک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الأمر لو اقتضی استغراق الأوقات لاقتضی استغراق الأحوال و الأماکن، فلو کان وجب فعله فی سائر الأوقات، لوجب فعله علی سائر الأحوال و فی سائر الأماکن، و ذلک لا یقوله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قلنا ذلک لأن الأوقات ظروف الزمان، فکما أن الفعل لا بد له من ذلک، فکذلک لا بد له من ظروف المکان و الأحوال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 علی ذلک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لا خلاف فیه بین الفقهاء من أن الرّجل إذا أمر وکیله بطلاق زوجته لم یکن له أن یطلقها أکثر من واحدة، فلو کان الأمر یقتضی التکرار لجاز له أکثر من مرة، و ذلک خلاف 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 علی ذلک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الأمر بالشیء أمر بإحداثه، فجری فی ذلک مجری الخبر عن إحداثه، فکما أن الخبر عن إحداثه لا یقتضی أکثر من مرة واحدة فکذلک الأمر</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یدل علی ذلک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روی عن النبی صلی اللّه علیه و آله و سلم أنه لما قال </w:t>
      </w:r>
    </w:p>
    <w:p>
      <w:pPr>
        <w:pStyle w:val="BookText"/>
        <w:rPr/>
      </w:pPr>
      <w:r>
        <w:rPr>
          <w:rFonts w:ascii="IRNazanin" w:hAnsi="IRNazanin" w:eastAsia="IRNazanin"/>
          <w:color w:val="111111"/>
          <w:sz w:val="28"/>
          <w:sz w:val="28"/>
          <w:szCs w:val="28"/>
          <w:rtl w:val="true"/>
          <w:lang w:bidi="fa-IR"/>
        </w:rPr>
        <w:t xml:space="preserve">له سراقة بن مالک بن جعشم المدلجی </w:t>
      </w:r>
      <w:r>
        <w:rPr>
          <w:rStyle w:val="FootnoteAnchor"/>
          <w:rtl w:val="true"/>
        </w:rPr>
        <w:footnoteReference w:id="379"/>
      </w:r>
    </w:p>
    <w:p>
      <w:pPr>
        <w:pStyle w:val="BookText"/>
        <w:rPr/>
      </w:pPr>
      <w:r>
        <w:rPr>
          <w:rFonts w:ascii="IRNazanin" w:hAnsi="IRNazanin" w:eastAsia="IRNazanin"/>
          <w:color w:val="111111"/>
          <w:sz w:val="28"/>
          <w:sz w:val="28"/>
          <w:szCs w:val="28"/>
          <w:rtl w:val="true"/>
          <w:lang w:bidi="fa-IR"/>
        </w:rPr>
        <w:t>فی الأصل و المطبوع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المذجحی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لعامنا هذا یا رسول اللّه أم للأبد؟ فقال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بل لعامنا هذا، و لو قلت نعم لوجب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فبین صلی اللّه علیه و آله و سلم أن ما یقتضی الأمر لذلک العام، و ما زاد علی ذلک إنما کان یثبت بقوله نعم لو قاله، و لو کان الأمر یقتضی التکرار لما احتاج إلی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الأمر یقتضی الفعل مرة واحدة فلم استفهمه سراقة، و هلا قطع بظاهره علی أنه لذلک العام و لا یحتاج إلی الاستفهام‌؟ 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استفهم عن ذلک لأنه جوز أن یکون ذلک للأبد بدلیل غیر ظاهر الأمر، کما وجد مثل ذلک أوامر کثیرة مثل الصلاة و الزکاة و غیرهما من أفعال الشرع، فلأجل ذلک حسن استفهامه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تعلق من خالف فی ذلک بأشیاء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حملوه علی النهی و قالوا إن النهی لما اقتضی التکرار، فکذلک یجب فی الأمر لأنه ضده</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 عن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نقول فی النهی مثل ما نقوله فی الأمر، و أن الّذی یقتضیه ظاهره أن لا یفعل دفعة واحدة و ما زاد علی ذلک یحتاج إلی دلیل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w:t>
      </w:r>
    </w:p>
    <w:p>
      <w:pPr>
        <w:pStyle w:val="BookText"/>
        <w:rPr/>
      </w:pPr>
      <w:r>
        <w:rPr>
          <w:rFonts w:ascii="IRNazanin" w:hAnsi="IRNazanin" w:eastAsia="IRNazanin"/>
          <w:color w:val="111111"/>
          <w:sz w:val="28"/>
          <w:sz w:val="28"/>
          <w:szCs w:val="28"/>
          <w:rtl w:val="true"/>
          <w:lang w:bidi="fa-IR"/>
        </w:rPr>
        <w:t>الناس من فرق بینهما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الاستعمال فرق بین الموضعین لأن النهی یعقل منه فی الشاهد التکرار، أ لا تری أن من قال لغلامه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تفعل کذا و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یعقل منه الامتناع علی کل حال، و لیس کذلک الأمر علی ما بیناه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قالوا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النهی لما کان یقتضی الکف، و الکف عن المنهی عنه لا ضیق فیه و لا حرج فاقتضی لذلک الدوام، و لیس کذلک الأمر لأنه لو اقتضی الدوام للحق فی ذلک المشقة و الضیق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قالوا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انتهی عن الفعل فی الأزمان کلها یقال فیه أنه انتهی عما نهی عنه، و إذا امر بالشیء و فعله ثم فعل مرة أخری لا یقال أنه فعل ما امر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المعتمد هو الأول، و بعده الفرق الثانی و هو الرجوع إلی الشاهد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تعلقوا أیضا بأن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إذا أطلق الأمر فلیس بأن یقتضی الفعل فی وقت بأولی من أن یقتضی فی وقت آخر فیجب أن یحمل علی الأوقات کلها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عن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یجب علیه أن یفعله فی الثانی</w:t>
      </w:r>
      <w:r>
        <w:rPr>
          <w:rStyle w:val="FootnoteAnchor"/>
          <w:rtl w:val="true"/>
        </w:rPr>
        <w:footnoteReference w:id="381"/>
      </w:r>
    </w:p>
    <w:p>
      <w:pPr>
        <w:pStyle w:val="BookText"/>
        <w:rPr/>
      </w:pPr>
      <w:r>
        <w:rPr>
          <w:rFonts w:ascii="IRNazanin" w:hAnsi="IRNazanin" w:eastAsia="IRNazanin"/>
          <w:color w:val="111111"/>
          <w:sz w:val="28"/>
          <w:sz w:val="28"/>
          <w:szCs w:val="28"/>
          <w:rtl w:val="true"/>
          <w:lang w:bidi="fa-IR"/>
        </w:rPr>
        <w:t>أی فی الزمان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ما نذهب إلیه فی الفور، فسقط السؤال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قال بالتراخی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مخیر فی الأوقات کلها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قال بالوقف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ینتظر بیان وقت الفعل، و لیس لاستغراق الأوقات فیه ذکر فیدعی فیه العموم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تعلقوا أیضا بأن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لم یقتض التکرار لما صح النسخ، لأن معنی النسخ هو إزالة مثل الحکم الثابت بالنص الأول فی الثانی بنص آخر علی وجه لولاه لکان ثابتا به مع تأخره عنه، و لو کان الأمر یقتضی الفعل مرة واحدة لما صح ذلک علی حال</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 عن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النسخ إنما یصح إذا دل دلیل غیر الظاهر علی أنه أرید </w:t>
      </w:r>
    </w:p>
    <w:p>
      <w:pPr>
        <w:pStyle w:val="BookText"/>
        <w:rPr/>
      </w:pPr>
      <w:r>
        <w:rPr>
          <w:rFonts w:ascii="IRNazanin" w:hAnsi="IRNazanin" w:eastAsia="IRNazanin"/>
          <w:color w:val="111111"/>
          <w:sz w:val="28"/>
          <w:sz w:val="28"/>
          <w:szCs w:val="28"/>
          <w:rtl w:val="true"/>
          <w:lang w:bidi="fa-IR"/>
        </w:rPr>
        <w:t>التکرار، فأما إذا تجرد عن ذلک فلا یصح فیه النسخ علی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تعلقوا أیضا بأن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وجدنا أوامر القرآن کلها علی التکرار فوجب أن یکون ذلک بمقتضی الأمر</w:t>
      </w:r>
      <w:r>
        <w:rPr>
          <w:rStyle w:val="FootnoteAnchor"/>
          <w:rtl w:val="true"/>
        </w:rPr>
        <w:footnoteReference w:id="382"/>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شرح اللمع </w:t>
      </w:r>
      <w:r>
        <w:rPr>
          <w:rFonts w:eastAsia="Amiri" w:cs="Amiri" w:ascii="Amiri" w:hAnsi="Amiri"/>
          <w:color w:val="111111"/>
          <w:sz w:val="28"/>
          <w:szCs w:val="28"/>
          <w:lang w:bidi="ar-SA"/>
        </w:rPr>
        <w:t>225:1</w:t>
      </w:r>
      <w:r>
        <w:rPr>
          <w:rFonts w:ascii="Amiri" w:hAnsi="Amiri" w:eastAsia="Amiri" w:cs="Amiri"/>
          <w:color w:val="111111"/>
          <w:sz w:val="28"/>
          <w:sz w:val="28"/>
          <w:szCs w:val="28"/>
          <w:rtl w:val="true"/>
          <w:lang w:bidi="ar-SA"/>
        </w:rPr>
        <w:t>، التبصرة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 عن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لا نسلم أن أوامر القرآن کلها علی التکرار، لأن فیها ما یقتضی الفعل مرة واحدة و هو الأمر بالحج علی ما بیناه، فأما ما یقتضی منها التکرار فبدلیل غیر الظاهر و هو الإجماع، فمن أین لهم أن ذلک بمقتضی الأمر؟ فهذه الجملة التی ذکرناها تأتی علی جمیع ما یتعلق بهذا الباب</w:t>
      </w:r>
      <w:r>
        <w:rPr>
          <w:rFonts w:eastAsia="IRNazanin" w:cs="IRNazanin"/>
          <w:color w:val="111111"/>
          <w:sz w:val="28"/>
          <w:szCs w:val="28"/>
          <w:rtl w:val="true"/>
          <w:lang w:bidi="fa-IR"/>
        </w:rPr>
        <w:t xml:space="preserve">. </w:t>
      </w:r>
      <w:bookmarkStart w:id="108" w:name="pg6519_49283"/>
    </w:p>
    <w:p>
      <w:pPr>
        <w:pStyle w:val="Heading4"/>
        <w:numPr>
          <w:ilvl w:val="3"/>
          <w:numId w:val="1"/>
        </w:numPr>
        <w:rPr/>
      </w:pPr>
      <w:bookmarkStart w:id="109" w:name="__RefHeading___Toc1757225_653776707"/>
      <w:bookmarkStart w:id="110" w:name="_Toc36"/>
      <w:bookmarkEnd w:id="108"/>
      <w:bookmarkEnd w:id="109"/>
      <w:r>
        <w:rPr>
          <w:rtl w:val="true"/>
        </w:rPr>
        <w:t xml:space="preserve">فصل </w:t>
      </w:r>
      <w:r>
        <w:rPr>
          <w:rtl w:val="true"/>
        </w:rPr>
        <w:t xml:space="preserve">- </w:t>
      </w:r>
      <w:r>
        <w:rPr/>
        <w:t>8</w:t>
      </w:r>
      <w:r>
        <w:rPr>
          <w:rtl w:val="true"/>
        </w:rPr>
        <w:t xml:space="preserve"> «</w:t>
      </w:r>
      <w:r>
        <w:rPr>
          <w:rtl w:val="true"/>
        </w:rPr>
        <w:t>فی أن الأمر المعلق بصفة أو شرط هل یتکرر بتکررهما أم لا؟</w:t>
      </w:r>
      <w:r>
        <w:rPr>
          <w:rtl w:val="true"/>
        </w:rPr>
        <w:t>»</w:t>
      </w:r>
      <w:bookmarkEnd w:id="110"/>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ذهب أکثر الفقهاء و المتکلمین إلی أنه لا یتکرر بتکرر الشرط و الصفة، و أنه </w:t>
      </w:r>
    </w:p>
    <w:p>
      <w:pPr>
        <w:pStyle w:val="BookText"/>
        <w:rPr/>
      </w:pPr>
      <w:r>
        <w:rPr>
          <w:rFonts w:ascii="IRNazanin" w:hAnsi="IRNazanin" w:eastAsia="IRNazanin"/>
          <w:color w:val="111111"/>
          <w:sz w:val="28"/>
          <w:sz w:val="28"/>
          <w:szCs w:val="28"/>
          <w:rtl w:val="true"/>
          <w:lang w:bidi="fa-IR"/>
        </w:rPr>
        <w:t>یقتضی الفعل مرة واحدة عند أول الشرط أو الصفة</w:t>
      </w:r>
      <w:r>
        <w:rPr>
          <w:rStyle w:val="FootnoteAnchor"/>
          <w:rtl w:val="true"/>
        </w:rPr>
        <w:footnoteReference w:id="383"/>
      </w:r>
    </w:p>
    <w:p>
      <w:pPr>
        <w:pStyle w:val="BookText"/>
        <w:rPr/>
      </w:pPr>
      <w:r>
        <w:rPr>
          <w:rFonts w:ascii="IRNazanin" w:hAnsi="IRNazanin" w:eastAsia="IRNazanin"/>
          <w:color w:val="111111"/>
          <w:sz w:val="28"/>
          <w:sz w:val="28"/>
          <w:szCs w:val="28"/>
          <w:rtl w:val="true"/>
          <w:lang w:bidi="fa-IR"/>
        </w:rPr>
        <w:t xml:space="preserve">راجع التعلیقة رقم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صفحة </w:t>
      </w:r>
      <w:r>
        <w:rPr>
          <w:rFonts w:eastAsia="IRNazanin" w:cs="IRNazanin"/>
          <w:color w:val="111111"/>
          <w:sz w:val="28"/>
          <w:szCs w:val="28"/>
          <w:lang w:bidi="fa-IR"/>
        </w:rPr>
        <w:t>205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منهم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ذلک یوجب التکرار</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الّذی أذهب إلیه هو الأول، و الّذی یدل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القائل إذا قال لغلامه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دخلت السوق اشتر الفاکهة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یعقل منه شراء الفاکهة کلما دخل السوق و إنما یعقل ذلک مرة واحدة، حتی إنه لو فعل دفعة أخری لاستحق التوبیخ و الذم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 أیضا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إذا ثبت أن الأمر المطلق یقتضی الفعل مرة واحدة فتعلیقه بشرط أو صفة إنما یقتضی إیقاع ذلک الفعل عند حصول الشرط أو الصفة و تخصیصه بهما، و لو اقتضی ذلک التکرار لاقتضی مطلق الأمر، و قد دللنا علی خلاف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 أیضا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القائل إذا قال لوکیله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طلقها إذا دخلت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خلاف أن ذلک لا یقتضی جواز طلاقها کلما دخلت الدار، و إنما یقتضی جواز إیقاع الطلاق عند دخولها الدار أولا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ثبت ذلک، فأوامر اللّه تعالی ینبغی أن یکون هکذا حکمها، لأن حقیقة الأمر</w:t>
      </w:r>
      <w:r>
        <w:rPr>
          <w:rStyle w:val="FootnoteAnchor"/>
          <w:rtl w:val="true"/>
        </w:rPr>
        <w:footnoteReference w:id="385"/>
      </w:r>
      <w:r>
        <w:rPr>
          <w:rFonts w:ascii="IRNazanin" w:hAnsi="IRNazanin" w:eastAsia="IRNazanin"/>
          <w:color w:val="111111"/>
          <w:sz w:val="28"/>
          <w:sz w:val="28"/>
          <w:szCs w:val="28"/>
          <w:rtl w:val="true"/>
          <w:lang w:bidi="fa-IR"/>
        </w:rPr>
        <w:t>لا تتغیر</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تعلق من خالف فی ذلک بأشیاء</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قالوا أن الحکم المعلق بالصفة أو الشرط یجری مجری تعلیله بالعلة، فکما أن الأمر المعلق بالعلة یقتضی التکرار عند تکرار العلة، و کذلک القول فی الشرط و الصفة</w:t>
      </w:r>
      <w:r>
        <w:rPr>
          <w:rStyle w:val="FootnoteAnchor"/>
          <w:rtl w:val="true"/>
        </w:rPr>
        <w:footnoteReference w:id="387"/>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التبصرة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 شرح اللمع </w:t>
      </w:r>
      <w:r>
        <w:rPr>
          <w:rFonts w:eastAsia="Amiri" w:cs="Amiri" w:ascii="Amiri" w:hAnsi="Amiri"/>
          <w:color w:val="111111"/>
          <w:sz w:val="28"/>
          <w:szCs w:val="28"/>
          <w:lang w:bidi="ar-SA"/>
        </w:rPr>
        <w:t>230:1</w:t>
      </w:r>
      <w:r>
        <w:rPr>
          <w:rFonts w:ascii="Amiri" w:hAnsi="Amiri" w:eastAsia="Amiri" w:cs="Amiri"/>
          <w:color w:val="111111"/>
          <w:sz w:val="28"/>
          <w:sz w:val="28"/>
          <w:szCs w:val="28"/>
          <w:rtl w:val="true"/>
          <w:lang w:bidi="ar-SA"/>
        </w:rPr>
        <w:t xml:space="preserve">، المعتمد </w:t>
      </w:r>
      <w:r>
        <w:rPr>
          <w:rFonts w:eastAsia="Amiri" w:cs="Amiri" w:ascii="Amiri" w:hAnsi="Amiri"/>
          <w:color w:val="111111"/>
          <w:sz w:val="28"/>
          <w:szCs w:val="28"/>
          <w:lang w:bidi="ar-SA"/>
        </w:rPr>
        <w:t>108:1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الجواب عن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هذا السؤال ساقط عنا، لأنا لا نقول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بالقیاس و العلل،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من قال بذلک یقول أن العلة دالة علی الحکم فلذلک یتکرر الحکم بتکررها، لأنه لا یجوز حصول الدلیل مع ارتفاع المدلول، لأن ذلک یکون نقضا لکونها دلالة، و الصفة و الشرط شرط و لا یجب أن یکون مثل الشرط شرطا فی کل موضع، کما لا یجب أن یکون دخول الدار شرطا فی جواز الطلاق کلما دخلت الدار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تعلقوا أیضا بأن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لم یتکرر بتکرر الشرط أو الصفة لکان إذا لم یفعل مع الشرط الأول و فعل مع الشرط الثانی عد قاضیا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مؤدیا، فلما کان ذلک باطلا علم أنه مراد</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 عن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ذلک قضاء فی الحقیقة، فإن منع من إطلاق هذه العبارة علیه فی بعض المواضع فلا اعتبار بذلک، لأن المعول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المعانی دون العبارات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تعلقوا أیضا بأن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کان النهی المعلق بصفة یقتضی تکرره عند تکرر الصفة فکذلک القول فی الأمر</w:t>
      </w:r>
      <w:r>
        <w:rPr>
          <w:rStyle w:val="FootnoteAnchor"/>
          <w:rtl w:val="true"/>
        </w:rPr>
        <w:footnoteReference w:id="389"/>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التبصرة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 شرح اللمع </w:t>
      </w:r>
      <w:r>
        <w:rPr>
          <w:rFonts w:eastAsia="Amiri" w:cs="Amiri" w:ascii="Amiri" w:hAnsi="Amiri"/>
          <w:color w:val="111111"/>
          <w:sz w:val="28"/>
          <w:szCs w:val="28"/>
          <w:lang w:bidi="ar-SA"/>
        </w:rPr>
        <w:t>231:1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الجواب عن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قولنا فی النهی مثل قولنا فی الأمر فی أنه لا یقتضی ذلک بظاهره، فسقط الاحتجاج بذلک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تعلقوا أیضا بأن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وجدنا أوامر القرآن المتعلقة بالصفات و الشروط تقتضی التکرار نحو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أَقِمِ الصَّلاةَ لِدُلُوکِ الشَّمْسِ إِلی غَسَقِ اللَّیْلِ  </w:t>
      </w:r>
      <w:r>
        <w:rPr>
          <w:rStyle w:val="FootnoteAnchor"/>
          <w:rtl w:val="true"/>
        </w:rPr>
        <w:footnoteReference w:id="390"/>
      </w:r>
      <w:r>
        <w:rPr>
          <w:rFonts w:ascii="Amiri" w:hAnsi="Amiri" w:eastAsia="Amiri" w:cs="Amiri"/>
          <w:color w:val="111111"/>
          <w:sz w:val="28"/>
          <w:sz w:val="28"/>
          <w:szCs w:val="28"/>
          <w:rtl w:val="true"/>
          <w:lang w:bidi="ar-SA"/>
        </w:rPr>
        <w:t>، و نحو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کُنْتُمْ جُنُباً فَاطَّهَّرُوا  </w:t>
      </w:r>
      <w:r>
        <w:rPr>
          <w:rStyle w:val="FootnoteAnchor"/>
          <w:rtl w:val="true"/>
        </w:rPr>
        <w:footnoteReference w:id="391"/>
      </w:r>
      <w:r>
        <w:rPr>
          <w:rFonts w:ascii="Amiri" w:hAnsi="Amiri" w:eastAsia="Amiri" w:cs="Amiri"/>
          <w:color w:val="111111"/>
          <w:sz w:val="28"/>
          <w:sz w:val="28"/>
          <w:szCs w:val="28"/>
          <w:rtl w:val="true"/>
          <w:lang w:bidi="ar-SA"/>
        </w:rPr>
        <w:t xml:space="preserve">، و إِذا قُمْتُمْ إِلَی الصَّلاةِ فَاغْسِلُوا  </w:t>
      </w:r>
      <w:r>
        <w:rPr>
          <w:rStyle w:val="FootnoteAnchor"/>
          <w:rtl w:val="true"/>
        </w:rPr>
        <w:footnoteReference w:id="392"/>
      </w:r>
      <w:r>
        <w:rPr>
          <w:rFonts w:ascii="Amiri" w:hAnsi="Amiri" w:eastAsia="Amiri" w:cs="Amiri"/>
          <w:color w:val="111111"/>
          <w:sz w:val="28"/>
          <w:sz w:val="28"/>
          <w:szCs w:val="28"/>
          <w:rtl w:val="true"/>
          <w:lang w:bidi="ar-SA"/>
        </w:rPr>
        <w:t>، 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اَلزّانِیَةُ وَ الزّانِی فَاجْلِدُوا کُلَّ واحِدٍ مِنْهُما مِائَةَ جَلْدَةٍ  </w:t>
      </w:r>
      <w:r>
        <w:rPr>
          <w:rStyle w:val="FootnoteAnchor"/>
          <w:rtl w:val="true"/>
        </w:rPr>
        <w:footnoteReference w:id="393"/>
      </w:r>
      <w:r>
        <w:rPr>
          <w:rFonts w:ascii="IRNazanin" w:hAnsi="IRNazanin" w:eastAsia="IRNazanin"/>
          <w:color w:val="111111"/>
          <w:sz w:val="28"/>
          <w:sz w:val="28"/>
          <w:szCs w:val="28"/>
          <w:rtl w:val="true"/>
          <w:lang w:bidi="fa-IR"/>
        </w:rPr>
        <w:t>، و غیر ذلک</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الجواب عن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جمیع ذلک عقل بغیر الظاهر و بدلیل دل علی ذلک من الإجماع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الناس من فرق بین بعض ذلک و بین الأمر المعلق بالشرط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کُنْتُمْ جُنُباً فَاطَّهَّرُوا  ، 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اَلزّانِیَةُ وَ الزّانِی   أن ذلک تعلیل لا تعلیق بصفة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کنتم جنبا فاطهروا لأنکم جنب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علم أنه لا یمکن أداء الصلاة مع الجنابة، و کذلک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فاجلدوا الزانیة و الزانی لأنهما زنیا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فصار ذلک تعلیلا لا شرطا، و إذا کان کذلک جاز حمله علی التکرار</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لم یسع ذلک فی الأمر المعلق بالصفة و الشرط علی ما بیناه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bookmarkStart w:id="111" w:name="pg6519_49287"/>
    </w:p>
    <w:p>
      <w:pPr>
        <w:pStyle w:val="Heading4"/>
        <w:numPr>
          <w:ilvl w:val="3"/>
          <w:numId w:val="1"/>
        </w:numPr>
        <w:rPr/>
      </w:pPr>
      <w:bookmarkStart w:id="112" w:name="__RefHeading___Toc1757227_653776707"/>
      <w:bookmarkStart w:id="113" w:name="_Toc37"/>
      <w:bookmarkEnd w:id="111"/>
      <w:bookmarkEnd w:id="112"/>
      <w:r>
        <w:rPr>
          <w:rtl w:val="true"/>
        </w:rPr>
        <w:t xml:space="preserve">فصل </w:t>
      </w:r>
      <w:r>
        <w:rPr>
          <w:rtl w:val="true"/>
        </w:rPr>
        <w:t xml:space="preserve">- </w:t>
      </w:r>
      <w:r>
        <w:rPr/>
        <w:t>9</w:t>
      </w:r>
      <w:r>
        <w:rPr>
          <w:rtl w:val="true"/>
        </w:rPr>
        <w:t xml:space="preserve"> «</w:t>
      </w:r>
      <w:r>
        <w:rPr>
          <w:rtl w:val="true"/>
        </w:rPr>
        <w:t>فی الأمر المعلق بوقت متی لم یفعل المأمور به فیه هل یحتاج إلی دلیل فی إیقاعه فی الثانی أم لا؟</w:t>
      </w:r>
      <w:r>
        <w:rPr>
          <w:rtl w:val="true"/>
        </w:rPr>
        <w:t>»</w:t>
      </w:r>
      <w:bookmarkEnd w:id="113"/>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ذهب أکثر الفقهاء و المتکلمین إلی أن الأمر المعلق بوقت إذا لم یفعل المأمور </w:t>
      </w:r>
    </w:p>
    <w:p>
      <w:pPr>
        <w:pStyle w:val="BookText"/>
        <w:rPr/>
      </w:pPr>
      <w:r>
        <w:rPr>
          <w:rFonts w:ascii="IRNazanin" w:hAnsi="IRNazanin" w:eastAsia="IRNazanin"/>
          <w:color w:val="111111"/>
          <w:sz w:val="28"/>
          <w:sz w:val="28"/>
          <w:szCs w:val="28"/>
          <w:rtl w:val="true"/>
          <w:lang w:bidi="fa-IR"/>
        </w:rPr>
        <w:t>به فیه احتاج إلی دلیل آخر فی وجوب فعله فی وقت آخر</w:t>
      </w:r>
      <w:r>
        <w:rPr>
          <w:rStyle w:val="FootnoteAnchor"/>
          <w:rtl w:val="true"/>
        </w:rPr>
        <w:footnoteReference w:id="396"/>
      </w:r>
    </w:p>
    <w:p>
      <w:pPr>
        <w:pStyle w:val="BookText"/>
        <w:rPr/>
      </w:pPr>
      <w:r>
        <w:rPr>
          <w:rFonts w:ascii="IRNazanin" w:hAnsi="IRNazanin" w:eastAsia="IRNazanin"/>
          <w:color w:val="111111"/>
          <w:sz w:val="28"/>
          <w:sz w:val="28"/>
          <w:szCs w:val="28"/>
          <w:rtl w:val="true"/>
          <w:lang w:bidi="fa-IR"/>
        </w:rPr>
        <w:t xml:space="preserve">انظر التعلیقة رقم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صفحة </w:t>
      </w:r>
      <w:r>
        <w:rPr>
          <w:rFonts w:eastAsia="IRNazanin" w:cs="IRNazanin"/>
          <w:color w:val="111111"/>
          <w:sz w:val="28"/>
          <w:szCs w:val="28"/>
          <w:lang w:bidi="fa-IR"/>
        </w:rPr>
        <w:t>209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 کذلک قال فی الأمر المطلق من ذهب إلی أنه متی لم یفعل فی الثانی أو ذلک الوقت یجب علیه فعله فی الثالث أو الوقت الآخر، فکأنهم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یقتضی الفعل فی الثانی، فإن لم یفعل فی الثانی اقتضی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فی الثالث، ثم کذلک فی الرابع إلی أن یحصل المأمور به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الّذی أذهب إلیه ما ذکرته أولا، و الّذی یدل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أن الأمر إذا کان معلقا بوقت دل علی أن إیقاعه فی ذلک الوقت مصلحة، فمتی لم یفعل فی ذلک الوقت فمن أین یعلم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مصلحة فی وقت آخر؟ و یحتاج فی العلم بذلک إلی دلیل آخر، و علی هذا قلنا أن القضاء فرض ثان یحتاج إلی دلیل آخر غیر الّذی دل علی وجوب المقضی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لأحد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الأمر یدل علی وجوب المأمور به و إنه مصلحة و لیس للأوقات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فی ذلک، فینبغی أن یکون إیقاعه مصلحة أی وقت شاء، و ذلک أنه لا یمتنع أن یکون للأوقات تأثیر فی کون الفعل مصلحة فیه حتی إذا فعل فی غیره کان مفسدة</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الّذی یکشف عن ذلک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صلاة الجمعة لا خلاف أنها مصلحة و واجبة </w:t>
      </w:r>
    </w:p>
    <w:p>
      <w:pPr>
        <w:pStyle w:val="BookText"/>
        <w:rPr/>
      </w:pPr>
      <w:r>
        <w:rPr>
          <w:rFonts w:ascii="IRNazanin" w:hAnsi="IRNazanin" w:eastAsia="IRNazanin"/>
          <w:color w:val="111111"/>
          <w:sz w:val="28"/>
          <w:sz w:val="28"/>
          <w:szCs w:val="28"/>
          <w:rtl w:val="true"/>
          <w:lang w:bidi="fa-IR"/>
        </w:rPr>
        <w:t>فی وقت بعینه، و من لم یفعلها فإنها تسقط عنه، لا یجوز له فعلها فی وقت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من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لله علی صوم یوم بعینه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یلزمه صوم ذلک الیوم و لا یجوز له أن یصوم یوما آخر، فعلم بذلک أن للأوقات تأثیرا فی کون الفعل مصلحة و سقط السؤال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تسمیته قضاء فکلام فی عبارة فربما أطلق علیه ذلک، و ربما امتنع منه لضرب من الإبهام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لهم أن یقولوا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اقتضی إیقاع الفعل فی ذلک الوقت و لم یقتض إیقاعه فی وقت آخر لبطل النسخ</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ذلک أنا قد بینا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یصح النسخ إذا کان الفعل مطلقا أو مقیدا بوقت، إلا أن یدل دلیل آخر علی أن ما بعده من الأوقات حکمه حکم ذلک الوقت، فبطل بذلک أیضا هذا السؤال</w:t>
      </w:r>
      <w:r>
        <w:rPr>
          <w:rFonts w:eastAsia="IRNazanin" w:cs="IRNazanin"/>
          <w:color w:val="111111"/>
          <w:sz w:val="28"/>
          <w:szCs w:val="28"/>
          <w:rtl w:val="true"/>
          <w:lang w:bidi="fa-IR"/>
        </w:rPr>
        <w:t xml:space="preserve">. </w:t>
      </w:r>
      <w:bookmarkStart w:id="114" w:name="pg6519_49290"/>
    </w:p>
    <w:p>
      <w:pPr>
        <w:pStyle w:val="Heading4"/>
        <w:numPr>
          <w:ilvl w:val="3"/>
          <w:numId w:val="1"/>
        </w:numPr>
        <w:rPr/>
      </w:pPr>
      <w:bookmarkStart w:id="115" w:name="__RefHeading___Toc1757229_653776707"/>
      <w:bookmarkStart w:id="116" w:name="_Toc38"/>
      <w:bookmarkEnd w:id="114"/>
      <w:bookmarkEnd w:id="115"/>
      <w:r>
        <w:rPr>
          <w:rtl w:val="true"/>
        </w:rPr>
        <w:t xml:space="preserve">فصل </w:t>
      </w:r>
      <w:r>
        <w:rPr>
          <w:rtl w:val="true"/>
        </w:rPr>
        <w:t xml:space="preserve">- </w:t>
      </w:r>
      <w:r>
        <w:rPr/>
        <w:t>10</w:t>
      </w:r>
      <w:r>
        <w:rPr>
          <w:rtl w:val="true"/>
        </w:rPr>
        <w:t xml:space="preserve"> «</w:t>
      </w:r>
      <w:r>
        <w:rPr>
          <w:rtl w:val="true"/>
        </w:rPr>
        <w:t>فی أن الأمر هل یقتضی کون المأمور به مجزیا أم لا؟</w:t>
      </w:r>
      <w:bookmarkEnd w:id="116"/>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ذهب الفقهاء بأجمعهم و کثیر من المتکلمین إلی أن الأمر بالشیء یقتضی </w:t>
      </w:r>
    </w:p>
    <w:p>
      <w:pPr>
        <w:pStyle w:val="BookText"/>
        <w:rPr/>
      </w:pPr>
      <w:r>
        <w:rPr>
          <w:rFonts w:ascii="IRNazanin" w:hAnsi="IRNazanin" w:eastAsia="IRNazanin"/>
          <w:color w:val="111111"/>
          <w:sz w:val="28"/>
          <w:sz w:val="28"/>
          <w:szCs w:val="28"/>
          <w:rtl w:val="true"/>
          <w:lang w:bidi="fa-IR"/>
        </w:rPr>
        <w:t>کونه مجزیا إذا فعل علی الوجه الّذی تناوله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کثیر من المتکلمین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یدل علی ذلک و لا یمتنع أن لا یکون مجزیا و یحتاج إلی القضاء</w:t>
      </w:r>
      <w:r>
        <w:rPr>
          <w:rStyle w:val="FootnoteAnchor"/>
          <w:rtl w:val="true"/>
        </w:rPr>
        <w:footnoteReference w:id="397"/>
      </w:r>
    </w:p>
    <w:p>
      <w:pPr>
        <w:pStyle w:val="BookText"/>
        <w:rPr/>
      </w:pPr>
      <w:r>
        <w:rPr>
          <w:rFonts w:ascii="IRNazanin" w:hAnsi="IRNazanin" w:eastAsia="IRNazanin"/>
          <w:color w:val="111111"/>
          <w:sz w:val="28"/>
          <w:sz w:val="28"/>
          <w:szCs w:val="28"/>
          <w:rtl w:val="true"/>
          <w:lang w:bidi="fa-IR"/>
        </w:rPr>
        <w:t xml:space="preserve">انظر التعلیقة رقم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صفحة </w:t>
      </w:r>
      <w:r>
        <w:rPr>
          <w:rFonts w:eastAsia="IRNazanin" w:cs="IRNazanin"/>
          <w:color w:val="111111"/>
          <w:sz w:val="28"/>
          <w:szCs w:val="28"/>
          <w:lang w:bidi="fa-IR"/>
        </w:rPr>
        <w:t>212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الصحیح هو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یدل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الأمر یدل علی وجوب المأمور به، و کونه مصلحة إذا فعل علی الوجه الّذی تناوله الأمر، فإذا فعل کذلک فلا بد من حصول المصلحة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 استحقاق الثواب علیه، لأنه لو لم تکن مصلحة لم یحسن من الحکیم إیجابه، و لبطل</w:t>
      </w:r>
      <w:r>
        <w:rPr>
          <w:rStyle w:val="FootnoteAnchor"/>
          <w:rtl w:val="true"/>
        </w:rPr>
        <w:footnoteReference w:id="398"/>
      </w:r>
      <w:r>
        <w:rPr>
          <w:rFonts w:ascii="IRNazanin" w:hAnsi="IRNazanin" w:eastAsia="IRNazanin"/>
          <w:color w:val="111111"/>
          <w:sz w:val="28"/>
          <w:sz w:val="28"/>
          <w:szCs w:val="28"/>
          <w:rtl w:val="true"/>
          <w:lang w:bidi="fa-IR"/>
        </w:rPr>
        <w:t>کونه مصلحة علی ما تناوله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لهم أن یقولوا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یمتنع أن یوقع الفعل علی الوجه الّذی تناوله الأمر و تحصل مصلحة و یستحق الثواب علیه، إلا أنه یحتاج إلی أن یقضیه دفعة أخری، کما أن المفسد للحج یلزمه المضی فیه و مع ذلک یلزمه قضاؤه، و کذلک الظان لکونه متطهرا فی آخر الوقت یلزمه الصلاة، ثم إذا علم أنه کان غیر متطهر یلزمه قضاؤه</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ذلک الّذی ذکروه لا یدل علی أنه غیر مجز، و إنما یدل علی أن مثله مصلحة فی الثانی، و نحن لا نمتنع من ذلک و جری ذلک مجری أن یؤمر بالفعل فی وقتین، فانه متی فعل المأمور به فیهما فلا یقول أحد أن ما فعل فی الثانی مجز و ما فعل فی الأول غیر مجز، فکذلک</w:t>
      </w:r>
      <w:r>
        <w:rPr>
          <w:rStyle w:val="FootnoteAnchor"/>
          <w:rtl w:val="true"/>
        </w:rPr>
        <w:footnoteReference w:id="400"/>
      </w:r>
      <w:r>
        <w:rPr>
          <w:rFonts w:ascii="IRNazanin" w:hAnsi="IRNazanin" w:eastAsia="IRNazanin"/>
          <w:color w:val="111111"/>
          <w:sz w:val="28"/>
          <w:sz w:val="28"/>
          <w:szCs w:val="28"/>
          <w:rtl w:val="true"/>
          <w:lang w:bidi="fa-IR"/>
        </w:rPr>
        <w:t>ما یفعل بأمر آخر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فأما تسمیته قضاء للأول فکلام فی العبارة، و قد بینا أنه لا اعتبار به</w:t>
      </w:r>
      <w:r>
        <w:rPr>
          <w:rStyle w:val="FootnoteAnchor"/>
          <w:rtl w:val="true"/>
        </w:rPr>
        <w:footnoteReference w:id="401"/>
      </w:r>
    </w:p>
    <w:p>
      <w:pPr>
        <w:pStyle w:val="BookText"/>
        <w:rPr/>
      </w:pPr>
      <w:r>
        <w:rPr>
          <w:rFonts w:ascii="IRNazanin" w:hAnsi="IRNazanin" w:eastAsia="IRNazanin"/>
          <w:color w:val="111111"/>
          <w:sz w:val="28"/>
          <w:sz w:val="28"/>
          <w:szCs w:val="28"/>
          <w:rtl w:val="true"/>
          <w:lang w:bidi="fa-IR"/>
        </w:rPr>
        <w:t xml:space="preserve">راجع کلام الشیخ حول بطلان تسمیة الفعل الثانی قضاء فی صفحة </w:t>
      </w:r>
      <w:r>
        <w:rPr>
          <w:rFonts w:eastAsia="IRNazanin" w:cs="IRNazanin"/>
          <w:color w:val="111111"/>
          <w:sz w:val="28"/>
          <w:szCs w:val="28"/>
          <w:lang w:bidi="fa-IR"/>
        </w:rPr>
        <w:t>207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فأما المضی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الحج الفاسد، و وجوب الصلاة علی الظان لکونه متطهرا فی آخر الوقت، فالذی تناوله الأمر فی هذین إتمام الحج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أداء تلک الصلاة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فعلهما، و أما ما یجب علیه من قضاء تلک الصلاة إذا تیقن أنه کان محدثا و إعادة الحج، فإنه علم ذلک بدلیل آخر، و قد بینا أنه لا اعتبار بتسمیته قضاء</w:t>
      </w:r>
      <w:r>
        <w:rPr>
          <w:rStyle w:val="FootnoteAnchor"/>
          <w:rtl w:val="true"/>
        </w:rPr>
        <w:footnoteReference w:id="402"/>
      </w:r>
      <w:r>
        <w:rPr>
          <w:rFonts w:ascii="IRNazanin" w:hAnsi="IRNazanin" w:eastAsia="IRNazanin"/>
          <w:color w:val="111111"/>
          <w:sz w:val="28"/>
          <w:sz w:val="28"/>
          <w:szCs w:val="28"/>
          <w:rtl w:val="true"/>
          <w:lang w:bidi="fa-IR"/>
        </w:rPr>
        <w:t>فیتعلق بذلک فی هذا الباب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أردنا لکونه غیر مجز أنه لا یعلم إذا فعل أنه لا یلزمه مثله فی المستقبل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أردنا بکونه مجزیا أنه لا یعلم أنه یجب علیه مثله فی المستقبل، و یسقط حینئذ الخلاف</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یدل أیضا علی ما ذهبنا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ثبت أن النهی یقتضی فساد المنهی عنه علی ما سندل علیه</w:t>
      </w:r>
      <w:r>
        <w:rPr>
          <w:rStyle w:val="FootnoteAnchor"/>
          <w:rtl w:val="true"/>
        </w:rPr>
        <w:footnoteReference w:id="403"/>
      </w:r>
      <w:r>
        <w:rPr>
          <w:rFonts w:ascii="IRNazanin" w:hAnsi="IRNazanin" w:eastAsia="IRNazanin"/>
          <w:color w:val="111111"/>
          <w:sz w:val="28"/>
          <w:sz w:val="28"/>
          <w:szCs w:val="28"/>
          <w:rtl w:val="true"/>
          <w:lang w:bidi="fa-IR"/>
        </w:rPr>
        <w:t>، فینبغی أن یکون الأمر یقتضی کونه مجزیا لأنه ضده</w:t>
      </w:r>
      <w:r>
        <w:rPr>
          <w:rFonts w:eastAsia="IRNazanin" w:cs="IRNazanin"/>
          <w:color w:val="111111"/>
          <w:sz w:val="28"/>
          <w:szCs w:val="28"/>
          <w:rtl w:val="true"/>
          <w:lang w:bidi="fa-IR"/>
        </w:rPr>
        <w:t xml:space="preserve">. </w:t>
      </w:r>
      <w:bookmarkStart w:id="117" w:name="pg6519_49293"/>
    </w:p>
    <w:p>
      <w:pPr>
        <w:pStyle w:val="Heading4"/>
        <w:numPr>
          <w:ilvl w:val="3"/>
          <w:numId w:val="1"/>
        </w:numPr>
        <w:rPr/>
      </w:pPr>
      <w:bookmarkStart w:id="118" w:name="__RefHeading___Toc1757231_653776707"/>
      <w:bookmarkStart w:id="119" w:name="_Toc39"/>
      <w:bookmarkEnd w:id="117"/>
      <w:bookmarkEnd w:id="118"/>
      <w:r>
        <w:rPr>
          <w:rtl w:val="true"/>
        </w:rPr>
        <w:t xml:space="preserve">فصل </w:t>
      </w:r>
      <w:r>
        <w:rPr>
          <w:rtl w:val="true"/>
        </w:rPr>
        <w:t xml:space="preserve">- </w:t>
      </w:r>
      <w:r>
        <w:rPr/>
        <w:t>11</w:t>
      </w:r>
      <w:r>
        <w:rPr>
          <w:rtl w:val="true"/>
        </w:rPr>
        <w:t xml:space="preserve"> «</w:t>
      </w:r>
      <w:r>
        <w:rPr>
          <w:rtl w:val="true"/>
        </w:rPr>
        <w:t>فی حکم الأمر إذا تکرر بغیر واو العطف، و بواو العطف، ما القول فیه</w:t>
      </w:r>
      <w:bookmarkEnd w:id="119"/>
    </w:p>
    <w:p>
      <w:pPr>
        <w:pStyle w:val="BookText"/>
        <w:rPr/>
      </w:pPr>
      <w:r>
        <w:rPr>
          <w:rFonts w:ascii="IRNazanin" w:hAnsi="IRNazanin" w:eastAsia="IRNazanin"/>
          <w:color w:val="111111"/>
          <w:sz w:val="28"/>
          <w:sz w:val="28"/>
          <w:szCs w:val="28"/>
          <w:rtl w:val="true"/>
          <w:lang w:bidi="fa-IR"/>
        </w:rPr>
        <w:t>اعلم أن الصحیح أن الأمر إذا تکرر بغیر واو العطف تکرر المأمور به، و وجب کوجوبه، و هو مذهب أکثر المتکلمین و الفقهاء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ینبغی أن یحمل الثانی علی الأول و علی أنه تأکید له</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الّذی یدل علی صحة ما ذهبنا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کل واحد منهما لو انفرد لاقتضی فعل المأمور به إما وجوبا أو ندبا علی الخلاف فیه، فینبغی أن یکون ذلک حکمة إذا تکرر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لیس ذکره بعد ذکر الأول مقتضیا لحمله علی التأکید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إلا أن یدل دلیل علی أنه تأکید فیحمل علیه، أو یکون الأول معرفا أو إشارة إلی معهود و الثانی مثله فیحمل علی ذلک، نحو أن یقول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صلوا صلاة، صلوا 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یجب أن تحمل اللفظة الثانیة علی صلاة غیر الصلاة الأولی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ما یکون معرفا فنحو ما روی عن ابن عباس فی قوله فَإِنَّ مَعَ الْعُسْرِ یُسْراً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مَعَ الْعُسْرِ یُسْراً  </w:t>
      </w:r>
      <w:r>
        <w:rPr>
          <w:rStyle w:val="FootnoteAnchor"/>
          <w:rtl w:val="true"/>
        </w:rPr>
        <w:footnoteReference w:id="404"/>
      </w:r>
    </w:p>
    <w:p>
      <w:pPr>
        <w:pStyle w:val="BookText"/>
        <w:rPr/>
      </w:pPr>
      <w:r>
        <w:rPr>
          <w:rFonts w:ascii="IRNazanin" w:hAnsi="IRNazanin" w:eastAsia="IRNazanin"/>
          <w:color w:val="111111"/>
          <w:sz w:val="28"/>
          <w:sz w:val="28"/>
          <w:szCs w:val="28"/>
          <w:rtl w:val="true"/>
          <w:lang w:bidi="fa-IR"/>
        </w:rPr>
        <w:t>الانشراح</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 یغلب عسر واحد یسرین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فحمل العسر علی أنه واحد لما کانا معرفین، و الیسر علی أنهما مختلفان لما کانا منکرین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قوم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تأویل هذه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التعریف فی العسر لیس بتعریف لعهد و إنما هو تعریف الجنس فکأنه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جنس العسر یسر، و کذا مع جنس العسر یسر، و علی هذا یکون الثانی غیر</w:t>
      </w:r>
      <w:r>
        <w:rPr>
          <w:rStyle w:val="FootnoteAnchor"/>
          <w:rtl w:val="true"/>
        </w:rPr>
        <w:footnoteReference w:id="405"/>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یدل أیضا علی ما قلناه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الخبرین</w:t>
      </w:r>
      <w:r>
        <w:rPr>
          <w:rStyle w:val="FootnoteAnchor"/>
          <w:rtl w:val="true"/>
        </w:rPr>
        <w:footnoteReference w:id="406"/>
      </w:r>
      <w:r>
        <w:rPr>
          <w:rFonts w:ascii="IRNazanin" w:hAnsi="IRNazanin" w:eastAsia="IRNazanin"/>
          <w:color w:val="111111"/>
          <w:sz w:val="28"/>
          <w:sz w:val="28"/>
          <w:szCs w:val="28"/>
          <w:rtl w:val="true"/>
          <w:lang w:bidi="fa-IR"/>
        </w:rPr>
        <w:t>إذا تکررا اقتضیا مخبرین، فوجب أن یکون حکم الأمرین مثل ذلک لأنهما فی المعنی واحد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فأما قول القائل لغیره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اضرب اضرب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فالظاهر من ذلک أن الثانی غیر الأول، إلا أن یدل دلیل علی أنه أراد تأکید الأول من شاهد الحال و غیر ذلک فیحمل علیه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أما إذا عطف أحدهما علی الآخر نظر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کان الثانی یقتضی ما یقتضیه الأول من غیر زیادة و لا نقصان، فالکلام فیه کالکلام فی الأول سواء، لأنه لا فرق بین أن یفترق ذلک و یقترن و یصیر ذلک بمنزلة أمر واحد بفعلین، و لذلک قال الفقهاء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 القائل لامرأته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طالق و طالق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أنه أوقع الثنتین، إلا أن یدل دلیل علی أنه أراد تأکید الأول فیحمل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إن کان الثانی یقتضی غیر ما یقتضیه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حمل علی ظاهره، و لا تنافی بینه و بین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الثانی یقتضی بعض ما تناوله الأول فالظاهر من الاستعمال أن یحمل علی أنه أرید بالثانی غیر البعض الّذی تناوله الأول، لأن من حق المعطوف أن یتناول غیر ما تناوله المعطوف علیه، ثم ینظر فی ذلک، فإن کان إذا جعل هذا البعض مرادا بالثانی کان هو بعینه یمتنع أن یکون مرادا بالأول أیضا، فالواجب أن یحمل الأول علی ما عداه، و إن کان لا یمتنع أن یراد بالأول ما یقتضیه أیضا حمل الأول علی جمیعه، و الثانی علی البعض الّذی تناوله، و لذلک قلنا أن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حافِظُوا عَلَی الصَّلَواتِ وَ الصَّلاةِ الْوُسْطی  </w:t>
      </w:r>
      <w:r>
        <w:rPr>
          <w:rStyle w:val="FootnoteAnchor"/>
          <w:rtl w:val="true"/>
        </w:rPr>
        <w:footnoteReference w:id="407"/>
      </w:r>
    </w:p>
    <w:p>
      <w:pPr>
        <w:pStyle w:val="BookText"/>
        <w:rPr/>
      </w:pP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یقتضی ظاهره أن المراد بالصلوات غیر الوسطی لیصح عطف ما عطف به علیه</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إلا أن یدل دلیل علی أن الثانی ذکر تأکیدا، أو تعظیما و تفخیما، فإن کان کذلک حمل علیه کما قیل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کانَ عَدُوًّا لِلّهِ وَ مَلائِکَتِهِ وَ رُسُلِهِ وَ جِبْرِیلَ وَ مِیکالَ  </w:t>
      </w:r>
      <w:r>
        <w:rPr>
          <w:rStyle w:val="FootnoteAnchor"/>
          <w:rtl w:val="true"/>
        </w:rPr>
        <w:footnoteReference w:id="408"/>
      </w:r>
      <w:r>
        <w:rPr>
          <w:rFonts w:ascii="IRNazanin" w:hAnsi="IRNazanin" w:eastAsia="IRNazanin"/>
          <w:color w:val="111111"/>
          <w:sz w:val="28"/>
          <w:sz w:val="28"/>
          <w:szCs w:val="28"/>
          <w:rtl w:val="true"/>
          <w:lang w:bidi="fa-IR"/>
        </w:rPr>
        <w:t>أن المراد بذکر جبریل و میکال تعظیم لهما و تفخیم، و کذلک قال أکثر أهل العلم</w:t>
      </w:r>
      <w:r>
        <w:rPr>
          <w:rStyle w:val="FootnoteAnchor"/>
          <w:rtl w:val="true"/>
        </w:rPr>
        <w:footnoteReference w:id="409"/>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فِیهِما فاکِهَةٌ وَ نَخْلٌ وَ رُمّانٌ  </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قال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لم یقصد بلفظ الملائکة جبریل و میکال، و لا بلفظ الفاکهة النخل و الرمان، فلأجل ذلک حسن عطف ذلک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موقوف علی الدلیل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إذا کان الثانی أعم من الأول، فالقول فیه کالقول إذا کان الأول أعم سواء، لا فیما ذکرناه أخیرا من حمله علی التعظیم و التفخیم، لأن ذلک قد یکون نسخا و قد لا یکون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نحن نبین ذلک فی الناسخ و المنسوخ إن شاء اللّه تعالی</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120" w:name="pg6519_49297"/>
    </w:p>
    <w:p>
      <w:pPr>
        <w:pStyle w:val="Heading4"/>
        <w:numPr>
          <w:ilvl w:val="3"/>
          <w:numId w:val="1"/>
        </w:numPr>
        <w:rPr/>
      </w:pPr>
      <w:bookmarkStart w:id="121" w:name="__RefHeading___Toc1757233_653776707"/>
      <w:bookmarkStart w:id="122" w:name="_Toc40"/>
      <w:bookmarkEnd w:id="120"/>
      <w:bookmarkEnd w:id="121"/>
      <w:r>
        <w:rPr>
          <w:rtl w:val="true"/>
        </w:rPr>
        <w:t xml:space="preserve">فصل </w:t>
      </w:r>
      <w:r>
        <w:rPr>
          <w:rtl w:val="true"/>
        </w:rPr>
        <w:t xml:space="preserve">- </w:t>
      </w:r>
      <w:r>
        <w:rPr/>
        <w:t>12</w:t>
      </w:r>
      <w:r>
        <w:rPr>
          <w:rtl w:val="true"/>
        </w:rPr>
        <w:t xml:space="preserve"> «</w:t>
      </w:r>
      <w:r>
        <w:rPr>
          <w:rtl w:val="true"/>
        </w:rPr>
        <w:t>فی ذکر الأمر بالأشیاء علی جهة التخییر، کیف القول فیه ؟</w:t>
      </w:r>
      <w:bookmarkEnd w:id="122"/>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ذهب کثیر من المتکلمین إلی أن الکفارات الثلاث کلها واجبة مخیر فیها، و هو </w:t>
      </w:r>
    </w:p>
    <w:p>
      <w:pPr>
        <w:pStyle w:val="BookText"/>
        <w:rPr/>
      </w:pPr>
      <w:r>
        <w:rPr>
          <w:rFonts w:ascii="IRNazanin" w:hAnsi="IRNazanin" w:eastAsia="IRNazanin"/>
          <w:color w:val="111111"/>
          <w:sz w:val="28"/>
          <w:sz w:val="28"/>
          <w:szCs w:val="28"/>
          <w:rtl w:val="true"/>
          <w:lang w:bidi="fa-IR"/>
        </w:rPr>
        <w:t>المحکی عن أبی علی و أبی هاشم، و إلیه ذهب أصحابهما</w:t>
      </w:r>
      <w:r>
        <w:rPr>
          <w:rStyle w:val="FootnoteAnchor"/>
          <w:rtl w:val="true"/>
        </w:rPr>
        <w:footnoteReference w:id="411"/>
      </w:r>
    </w:p>
    <w:p>
      <w:pPr>
        <w:pStyle w:val="BookText"/>
        <w:rPr/>
      </w:pPr>
      <w:r>
        <w:rPr>
          <w:rFonts w:ascii="IRNazanin" w:hAnsi="IRNazanin" w:eastAsia="IRNazanin"/>
          <w:color w:val="111111"/>
          <w:sz w:val="28"/>
          <w:sz w:val="28"/>
          <w:szCs w:val="28"/>
          <w:rtl w:val="true"/>
          <w:lang w:bidi="fa-IR"/>
        </w:rPr>
        <w:t xml:space="preserve">انظر التعلیقة رقم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صفحة </w:t>
      </w:r>
      <w:r>
        <w:rPr>
          <w:rFonts w:eastAsia="IRNazanin" w:cs="IRNazanin"/>
          <w:color w:val="111111"/>
          <w:sz w:val="28"/>
          <w:szCs w:val="28"/>
          <w:lang w:bidi="fa-IR"/>
        </w:rPr>
        <w:t>219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أکثر الفقهاء</w:t>
      </w:r>
      <w:r>
        <w:rPr>
          <w:rStyle w:val="FootnoteAnchor"/>
          <w:rtl w:val="true"/>
        </w:rPr>
        <w:footnoteReference w:id="4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الواجب منها واحد لا بعینه، و ذهب إلیه جماعة من المتکلمین</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حکی أبو عبد اللّه</w:t>
      </w:r>
      <w:r>
        <w:rPr>
          <w:rStyle w:val="FootnoteAnchor"/>
          <w:rtl w:val="true"/>
        </w:rPr>
        <w:footnoteReference w:id="414"/>
      </w:r>
      <w:r>
        <w:rPr>
          <w:rFonts w:ascii="IRNazanin" w:hAnsi="IRNazanin" w:eastAsia="IRNazanin"/>
          <w:color w:val="111111"/>
          <w:sz w:val="28"/>
          <w:sz w:val="28"/>
          <w:szCs w:val="28"/>
          <w:rtl w:val="true"/>
          <w:lang w:bidi="fa-IR"/>
        </w:rPr>
        <w:t xml:space="preserve">عن أبی الحسن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القولین</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الّذی اختاره شیخنا أبو عبد اللّه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الواجب واحد لا بعینه علی ما یذهب إلیه الفقهاء</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ذهب سیدنا المرتضی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Style w:val="FootnoteAnchor"/>
          <w:rtl w:val="true"/>
        </w:rPr>
        <w:footnoteReference w:id="417"/>
      </w:r>
      <w:r>
        <w:rPr>
          <w:rFonts w:ascii="IRNazanin" w:hAnsi="IRNazanin" w:eastAsia="IRNazanin"/>
          <w:color w:val="111111"/>
          <w:sz w:val="28"/>
          <w:sz w:val="28"/>
          <w:szCs w:val="28"/>
          <w:rtl w:val="true"/>
          <w:lang w:bidi="fa-IR"/>
        </w:rPr>
        <w:t xml:space="preserve">إلی أن الثلاث لها صفة الوجوب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وجه التخییر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أذهب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الثلاثة لها صفة الوجوب، إلا أنه یجب علی المکلف اختیار أحدها</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هذه المسألة إذا کشف عن معناها ربما زال الخلاف فیها، و اعلم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المعنی </w:t>
      </w:r>
    </w:p>
    <w:p>
      <w:pPr>
        <w:pStyle w:val="BookText"/>
        <w:rPr/>
      </w:pPr>
      <w:r>
        <w:rPr>
          <w:rFonts w:ascii="IRNazanin" w:hAnsi="IRNazanin" w:eastAsia="IRNazanin"/>
          <w:color w:val="111111"/>
          <w:sz w:val="28"/>
          <w:sz w:val="28"/>
          <w:szCs w:val="28"/>
          <w:rtl w:val="true"/>
          <w:lang w:bidi="fa-IR"/>
        </w:rPr>
        <w:t>بقولنا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الثلاثة لها صفة الوجوب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أن اللّه تعالی قد علم أن کل واحد منها یقوم مقام صاحبه فی کونه مصلحة و لطفا للمکلف، فأعلمنا ذلک و خیرنا بین فعلها، فالمخالف فی ذلک لا یخلو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یوافق علی ذلک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هذا أن الواجب واحد لا بعینه، فذلک یکون خلافا فی عبارة لا اعتبار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الّذی هو لطف و مصلحة واحد من الثلاثة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الثنتان لیس لهما صفة الوجوب، فذلک یکون خلافا فی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یدل علی فساد هذا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کان الواحد منها له صفة الوجوب و الباقی لیس له ذلک، لوجب أن یدل اللّه تعالی علی ذلک و یعینه، لأنه لا</w:t>
      </w:r>
      <w:r>
        <w:rPr>
          <w:rStyle w:val="FootnoteAnchor"/>
          <w:rtl w:val="true"/>
        </w:rPr>
        <w:footnoteReference w:id="418"/>
      </w:r>
    </w:p>
    <w:p>
      <w:pPr>
        <w:pStyle w:val="BookText"/>
        <w:rPr/>
      </w:pPr>
      <w:r>
        <w:rPr>
          <w:rFonts w:ascii="IRNazanin" w:hAnsi="IRNazanin" w:eastAsia="IRNazanin"/>
          <w:color w:val="111111"/>
          <w:sz w:val="28"/>
          <w:sz w:val="28"/>
          <w:szCs w:val="28"/>
          <w:rtl w:val="true"/>
          <w:lang w:bidi="fa-IR"/>
        </w:rPr>
        <w:t>زیادة من النسخة 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طریق للمکلف إلی معرفة ما له صفة الوجوب و تمییزه مما لیس له ذلک، و متی لم یفعل ذلک و الأمر علی ما قلناه یکون قد کلفه ما لا دلیل علیه و ذلک لا یجوز، و لذلک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لا یجوز أن یکلف اللّه تعالی اختیار الرسل و الشرائع و لا ینصب علی ذلک دلیلا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 ذلک قبیح</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لیس لأحد أن یقول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یتمیز له باختیاره، لأن بعد اختیاره قد سقط عنه التکلیف، و ینبغی أن یتمیز له فی حال ما وجب علیه حتی یصح منه الإقدام علیه و تمیزه له من غیره، و ذلک یکون قبل اختیاره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لا یلزم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ذلک تعین البیع عند اختیار العقد، لأن ذلک فی الأصل تابع لاختیاره دون کونه مصلحة، فکان ما یتبع ذلک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 علی ذلک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کان الواحد من ذلک له صفة الوجوب و الثانی</w:t>
      </w:r>
      <w:r>
        <w:rPr>
          <w:rStyle w:val="FootnoteAnchor"/>
          <w:rtl w:val="true"/>
        </w:rPr>
        <w:footnoteReference w:id="419"/>
      </w:r>
    </w:p>
    <w:p>
      <w:pPr>
        <w:pStyle w:val="BookText"/>
        <w:rPr/>
      </w:pPr>
      <w:r>
        <w:rPr>
          <w:rFonts w:ascii="IRNazanin" w:hAnsi="IRNazanin" w:eastAsia="IRNazanin"/>
          <w:color w:val="111111"/>
          <w:sz w:val="28"/>
          <w:sz w:val="28"/>
          <w:szCs w:val="28"/>
          <w:rtl w:val="true"/>
          <w:lang w:bidi="fa-IR"/>
        </w:rPr>
        <w:t>فی الأصل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لیس له ذلک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لکان ینبغی أن لو فرضنا أن المکلف اختار غیره أن لا یجزیه، و فی ذلک خروج عن الإجماع، لأنه لا خلاف بین المسلمین أنه لو اختار أی الثلاثة کان أجزأه، و فی ذلک بطلان هذا المذهب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کان الواجب واحدا لا بعینه</w:t>
      </w:r>
      <w:r>
        <w:rPr>
          <w:rStyle w:val="FootnoteAnchor"/>
          <w:rtl w:val="true"/>
        </w:rPr>
        <w:footnoteReference w:id="420"/>
      </w:r>
      <w:r>
        <w:rPr>
          <w:rFonts w:ascii="IRNazanin" w:hAnsi="IRNazanin" w:eastAsia="IRNazanin"/>
          <w:color w:val="111111"/>
          <w:sz w:val="28"/>
          <w:sz w:val="28"/>
          <w:szCs w:val="28"/>
          <w:rtl w:val="true"/>
          <w:lang w:bidi="fa-IR"/>
        </w:rPr>
        <w:t>لما جاز من الحکیم أن یخبر المکلف بینه و بین ما لیس له صفة الوجوب، کما لا یحسن أن یخیره بین الواجب و المباح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علمه بأنه لا یختار إلا ما هو الواجب بمحسن لذلک، لأنه لو کان محسنا له لحسنه إذا خیره بینه و بین المباح إذا علم أنه لا یختار إلا الواجب، و قد اتفقنا علی خلاف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من نصر ما قلنا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نعنی أن اللّه تعالی أراد کل واحد منها و کره ترک کل واحد منها مع ترک الآخر، و لم یکره ترکه مع فعل الآخر</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فلا یمکننا الاعتماد علیه، لأنا قد بینا أن الأمر لا یقتضی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w:t>
      </w:r>
      <w:r>
        <w:rPr>
          <w:rStyle w:val="FootnoteAnchor"/>
          <w:rtl w:val="true"/>
        </w:rPr>
        <w:footnoteReference w:id="422"/>
      </w:r>
      <w:r>
        <w:rPr>
          <w:rFonts w:ascii="IRNazanin" w:hAnsi="IRNazanin" w:eastAsia="IRNazanin"/>
          <w:color w:val="111111"/>
          <w:sz w:val="28"/>
          <w:sz w:val="28"/>
          <w:szCs w:val="28"/>
          <w:rtl w:val="true"/>
          <w:lang w:bidi="fa-IR"/>
        </w:rPr>
        <w:t>الإیجاب، لأنه أراد الآمر المأمور به و کره ترکه، و بینا ما عندنا فی ذلک</w:t>
      </w:r>
      <w:r>
        <w:rPr>
          <w:rStyle w:val="FootnoteAnchor"/>
          <w:rtl w:val="true"/>
        </w:rPr>
        <w:footnoteReference w:id="423"/>
      </w:r>
      <w:r>
        <w:rPr>
          <w:rFonts w:ascii="IRNazanin" w:hAnsi="IRNazanin" w:eastAsia="IRNazanin"/>
          <w:color w:val="111111"/>
          <w:sz w:val="28"/>
          <w:sz w:val="28"/>
          <w:szCs w:val="28"/>
          <w:rtl w:val="true"/>
          <w:lang w:bidi="fa-IR"/>
        </w:rPr>
        <w:t>، مع أن هذا المذهب یکاد لا یتصور و لا یتحقق، لأنه لا یخلو أن یکره ترک واحد منها و لا یکره ترک الثانی</w:t>
      </w:r>
      <w:r>
        <w:rPr>
          <w:rStyle w:val="FootnoteAnchor"/>
          <w:rtl w:val="true"/>
        </w:rPr>
        <w:footnoteReference w:id="424"/>
      </w:r>
      <w:r>
        <w:rPr>
          <w:rFonts w:ascii="IRNazanin" w:hAnsi="IRNazanin" w:eastAsia="IRNazanin"/>
          <w:color w:val="111111"/>
          <w:sz w:val="28"/>
          <w:sz w:val="28"/>
          <w:szCs w:val="28"/>
          <w:rtl w:val="true"/>
          <w:lang w:bidi="fa-IR"/>
        </w:rPr>
        <w:t xml:space="preserve">، فإن </w:t>
      </w:r>
    </w:p>
    <w:p>
      <w:pPr>
        <w:pStyle w:val="BookText"/>
        <w:rPr/>
      </w:pPr>
      <w:r>
        <w:rPr>
          <w:rFonts w:ascii="IRNazanin" w:hAnsi="IRNazanin" w:eastAsia="IRNazanin"/>
          <w:color w:val="111111"/>
          <w:sz w:val="28"/>
          <w:sz w:val="28"/>
          <w:szCs w:val="28"/>
          <w:rtl w:val="true"/>
          <w:lang w:bidi="fa-IR"/>
        </w:rPr>
        <w:t>أرادوا ذلک فذلک قول من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الواجب واحد لا بعینه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إن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کره ترکه و ترک الآخر فقد جمعهما للکراهة، فینبغی أن یکونا جمیعا واجبین علی الجمع و ذلک لا یقوله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لم یکره ترک واحد مع فعل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یکاد یستحیل لأنه إذا کرهه مع ترک الآخر فقد حصلت الکراهة له و تعلقت به لنفسها، فکیف لا تکون حاصلة إذا قدرنا فعل الآخر؟ و تعلق من خالف فی ذلک بأن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فرضنا أنه فعل الثلاث لکان الواجب منها واحدا، فکذلک قبل 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قالوا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لم یفعل الثلاثة لاستحق العقاب علی واحدة منها، فعلم بذلک أن الواجب هو الواحد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عن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یسقط بما حررناه لأنه إذا فعل فالذی کان واجبا علیه واحد و إن کان الباقی له صفة الوجوب، لأنه کان مخیرا فیها فلأجل ذلک استحق ثواب الواحد علی جهة الوجوب و الثنتان فعلهما تبرعا، و لا یمتنع أن یکون الشیء له صفة الوجوب إذا فعل مفردا، فإذا فعل مع غیره کان الواحد منها لا یتغیر وجه کونه واجبا و الباقی</w:t>
      </w:r>
      <w:r>
        <w:rPr>
          <w:rStyle w:val="FootnoteAnchor"/>
          <w:rtl w:val="true"/>
        </w:rPr>
        <w:footnoteReference w:id="425"/>
      </w:r>
    </w:p>
    <w:p>
      <w:pPr>
        <w:pStyle w:val="BookText"/>
        <w:rPr/>
      </w:pPr>
      <w:r>
        <w:rPr>
          <w:rFonts w:ascii="IRNazanin" w:hAnsi="IRNazanin" w:eastAsia="IRNazanin"/>
          <w:color w:val="111111"/>
          <w:sz w:val="28"/>
          <w:sz w:val="28"/>
          <w:szCs w:val="28"/>
          <w:rtl w:val="true"/>
          <w:lang w:bidi="fa-IR"/>
        </w:rPr>
        <w:t>فی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یصیر ندبا، فلأجل ذلک یستحق علیه ثواب الندب، و کذلک إذا لم یفعل الثلاث فإنما یستحق العقاب علی واحد، لأن واحدا منها کان واجبا علیه دون الثلاثة</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فأیها یستحق علیه الثواب إذا جمعت، و أیها یستحق علیه العقاب إذا لم یفعل شیء منها؟ 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یلزمنا بیان ذلک، بل ما یعلمه اللّه تعالی من أنه لا یتغیر کونه واجبا إذا </w:t>
      </w:r>
    </w:p>
    <w:p>
      <w:pPr>
        <w:pStyle w:val="BookText"/>
        <w:rPr/>
      </w:pPr>
      <w:r>
        <w:rPr>
          <w:rFonts w:ascii="IRNazanin" w:hAnsi="IRNazanin" w:eastAsia="IRNazanin"/>
          <w:color w:val="111111"/>
          <w:sz w:val="28"/>
          <w:sz w:val="28"/>
          <w:szCs w:val="28"/>
          <w:rtl w:val="true"/>
          <w:lang w:bidi="fa-IR"/>
        </w:rPr>
        <w:t>فعله مع غیره یثیبه علیه ثواب الواجب، و استحق العقاب بترک ذلک بعینه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w:t>
      </w:r>
      <w:r>
        <w:rPr>
          <w:rStyle w:val="FootnoteAnchor"/>
          <w:rtl w:val="true"/>
        </w:rPr>
        <w:footnoteReference w:id="426"/>
      </w:r>
    </w:p>
    <w:p>
      <w:pPr>
        <w:pStyle w:val="BookText"/>
        <w:rPr/>
      </w:pP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الناس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یستحق الثواب علی الأشق ثواب الواجب، و العقاب علی الأخف</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الأول عندی هو المعتمد</w:t>
      </w:r>
      <w:r>
        <w:rPr>
          <w:rFonts w:eastAsia="IRNazanin" w:cs="IRNazanin"/>
          <w:color w:val="111111"/>
          <w:sz w:val="28"/>
          <w:szCs w:val="28"/>
          <w:rtl w:val="true"/>
          <w:lang w:bidi="fa-IR"/>
        </w:rPr>
        <w:t xml:space="preserve">. </w:t>
      </w:r>
      <w:bookmarkStart w:id="123" w:name="pg6519_49306"/>
    </w:p>
    <w:p>
      <w:pPr>
        <w:pStyle w:val="Heading4"/>
        <w:numPr>
          <w:ilvl w:val="3"/>
          <w:numId w:val="1"/>
        </w:numPr>
        <w:rPr/>
      </w:pPr>
      <w:bookmarkStart w:id="124" w:name="__RefHeading___Toc1757235_653776707"/>
      <w:bookmarkStart w:id="125" w:name="_Toc41"/>
      <w:bookmarkEnd w:id="123"/>
      <w:bookmarkEnd w:id="124"/>
      <w:r>
        <w:rPr>
          <w:rtl w:val="true"/>
        </w:rPr>
        <w:t xml:space="preserve">فصل </w:t>
      </w:r>
      <w:r>
        <w:rPr>
          <w:rtl w:val="true"/>
        </w:rPr>
        <w:t xml:space="preserve">- </w:t>
      </w:r>
      <w:r>
        <w:rPr/>
        <w:t>13</w:t>
      </w:r>
      <w:r>
        <w:rPr>
          <w:rtl w:val="true"/>
        </w:rPr>
        <w:t xml:space="preserve"> «</w:t>
      </w:r>
      <w:r>
        <w:rPr>
          <w:rtl w:val="true"/>
        </w:rPr>
        <w:t>فی أن الأمر هل یقتضی الفور أو التراخی ؟</w:t>
      </w:r>
      <w:r>
        <w:rPr>
          <w:rtl w:val="true"/>
        </w:rPr>
        <w:t>»</w:t>
      </w:r>
      <w:bookmarkEnd w:id="125"/>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ذهب کثیر من المتکلمین و الفقهاء إلی أن الأمر یقتضی الفور، و هو المحکی </w:t>
      </w:r>
    </w:p>
    <w:p>
      <w:pPr>
        <w:pStyle w:val="BookText"/>
        <w:rPr/>
      </w:pPr>
      <w:r>
        <w:rPr>
          <w:rFonts w:ascii="IRNazanin" w:hAnsi="IRNazanin" w:eastAsia="IRNazanin"/>
          <w:color w:val="111111"/>
          <w:sz w:val="28"/>
          <w:sz w:val="28"/>
          <w:szCs w:val="28"/>
          <w:rtl w:val="true"/>
          <w:lang w:bidi="fa-IR"/>
        </w:rPr>
        <w:t>عن أبی الحسن الکرخی</w:t>
      </w:r>
      <w:r>
        <w:rPr>
          <w:rStyle w:val="FootnoteAnchor"/>
          <w:rtl w:val="true"/>
        </w:rPr>
        <w:footnoteReference w:id="427"/>
      </w:r>
    </w:p>
    <w:p>
      <w:pPr>
        <w:pStyle w:val="BookText"/>
        <w:rPr/>
      </w:pPr>
      <w:r>
        <w:rPr>
          <w:rFonts w:ascii="IRNazanin" w:hAnsi="IRNazanin" w:eastAsia="IRNazanin"/>
          <w:color w:val="111111"/>
          <w:sz w:val="28"/>
          <w:sz w:val="28"/>
          <w:szCs w:val="28"/>
          <w:rtl w:val="true"/>
          <w:lang w:bidi="fa-IR"/>
        </w:rPr>
        <w:t xml:space="preserve">انظر التعلیقة رقم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صفحة </w:t>
      </w:r>
      <w:r>
        <w:rPr>
          <w:rFonts w:eastAsia="IRNazanin" w:cs="IRNazanin"/>
          <w:color w:val="111111"/>
          <w:sz w:val="28"/>
          <w:szCs w:val="28"/>
          <w:lang w:bidi="fa-IR"/>
        </w:rPr>
        <w:t>225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ذهب کثیر منهم إلی أنه علی التراخی، و هو المحکی عن أبی علی و أبی هاشم</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ذهب قوم إلی أنه علی الوقف </w:t>
      </w:r>
      <w:r>
        <w:rPr>
          <w:rStyle w:val="FootnoteAnchor"/>
          <w:rtl w:val="true"/>
        </w:rPr>
        <w:footnoteReference w:id="429"/>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قال یحتمل أن یکون مقتضاه الفور أو</w:t>
      </w:r>
      <w:r>
        <w:rPr>
          <w:rStyle w:val="FootnoteAnchor"/>
          <w:rtl w:val="true"/>
        </w:rPr>
        <w:footnoteReference w:id="430"/>
      </w:r>
      <w:r>
        <w:rPr>
          <w:rFonts w:ascii="IRNazanin" w:hAnsi="IRNazanin" w:eastAsia="IRNazanin"/>
          <w:color w:val="111111"/>
          <w:sz w:val="28"/>
          <w:sz w:val="28"/>
          <w:szCs w:val="28"/>
          <w:rtl w:val="true"/>
          <w:lang w:bidi="fa-IR"/>
        </w:rPr>
        <w:t>التراخی و یحتاج إلی الدلیل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اختلفوا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أجاز منهم تأخیر البیان عن حال الخطاب فی المجمل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 لم یدل دلیل</w:t>
      </w:r>
      <w:r>
        <w:rPr>
          <w:rStyle w:val="FootnoteAnchor"/>
          <w:rtl w:val="true"/>
        </w:rPr>
        <w:footnoteReference w:id="431"/>
      </w:r>
      <w:r>
        <w:rPr>
          <w:rFonts w:ascii="IRNazanin" w:hAnsi="IRNazanin" w:eastAsia="IRNazanin"/>
          <w:color w:val="111111"/>
          <w:sz w:val="28"/>
          <w:sz w:val="28"/>
          <w:szCs w:val="28"/>
          <w:rtl w:val="true"/>
          <w:lang w:bidi="fa-IR"/>
        </w:rPr>
        <w:t>فی حال الخطاب علی أنه أراد الفعل فی الثانی قطعت علی أنه غیر مراد فیه و توقفت فی الثالث و الرابع و ما زاد علیه، و کذلک إذا جاء الوقت الثانی و لم یبین له أنه مراده فی الثالث قطعت علی أنه غیر مراد فیه، ثم علی هذا التدریج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الّذی اختاره سیدنا المرتضی</w:t>
      </w:r>
      <w:r>
        <w:rPr>
          <w:rStyle w:val="FootnoteAnchor"/>
          <w:rtl w:val="true"/>
        </w:rPr>
        <w:footnoteReference w:id="432"/>
      </w:r>
      <w:r>
        <w:rPr>
          <w:rFonts w:ascii="Amiri" w:hAnsi="Amiri" w:eastAsia="Amiri" w:cs="Amiri"/>
          <w:color w:val="111111"/>
          <w:sz w:val="28"/>
          <w:sz w:val="28"/>
          <w:szCs w:val="28"/>
          <w:rtl w:val="true"/>
          <w:lang w:bidi="ar-SA"/>
        </w:rPr>
        <w:t>رحمه اللّه</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لم یجز تأخیر بیان المجمل عن حال الخطاب لم یجوز ذلک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الّذی أذهب إلیه هو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یدل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قد ثبت بما دللنا علیه أن الأمر یقتضی الإیجاب، فلو لم یقتض الفعل فی الثانی لم ینفصل مما لیس بواجب فی هذه الحال، لأن ما لیس بواجب هذا حکمه من أنه یجوز ترکه، و هذا لاحق به، و هذا یؤدی إلی نقض کونه موجبا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و إن جاز تأخیره، فلا یجوز ذلک إلا إلی بدل و هو العزم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یجوز له أن یؤخر بشرط أن یفعل فی الثالث و کذلک فیما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الوجه الأول إثبات العزم یحتاج إلی دلیل حتی یصح أن یکون مخیرا بینه و بین الفعل، فأما إذا لم یثبت ذلک فکیف یجعل مخیرا بینه و بینه، و لا فرق بین من أثبته من غیر دلیل و بین من أثبت فعلا آخر و جعله مخیرا بینه و بینه، فلما کان هذا فاسدا بلا خلاف کان العزم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لهم أن یقولوا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لا نثبت العزم إلا بدلیل، و ذلک أنه لما ثبت أن الفعل واجب و کانت الأوقات فی أدائها متساویة أثبتنا العزم، و إلا انتقض کونه واجبا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أن هذا إنما یتم إذا ثبت لهم أن الأوقات متساویة فی الأداء، و دون ذلک خرط القتاد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کان مخیرا بینه و بین العزم لجاز له أن یقتصر علیه و لا یفعل الواجب، لأن هذا حکم سائر الأبدال، و فی ذلک إغراء له بترک الواجب و ألا یفعل </w:t>
      </w:r>
    </w:p>
    <w:p>
      <w:pPr>
        <w:pStyle w:val="BookText"/>
        <w:rPr/>
      </w:pPr>
      <w:r>
        <w:rPr>
          <w:rFonts w:ascii="IRNazanin" w:hAnsi="IRNazanin" w:eastAsia="IRNazanin"/>
          <w:color w:val="111111"/>
          <w:sz w:val="28"/>
          <w:sz w:val="28"/>
          <w:szCs w:val="28"/>
          <w:rtl w:val="true"/>
          <w:lang w:bidi="fa-IR"/>
        </w:rPr>
        <w:t>شیئا منه أصلا و یقتصر علی العزم أبدا، و فی ذلک خروج عن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یجوز له تأخیره بشرط أن یفعل فی الثّالث، فقوله یفسد من 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علی هذا القول صار مخیّرا فی الوقت الثّانی بین فعله و أن لا یفعل، و هذه صفة النّدب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یعلم أنّه یفعل فی الثّالث حتّی یصحّ منه تأخیره عن الثّانی إلیه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بطلان الوجهین معا ثبوت ما قصدناه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یدلّ أیضا علی أنّ الأمر یقتضی الفور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الأمر فی الشّاهد یعقل منها الفور، أ لا تری أنّ من أمر غلامه بفعل فلم یفعل استحقّ الذّم، فلو</w:t>
      </w:r>
      <w:r>
        <w:rPr>
          <w:rStyle w:val="FootnoteAnchor"/>
          <w:rtl w:val="true"/>
        </w:rPr>
        <w:footnoteReference w:id="434"/>
      </w:r>
    </w:p>
    <w:p>
      <w:pPr>
        <w:pStyle w:val="BookText"/>
        <w:rPr/>
      </w:pPr>
      <w:r>
        <w:rPr>
          <w:rFonts w:ascii="IRNazanin" w:hAnsi="IRNazanin" w:eastAsia="IRNazanin"/>
          <w:color w:val="111111"/>
          <w:sz w:val="28"/>
          <w:sz w:val="28"/>
          <w:szCs w:val="28"/>
          <w:rtl w:val="true"/>
          <w:lang w:bidi="fa-IR"/>
        </w:rPr>
        <w:t>و لو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یقتضی التأخیر لجاز له أن لا یفعل و یعتلّ بذلک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مخیّر بین الفعل و بین العزم علیه فلم أذمّ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علمنا ببطلان هذا الاعتلال دلیل علی أنّه اقتضی الفور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لهم أن یدّعوا قرینة دلّت علی أنّه یقتضی الفور لأجلها ذمّ، و ذلک أنّ القرینة المدّعاة غیر معقولة فیحتاجون إلی أن یبیّنوها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یذمّه من لا یعرف القرینة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فعلم أنّه إنّما یذمّه لأنّه عقل من مقتضی الأمر الفور دون التّراخی</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ممّا یدلّ أیضا علی أنّ الأمر یقتضی الفور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 یخلو من أن یکون المأمور یجوز له تأخیر الفعل لا إلی غایة أو إلی غایة، فإن جاز له تأخیره أبدا لا إلی غایة ففی ذلک إخراج له من کونه واجبا، و إن کان یجوز له تأخیره إلی غایة کان ینبغی أن یکون تلک الغایة معلومة و کانت تکون مثل الأوامر المؤقّتة، و متی لم یعلم ذلک کان مکلّفا لإیقاع الفعل فی وقت لا طریق له إلی معرفته، و ذلک تکلیف بما لا یطاق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فإن ذکروا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یکون مخیّرا بین الفعل و العزم لا إلی غایة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 الکلام علیهم ما تقدّم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فی ذلک إفساد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التّکلیف، و أن یقتصر المکلّف من فعل الواجبات علی العزم فحسب، فلا یفعل شیئا منها، و ذلک خلاف المعقول و الدّین جمیعا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فأمّا من قال هربا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یتعیّن الوقت علیه إذا غلب فی ظنّه أنّه متی لم یفعل اخترم، أو عجز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أیّ إمارة توجب هذا الظنّ المدّعی‌؟ و ذلک لا سبیل له إلیه، علی أنّه إذا کان مخیّرا بین الفعل و العزم، فلو غلب فی ظنّه فوت الفعل لم یغلب فی ظنّه فوت العزم، فینبغی أن یجوز له الاقتصار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فیمن وافقنا علی هذا المذهب</w:t>
      </w:r>
      <w:r>
        <w:rPr>
          <w:rStyle w:val="FootnoteAnchor"/>
          <w:rtl w:val="true"/>
        </w:rPr>
        <w:footnoteReference w:id="435"/>
      </w:r>
    </w:p>
    <w:p>
      <w:pPr>
        <w:pStyle w:val="BookText"/>
        <w:rPr/>
      </w:pPr>
      <w:r>
        <w:rPr>
          <w:rFonts w:ascii="IRNazanin" w:hAnsi="IRNazanin" w:eastAsia="IRNazanin"/>
          <w:color w:val="111111"/>
          <w:sz w:val="28"/>
          <w:sz w:val="28"/>
          <w:szCs w:val="28"/>
          <w:rtl w:val="true"/>
          <w:lang w:bidi="fa-IR"/>
        </w:rPr>
        <w:t xml:space="preserve">راجع التعلیقة رقم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صفحة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و انظر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التبصرة</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و شرح اللّمع </w:t>
      </w:r>
      <w:r>
        <w:rPr>
          <w:rFonts w:eastAsia="IRNazanin" w:cs="IRNazanin"/>
          <w:color w:val="111111"/>
          <w:sz w:val="28"/>
          <w:szCs w:val="28"/>
          <w:lang w:bidi="fa-IR"/>
        </w:rPr>
        <w:t>238:1</w:t>
      </w:r>
      <w:r>
        <w:rPr>
          <w:rFonts w:ascii="IRNazanin" w:hAnsi="IRNazanin" w:eastAsia="IRNazanin"/>
          <w:color w:val="111111"/>
          <w:sz w:val="28"/>
          <w:sz w:val="28"/>
          <w:szCs w:val="28"/>
          <w:rtl w:val="true"/>
          <w:lang w:bidi="fa-IR"/>
        </w:rPr>
        <w:t xml:space="preserve">، الإحکام </w:t>
      </w:r>
      <w:r>
        <w:rPr>
          <w:rFonts w:eastAsia="IRNazanin" w:cs="IRNazanin"/>
          <w:color w:val="111111"/>
          <w:sz w:val="28"/>
          <w:szCs w:val="28"/>
          <w:lang w:bidi="fa-IR"/>
        </w:rPr>
        <w:t>307:3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استدلّ علی ذلک بقوله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سارِعُوا إِلی مَغْفِرَةٍ مِنْ رَبِّکُمْ   </w:t>
      </w:r>
      <w:r>
        <w:rPr>
          <w:rStyle w:val="FootnoteAnchor"/>
          <w:rtl w:val="true"/>
        </w:rPr>
        <w:footnoteReference w:id="436"/>
      </w:r>
      <w:r>
        <w:rPr>
          <w:rFonts w:ascii="Amiri" w:hAnsi="Amiri" w:eastAsia="Amiri" w:cs="Amiri"/>
          <w:color w:val="111111"/>
          <w:sz w:val="28"/>
          <w:sz w:val="28"/>
          <w:szCs w:val="28"/>
          <w:rtl w:val="true"/>
          <w:lang w:bidi="ar-SA"/>
        </w:rPr>
        <w:t>، و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فَاسْتَبِقُوا الْخَیْراتِ  </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ذلک یضعف الاحتجاج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لأنّ الظّاهر من الآیة أنّه أمر بالتّوبة، لأنّها هی </w:t>
      </w:r>
    </w:p>
    <w:p>
      <w:pPr>
        <w:pStyle w:val="BookText"/>
        <w:rPr/>
      </w:pPr>
      <w:r>
        <w:rPr>
          <w:rFonts w:ascii="IRNazanin" w:hAnsi="IRNazanin" w:eastAsia="IRNazanin"/>
          <w:color w:val="111111"/>
          <w:sz w:val="28"/>
          <w:sz w:val="28"/>
          <w:szCs w:val="28"/>
          <w:rtl w:val="true"/>
          <w:lang w:bidi="fa-IR"/>
        </w:rPr>
        <w:t>الّتی یحصل عندها الغفران، و ذلک متّفق علیه أنّه علی الفور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فأمّا الفعل الواجب الّذی لم یتقدّمه غیره من المعاصی حتّی یغفر فکیف یحمل علیه‌؟ فإن حمل علی أنّ المراد بذلک استحقاق الثّواب، تصیر الآیة مجملة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یستحقّ الثّواب بالواجب و النّدب و لیس النّدب واجبا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 من استدلّ علی ذلک بأن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الأمر یقتضی إیقاع الفعل فی وقت من جهة الحکمة، و إن لم یکن مذکورا فی اللّفظ، فأشبه ما یقتضیه العقود و الإیقاعات من الطّلاق و العتاق، فکما أنّ ذلک کلّه علی الفور وجب مثله فی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لا یصحّ الاستدلال به من 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هذا قیاس، و نحن لا نقول بالقیاس أصلا، فکیف یمکننا أن نعتمد علی ذلک‌؟ و من قال بالقیاس لا یمکنه أیضا أن یعتمد هذه الطّریقة، لأنّ القیاس یوجب غلبة الظّن، و هذه المسألة طریقها العلم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فلا یمکن الاعتماد فیها علی القیاس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الثّانی</w:t>
      </w:r>
      <w:r>
        <w:rPr>
          <w:rFonts w:eastAsia="Amiri" w:cs="Amiri" w:ascii="Amiri" w:hAnsi="Amiri"/>
          <w:color w:val="111111"/>
          <w:sz w:val="28"/>
          <w:szCs w:val="28"/>
          <w:rtl w:val="true"/>
          <w:lang w:bidi="ar-SA"/>
        </w:rPr>
        <w:t>]</w:t>
      </w:r>
      <w:r>
        <w:rPr>
          <w:rStyle w:val="FootnoteAnchor"/>
          <w:rtl w:val="true"/>
        </w:rPr>
        <w:footnoteReference w:id="438"/>
      </w:r>
    </w:p>
    <w:p>
      <w:pPr>
        <w:pStyle w:val="BookText"/>
        <w:rPr/>
      </w:pPr>
      <w:r>
        <w:rPr>
          <w:rFonts w:ascii="IRNazanin" w:hAnsi="IRNazanin" w:eastAsia="IRNazanin"/>
          <w:color w:val="111111"/>
          <w:sz w:val="28"/>
          <w:sz w:val="28"/>
          <w:szCs w:val="28"/>
          <w:rtl w:val="true"/>
          <w:lang w:bidi="fa-IR"/>
        </w:rPr>
        <w:t xml:space="preserve">زیادة تقتضیها الجملة لما قال فی القسم الأوّل من الوجهین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فالأولی أن یقول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جاز استعمال القیاس فی ذلک، لکان هذا الاستدلال قرینة اقترنت إلی ظاهر الأمر، و القوم لا یمتنعون من ذلک، و إنّما الخلاف فی الأوامر المطلقة الخالیة من القرائن، فعلم أنّ المعتمد ما قدّمناه</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إذا ثبت أنّ الأمر علی الفور، فمتی لم یفعله فی الثّانی احتاج إلی دلیل آخر فی وجوبه علیه فی الثّالث علی ما بیّناه فیما تقدّم</w:t>
      </w:r>
      <w:r>
        <w:rPr>
          <w:rStyle w:val="FootnoteAnchor"/>
          <w:rtl w:val="true"/>
        </w:rPr>
        <w:footnoteReference w:id="439"/>
      </w:r>
      <w:r>
        <w:rPr>
          <w:rFonts w:ascii="IRNazanin" w:hAnsi="IRNazanin" w:eastAsia="IRNazanin"/>
          <w:color w:val="111111"/>
          <w:sz w:val="28"/>
          <w:sz w:val="28"/>
          <w:szCs w:val="28"/>
          <w:rtl w:val="true"/>
          <w:lang w:bidi="fa-IR"/>
        </w:rPr>
        <w:t xml:space="preserve">، و فی ذلک بطلان مذهب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بالأمر الأوّل یلزمه الفعل فی الثّالث و الرّابع إلی أن یحصل 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استدلّ من قال</w:t>
      </w:r>
      <w:r>
        <w:rPr>
          <w:rStyle w:val="FootnoteAnchor"/>
          <w:rtl w:val="true"/>
        </w:rPr>
        <w:footnoteReference w:id="440"/>
      </w:r>
    </w:p>
    <w:p>
      <w:pPr>
        <w:pStyle w:val="BookText"/>
        <w:rPr/>
      </w:pPr>
      <w:r>
        <w:rPr>
          <w:rFonts w:ascii="IRNazanin" w:hAnsi="IRNazanin" w:eastAsia="IRNazanin"/>
          <w:color w:val="111111"/>
          <w:sz w:val="28"/>
          <w:sz w:val="28"/>
          <w:szCs w:val="28"/>
          <w:rtl w:val="true"/>
          <w:lang w:bidi="fa-IR"/>
        </w:rPr>
        <w:t xml:space="preserve">انظر التعلیقة رقم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صفحة </w:t>
      </w:r>
      <w:r>
        <w:rPr>
          <w:rFonts w:eastAsia="IRNazanin" w:cs="IRNazanin"/>
          <w:color w:val="111111"/>
          <w:sz w:val="28"/>
          <w:szCs w:val="28"/>
          <w:lang w:bidi="fa-IR"/>
        </w:rPr>
        <w:t>225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الأمر یقتضی التّراخی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الأمر إنّما یقتضی کون الفعل واجبا، و لیس للأوقات ذکر فی اللّفظ، و لیس بعضها بأن یوجب إیقاعه فیه بأولی من بعض، فینبغی أن یکون مخیّرا فیه، لأنّه لو أراد إیقاعه فی بعضها لبیّنه، فمتی لم یبیّنه دلّ علی أنّه مخیّر فی ذلک کلّه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الجواب عن ذلک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الأوقات و إن لم تکن مذکورة فی اللّفظ، فوقت الفعل هو الثّانی، و هو معلوم بالأدلّة الّتی ذکرناها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فیجب المصیر إلی مقتضاها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لو أراد إیقاع الفعل فی الثّالث</w:t>
      </w:r>
      <w:r>
        <w:rPr>
          <w:rStyle w:val="FootnoteAnchor"/>
          <w:rtl w:val="true"/>
        </w:rPr>
        <w:footnoteReference w:id="441"/>
      </w:r>
      <w:r>
        <w:rPr>
          <w:rFonts w:ascii="Amiri" w:hAnsi="Amiri" w:eastAsia="Amiri" w:cs="Amiri"/>
          <w:color w:val="111111"/>
          <w:sz w:val="28"/>
          <w:sz w:val="28"/>
          <w:szCs w:val="28"/>
          <w:rtl w:val="true"/>
          <w:lang w:bidi="ar-SA"/>
        </w:rPr>
        <w:t>لبیّنه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فعندنا أنّه بیّنه بالأدلّة الّتی قدّمناها</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لأصحاب الوقف أن یقولوا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أراد التّراخی لبیّنه، فیجب أن یتوقّف فی ذلک و ینتظر البیان</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متی اعتمد ذلک أصحاب الوقف کان الکلام علیهم ما تقدّم من أنّ الدّلیل قد </w:t>
      </w:r>
    </w:p>
    <w:p>
      <w:pPr>
        <w:pStyle w:val="BookText"/>
        <w:rPr/>
      </w:pPr>
      <w:r>
        <w:rPr>
          <w:rFonts w:ascii="Amiri" w:hAnsi="Amiri" w:eastAsia="Amiri" w:cs="Amiri"/>
          <w:color w:val="111111"/>
          <w:sz w:val="28"/>
          <w:sz w:val="28"/>
          <w:szCs w:val="28"/>
          <w:rtl w:val="true"/>
          <w:lang w:bidi="ar-SA"/>
        </w:rPr>
        <w:t>دلّ علی أنّه یقتضی الفعل فی الثّانی</w:t>
      </w:r>
      <w:r>
        <w:rPr>
          <w:rStyle w:val="FootnoteAnchor"/>
          <w:rtl w:val="true"/>
        </w:rPr>
        <w:footnoteReference w:id="443"/>
      </w:r>
    </w:p>
    <w:p>
      <w:pPr>
        <w:pStyle w:val="BookText"/>
        <w:rPr/>
      </w:pPr>
      <w:r>
        <w:rPr>
          <w:rFonts w:ascii="IRNazanin" w:hAnsi="IRNazanin" w:eastAsia="IRNazanin"/>
          <w:color w:val="111111"/>
          <w:sz w:val="28"/>
          <w:sz w:val="28"/>
          <w:szCs w:val="28"/>
          <w:rtl w:val="true"/>
          <w:lang w:bidi="fa-IR"/>
        </w:rPr>
        <w:t xml:space="preserve">لاحظ الأدلة التی أقامها الشیخ علی مذهبه حول فوریة الأوامر فی صفحة </w:t>
      </w:r>
      <w:r>
        <w:rPr>
          <w:rFonts w:eastAsia="IRNazanin" w:cs="IRNazanin"/>
          <w:color w:val="111111"/>
          <w:sz w:val="28"/>
          <w:szCs w:val="28"/>
          <w:lang w:bidi="fa-IR"/>
        </w:rPr>
        <w:t>227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إن اعتمدوا علی أنّهم وجدوا الأوامر مستعملة فی الفور و التّراخی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بیّنا أنّ نفس الاستعمال لا یدلّ علی أنّ ما استعملوه حقیقة</w:t>
      </w:r>
      <w:r>
        <w:rPr>
          <w:rStyle w:val="FootnoteAnchor"/>
          <w:rtl w:val="true"/>
        </w:rPr>
        <w:footnoteReference w:id="444"/>
      </w:r>
      <w:r>
        <w:rPr>
          <w:rFonts w:ascii="IRNazanin" w:hAnsi="IRNazanin" w:eastAsia="IRNazanin"/>
          <w:color w:val="111111"/>
          <w:sz w:val="28"/>
          <w:sz w:val="28"/>
          <w:szCs w:val="28"/>
          <w:rtl w:val="true"/>
          <w:lang w:bidi="fa-IR"/>
        </w:rPr>
        <w:t>، و ذلک مجاز عندنا إذا استعمل علی ما قالوه</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هذه جملة کافیة فی هذا الباب</w:t>
      </w:r>
      <w:r>
        <w:rPr>
          <w:rFonts w:eastAsia="IRNazanin" w:cs="IRNazanin"/>
          <w:color w:val="111111"/>
          <w:sz w:val="28"/>
          <w:szCs w:val="28"/>
          <w:rtl w:val="true"/>
          <w:lang w:bidi="fa-IR"/>
        </w:rPr>
        <w:t xml:space="preserve">. </w:t>
      </w:r>
      <w:bookmarkStart w:id="126" w:name="pg6519_49323"/>
    </w:p>
    <w:p>
      <w:pPr>
        <w:pStyle w:val="Heading4"/>
        <w:numPr>
          <w:ilvl w:val="3"/>
          <w:numId w:val="1"/>
        </w:numPr>
        <w:rPr/>
      </w:pPr>
      <w:bookmarkStart w:id="127" w:name="__RefHeading___Toc1757237_653776707"/>
      <w:bookmarkStart w:id="128" w:name="_Toc42"/>
      <w:bookmarkEnd w:id="126"/>
      <w:bookmarkEnd w:id="127"/>
      <w:r>
        <w:rPr>
          <w:rtl w:val="true"/>
        </w:rPr>
        <w:t xml:space="preserve">فصل </w:t>
      </w:r>
      <w:r>
        <w:rPr>
          <w:rtl w:val="true"/>
        </w:rPr>
        <w:t xml:space="preserve">- </w:t>
      </w:r>
      <w:r>
        <w:rPr/>
        <w:t>14</w:t>
      </w:r>
      <w:r>
        <w:rPr>
          <w:rtl w:val="true"/>
        </w:rPr>
        <w:t xml:space="preserve"> «</w:t>
      </w:r>
      <w:r>
        <w:rPr>
          <w:rtl w:val="true"/>
        </w:rPr>
        <w:t xml:space="preserve">فی الأمر المؤقّت، ما حکمه ؟  </w:t>
      </w:r>
      <w:r>
        <w:rPr>
          <w:rtl w:val="true"/>
        </w:rPr>
        <w:t>»</w:t>
      </w:r>
      <w:bookmarkEnd w:id="128"/>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یجوز أن یرد الأمر من الحکیم بعبادة معلّقة بوقت یقصر الوقت عن أدائها </w:t>
      </w:r>
    </w:p>
    <w:p>
      <w:pPr>
        <w:pStyle w:val="BookText"/>
        <w:rPr/>
      </w:pPr>
      <w:r>
        <w:rPr>
          <w:rFonts w:ascii="IRNazanin" w:hAnsi="IRNazanin" w:eastAsia="IRNazanin"/>
          <w:color w:val="111111"/>
          <w:sz w:val="28"/>
          <w:sz w:val="28"/>
          <w:szCs w:val="28"/>
          <w:rtl w:val="true"/>
          <w:lang w:bidi="fa-IR"/>
        </w:rPr>
        <w:t>فیه</w:t>
      </w:r>
      <w:r>
        <w:rPr>
          <w:rStyle w:val="FootnoteAnchor"/>
          <w:rtl w:val="true"/>
        </w:rPr>
        <w:footnoteReference w:id="445"/>
      </w:r>
    </w:p>
    <w:p>
      <w:pPr>
        <w:pStyle w:val="BookText"/>
        <w:rPr/>
      </w:pPr>
      <w:r>
        <w:rPr>
          <w:rFonts w:ascii="IRNazanin" w:hAnsi="IRNazanin" w:eastAsia="IRNazanin"/>
          <w:color w:val="111111"/>
          <w:sz w:val="28"/>
          <w:sz w:val="28"/>
          <w:szCs w:val="28"/>
          <w:rtl w:val="true"/>
          <w:lang w:bidi="fa-IR"/>
        </w:rPr>
        <w:t xml:space="preserve">انظر التعلیقة رقم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صفحة </w:t>
      </w:r>
      <w:r>
        <w:rPr>
          <w:rFonts w:eastAsia="IRNazanin" w:cs="IRNazanin"/>
          <w:color w:val="111111"/>
          <w:sz w:val="28"/>
          <w:szCs w:val="28"/>
          <w:lang w:bidi="fa-IR"/>
        </w:rPr>
        <w:t>233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فان لم یقصر عن ذلک نظر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کان ممّا یستغرق أداء العبادة فیه وجب أداؤه فیه بلا خلاف</w:t>
      </w:r>
      <w:r>
        <w:rPr>
          <w:rStyle w:val="FootnoteAnchor"/>
          <w:rtl w:val="true"/>
        </w:rPr>
        <w:footnoteReference w:id="446"/>
      </w:r>
      <w:r>
        <w:rPr>
          <w:rFonts w:ascii="IRNazanin" w:hAnsi="IRNazanin" w:eastAsia="IRNazanin"/>
          <w:color w:val="111111"/>
          <w:sz w:val="28"/>
          <w:sz w:val="28"/>
          <w:szCs w:val="28"/>
          <w:rtl w:val="true"/>
          <w:lang w:bidi="fa-IR"/>
        </w:rPr>
        <w:t>، و ذلک نحو الصّوم المعلّق بالنّهار فإنّه یجب أداؤه فی جمیعه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کانت العبادة یمکن أداؤها فی بعضه، فاختلف العلماء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فمنهم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الوجوب متعلّق بأوّل الوقت</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منهم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أداؤها فی آخره</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جعله مخیّرا بین أدائه فی أوّله و آخره و فیما بین ذلک، فإن أخّره إلی آخره تضیّق علیه الأداء</w:t>
      </w:r>
      <w:r>
        <w:rPr>
          <w:rStyle w:val="FootnoteAnchor"/>
          <w:rtl w:val="true"/>
        </w:rPr>
        <w:footnoteReference w:id="449"/>
      </w:r>
      <w:r>
        <w:rPr>
          <w:rFonts w:ascii="IRNazanin" w:hAnsi="IRNazanin" w:eastAsia="IRNazanin"/>
          <w:color w:val="111111"/>
          <w:sz w:val="28"/>
          <w:sz w:val="28"/>
          <w:szCs w:val="28"/>
          <w:rtl w:val="true"/>
          <w:lang w:bidi="fa-IR"/>
        </w:rPr>
        <w:t>فیه، ثمّ اختلفوا</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قوم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یجب علیه الفعل فی أوّله، فمتی لم یفعل یجب علیه العزم علی فعله فی آخره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منهم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مخیّر فی الأوقات کلّها و لا یجب علیه العزم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العلماء من وقف فی ذلک و انتظر البیان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ذلک جائز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یقوی فی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إذا وردت العبادة معلّقة بوقت، له أوّل و آخر من جهة اللّفظ، فإنّه یکون مخیّرا بین أدائها فی أوّله و آخره، فإن لم یفعل فی أوّله وجب علیه العزم علی أدائه فی آخره، ثمّ یتضیّق فی آخر الوقت، و ذلک نحو أن یقول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تصدّق الیوم بدرهم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صم فی هذا الشّهر یوما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یکون مخیّرا بین أن یتصدّق فی أوّل النّهار أو وسطه أو آخره، و کذلک یکون مخیّرا بین أن یصوم فی أوّل الشّهر أو وسطه أو آخره، إلاّ أن یقوم دلیل علی أنّه واجب فی أوّله فیخرج عن هذا الباب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یدلّ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الوقت الثّانی مثل الوقت الأوّل فی تناول الأمر له بأداء العبادة فیه، فلیس لنا أن نجعل</w:t>
      </w:r>
      <w:r>
        <w:rPr>
          <w:rStyle w:val="FootnoteAnchor"/>
          <w:rtl w:val="true"/>
        </w:rPr>
        <w:footnoteReference w:id="450"/>
      </w:r>
    </w:p>
    <w:p>
      <w:pPr>
        <w:pStyle w:val="BookText"/>
        <w:rPr/>
      </w:pPr>
      <w:r>
        <w:rPr>
          <w:rFonts w:ascii="IRNazanin" w:hAnsi="IRNazanin" w:eastAsia="IRNazanin"/>
          <w:color w:val="111111"/>
          <w:sz w:val="28"/>
          <w:sz w:val="28"/>
          <w:szCs w:val="28"/>
          <w:rtl w:val="true"/>
          <w:lang w:bidi="fa-IR"/>
        </w:rPr>
        <w:t>فی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 أن نجعل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 هو الواجب فیه دون الآخر، فینبغی أن یکون مخیّرا فی الأوقات کلّها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لهم أن یقولوا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یرجع علیکم فی آخر الوقت، فإنّکم جعلتموه مضیّقاً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ذلک لا بدّ منه فی آخر الوقت، لأنّه إن لم یفعل</w:t>
      </w:r>
      <w:r>
        <w:rPr>
          <w:rStyle w:val="FootnoteAnchor"/>
          <w:rtl w:val="true"/>
        </w:rPr>
        <w:footnoteReference w:id="451"/>
      </w:r>
      <w:r>
        <w:rPr>
          <w:rFonts w:ascii="IRNazanin" w:hAnsi="IRNazanin" w:eastAsia="IRNazanin"/>
          <w:color w:val="111111"/>
          <w:sz w:val="28"/>
          <w:sz w:val="28"/>
          <w:szCs w:val="28"/>
          <w:rtl w:val="true"/>
          <w:lang w:bidi="fa-IR"/>
        </w:rPr>
        <w:t>ذلک أدّی إلی فوات العبادة، و لیس کذلک الوقت الأوّل لأنّه إذا لم یفعل فیه فالوقت الثّانی وقت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لأحد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ینتقض بما ذکرتموه فی الباب الأوّل من أنّ الأمر یقتضی الفور، و إنّه یجب المأمور به عقیبه</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ذلک أنا إنّما قلنا ذلک فی الأوامر المطلقة الّتی لها وقت واحد فحملناه علی الفور، و حمل مخالفونا علی التّراخی لمّا لم یکن فی اللّفظ تعیین الوقت، و لیس کذلک </w:t>
      </w:r>
    </w:p>
    <w:p>
      <w:pPr>
        <w:pStyle w:val="BookText"/>
        <w:rPr/>
      </w:pPr>
      <w:r>
        <w:rPr>
          <w:rFonts w:ascii="Amiri" w:hAnsi="Amiri" w:eastAsia="Amiri" w:cs="Amiri"/>
          <w:color w:val="111111"/>
          <w:sz w:val="28"/>
          <w:sz w:val="28"/>
          <w:szCs w:val="28"/>
          <w:rtl w:val="true"/>
          <w:lang w:bidi="ar-SA"/>
        </w:rPr>
        <w:t>فی الأمر الموقّت لأنّه عیّن</w:t>
      </w:r>
      <w:r>
        <w:rPr>
          <w:rStyle w:val="FootnoteAnchor"/>
          <w:rtl w:val="true"/>
        </w:rPr>
        <w:footnoteReference w:id="452"/>
      </w:r>
    </w:p>
    <w:p>
      <w:pPr>
        <w:pStyle w:val="BookText"/>
        <w:rPr/>
      </w:pPr>
      <w:r>
        <w:rPr>
          <w:rFonts w:ascii="IRNazanin" w:hAnsi="IRNazanin" w:eastAsia="IRNazanin"/>
          <w:color w:val="111111"/>
          <w:sz w:val="28"/>
          <w:sz w:val="28"/>
          <w:szCs w:val="28"/>
          <w:rtl w:val="true"/>
          <w:lang w:bidi="fa-IR"/>
        </w:rPr>
        <w:t>قد 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فیه الوقت و ذکر أوّله و آخره، فقلنا أنّه مخیّر فیهما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أوجبتم العزم بدلا منه فی الوقت الأوّل و لم یذکر العزم فی اللّفظ؟ و هلاّ لزمکم ما ألزمتموه من خالفکم فی الأمر المطلق و أنّه یقتضی التّراخی، و أوجب العزم بدلا منه فی کلّ الأوقات‌؟ 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ثبت أنّ الأمر یتناول الوقت الثّانی کتناوله الوقت الأوّل و هو یقتضی الوجوب، فمتی لم یثبت العزم بدلا منه فی الأوّل أدّی ذلک إلی خروجه عن کونه واجبا، فلأجل ذلک أوجبناه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کذلک فی الأمر المطلق، لأنّه لم یثبت للخصم أنّه یجب فی الأوقات، و لا أنّ الأمر تناول الأوقات علی جهة البدل، فیثبت العزم بدلا منه فی الأوّل، بل کان الوقت الّذی یلزمه أداء الفعل فیه هو الثّانی لم یجز أن یثبت العزم بدلا منه، و احتاج المخالف فی إثبات ذلک إلی 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یجب تأخیره، فمتی فعل فی الأوّل کان نفلا</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فذلک نقض لاقتضاء الأمر الإیجاب، و انتقال إلی مذهب من یقول أنّه یقتضی النّدب، و ذلک خلاف الصّحیح علی ما دللنا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واجبا فی أوّله لکان متی لم یفعله فیه استحقّ الذّم، لأنّ بذلک یتمیّز الواجب من النّفل، فلمّا لم یستحقّ الذّم بألاّ یفعل فی الأوّل علمت</w:t>
      </w:r>
      <w:r>
        <w:rPr>
          <w:rStyle w:val="FootnoteAnchor"/>
          <w:rtl w:val="true"/>
        </w:rPr>
        <w:footnoteReference w:id="454"/>
      </w:r>
      <w:r>
        <w:rPr>
          <w:rFonts w:ascii="Amiri" w:hAnsi="Amiri" w:eastAsia="Amiri" w:cs="Amiri"/>
          <w:color w:val="111111"/>
          <w:sz w:val="28"/>
          <w:sz w:val="28"/>
          <w:szCs w:val="28"/>
          <w:rtl w:val="true"/>
          <w:lang w:bidi="ar-SA"/>
        </w:rPr>
        <w:t>أنّه نفل فیه</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یجب أن نقول بسقوط الذّم عمّن لم یفعل فعلا بعینه علی أنّه ندب فیه، إذا لم یکن هناک أمر یسند ذلک إلیه إلاّ کونه نفلا، فأمّا إذا کان هناک أمر یسند إلیه ذلک فلا یصحّ، أ لا تری أنّه إذا فرضنا أنّ هناک ما یقوم مقامه و یسدّ مسدّه من الواجب، فمتی لم یفعله و فعل ذلک الأمر لم یستحقّ الذّمّ، و إنّما یتمّ ذلک فی الأمر المضیّق إمّا </w:t>
      </w:r>
    </w:p>
    <w:p>
      <w:pPr>
        <w:pStyle w:val="BookText"/>
        <w:rPr/>
      </w:pPr>
      <w:r>
        <w:rPr>
          <w:rFonts w:ascii="IRNazanin" w:hAnsi="IRNazanin" w:eastAsia="IRNazanin"/>
          <w:color w:val="111111"/>
          <w:sz w:val="28"/>
          <w:sz w:val="28"/>
          <w:szCs w:val="28"/>
          <w:rtl w:val="true"/>
          <w:lang w:bidi="fa-IR"/>
        </w:rPr>
        <w:t>بفعل واحد أو وقت واحد، فمتی لم یفعله بعینه أو فی ذلک الوقت استحقّ الذّم، و قد بیّنا أنّ هذه المسألة بخلاف ذلک و أنّ هناک عزما یقوم مقامه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عادوا إلی أن یقولوا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العزم لیس علیه دلیل، کرّر علیهم الکلام الأوّل، و هو أنّه إذا تناول الأمر الوقت الثّانی کتناوله للوقت الأوّل فلا 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متی لم یفعل فی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عزم، و إلاّ خرج من کونه واجبا إلی</w:t>
      </w:r>
      <w:r>
        <w:rPr>
          <w:rStyle w:val="FootnoteAnchor"/>
          <w:rtl w:val="true"/>
        </w:rPr>
        <w:footnoteReference w:id="455"/>
      </w:r>
    </w:p>
    <w:p>
      <w:pPr>
        <w:pStyle w:val="BookText"/>
        <w:rPr/>
      </w:pPr>
      <w:r>
        <w:rPr>
          <w:rFonts w:ascii="IRNazanin" w:hAnsi="IRNazanin" w:eastAsia="IRNazanin"/>
          <w:color w:val="111111"/>
          <w:sz w:val="28"/>
          <w:sz w:val="28"/>
          <w:szCs w:val="28"/>
          <w:rtl w:val="true"/>
          <w:lang w:bidi="fa-IR"/>
        </w:rPr>
        <w:t>فی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یکون نفلا، و قد ثبت أنّه 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جاز لکم أن تعدلوا من ذلک إلی فعل العزم، جاز لنا أن نعدل إلی أنّه نفل، و إلاّ فما الفرق‌؟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علی کونه نفلا نقض لکونه واجبا، و لیس فی إیجاب العزم نقض لکونه واجبا علی ما بیّناه، فکان ذلک فرقا بین الموضعین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هذا المذهب فما قولکم فی صلاة الظّهر الّتی لها وقتان أوّل و آخر و کذا سائر الصّلوات‌؟ 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اختلف العلماء فی ذلک، و أصحابنا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فمن الفقهاء من جعل الفرض متعلّقا بآخر، و متی فعل فی الأوّل کان نفلا، و ربّما 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موقوفاً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 یأتی علیه الوقت الأخیر و هو علی الصفة الّتی یجب علیه معها فعل الصّلاة و یخرج الوقت فیحکم له بالوجوب، و مع تسمیته نفلا یکون قد أجزأ عن الواجب</w:t>
      </w:r>
      <w:r>
        <w:rPr>
          <w:rStyle w:val="FootnoteAnchor"/>
          <w:rtl w:val="true"/>
        </w:rPr>
        <w:footnoteReference w:id="456"/>
      </w:r>
      <w:r>
        <w:rPr>
          <w:rFonts w:ascii="IRNazanin" w:hAnsi="IRNazanin" w:eastAsia="IRNazanin"/>
          <w:color w:val="111111"/>
          <w:sz w:val="28"/>
          <w:sz w:val="28"/>
          <w:szCs w:val="28"/>
          <w:rtl w:val="true"/>
          <w:lang w:bidi="fa-IR"/>
        </w:rPr>
        <w:t xml:space="preserve">، و هذا هو المحکی عن أبی الحسن الکرخی من أصحاب أبی حنیفة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ذهب باقی الفقهاء إلی أنّه مخیّر فی الأوقات کلّها، ثمّ اختلفوا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فمنهم من رجّح الوقت الأوّل بالفضل</w:t>
      </w:r>
      <w:r>
        <w:rPr>
          <w:rStyle w:val="FootnoteAnchor"/>
          <w:rtl w:val="true"/>
        </w:rPr>
        <w:footnoteReference w:id="457"/>
      </w:r>
    </w:p>
    <w:p>
      <w:pPr>
        <w:pStyle w:val="BookText"/>
        <w:rPr/>
      </w:pPr>
      <w:r>
        <w:rPr>
          <w:rFonts w:ascii="IRNazanin" w:hAnsi="IRNazanin" w:eastAsia="IRNazanin"/>
          <w:color w:val="111111"/>
          <w:sz w:val="28"/>
          <w:sz w:val="28"/>
          <w:szCs w:val="28"/>
          <w:rtl w:val="true"/>
          <w:lang w:bidi="fa-IR"/>
        </w:rPr>
        <w:t>و هو قول بعض المعتزلة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المعتمد </w:t>
      </w:r>
      <w:r>
        <w:rPr>
          <w:rFonts w:eastAsia="IRNazanin" w:cs="IRNazanin"/>
          <w:color w:val="111111"/>
          <w:sz w:val="28"/>
          <w:szCs w:val="28"/>
          <w:lang w:bidi="fa-IR"/>
        </w:rPr>
        <w:t>125:1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کذلک الشّریف المرتضی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الإمامیّة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منهم من لم یرجّح و سوّی بین الأوقات</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أصحابنا اختلفوا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شیخنا أبو عبد اللّه</w:t>
      </w:r>
      <w:r>
        <w:rPr>
          <w:rStyle w:val="FootnoteAnchor"/>
          <w:rtl w:val="true"/>
        </w:rPr>
        <w:footnoteReference w:id="459"/>
      </w:r>
      <w:r>
        <w:rPr>
          <w:rFonts w:ascii="IRNazanin" w:hAnsi="IRNazanin" w:eastAsia="IRNazanin"/>
          <w:color w:val="111111"/>
          <w:sz w:val="28"/>
          <w:sz w:val="28"/>
          <w:szCs w:val="28"/>
          <w:rtl w:val="true"/>
          <w:lang w:bidi="fa-IR"/>
        </w:rPr>
        <w:t xml:space="preserve">یذهب إلی أنّ الوجوب یتعلّق بأوّله، و أنّه متی لم یفعل استحقّ الذمّ و العقاب، إلاّ أنّه متی تلافاه سقط عقابه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ذهب سیّدنا المرتضی إلی أنّه مخیّر فی الأوقات کلّها أوّلها و آخرها، غیر أنّ أداءها فی أوّل الوقت أفضل</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إذا نصرنا المذهب الأوّل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فعلنا ذلک لأنّه لم یخیّر علی کلّ حال بین الصلاة فی أوّل الوقت و آخر الوقت و إنّما فرضه الوقت الأوّل، فلا یصحّ أن یجعل مخیّر بینه و بین ما لم یجعل له، و جری ذلک مجری الأمر المضیّق المعیّن بوقت متضیّق</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لیس لهم أن یقولوا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ذلک ینقض أن تکون الصلاة لها وقتان</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ذلک إنّا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نصرنا هذا المذهب أنّ لها وقتین فی الجملة و بالإضافة إلی مکلّفین، و أمّا</w:t>
      </w:r>
      <w:r>
        <w:rPr>
          <w:rStyle w:val="FootnoteAnchor"/>
          <w:rtl w:val="true"/>
        </w:rPr>
        <w:footnoteReference w:id="462"/>
      </w:r>
      <w:r>
        <w:rPr>
          <w:rFonts w:ascii="IRNazanin" w:hAnsi="IRNazanin" w:eastAsia="IRNazanin"/>
          <w:color w:val="111111"/>
          <w:sz w:val="28"/>
          <w:sz w:val="28"/>
          <w:szCs w:val="28"/>
          <w:rtl w:val="true"/>
          <w:lang w:bidi="fa-IR"/>
        </w:rPr>
        <w:t>إذا أضفناها إلی کلّ واحد من المکلّفین فإنّ لها وقتا واحدا، فیکون الوقت الأوّل لمن لا عذر له و لا مانع یمنعه من فعل الصلاة فیه من علّة، أو مرض، أو شغل دینیّ، أو دنیاویّ، و الوقت الثّانی یکون وقت من له بعض هذه الموانع، فتکون للصّلاة وقتان بالإضافة إلی من وصفناه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فإن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خلاف الإجماع، لأنّ الأمّة کلّها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کلّ صلاة لها وقتان فلا یفصّلون هذا التفصیل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إجماع مدّعی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 من خالف فی هذا یخالف فیه و یرجع فی ذلک إلی الروایات الصّادرة عن أئمة الهدی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متی نصرنا المذهب الآخر فالمعتمد فیه علی ظاهر الأمر، و أنّ النّبی صلّی اللّه علیه و آله و سلّم بیّن لکلّ صلاة وقتین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بینهما وقت</w:t>
      </w:r>
      <w:r>
        <w:rPr>
          <w:rFonts w:eastAsia="IRNazanin" w:cs="IRNazanin"/>
          <w:color w:val="111111"/>
          <w:sz w:val="28"/>
          <w:szCs w:val="28"/>
          <w:rtl w:val="true"/>
          <w:lang w:bidi="fa-IR"/>
        </w:rPr>
        <w:t>»</w:t>
      </w:r>
      <w:r>
        <w:rPr>
          <w:rStyle w:val="FootnoteAnchor"/>
          <w:rtl w:val="true"/>
        </w:rPr>
        <w:footnoteReference w:id="463"/>
      </w:r>
    </w:p>
    <w:p>
      <w:pPr>
        <w:pStyle w:val="BookText"/>
        <w:rPr/>
      </w:pP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lang w:bidi="fa-IR"/>
        </w:rPr>
        <w:t>252:2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الإستبصار </w:t>
      </w:r>
      <w:r>
        <w:rPr>
          <w:rFonts w:eastAsia="IRNazanin" w:cs="IRNazanin"/>
          <w:color w:val="111111"/>
          <w:sz w:val="28"/>
          <w:szCs w:val="28"/>
          <w:lang w:bidi="fa-IR"/>
        </w:rPr>
        <w:t>257:1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یفصّل، فینبغی أن یکون مخیّرا فیها، و یقوّی ذلک بأخبار کثیرة وردت عن أئمّة الهدی علیهم السّلام متضمّنة لذلک و تعارض تلک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الکلام فی تعیین هذه المسألة کلام فی فرع، و الّذی ذکرناه أوّلا کلام فی الأصل فلا ینبغی أن یخلطهما جمیعا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ینصر المذهب الأوّل فی الصلوات بأن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الاحتیاط یقتضی أداءها فی الأوّل، لأنّه إذا تناول الأمر ذلک و الأخبار تقابلت فی جواز تأخیرها عن أوّل الوقت و المنع من ذلک، فینبغی أن یتعارض و یرجع إلی ظاهر الأمر فی وجوب الصلاة فی الوقت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کانت الصّلاة واجبة فی أوّل الوقت لا غیر لکان متی لم یفعل فیها استحقّ العقاب، و أجمعت</w:t>
      </w:r>
      <w:r>
        <w:rPr>
          <w:rStyle w:val="FootnoteAnchor"/>
          <w:rtl w:val="true"/>
        </w:rPr>
        <w:footnoteReference w:id="464"/>
      </w:r>
      <w:r>
        <w:rPr>
          <w:rFonts w:ascii="IRNazanin" w:hAnsi="IRNazanin" w:eastAsia="IRNazanin"/>
          <w:color w:val="111111"/>
          <w:sz w:val="28"/>
          <w:sz w:val="28"/>
          <w:szCs w:val="28"/>
          <w:rtl w:val="true"/>
          <w:lang w:bidi="fa-IR"/>
        </w:rPr>
        <w:t>الأمّة علی أنّه لا یستحقّ العقاب إن لم یفعلها فی أوّل الوقت</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قلتم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سقط عقابه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قیل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أیضا باطل، لأنّه یکون له إغراء بالقبیح، لأنّه إذا علم أنّه متی لم یفعل الواجب فی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أنّه یستحقّ العقاب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سقط عقابه، کان ذلک إغراء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ذلک إغراء، لأنّه إنّما علم إسقاط عقابه إذا بقی إلی الثّانی و أدّاها، و هو لا یعلم أنّه یبقی إلی الثّانی حتی یؤدّیها، فلا یکون مغری بترکها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لهم أن یقولوا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هذا لو مات عقیب الوقت الأوّل ینبغی أن لا یقطع علی أنّه غیر مستحق للعقاب، و ذلک خلاف الإجماع إن قلتموه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أنّ هذا الإجماع غیر مسلم بل الّذی نذهب إلیه أنّ من مات فی الثّانی مستحق للعقاب و أمره إلی اللّه تعالی إن شاء عفا عنه و إن شاء عاقبه، فادّعاء الإجماع فی ذلک لا یصحّ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فأمّا من خیّر بین الأوقات و لم یوجب العزم فی الأوّل بدلا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 فإنّ ذلک ینقض کونه واجبا لأنّ هذا حکم النّدب، فما</w:t>
      </w:r>
      <w:r>
        <w:rPr>
          <w:rStyle w:val="FootnoteAnchor"/>
          <w:rtl w:val="true"/>
        </w:rPr>
        <w:footnoteReference w:id="465"/>
      </w:r>
    </w:p>
    <w:p>
      <w:pPr>
        <w:pStyle w:val="BookText"/>
        <w:rPr/>
      </w:pPr>
      <w:r>
        <w:rPr>
          <w:rFonts w:ascii="IRNazanin" w:hAnsi="IRNazanin" w:eastAsia="IRNazanin"/>
          <w:color w:val="111111"/>
          <w:sz w:val="28"/>
          <w:sz w:val="28"/>
          <w:szCs w:val="28"/>
          <w:rtl w:val="true"/>
          <w:lang w:bidi="fa-IR"/>
        </w:rPr>
        <w:t>فی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أدّی إلی مساواة الواجب للنّدب ینبغی أن یحکم ببطلانه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نفل فی الأوّل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فقوله یبطل بما ثبت من اقتضاء الأمر الإیجاب، فمن خالف فی ذلک کان الکلام فی مسألة أخری، و قد مضی الکلام فیها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یدلّ أیضا علی بطلان هذا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الصّلاة فی أوّل الوقت لو کانت نفلا لکان </w:t>
      </w:r>
    </w:p>
    <w:p>
      <w:pPr>
        <w:pStyle w:val="BookText"/>
        <w:rPr/>
      </w:pPr>
      <w:r>
        <w:rPr>
          <w:rFonts w:ascii="IRNazanin" w:hAnsi="IRNazanin" w:eastAsia="IRNazanin"/>
          <w:color w:val="111111"/>
          <w:sz w:val="28"/>
          <w:sz w:val="28"/>
          <w:szCs w:val="28"/>
          <w:rtl w:val="true"/>
          <w:lang w:bidi="fa-IR"/>
        </w:rPr>
        <w:t>متی نوی بها النّفل لکانت تجزئ عن الفریضة، لأنّ النیّة المطابقة للصّلاة أولی بأن تجزئ معها الصّلاة من النیّة المخالفة لها، و قد أجمعوا علی أنّه متی نوی بها النّفل لم یجزه، فبطل بذلک کونها نفلا فی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موقوفة، فکلامه غیر محصّل، لأنّ الوجوه الّتی تقع علیها الأفعال فتکون واجبة أو ندبا لا تتأخّر</w:t>
      </w:r>
      <w:r>
        <w:rPr>
          <w:rStyle w:val="FootnoteAnchor"/>
          <w:rtl w:val="true"/>
        </w:rPr>
        <w:footnoteReference w:id="466"/>
      </w:r>
    </w:p>
    <w:p>
      <w:pPr>
        <w:pStyle w:val="BookText"/>
        <w:rPr/>
      </w:pPr>
      <w:r>
        <w:rPr>
          <w:rFonts w:ascii="IRNazanin" w:hAnsi="IRNazanin" w:eastAsia="IRNazanin"/>
          <w:color w:val="111111"/>
          <w:sz w:val="28"/>
          <w:sz w:val="28"/>
          <w:szCs w:val="28"/>
          <w:rtl w:val="true"/>
          <w:lang w:bidi="fa-IR"/>
        </w:rPr>
        <w:t>فی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یتخیّر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حال الحدوث و لا تکون أمورا منتظرة، فإن وقعت الصّلاة فی الوقت الأوّل علی وجه النّدب فینبغی أن یکون ندبا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خرج الوقت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أجمعوا علی خلاف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وقعت واجبة، فإنّ ذلک یبطل کونها ندبا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ما یتفرّع علی هذه المسألة من وجوب القضاء علی الحائض إذا طهرت فی آخر الوقت، أو سقوطه عنها، فکلام فی الفرع، و قد بیّنا الصّحیح من ذلک فی کتبنا المصنّفة فی الفقه</w:t>
      </w:r>
      <w:r>
        <w:rPr>
          <w:rStyle w:val="FootnoteAnchor"/>
          <w:rtl w:val="true"/>
        </w:rPr>
        <w:footnoteReference w:id="467"/>
      </w:r>
      <w:r>
        <w:rPr>
          <w:rFonts w:ascii="IRNazanin" w:hAnsi="IRNazanin" w:eastAsia="IRNazanin"/>
          <w:color w:val="111111"/>
          <w:sz w:val="28"/>
          <w:sz w:val="28"/>
          <w:szCs w:val="28"/>
          <w:rtl w:val="true"/>
          <w:lang w:bidi="fa-IR"/>
        </w:rPr>
        <w:t>، فمن أراد ذلک وقف علیه من هناک</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هذه جملة کافیة فی هذا الباب</w:t>
      </w:r>
      <w:r>
        <w:rPr>
          <w:rFonts w:eastAsia="IRNazanin" w:cs="IRNazanin"/>
          <w:color w:val="111111"/>
          <w:sz w:val="28"/>
          <w:szCs w:val="28"/>
          <w:rtl w:val="true"/>
          <w:lang w:bidi="fa-IR"/>
        </w:rPr>
        <w:t xml:space="preserve">. </w:t>
      </w:r>
      <w:bookmarkStart w:id="129" w:name="pg6519_49342"/>
    </w:p>
    <w:p>
      <w:pPr>
        <w:pStyle w:val="Heading4"/>
        <w:numPr>
          <w:ilvl w:val="3"/>
          <w:numId w:val="1"/>
        </w:numPr>
        <w:rPr/>
      </w:pPr>
      <w:bookmarkStart w:id="130" w:name="__RefHeading___Toc1757239_653776707"/>
      <w:bookmarkStart w:id="131" w:name="_Toc43"/>
      <w:bookmarkEnd w:id="129"/>
      <w:bookmarkEnd w:id="130"/>
      <w:r>
        <w:rPr>
          <w:rtl w:val="true"/>
        </w:rPr>
        <w:t xml:space="preserve">فصل </w:t>
      </w:r>
      <w:r>
        <w:rPr>
          <w:rtl w:val="true"/>
        </w:rPr>
        <w:t xml:space="preserve">- </w:t>
      </w:r>
      <w:r>
        <w:rPr/>
        <w:t>15</w:t>
      </w:r>
      <w:r>
        <w:rPr>
          <w:rtl w:val="true"/>
        </w:rPr>
        <w:t xml:space="preserve"> «</w:t>
      </w:r>
      <w:r>
        <w:rPr>
          <w:rtl w:val="true"/>
        </w:rPr>
        <w:t xml:space="preserve">فی أنّ الآمر هل یدخل تحت أمره أم لا </w:t>
      </w:r>
      <w:r>
        <w:rPr>
          <w:rtl w:val="true"/>
        </w:rPr>
        <w:t>»</w:t>
      </w:r>
      <w:bookmarkEnd w:id="131"/>
    </w:p>
    <w:p>
      <w:pPr>
        <w:pStyle w:val="BookText"/>
        <w:rPr/>
      </w:pPr>
      <w:r>
        <w:rPr>
          <w:rFonts w:ascii="IRNazanin" w:hAnsi="IRNazanin" w:eastAsia="IRNazanin"/>
          <w:color w:val="111111"/>
          <w:sz w:val="28"/>
          <w:sz w:val="28"/>
          <w:szCs w:val="28"/>
          <w:rtl w:val="true"/>
          <w:lang w:bidi="fa-IR"/>
        </w:rPr>
        <w:t>اعلم أنّ الصّحیح أنّه لا یجوز أن یدخل الآمر تحت أمره، و یفارق ذلک الخبر</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الّذی یدلّ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الآمر لا یکون آمرا إلاّ باعتبار الرّتبة فیه علی ما بیّناه </w:t>
      </w:r>
    </w:p>
    <w:p>
      <w:pPr>
        <w:pStyle w:val="BookText"/>
        <w:rPr/>
      </w:pPr>
      <w:r>
        <w:rPr>
          <w:rFonts w:ascii="Amiri" w:hAnsi="Amiri" w:eastAsia="Amiri" w:cs="Amiri"/>
          <w:color w:val="111111"/>
          <w:sz w:val="28"/>
          <w:sz w:val="28"/>
          <w:szCs w:val="28"/>
          <w:rtl w:val="true"/>
          <w:lang w:bidi="ar-SA"/>
        </w:rPr>
        <w:t>فیما تقدّم</w:t>
      </w:r>
      <w:r>
        <w:rPr>
          <w:rStyle w:val="FootnoteAnchor"/>
          <w:rtl w:val="true"/>
        </w:rPr>
        <w:footnoteReference w:id="468"/>
      </w:r>
    </w:p>
    <w:p>
      <w:pPr>
        <w:pStyle w:val="BookText"/>
        <w:rPr/>
      </w:pPr>
      <w:r>
        <w:rPr>
          <w:rFonts w:ascii="IRNazanin" w:hAnsi="IRNazanin" w:eastAsia="IRNazanin"/>
          <w:color w:val="111111"/>
          <w:sz w:val="28"/>
          <w:sz w:val="28"/>
          <w:szCs w:val="28"/>
          <w:rtl w:val="true"/>
          <w:lang w:bidi="fa-IR"/>
        </w:rPr>
        <w:t xml:space="preserve">انظر التعلیقة رقم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صفحة </w:t>
      </w:r>
      <w:r>
        <w:rPr>
          <w:rFonts w:eastAsia="IRNazanin" w:cs="IRNazanin"/>
          <w:color w:val="111111"/>
          <w:sz w:val="28"/>
          <w:szCs w:val="28"/>
          <w:lang w:bidi="fa-IR"/>
        </w:rPr>
        <w:t>159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 هی أن یکون الآمر فوق المأمور، و هذا، لا یصحّ أن یکون بین الإنسان و بین نفسه، و الخبر لیس کذلک، فإنّه یجوز أن یخبر الإنسان عن نفسه و یجمع بینه و بین غیره فی تناول الخبر لهما لأنّ الرّتبة غیر مراعاة فی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لهم أن یقولوا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هذا المثال مثالا للآمر، لأنّکم قلتم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یحسن أن یأمر الإنسان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 هذا موجود فی الخبر، لأنّه لا یحسن أیضا أن یخبر نفسه فأمّا الإخبار عنها فلیس بمشبه</w:t>
      </w:r>
      <w:r>
        <w:rPr>
          <w:rStyle w:val="FootnoteAnchor"/>
          <w:rtl w:val="true"/>
        </w:rPr>
        <w:footnoteReference w:id="469"/>
      </w:r>
      <w:r>
        <w:rPr>
          <w:rFonts w:ascii="IRNazanin" w:hAnsi="IRNazanin" w:eastAsia="IRNazanin"/>
          <w:color w:val="111111"/>
          <w:sz w:val="28"/>
          <w:sz w:val="28"/>
          <w:szCs w:val="28"/>
          <w:rtl w:val="true"/>
          <w:lang w:bidi="fa-IR"/>
        </w:rPr>
        <w:t>لذلک، و ذلک أنّه إنّما لا یحسن أن یخبر الإنسان نفسه لأنّه عبث، لأنّ الخبر إنّما وضع للإفادة، فإذا کان عالما بما یخبر به فإخباره نفسه بذلک لا فائدة فیه و کان عبثا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کذلک الأمر، لأنّه إنّما قبح لفقد الرّتبة المراعاة فی کونه آمرا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القول إذا أخبر غیره بلفظ فلا یجوز أن یقصد باللّفظ إخبار نفسه، لما قلناه من أنّه عبث، و إنّما قلنا أنّه یصحّ أن یخبر عن نفسه لیعلم بذلک أنّ الرّتبة غیر مراعاة فی الخبر أصلا</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ثبتت هذه الجملة، فالنّبی صلّی اللّه علیه و آله و سلّم إذا أمر غیره بفعل لا یدلّ ذلک علی أنّه مأمور به أیضا، إلاّ أن یدلّ دلیل علی ذلک فیحکم به لأجل الدّلیل، و یفارق ذلک أفعاله صلّی اللّه علیه و آله و سلّم لأنّها بالعکس من أوامره، لأنّ أفعاله تختصّه و لا یعلم أنّها متعدّیة إلی غیره إلاّ بدلیل، و أوامره متعدّیة و لا یعلم تناولها له إلاّ بدلیل، فاختلف الأمران</w:t>
      </w:r>
      <w:r>
        <w:rPr>
          <w:rFonts w:eastAsia="IRNazanin" w:cs="IRNazanin"/>
          <w:color w:val="111111"/>
          <w:sz w:val="28"/>
          <w:szCs w:val="28"/>
          <w:rtl w:val="true"/>
          <w:lang w:bidi="fa-IR"/>
        </w:rPr>
        <w:t xml:space="preserve">. </w:t>
      </w:r>
      <w:bookmarkStart w:id="132" w:name="pg6519_49346"/>
    </w:p>
    <w:p>
      <w:pPr>
        <w:pStyle w:val="Heading4"/>
        <w:numPr>
          <w:ilvl w:val="3"/>
          <w:numId w:val="1"/>
        </w:numPr>
        <w:rPr/>
      </w:pPr>
      <w:bookmarkStart w:id="133" w:name="__RefHeading___Toc1757241_653776707"/>
      <w:bookmarkStart w:id="134" w:name="_Toc44"/>
      <w:bookmarkEnd w:id="132"/>
      <w:bookmarkEnd w:id="133"/>
      <w:r>
        <w:rPr>
          <w:rtl w:val="true"/>
        </w:rPr>
        <w:t xml:space="preserve">فصل </w:t>
      </w:r>
      <w:r>
        <w:rPr>
          <w:rtl w:val="true"/>
        </w:rPr>
        <w:t xml:space="preserve">- </w:t>
      </w:r>
      <w:r>
        <w:rPr/>
        <w:t>16</w:t>
      </w:r>
      <w:r>
        <w:rPr>
          <w:rtl w:val="true"/>
        </w:rPr>
        <w:t xml:space="preserve"> «</w:t>
      </w:r>
      <w:r>
        <w:rPr>
          <w:rtl w:val="true"/>
        </w:rPr>
        <w:t>فی ذکر الشّروط الّتی یحسن معها الأمر</w:t>
      </w:r>
      <w:r>
        <w:rPr>
          <w:rtl w:val="true"/>
        </w:rPr>
        <w:t>».</w:t>
      </w:r>
      <w:bookmarkEnd w:id="134"/>
    </w:p>
    <w:p>
      <w:pPr>
        <w:pStyle w:val="BookText"/>
        <w:rPr/>
      </w:pPr>
      <w:r>
        <w:rPr>
          <w:rFonts w:ascii="IRNazanin" w:hAnsi="IRNazanin" w:eastAsia="IRNazanin"/>
          <w:color w:val="111111"/>
          <w:sz w:val="28"/>
          <w:sz w:val="28"/>
          <w:szCs w:val="28"/>
          <w:rtl w:val="true"/>
          <w:lang w:bidi="fa-IR"/>
        </w:rPr>
        <w:t>اعلم أنّه لا یحسن الأمر إلاّ بعد أن یکون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الآمر علی صفة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المأمور علی صفة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المأمور به علی صفة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الأمر علی صفة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اجتمع ذلک کلّه حسن الأمر، و متی اختلّ شیء من ذلک لم یحسن، و نحن نبیّن جمیع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یجب أن یکون علیه الآمر</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کان ممّن یعلم العواقب و هو اللّه تعالی، فلا بدّ من أن یکون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عالما بأنّ المأمور یتمکّن من أداء ما امر به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یعلم أنّ المأمور به علی وجه یحسن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یعلم أنّه ممّا یستحقّ بفعله الثّواب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یکون غرضه وصوله إلی الثواب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إذا کان الآمر ممّن لا یعلم العواقب من الواحد منا، فإنّه یحسن منه الأمر إذا ظنّ فی المأمور ما ذکرناه، بأن یشترط أداءه إن قدر علیه، لأنّه إذا لم یعلم العواقب فإنّ الظنّ یقوم له مقام العلم، و لو لم یحسن مع الظّنّ لما حسن من الواحد منّا أن یأمر غیره </w:t>
      </w:r>
    </w:p>
    <w:p>
      <w:pPr>
        <w:pStyle w:val="BookText"/>
        <w:rPr/>
      </w:pPr>
      <w:r>
        <w:rPr>
          <w:rFonts w:ascii="IRNazanin" w:hAnsi="IRNazanin" w:eastAsia="IRNazanin"/>
          <w:color w:val="111111"/>
          <w:sz w:val="28"/>
          <w:sz w:val="28"/>
          <w:szCs w:val="28"/>
          <w:rtl w:val="true"/>
          <w:lang w:bidi="fa-IR"/>
        </w:rPr>
        <w:t>البتّة، لأنّه لا طریق له إلی العلم بأنّه یقدر علیه أو لا یقدر علیه فی المستقبل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بدّ أن یعلم حسن المأمور به، و یقصد بذلک وجها حسنا و لا یقوم الظّن فی ذلک مقام العلم، و الشّرط لا یدخل فی ذلک کما دخل فی کونه قادرا، و لأجل هذا لا یحسن منّا أن نأمر غیرنا بفعل فی الغد إلاّ بشرط أن یکون قادرا علیه فی الغد، و لا یجوز أن نأمره بفعل لا نعلم حسنه فی الحال، فبان الفرق بین الأمرین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أنّ قائلا سوّی بین حسن الشّرط فی الأمرین لم یکن ذلک بعیدا، لأنّ الواحد منّا یأمر غلامه بأن یردّ ودیعة إنسان فی الغد، و لا بدّ من اشتراط کونه قادرا علیه فی حال الرّدّ، و لا بدّ من شرط کونه حسنا فی ذلک الوقت أیضا، لأنّه لو عرض فی حال الرّدّ وجه من وجوه القبح من غصب ظالم لها أو غیر ذلک من وجوه الفساد لم یحسن ردّها فی تلک 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القصد بذلک وجها من وجوه الحسن، فلا بدّ منه علی کلّ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النّاس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جوّز فی القدیم تعالی أیضا</w:t>
      </w:r>
      <w:r>
        <w:rPr>
          <w:rStyle w:val="FootnoteAnchor"/>
          <w:rtl w:val="true"/>
        </w:rPr>
        <w:footnoteReference w:id="470"/>
      </w:r>
    </w:p>
    <w:p>
      <w:pPr>
        <w:pStyle w:val="BookText"/>
        <w:rPr/>
      </w:pPr>
      <w:r>
        <w:rPr>
          <w:rFonts w:ascii="IRNazanin" w:hAnsi="IRNazanin" w:eastAsia="IRNazanin"/>
          <w:color w:val="111111"/>
          <w:sz w:val="28"/>
          <w:sz w:val="28"/>
          <w:szCs w:val="28"/>
          <w:rtl w:val="true"/>
          <w:lang w:bidi="fa-IR"/>
        </w:rPr>
        <w:t>زیادة من النسخة 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یأمر المکلّف بشرط أن یبقی علی کونه قادرا قبل حال الفعل بوقت، و ألاّ یمنعه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الصّحیح الأوّل، لأنّ الشّرط إنّما یصحّ فیمن لا یعلم العواقب، فأمّا من یعلمها فلا یحسن منه ذلک</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متی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یحسن ذلک و یکون ذلک الأمر لطفا لغیر هذا المکلّف، کان ذلک أیضا فاسدا، لأنّه لا یخلو من أن یکون المأمور نفسه ذلک الفعل مصلحة له أو لا یکون کذلک، فإن کان مصلحة له فیجب إقداره علیه و ألاّ یمنع منه، و إن لم یکن مصلحة له فلا یحسن أن یوجب علیه ما هو لطف للغیر، فلأجل ذلک قلنا أنّ النبیّ صلّی اللّه علیه و آله و سلّم لا بدّ أن یکون له فی تحمّله أعباء الرّسالة لطف، و لو لا ذلک لما وجب علیه </w:t>
      </w:r>
    </w:p>
    <w:p>
      <w:pPr>
        <w:pStyle w:val="BookText"/>
        <w:rPr/>
      </w:pPr>
      <w:r>
        <w:rPr>
          <w:rFonts w:ascii="IRNazanin" w:hAnsi="IRNazanin" w:eastAsia="IRNazanin"/>
          <w:color w:val="111111"/>
          <w:sz w:val="28"/>
          <w:sz w:val="28"/>
          <w:szCs w:val="28"/>
          <w:rtl w:val="true"/>
          <w:lang w:bidi="fa-IR"/>
        </w:rPr>
        <w:t>الأداء، فکذلک القول هاهنا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بدّ أن یکون القدیم تعالی عالما بأنّ المکلّف یفعل ما امر به و لا یعصیه فیه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یکون فی ذلک لطف للغیر إن علم أنّه یعصی، علی ما نقوله فی قبح تکلیف من علم اللّه أنّه یکفر إذا لم یکن فیه لطف للغیر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خالف فی ذلک لم یشترط هذا الشّرط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النّاس من شرط فی حسن أمر اللّه تعالی ألاّ ینهی عنه فی المستقبل، و منهم من لا یشترط ذلک، و نحن نبیّن الصّحیح من ذلک فی باب النّاسخ و المنسوخ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الصّفات الّتی یجب کون المأمور علیه فهی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یکون متمکّنا من إیقاع الفعل علی الوجه الّذی امر به</w:t>
      </w:r>
      <w:r>
        <w:rPr>
          <w:rStyle w:val="FootnoteAnchor"/>
          <w:rtl w:val="true"/>
        </w:rPr>
        <w:footnoteReference w:id="471"/>
      </w:r>
    </w:p>
    <w:p>
      <w:pPr>
        <w:pStyle w:val="BookText"/>
        <w:rPr/>
      </w:pPr>
      <w:r>
        <w:rPr>
          <w:rFonts w:ascii="IRNazanin" w:hAnsi="IRNazanin" w:eastAsia="IRNazanin"/>
          <w:color w:val="111111"/>
          <w:sz w:val="28"/>
          <w:sz w:val="28"/>
          <w:szCs w:val="28"/>
          <w:rtl w:val="true"/>
          <w:lang w:bidi="fa-IR"/>
        </w:rPr>
        <w:t xml:space="preserve">انظر التعلیقة رقم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صفحة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و راجع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169:1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فإن کفی فی ذلک مجرّد القوّة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اقتصر علیه و فعلت فیه قبل الفعل بحالة واحدة، أو قبل ذلک بأحوال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الفعل یحتاج إلی العلم فلا بدّ من حصوله فی حال وقوع الفعل، فإن کان العلم من فعله مکّن قبل ذلک من سببه بأوقات یمکنه تحصیل العلم فیها فی حال 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یحتاج إلی نصب الأدلّة نصبت له لینظر فیها فیعلم ما کلّف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محتاجا إلی آلة مکّن منها، فإن کانت محلا للفعل مثل اللّوح فی الکتابة و السّکّین فی القطع و غیر ذلک، أو ما یکون فی حکم المحل مکّن منها فی حال 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کانت الآلة ممّا یحتاج إلی تقدّمها مکّن منها قبل الفعل مثل القوس فی الرّمی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الفعل یحتاج إلی آلة</w:t>
      </w:r>
      <w:r>
        <w:rPr>
          <w:rStyle w:val="FootnoteAnchor"/>
          <w:rtl w:val="true"/>
        </w:rPr>
        <w:footnoteReference w:id="472"/>
      </w:r>
    </w:p>
    <w:p>
      <w:pPr>
        <w:pStyle w:val="BookText"/>
        <w:rPr/>
      </w:pPr>
      <w:r>
        <w:rPr>
          <w:rFonts w:ascii="Amiri" w:hAnsi="Amiri" w:eastAsia="Amiri" w:cs="Amiri"/>
          <w:color w:val="111111"/>
          <w:sz w:val="28"/>
          <w:sz w:val="28"/>
          <w:szCs w:val="28"/>
          <w:rtl w:val="true"/>
          <w:lang w:bidi="ar-SA"/>
        </w:rPr>
        <w:t>الآلة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فی حال الفعل و قبله، مکّن منها فی الحالین علی ما قلناه فی السّکّین فی القطع 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إن کان الفعل یحتاج فی إیقاعه علی وجه إلی الإرادة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مکّن منها، و لا یصحّ منعه منها عند من قال بالإرادة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یحتاج إلی النّظر و السبب فلا بدّ من تمکینه منهما</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شرائطه أیضا اللازمة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یکون ملجئا إلی ما أمر به، لأنّ من هذه صفته لا یحسن أمره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 لا تری أنّه لا یحسن أن یکلّف الإنسان أن لا یقتل نفسه لأنّه ملجأ إلی </w:t>
      </w:r>
    </w:p>
    <w:p>
      <w:pPr>
        <w:pStyle w:val="BookText"/>
        <w:rPr/>
      </w:pPr>
      <w:r>
        <w:rPr>
          <w:rFonts w:ascii="IRNazanin" w:hAnsi="IRNazanin" w:eastAsia="IRNazanin"/>
          <w:color w:val="111111"/>
          <w:sz w:val="28"/>
          <w:sz w:val="28"/>
          <w:szCs w:val="28"/>
          <w:rtl w:val="true"/>
          <w:lang w:bidi="fa-IR"/>
        </w:rPr>
        <w:t>ذلک، و کذلک الواقف بین یدی السّبع لا یحسن أن یکلّف العدو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فأمّا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یحسن أن یکلّف الإنسان قتل نفسه لأنّه ملجأ إلی ذلک فغلط، لأنّ الإلجاء إنّما هو إلی أن لا یقتلها، فأمّا إلی قتلها فلیس بحاصل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علی هذا یحسن أن یکلّف قتل نفسه، و لهذا أخبر اللّه تعالی عن قوم فیما مضی أنّه کلّفهم قتل نفوسهم بقوله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فَاقْتُلُوا أَنْفُسَکُمْ ذلِکُمْ خَیْرٌ لَکُمْ عِنْدَ بارِئِکُمْ  </w:t>
      </w:r>
      <w:r>
        <w:rPr>
          <w:rStyle w:val="FootnoteAnchor"/>
          <w:rtl w:val="true"/>
        </w:rPr>
        <w:footnoteReference w:id="473"/>
      </w:r>
    </w:p>
    <w:p>
      <w:pPr>
        <w:pStyle w:val="BookText"/>
        <w:rPr/>
      </w:pP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و کذلک یحسن أن یکلّف من شاهد السّبع الوقوف، لأنّ الإلجاء إنّما هو إلی الهرب لا إلی الوقوف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الصّفات الّتی یجب کون الأمر علیها</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یکون متقدّما علی الوقت الّذی کلّف المأمور أن یفعل فیه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لأنّه متی لم </w:t>
      </w:r>
    </w:p>
    <w:p>
      <w:pPr>
        <w:pStyle w:val="BookText"/>
        <w:rPr/>
      </w:pPr>
      <w:r>
        <w:rPr>
          <w:rFonts w:ascii="Amiri" w:hAnsi="Amiri" w:eastAsia="Amiri" w:cs="Amiri"/>
          <w:color w:val="111111"/>
          <w:sz w:val="28"/>
          <w:sz w:val="28"/>
          <w:szCs w:val="28"/>
          <w:rtl w:val="true"/>
          <w:lang w:bidi="ar-SA"/>
        </w:rPr>
        <w:t>یتقدّم لم یفد التّرغیب</w:t>
      </w:r>
      <w:r>
        <w:rPr>
          <w:rStyle w:val="FootnoteAnchor"/>
          <w:rtl w:val="true"/>
        </w:rPr>
        <w:footnoteReference w:id="474"/>
      </w:r>
    </w:p>
    <w:p>
      <w:pPr>
        <w:pStyle w:val="BookText"/>
        <w:rPr/>
      </w:pPr>
      <w:r>
        <w:rPr>
          <w:rFonts w:ascii="IRNazanin" w:hAnsi="IRNazanin" w:eastAsia="IRNazanin"/>
          <w:color w:val="111111"/>
          <w:sz w:val="28"/>
          <w:sz w:val="28"/>
          <w:szCs w:val="28"/>
          <w:rtl w:val="true"/>
          <w:lang w:bidi="fa-IR"/>
        </w:rPr>
        <w:t>فی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الترکیب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یصحّ منه أن یستدلّ به علی وجوبه علیه، فیجب تقدّمه علیه من هذا الوجه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قول من قال من المجبّرة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 یتقدّم یکون إعلاما، و من شرط الأمر أن یقارن الفعل</w:t>
      </w:r>
      <w:r>
        <w:rPr>
          <w:rStyle w:val="FootnoteAnchor"/>
          <w:rtl w:val="true"/>
        </w:rPr>
        <w:footnoteReference w:id="475"/>
      </w:r>
      <w:r>
        <w:rPr>
          <w:rFonts w:ascii="IRNazanin" w:hAnsi="IRNazanin" w:eastAsia="IRNazanin"/>
          <w:color w:val="111111"/>
          <w:sz w:val="28"/>
          <w:sz w:val="28"/>
          <w:szCs w:val="28"/>
          <w:rtl w:val="true"/>
          <w:lang w:bidi="fa-IR"/>
        </w:rPr>
        <w:t>فغلط، لأنّهم إن أرادوا بقولهم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إعلام، أنّه ممّا یصحّ أن یعلم به لزوم المأمور به فی وقته، فهو خلاف فی عبارة</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إن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یعلم به أنّ الآمر سیحدث فی وقته أمرا آخر، فلیس فی الأمر المتقدّم دلالة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هذا القول من قائله دفع لما یعلم ضرورة خلافه، لأنّ الأوامر فی الشّاهد لا تکون قطّ إلاّ متقدّمة، و متی لم تکن کذلک لم تحسن، فکذلک أوامر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لا تری أنّه إنّما یحسن من الواحد منّا أن یأمر غلامه أن یسقیه ماء قبل أن یسقیه و یصحّ</w:t>
      </w:r>
      <w:r>
        <w:rPr>
          <w:rStyle w:val="FootnoteAnchor"/>
          <w:rtl w:val="true"/>
        </w:rPr>
        <w:footnoteReference w:id="477"/>
      </w:r>
      <w:r>
        <w:rPr>
          <w:rFonts w:ascii="IRNazanin" w:hAnsi="IRNazanin" w:eastAsia="IRNazanin"/>
          <w:color w:val="111111"/>
          <w:sz w:val="28"/>
          <w:sz w:val="28"/>
          <w:szCs w:val="28"/>
          <w:rtl w:val="true"/>
          <w:lang w:bidi="fa-IR"/>
        </w:rPr>
        <w:t>منه أن یسقیه، فأمّا فی حال ما سقاه فلا یحسن ذلک، فمن ارتکب حسن ذلک کان دافعا للضّرورات</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تقدّمه قبل وقت الفعل بأوقات</w:t>
      </w:r>
      <w:r>
        <w:rPr>
          <w:rStyle w:val="FootnoteAnchor"/>
          <w:rtl w:val="true"/>
        </w:rPr>
        <w:footnoteReference w:id="478"/>
      </w:r>
      <w:r>
        <w:rPr>
          <w:rFonts w:ascii="IRNazanin" w:hAnsi="IRNazanin" w:eastAsia="IRNazanin"/>
          <w:color w:val="111111"/>
          <w:sz w:val="28"/>
          <w:sz w:val="28"/>
          <w:szCs w:val="28"/>
          <w:rtl w:val="true"/>
          <w:lang w:bidi="fa-IR"/>
        </w:rPr>
        <w:t>فلیس بواجب، لکنّه یحسن إذا کان فیه معنی نحو أن یکون فیه صلاح لمن خوطب به، بأن یکلّف أداؤه إلی من أمر به ممّن یوجد فی المستقبل، نحو أوامر اللّه تعالی لنا فی وقت النبیّ صلّی اللّه علیه و آله و سلّم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أَقِیمُوا الصَّلاةَ  </w:t>
      </w:r>
      <w:r>
        <w:rPr>
          <w:rStyle w:val="FootnoteAnchor"/>
          <w:rtl w:val="true"/>
        </w:rPr>
        <w:footnoteReference w:id="479"/>
      </w:r>
      <w:r>
        <w:rPr>
          <w:rFonts w:ascii="IRNazanin" w:hAnsi="IRNazanin" w:eastAsia="IRNazanin"/>
          <w:color w:val="111111"/>
          <w:sz w:val="28"/>
          <w:sz w:val="28"/>
          <w:szCs w:val="28"/>
          <w:rtl w:val="true"/>
          <w:lang w:bidi="fa-IR"/>
        </w:rPr>
        <w:t>لأنّه لا خلاف بین الأمّة أنّه أمر لسائر المکلّفین، و أنّ أهل کلّ عصر قد کلّفوا أداءه إلی أهل العصر الثّانی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یدلّ علی حسن ذلک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یحسن فی الشّاهد أن یأمر الواحد منّا غلامه بفعل بعد أوقات 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یحسن من الموصی أن یوصی لولد ولده و لمن یجیء من بعدهم من النّسل، و یأمرهم أن یفعلوا فی الوصیّة ما یریده، و هذا لا یدفع حسنه منصف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یحسن أمر المعدوم و العاجز بأن یفعل الفعل فی الوقت الّذی قد علم أنّ علّته ستزاح فیه و یمکّن من فعله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یبیّن ذلک أنّ الفعل الّذی امر به لا یحتاج إلی تقدّم القدرة فی حال الأمر، لأنّها لو وجدت فی تلک الحال و عدمت فی حال الحاجة إلی الفعل لم یحسن أمره، فدلّ علی أنّ الحاجة إلیه تقع قبل حال الفعل بحال، و لو لم یحسن ذلک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یحسن من الواحد منّا أن یأمر غیره بأن یفعل فی غد فعلا یحتاج إلی آلة مع عدمها، و إن علم أنّه یتمکّن منها فی غد حتّی یجب، ألا یحسن منّا أن نأمر النجّار بإصلاح الباب إلاّ و الآلة الّتی بها یصلحه فی یده، و هذا ممّا لا یحتاج إلی إفساده، لأنّه معلوم ضرورة خلافه</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هذه جملة کافیة فی هذا الباب</w:t>
      </w:r>
      <w:r>
        <w:rPr>
          <w:rFonts w:eastAsia="IRNazanin" w:cs="IRNazanin"/>
          <w:color w:val="111111"/>
          <w:sz w:val="28"/>
          <w:szCs w:val="28"/>
          <w:rtl w:val="true"/>
          <w:lang w:bidi="fa-IR"/>
        </w:rPr>
        <w:t xml:space="preserve">. </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5" w:name="pg6519_49366"/>
      <w:bookmarkStart w:id="136" w:name="pg6519_49366"/>
      <w:bookmarkEnd w:id="136"/>
    </w:p>
    <w:p>
      <w:pPr>
        <w:pStyle w:val="Heading3"/>
        <w:numPr>
          <w:ilvl w:val="2"/>
          <w:numId w:val="1"/>
        </w:numPr>
        <w:rPr/>
      </w:pPr>
      <w:bookmarkStart w:id="137" w:name="pg6519_49366"/>
      <w:bookmarkStart w:id="138" w:name="__RefHeading___Toc1757243_653776707"/>
      <w:bookmarkStart w:id="139" w:name="_Toc45"/>
      <w:bookmarkEnd w:id="137"/>
      <w:bookmarkEnd w:id="138"/>
      <w:r>
        <w:rPr>
          <w:rtl w:val="true"/>
        </w:rPr>
        <w:t>الباب الرّابع</w:t>
      </w:r>
      <w:r>
        <w:rPr>
          <w:rtl w:val="true"/>
        </w:rPr>
        <w:t xml:space="preserve">: </w:t>
      </w:r>
      <w:r>
        <w:rPr>
          <w:rtl w:val="true"/>
        </w:rPr>
        <w:t>الکلام فی النّهی</w:t>
      </w:r>
      <w:bookmarkEnd w:id="139"/>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40" w:name="__RefHeading___Toc1757245_653776707"/>
      <w:bookmarkStart w:id="141" w:name="_Toc46"/>
      <w:bookmarkEnd w:id="140"/>
      <w:r>
        <w:rPr>
          <w:rtl w:val="true"/>
        </w:rPr>
        <w:t>اشارة</w:t>
      </w:r>
      <w:bookmarkEnd w:id="141"/>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2" w:name="pg6519_49369"/>
      <w:bookmarkStart w:id="143" w:name="pg6519_49369"/>
      <w:bookmarkEnd w:id="143"/>
    </w:p>
    <w:p>
      <w:pPr>
        <w:pStyle w:val="Heading4"/>
        <w:numPr>
          <w:ilvl w:val="3"/>
          <w:numId w:val="1"/>
        </w:numPr>
        <w:rPr/>
      </w:pPr>
      <w:bookmarkStart w:id="144" w:name="pg6519_49369"/>
      <w:bookmarkStart w:id="145" w:name="__RefHeading___Toc1757247_653776707"/>
      <w:bookmarkStart w:id="146" w:name="_Toc47"/>
      <w:bookmarkEnd w:id="144"/>
      <w:bookmarkEnd w:id="145"/>
      <w:r>
        <w:rPr>
          <w:rtl w:val="true"/>
        </w:rPr>
        <w:t xml:space="preserve">فصل </w:t>
      </w:r>
      <w:r>
        <w:rPr>
          <w:rtl w:val="true"/>
        </w:rPr>
        <w:t xml:space="preserve">- </w:t>
      </w:r>
      <w:r>
        <w:rPr/>
        <w:t>1</w:t>
      </w:r>
      <w:r>
        <w:rPr>
          <w:rtl w:val="true"/>
        </w:rPr>
        <w:t xml:space="preserve"> «</w:t>
      </w:r>
      <w:r>
        <w:rPr>
          <w:rtl w:val="true"/>
        </w:rPr>
        <w:t>فی ذکر حقیقة النّهی و ما یقتضیه، و جملة من أحکامه</w:t>
      </w:r>
      <w:r>
        <w:rPr>
          <w:rtl w:val="true"/>
        </w:rPr>
        <w:t>»</w:t>
      </w:r>
      <w:bookmarkEnd w:id="146"/>
    </w:p>
    <w:p>
      <w:pPr>
        <w:pStyle w:val="BookText"/>
        <w:rPr/>
      </w:pPr>
      <w:r>
        <w:rPr>
          <w:rFonts w:ascii="IRNazanin" w:hAnsi="IRNazanin" w:eastAsia="IRNazanin"/>
          <w:color w:val="111111"/>
          <w:sz w:val="28"/>
          <w:sz w:val="28"/>
          <w:szCs w:val="28"/>
          <w:rtl w:val="true"/>
          <w:lang w:bidi="fa-IR"/>
        </w:rPr>
        <w:t>النّهی 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 القائل لمن 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کما أنّ الأمر قوله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ما دلّ علی أحدهما دلّ علی الآخر فالطّریقة واحدة، و إنّما یکون نهیا إذا أکره النّاهی المنهیّ عنه عند من قال بذلک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أقوله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قدّمت ذکره فی باب حقیقة الأمر</w:t>
      </w:r>
      <w:r>
        <w:rPr>
          <w:rStyle w:val="FootnoteAnchor"/>
          <w:rtl w:val="true"/>
        </w:rPr>
        <w:footnoteReference w:id="480"/>
      </w:r>
    </w:p>
    <w:p>
      <w:pPr>
        <w:pStyle w:val="BookText"/>
        <w:rPr/>
      </w:pPr>
      <w:r>
        <w:rPr>
          <w:rFonts w:ascii="IRNazanin" w:hAnsi="IRNazanin" w:eastAsia="IRNazanin"/>
          <w:color w:val="111111"/>
          <w:sz w:val="28"/>
          <w:sz w:val="28"/>
          <w:szCs w:val="28"/>
          <w:rtl w:val="true"/>
          <w:lang w:bidi="fa-IR"/>
        </w:rPr>
        <w:t xml:space="preserve">انظر استدلال المصنّف علی مذهبه به فی صفحة </w:t>
      </w:r>
      <w:r>
        <w:rPr>
          <w:rFonts w:eastAsia="IRNazanin" w:cs="IRNazanin"/>
          <w:color w:val="111111"/>
          <w:sz w:val="28"/>
          <w:szCs w:val="28"/>
          <w:lang w:bidi="fa-IR"/>
        </w:rPr>
        <w:t>172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أنّ هذه الصّیغة وضعها أهل اللّغة لیدلوا علی إیجاب الامتناع من الفعل، ثمّ ینظر فی ذلک فإن کان صادرا من حکیم دلّ علی أنّ ذلک الشّیء قبیح، لأنّه لا یوجب الامتناع ممّا هو حسن، فهو إذا دلالة علی القبح</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ترد هذه الصّورة و لا تفید النّهی علی الحقیقة علی ضرب من المجاز، مثل ما قلناه </w:t>
      </w:r>
    </w:p>
    <w:p>
      <w:pPr>
        <w:pStyle w:val="BookText"/>
        <w:rPr/>
      </w:pPr>
      <w:r>
        <w:rPr>
          <w:rFonts w:ascii="Amiri" w:hAnsi="Amiri" w:eastAsia="Amiri" w:cs="Amiri"/>
          <w:color w:val="111111"/>
          <w:sz w:val="28"/>
          <w:sz w:val="28"/>
          <w:szCs w:val="28"/>
          <w:rtl w:val="true"/>
          <w:lang w:bidi="ar-SA"/>
        </w:rPr>
        <w:t>فی صیغة الأمر، و لأجل هذا قلنا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تَقْرَبا هذِهِ الشَّجَرَةَ  </w:t>
      </w:r>
      <w:r>
        <w:rPr>
          <w:rStyle w:val="FootnoteAnchor"/>
          <w:rtl w:val="true"/>
        </w:rPr>
        <w:footnoteReference w:id="481"/>
      </w:r>
    </w:p>
    <w:p>
      <w:pPr>
        <w:pStyle w:val="BookText"/>
        <w:rPr/>
      </w:pP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صورته صورة النّهی و لیس ما تناوله قبیحا بل الأولی ترکه، و عبّر عن ذلک بأنّه نهی بقوله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نَهاکُما رَبُّکُما عَنْ هذِهِ الشَّجَرَةِ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مجازا من حیث کانت صورته صورة النّهی علی الحقیقة، إلاّ أنّ هذا مجاز لا یثبت إلاّ بدلیل، و الأوّل هو الحقیقة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الدّلالة علی ذلک ما دللنا به علی صورة الأمر سواء</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شرائط حسن النّهی تقارب شرائط</w:t>
      </w:r>
      <w:r>
        <w:rPr>
          <w:rStyle w:val="FootnoteAnchor"/>
          <w:rtl w:val="true"/>
        </w:rPr>
        <w:footnoteReference w:id="483"/>
      </w:r>
      <w:r>
        <w:rPr>
          <w:rFonts w:ascii="IRNazanin" w:hAnsi="IRNazanin" w:eastAsia="IRNazanin"/>
          <w:color w:val="111111"/>
          <w:sz w:val="28"/>
          <w:sz w:val="28"/>
          <w:szCs w:val="28"/>
          <w:rtl w:val="true"/>
          <w:lang w:bidi="fa-IR"/>
        </w:rPr>
        <w:t>الأمر علی السواء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اقتضاؤه التکرار أو الامتناع مرّة واحدة، فأکثر المتکلّمین و الفقهاء ممّن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الأمر یقتضی الفعل مرّة واحدة، و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یقتضی التکرار، قالوا فی النّهی إنّه یقتضی التکرار</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منهم من سوّی بینهما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یقتضی الامتناع مرّة واحدة و ما زاد علی ذلک یحتاج إلی 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 من وقف فی ذلک کما وقف فی الأمر</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الّذی یقوی فی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ظاهره یقتضی الامتناع مرّة واحدة و ما زاد علی ذلک یحتاج إلی دلیل، و إنّما قلنا ذلک من حیث إنّ النّهی إذا کان دلالة علی قبح المنهیّ عنه إذا صدر من حکیم إنّما یدلّ علی أنّه قبیح فی الثّانی لأنّ مقتضاه الفور، و ما بعد ذلک من الأوقات لا یعلم أنّ الفعل فیها قبیح بل یحتاج إلی دلیل، فمن ادّعی تساوی الأوقات فی ذلک کمن ادّعی تساوی الأوقات فی اقتضاء الأمر الفعل فیها، و ذلک باطل علی ما بیّناه</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شبهة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یقتضی التکرار الرّجوع إلی الشّاهد و أنّ النّهی یقتضی ذلک، و ذلک غیر مسلّم بالإطلاق، فإن استعمل فی ذلک بقرینة من شاهد الحال و غیرها فلا یمکن ادّعاء الحقیقة فی ذلک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فإذا ثبت ذلک فإنّما قلنا إنّه یقتضی الفور دون التّراخی لمثل ما دللنا علیه من أنّ الأمر یقتضی الفور، فالأدلة فیها سواء</w:t>
      </w:r>
      <w:r>
        <w:rPr>
          <w:rStyle w:val="FootnoteAnchor"/>
          <w:rtl w:val="true"/>
        </w:rPr>
        <w:footnoteReference w:id="486"/>
      </w:r>
    </w:p>
    <w:p>
      <w:pPr>
        <w:pStyle w:val="BookText"/>
        <w:rPr/>
      </w:pPr>
      <w:r>
        <w:rPr>
          <w:rFonts w:ascii="IRNazanin" w:hAnsi="IRNazanin" w:eastAsia="IRNazanin"/>
          <w:color w:val="111111"/>
          <w:sz w:val="28"/>
          <w:sz w:val="28"/>
          <w:szCs w:val="28"/>
          <w:rtl w:val="true"/>
          <w:lang w:bidi="fa-IR"/>
        </w:rPr>
        <w:t xml:space="preserve">راجع استدلالات الشّیخ الطوسی فی صفحة </w:t>
      </w:r>
      <w:r>
        <w:rPr>
          <w:rFonts w:eastAsia="IRNazanin" w:cs="IRNazanin"/>
          <w:color w:val="111111"/>
          <w:sz w:val="28"/>
          <w:szCs w:val="28"/>
          <w:lang w:bidi="fa-IR"/>
        </w:rPr>
        <w:t>236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لم یقتض ذلک فی الثّانی لوجب أن یقترن به البیان، فمتی لم یقترن به البیان دلّ علی أنّه قبیح فی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النّواهی الواردة فی القرآن و السّنة و أنّها تقتضی التأبید، فإنّما علمنا ذلک بدلیل من إجماع و غیره فلا یمکن الاعتماد علی ذلک، کما أنّ بمثل ذلک علم أنّ الأوامر علی التّکرار عند الأکثر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النّهی المقیّد بوقت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خلاف بین المحصّلین أنّه لا یقتضی وجوب الانتهاء فی غیر ذلک الوقت، و إنّما یعلم ذلک بدلیل مثل ما قلناه فی الأمر المقیّد</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فأمّا النّهی عن شیء فلیس بأمر ضدّه</w:t>
      </w:r>
      <w:r>
        <w:rPr>
          <w:rStyle w:val="FootnoteAnchor"/>
          <w:rtl w:val="true"/>
        </w:rPr>
        <w:footnoteReference w:id="488"/>
      </w:r>
      <w:r>
        <w:rPr>
          <w:rFonts w:ascii="IRNazanin" w:hAnsi="IRNazanin" w:eastAsia="IRNazanin"/>
          <w:color w:val="111111"/>
          <w:sz w:val="28"/>
          <w:sz w:val="28"/>
          <w:szCs w:val="28"/>
          <w:rtl w:val="true"/>
          <w:lang w:bidi="fa-IR"/>
        </w:rPr>
        <w:t>لا لفظا و لا معنی لمثل ما قلناه فی الأمر سواء، و إنّما یدلّ علی أنّ ما عدا المنهیّ عنه من أضداده مخالف له، إذا کان صادرا من حکیم، لأنّه إذا کان دلالة علی القبح فما عدا ذلک الشیء لو کان قبیحا مثله لوجب أن ینهی عنه أیضا کما نهی عن ذلک، فلمّا لم ینه عن جمیع أضداده و لا عن بعضها دلّ علی أنّه مخالف له</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تکون</w:t>
      </w:r>
      <w:r>
        <w:rPr>
          <w:rStyle w:val="FootnoteAnchor"/>
          <w:rtl w:val="true"/>
        </w:rPr>
        <w:footnoteReference w:id="489"/>
      </w:r>
      <w:r>
        <w:rPr>
          <w:rFonts w:ascii="IRNazanin" w:hAnsi="IRNazanin" w:eastAsia="IRNazanin"/>
          <w:color w:val="111111"/>
          <w:sz w:val="28"/>
          <w:sz w:val="28"/>
          <w:szCs w:val="28"/>
          <w:rtl w:val="true"/>
          <w:lang w:bidi="fa-IR"/>
        </w:rPr>
        <w:t>مخالفته له بأن تکون واجبا و ندبا و مباحا، فلا یمکننا أن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لو کان فی أضداده ما هو واجب أو ندب لوجب بیانه، فلمّا لم یبیّن دلّ علی أنّها </w:t>
      </w:r>
    </w:p>
    <w:p>
      <w:pPr>
        <w:pStyle w:val="BookText"/>
        <w:rPr/>
      </w:pPr>
      <w:r>
        <w:rPr>
          <w:rFonts w:ascii="IRNazanin" w:hAnsi="IRNazanin" w:eastAsia="IRNazanin"/>
          <w:color w:val="111111"/>
          <w:sz w:val="28"/>
          <w:sz w:val="28"/>
          <w:szCs w:val="28"/>
          <w:rtl w:val="true"/>
          <w:lang w:bidi="fa-IR"/>
        </w:rPr>
        <w:t>مباحة، فإنّ ذلک یمکن الاعتماد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إذا کان له أضداد کثیرة و یمکنه الانفکاک من جمیعها، فأمّا إذا لم یمکنه الانفکاک عن جمیعها، و لا بدّ من أن یکون فاعلا لواحد منها، فإنّه لا یکون أیضا واجبا علیه، لأنّه إنّما یجب الشّیء إذا کان ممّا یصحّ أن یفعل و ألاّ یفعل، فأمّا ما لا ینفکّ عنه فلا یصحّ وصفه بالوجوب، و لأجل هذا قلنا أیضا إذا لم یکن للمنهیّ عنه إلاّ ضدّ واحد و یصحّ انفکاکه منهما جمیعا، فمتی لم یوجب علیه ذلک الشّیء أو یندب إلیه، یجب أن یکون مباحا کما قلناه فی الأضداد الکثیرة سواء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النّهی إذا تناول أشیاء فلا تخلو من أن تکون متضادّة أو مختلفة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کانت متضادّة، فلا تخلو من أن یصحّ انفکاکه من جمیعها إلی أمر آخر، أو لا یصحّ ذلک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کان یصحّ انفکاکه من جمیعها جاز أن ینهی عنها أجمع علی جهة التّخییر، و لا یجوز أن ینهی عنها جمیعا علی وجه الجمع، لأنّ کونها متضادة یمنع من صحّة الجمع بینها، و ما لا یصحّ الجمع بینها لا یصحّ النّهی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لا یصحّ انفکاکه من جمیعها، فلا یجوز أن ینهی عن جمیعها علی حال، لأنّ ذلک تکلیف لما لا یطاق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إذا نهی عن ضدّین و لهما ثالث، جاز أن ینهی عنهما جمیعا علی وجه التّخییر، و لا یجوز أن ینهی عنهما جمیعا علی الجمع لمثل ما قلناه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ما تناوله النّهی أشیاء مختلفة أو شیئین مختلفین، فإنّه یصحّ ذلک علی وجه الجمع و التّخییر معا</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یصحّ ذلک علی وجه التّخییر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صحیح، لأنّه لا یمتنع أن </w:t>
      </w:r>
    </w:p>
    <w:p>
      <w:pPr>
        <w:pStyle w:val="BookText"/>
        <w:rPr/>
      </w:pPr>
      <w:r>
        <w:rPr>
          <w:rFonts w:ascii="IRNazanin" w:hAnsi="IRNazanin" w:eastAsia="IRNazanin"/>
          <w:color w:val="111111"/>
          <w:sz w:val="28"/>
          <w:sz w:val="28"/>
          <w:szCs w:val="28"/>
          <w:rtl w:val="true"/>
          <w:lang w:bidi="fa-IR"/>
        </w:rPr>
        <w:t>یکون فعلهما مفسدة إذا جمع بینهما، فینهی عنهما جمیعا علی وجه الجمع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لا یمنع أن یکون فعل کلّ واحد منهما إذا انفرد کان مفسدة، و إذا اجتمع مع غیره لا یکون کذلک، فیصحّ أن ینهی عنه علی وجه التّخییر مثل ما نقوله فی الأمر، فالفرق بین النّهی و الأمر فی هذا الباب لا یمکن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القول فی الأمر إذا تناول ضدّین مثل القول فی النّهی سواء، فی أنّه إذا کان لهما ثالث جاز أن یؤمر بهما علی وجه التّخیّر، فلا یجوز أن یؤمر بالجمع بینهما، لأنّ ذلک مستحیل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إن لم یکن لهما ثالث جاز أن یؤمر بهما علی وجه التّخییر فلا یجوز أن یؤمر بهما علی وجه الجمع لما قلناه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إذا تناول الأمر أشیاء مختلفة فإنّه یجوز ذلک علی وجه الجمع و التّخییر بلا خلاف، و إنّما الخلاف فی أنّه تکون الجمیع واجبة أو واحد لا بعینه، و قد قلنا ما عندنا فی ذلک فأغنی عن الإعادة</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هذه جملة کافیة فی هذا الباب، و ما عدا ما ذکرناه أحکام النّهی فیه أحکام الأمر علی السّواء فلا معنی لتکرار القول فیه</w:t>
      </w:r>
      <w:r>
        <w:rPr>
          <w:rFonts w:eastAsia="IRNazanin" w:cs="IRNazanin"/>
          <w:color w:val="111111"/>
          <w:sz w:val="28"/>
          <w:szCs w:val="28"/>
          <w:rtl w:val="true"/>
          <w:lang w:bidi="fa-IR"/>
        </w:rPr>
        <w:t xml:space="preserve">. </w:t>
      </w:r>
      <w:bookmarkStart w:id="147" w:name="pg6519_49380"/>
    </w:p>
    <w:p>
      <w:pPr>
        <w:pStyle w:val="Heading4"/>
        <w:numPr>
          <w:ilvl w:val="3"/>
          <w:numId w:val="1"/>
        </w:numPr>
        <w:rPr/>
      </w:pPr>
      <w:bookmarkStart w:id="148" w:name="__RefHeading___Toc1757249_653776707"/>
      <w:bookmarkStart w:id="149" w:name="_Toc48"/>
      <w:bookmarkEnd w:id="147"/>
      <w:bookmarkEnd w:id="148"/>
      <w:r>
        <w:rPr>
          <w:rtl w:val="true"/>
        </w:rPr>
        <w:t xml:space="preserve">فصل </w:t>
      </w:r>
      <w:r>
        <w:rPr>
          <w:rtl w:val="true"/>
        </w:rPr>
        <w:t xml:space="preserve">- </w:t>
      </w:r>
      <w:r>
        <w:rPr/>
        <w:t>2</w:t>
      </w:r>
      <w:r>
        <w:rPr>
          <w:rtl w:val="true"/>
        </w:rPr>
        <w:t xml:space="preserve"> «</w:t>
      </w:r>
      <w:r>
        <w:rPr>
          <w:rtl w:val="true"/>
        </w:rPr>
        <w:t>فی أنّ النّهی یدلّ علی فساد المنهیّ عنه أم لا؟</w:t>
      </w:r>
      <w:r>
        <w:rPr>
          <w:rtl w:val="true"/>
        </w:rPr>
        <w:t>»</w:t>
      </w:r>
      <w:bookmarkEnd w:id="149"/>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ذهب أهل الظّاهر و کثیر من الفقهاء من أصحاب الشّافعی، و أبی حنیفة، و کثیر </w:t>
      </w:r>
    </w:p>
    <w:p>
      <w:pPr>
        <w:pStyle w:val="BookText"/>
        <w:rPr/>
      </w:pPr>
      <w:r>
        <w:rPr>
          <w:rFonts w:ascii="Amiri" w:hAnsi="Amiri" w:eastAsia="Amiri" w:cs="Amiri"/>
          <w:color w:val="111111"/>
          <w:sz w:val="28"/>
          <w:sz w:val="28"/>
          <w:szCs w:val="28"/>
          <w:rtl w:val="true"/>
          <w:lang w:bidi="ar-SA"/>
        </w:rPr>
        <w:t>من المتکلّمین إلی أنّ النّهی یدلّ علی فساد المنهیّ عنه</w:t>
      </w:r>
      <w:r>
        <w:rPr>
          <w:rStyle w:val="FootnoteAnchor"/>
          <w:rtl w:val="true"/>
        </w:rPr>
        <w:footnoteReference w:id="490"/>
      </w:r>
    </w:p>
    <w:p>
      <w:pPr>
        <w:pStyle w:val="BookText"/>
        <w:rPr/>
      </w:pPr>
      <w:r>
        <w:rPr>
          <w:rFonts w:ascii="IRNazanin" w:hAnsi="IRNazanin" w:eastAsia="IRNazanin"/>
          <w:color w:val="111111"/>
          <w:sz w:val="28"/>
          <w:sz w:val="28"/>
          <w:szCs w:val="28"/>
          <w:rtl w:val="true"/>
          <w:lang w:bidi="fa-IR"/>
        </w:rPr>
        <w:t xml:space="preserve">انظر التعلیقة رقم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صفحة </w:t>
      </w:r>
      <w:r>
        <w:rPr>
          <w:rFonts w:eastAsia="IRNazanin" w:cs="IRNazanin"/>
          <w:color w:val="111111"/>
          <w:sz w:val="28"/>
          <w:szCs w:val="28"/>
          <w:lang w:bidi="fa-IR"/>
        </w:rPr>
        <w:t>260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ذهب أکثر المتکلّمین، و الباقون من الفقهاء إلی أنّ ذلک لا یدلّ علی کونه غیر مجز</w:t>
      </w:r>
      <w:r>
        <w:rPr>
          <w:rStyle w:val="FootnoteAnchor"/>
          <w:rtl w:val="true"/>
        </w:rPr>
        <w:footnoteReference w:id="491"/>
      </w:r>
      <w:r>
        <w:rPr>
          <w:rFonts w:ascii="IRNazanin" w:hAnsi="IRNazanin" w:eastAsia="IRNazanin"/>
          <w:color w:val="111111"/>
          <w:sz w:val="28"/>
          <w:sz w:val="28"/>
          <w:szCs w:val="28"/>
          <w:rtl w:val="true"/>
          <w:lang w:bidi="fa-IR"/>
        </w:rPr>
        <w:t>، و هو الّذی حکاه أبو عبد اللّه البصریّ عن أبی الحسن الکرخیّ، و ذهب إلیه بعض أصحاب الشّافعی</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ینبغی أن نبیّن أوّلا تحقیق الخلاف فی ذلک و ما المراد به، ثمّ نتکلّم فی صحّة ذلک أو فساده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فمعنی 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المنهیّ عنه غیر مجز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الذّمة إذا تعلّقت بها عبادة یجب أداؤها علی شروط، فمتی أدّاها علی وجه قبیح منهیّ عنه، فإنّ ذمّته لا تبرأ و یجب علیه قضاؤها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خالف فی ذلک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یعلم بمخالفته الأمر و ارتکابه النّهی أنّ ذمّته غیر بریئة، بل لا یمتنع أن تبرأ ذمّته بفعل القبیح کما تبرأ بفعل ما هو حسن</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الّذی یدلّ علی صحّة ما ذهبنا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کون الشّیء مأمورا به یقتضی کونه حسنا و مصلحة للمکلّف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کونه منهیّا عنه یدلّ علی أنّه مفسدة له، و محال أن یکون ما هو مفسدة یقوم مقام ما هو مصلحة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 ذلک متضاد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فإن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کان یمتنع أن یقول اللّه تعالی أو النّبی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تفعل کیت و کیت، و لکن إن فعلته قام ذلک مقام المصلحة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فرضته فی السّؤال غیر ممتنع، لکنّ ثبوت ذلک یحتاج إلی دلیل، و الظّاهر من النّهی أنّه متی ارتکبه أنّ المأمور به لم یحصل، و إذا لم یحصل فلم تحصل براءة الذمّة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وجوب القضاء علیه یحتاج إلی 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فعل المأمور به علی الوجه المنهیّ عنه یدلّ علی أنّ ما أمر به لم یفعله، و إذا ثبت أنّه لم یفعل ما امر به فلا خلاف بین الأمّة أنّه یجب علیه قضاؤه، لأنّه لا فرق بین أن لا یصلّی فی أنّه یجب علیه القضاء، و بین أن یصلّی بغیر طهارة فی أنّه أیضا یجب علیه القضاء فی الحالین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الطّهارة شرط فی صحّة الصلاة، و کلّ موضع یثبت أنّ المنهی عنه شرط فی صحّة العبادة فإنّه یدل علی أنّه غیر مجزیة، و إنّما الخلاف فیما لیس بشرط فی صحّة العبادة هل یکون مجزیا أو لا؟ 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هذا ینبغی أن یسقط الخلاف، فإنّه متی فرضنا أنّ النّهی لا یتعلّق بشیء یتعلّق بالعبادة و لا بشیء من شرائطها فإنّا لا نحکم بفساد العبادة، لأنّ علی هذا التقدیر یکون قد أدّی العبادة علی الوجه الّذی أمر بها، و النّهی إنّما یتعلّق بشیء آخر منفصل عنها، فلا تعلّق بینه و بینها علی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الأمر علی ما ذکرتم لما قام دلیل علی أنّ کثیرا من الأشیاء المنهیّ عنها قامت مقام الواجب الحسن مثل الوضوء بالماء المغصوب، و غیر ذلک من الأشیاء الّتی تقرّر فی الشّرع کونها مجزیة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الّذی نذهب إلیه أنّ جمیع ذلک غیر مجز و لا محکوم بصحّته، فإن دلّ دلیل علی أنّ بعضه مجز و قام مقام الصّحیح صرنا إلیه بدلیل</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نحن نبیّن جمیع ذلک فی فصل بیان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الوضوء بالماء المغصوب فلا یصحّ</w:t>
      </w:r>
      <w:r>
        <w:rPr>
          <w:rStyle w:val="FootnoteAnchor"/>
          <w:rtl w:val="true"/>
        </w:rPr>
        <w:footnoteReference w:id="493"/>
      </w:r>
    </w:p>
    <w:p>
      <w:pPr>
        <w:pStyle w:val="BookText"/>
        <w:rPr/>
      </w:pPr>
      <w:r>
        <w:rPr>
          <w:rFonts w:ascii="IRNazanin" w:hAnsi="IRNazanin" w:eastAsia="IRNazanin"/>
          <w:color w:val="111111"/>
          <w:sz w:val="28"/>
          <w:sz w:val="28"/>
          <w:szCs w:val="28"/>
          <w:rtl w:val="true"/>
          <w:lang w:bidi="fa-IR"/>
        </w:rPr>
        <w:t>زیادة من النسخة 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لأنّ الوضوء لا یصحّ عندنا إلاّ بنیّة القربة، و ذلک یقتضی کون الفعل حسنا و زیادة، و ذلک لا یمکن فی المغصوب لأنّه قبیح فلا یصحّ التّقرّب به، و إذا ثبت ذلک فلا یصحّ وضوؤه، و إذا لم یصح وضوؤه فکأنّه صلّی بغیر طهارة، و إذا صلی بغیر طهارة فلا خلاف أنّه یلزمه قضاؤها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لهم أن یقولوا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یمتنع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الفعل و إن کان قبیحا فقد قام مقام ما هو 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یحتاج إلی دلیل، و لو أنّ قائلا قال ذلک فی الصّلاة بغیر طهارة، و أنّها ما کانت یمتنع أن تقوم مقام الصلاة بطهارة، فما کان جوابکم یکون جوابنا</w:t>
      </w:r>
      <w:r>
        <w:rPr>
          <w:rStyle w:val="FootnoteAnchor"/>
          <w:rtl w:val="true"/>
        </w:rPr>
        <w:footnoteReference w:id="494"/>
      </w:r>
      <w:r>
        <w:rPr>
          <w:rFonts w:ascii="IRNazanin" w:hAnsi="IRNazanin" w:eastAsia="IRNazanin"/>
          <w:color w:val="111111"/>
          <w:sz w:val="28"/>
          <w:sz w:val="28"/>
          <w:szCs w:val="28"/>
          <w:rtl w:val="true"/>
          <w:lang w:bidi="fa-IR"/>
        </w:rPr>
        <w:t>، و لیس ذلک إلاّ ما قلناه من أنّ ذلک یحتاج إلی دلیل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کذلک الصّلاة فی الدّار المغصوبة لا تصحّ لأنّ نیّة القربة بها لا تصحّ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لیس لهم أن یقولوا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لیست الصلاة هی الغصب، بل الصّلاة تشتمل علی أفعال لا تعلّق لها بالغصب و هی حسنة تصح القربة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أنّ الصّلاة هی الأکوان المخصوصة فی الدّار من القیام و القعود و تلک قبیحة بلا خلاف، و لیست الصّلاة أمرا آخر منفصلا من ذلک، و إذا کان کذلک ثبت ما قلناه</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الطّلاق البدعیّ، فعندنا أنّه غیر واقع أصلا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من قال بوقوعه فی موضع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وافقنا فی هذا الأصل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إنّ ذلک لقیام دلیل، و لو خلّیت و ظاهر النّهی یحکم</w:t>
      </w:r>
      <w:r>
        <w:rPr>
          <w:rStyle w:val="FootnoteAnchor"/>
          <w:rtl w:val="true"/>
        </w:rPr>
        <w:footnoteReference w:id="495"/>
      </w:r>
      <w:r>
        <w:rPr>
          <w:rFonts w:ascii="IRNazanin" w:hAnsi="IRNazanin" w:eastAsia="IRNazanin"/>
          <w:color w:val="111111"/>
          <w:sz w:val="28"/>
          <w:sz w:val="28"/>
          <w:szCs w:val="28"/>
          <w:rtl w:val="true"/>
          <w:lang w:bidi="fa-IR"/>
        </w:rPr>
        <w:t>بأنّه غیر مجز</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أمّا الوطء فی الحیض، و ما یتعلّق به من لحوق الولد، و تحلیل المرأة للزّوج الأوّل، و وجوب المهر کاملا، و وجوب العدّة و غیر ذلک من الأحکام، فإنّ جمیع ذلک إنّما یثبت بدلیل، و لو خلّینا و ظاهر النّهی لما أجزنا شیئا منه علی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الذّبح بالسّکّین المغصوبة فیمکن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القبیح هو التّصرّف فی السّکین، فما یحصل بالسّکّین من الأفعال قبیحة، و لیس الذّبح حالا فی السّکین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لا یمتنع أن یکون الذّبح حسنا و إن کان سببه الّذی أوجبه قبیحا، أ لا تری أنّ من رمی مؤمنا فأصاب کافرا حربیّا فإنّ رمیه یکون قبیحا و إن کان ما حصل منه من قتل الکافر حسنا، فکذلک القول فیما قلناه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 أیضا علی صحّة ما ذهبنا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الأمّة من عهد الصّحابة إلی یومنا هذا فی فساد الأمور و بطلانها إلی تناول النّهی لها، فلو لا أنّهم عقلوا ذلک من النّهی و إلاّ لم یرجعوا إلیه علی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لهم أن یقولوا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رجعوا إلی ذلک لدلیل دلّهم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أنّ هذا القول ینقض رجوعهم إلی النّهی، لأنّهم إذا کانوا حکموا ببطلان الشّیء و فساده لدلیل دلّهم علی ذلک فلا تعلّق للنّهی بذلک و لا معنی لرجوعهم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نازعوا فی رجوعهم إلی ذلک، کان ذلک دفعا لما هو معلوم خلافه، و قیل لهم بیّنوا فی شیء من الأشیاء أنّهم رجعوا إلی العمل به لا یمکننا أن نقول فی النّهی مثله‌؟ و یدلّ علی ذلک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قد دللنا علی أنّ الأمر یقتضی إجزاء المأمور به، فینبغی أن یکون النّهی یقتضی کونه غیر مجز لأنّه ضدّه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خالفونا فی الأمر، فقد دللنا علی ذلک فیما مضی</w:t>
      </w:r>
      <w:r>
        <w:rPr>
          <w:rStyle w:val="FootnoteAnchor"/>
          <w:rtl w:val="true"/>
        </w:rPr>
        <w:footnoteReference w:id="496"/>
      </w:r>
    </w:p>
    <w:p>
      <w:pPr>
        <w:pStyle w:val="BookText"/>
        <w:rPr/>
      </w:pPr>
      <w:r>
        <w:rPr>
          <w:rFonts w:ascii="IRNazanin" w:hAnsi="IRNazanin" w:eastAsia="IRNazanin"/>
          <w:color w:val="111111"/>
          <w:sz w:val="28"/>
          <w:sz w:val="28"/>
          <w:szCs w:val="28"/>
          <w:rtl w:val="true"/>
          <w:lang w:bidi="fa-IR"/>
        </w:rPr>
        <w:t xml:space="preserve">انظر استدلال المصنّف علی أنّ الأمر یقتضی أجزاء المأمور به فی صفحة </w:t>
      </w:r>
      <w:r>
        <w:rPr>
          <w:rFonts w:eastAsia="IRNazanin" w:cs="IRNazanin"/>
          <w:color w:val="111111"/>
          <w:sz w:val="28"/>
          <w:szCs w:val="28"/>
          <w:lang w:bidi="fa-IR"/>
        </w:rPr>
        <w:t>213</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فأغنی عن الإعادة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w:t>
      </w:r>
      <w:r>
        <w:rPr>
          <w:rStyle w:val="FootnoteAnchor"/>
          <w:rtl w:val="true"/>
        </w:rPr>
        <w:footnoteReference w:id="497"/>
      </w:r>
    </w:p>
    <w:p>
      <w:pPr>
        <w:pStyle w:val="BookText"/>
        <w:rPr/>
      </w:pPr>
      <w:r>
        <w:rPr>
          <w:rFonts w:ascii="IRNazanin" w:hAnsi="IRNazanin" w:eastAsia="IRNazanin"/>
          <w:color w:val="111111"/>
          <w:sz w:val="28"/>
          <w:sz w:val="28"/>
          <w:szCs w:val="28"/>
          <w:rtl w:val="true"/>
          <w:lang w:bidi="fa-IR"/>
        </w:rPr>
        <w:t>فی الأصل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الاستدلال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روی عنه علیه السّلام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أدخل فی دیننا ما لیس منه، فهو ردّ</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صحّة ما ذهبنا إلیه، لأنّ ارتکاب النّهی خلاف الدّین بلا 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الرّد فی الخبر أنّه غیر مقبول و لا یستحقّ علیه الثّواب و ذلک لما تعلّق له بالإجزاء، لأنّا قد بیّنا أنّه مع کونه غیر مقبول و لا یستحقّ علیه الثّواب لا یمتنع أن یقع موقع الصّحیح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تخصیص للخبر، و ینبغی أن یحمل الخبر علی عمومه و شموله فیحکم بأنّ ذلک لا یقبل و لا یستحقّ علیه الثّواب و لا یقع به الإجزاء، فمن ادّعی تخصیصه احتاج إلی دلالة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لهم أن یقولوا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یمکن الاستدلال بالخبر إذا ثبت أنّ ارتکاب النّهی لیس من الدّین، و من خالف فی أنّ ذلک مجز یقول إنّه من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أنّه لا خلاف فی أنّ ذلک قبیح، و ما هو قبیح لا یکون من الدّین، لأنّ کونه من الدّین یقتضی کونه حسنا و زیادة، و إنّما الخلاف فی أنّ ذلک و إن کان کذلک هل یجوز أن یقوم مقام ما هو حسن أم لا؟، و ذلک یحتاج إلی 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استدلّ قوم علی ذلک أیضا بأن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کونه مجزیا لا یخلو أن یعلم ذلک بلفظ الأمر أو الإباحة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قلتم بذلک فکونه قبیحا یعلم من کونه مأمورا به و من کونه مباحا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اعترض من خالف فی ذلک بأن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یعلم ذلک بغیر الأمر أو الإباحة، و هو أن یقول النّبی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تفعل کذا و کذا، فإن فعلت ذلک فقد أجزأ عنک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قام مقام الحسن الواجب و المباح</w:t>
      </w:r>
      <w:r>
        <w:rPr>
          <w:rStyle w:val="FootnoteAnchor"/>
          <w:rtl w:val="true"/>
        </w:rPr>
        <w:footnoteReference w:id="498"/>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186:1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المعتمد </w:t>
      </w:r>
      <w:r>
        <w:rPr>
          <w:rFonts w:eastAsia="IRNazanin" w:cs="IRNazanin"/>
          <w:color w:val="111111"/>
          <w:sz w:val="28"/>
          <w:szCs w:val="28"/>
          <w:lang w:bidi="fa-IR"/>
        </w:rPr>
        <w:t>174:1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استدلّوا أیضا بأن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ثبت أنّ النّهی عن الرّبا فی القرآن دلّ علی فساد المنهی عنه، فینبغی أن یکون سائر النّواهی مثل ذلک</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اعترض من خالف فی ذلک بأن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نعلم ذلک بظاهر النّهی بل بقرینة و هی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تَأْکُلُوا الرِّبَوا  </w:t>
      </w:r>
      <w:r>
        <w:rPr>
          <w:rStyle w:val="FootnoteAnchor"/>
          <w:rtl w:val="true"/>
        </w:rPr>
        <w:footnoteReference w:id="500"/>
      </w:r>
      <w:r>
        <w:rPr>
          <w:rFonts w:ascii="IRNazanin" w:hAnsi="IRNazanin" w:eastAsia="IRNazanin"/>
          <w:color w:val="111111"/>
          <w:sz w:val="28"/>
          <w:sz w:val="28"/>
          <w:szCs w:val="28"/>
          <w:rtl w:val="true"/>
          <w:lang w:bidi="fa-IR"/>
        </w:rPr>
        <w:t>فلو کان ذلک مجزیا لما نهی عن أکله</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النّهی عن ذلک مثل النّهی عن تلقّی الرکبان، و عن البیع یوم الجمعة، و غیر ذلک و کلّ ذلک لا یدلّ علی فساد المنهیّ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لمن نصر الاستدلال بالآیة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المواضع لو خلّیت و الظّاهر لحکمت بفساد المعنی</w:t>
      </w:r>
      <w:r>
        <w:rPr>
          <w:rStyle w:val="FootnoteAnchor"/>
          <w:rtl w:val="true"/>
        </w:rPr>
        <w:footnoteReference w:id="502"/>
      </w:r>
      <w:r>
        <w:rPr>
          <w:rFonts w:ascii="IRNazanin" w:hAnsi="IRNazanin" w:eastAsia="IRNazanin"/>
          <w:color w:val="111111"/>
          <w:sz w:val="28"/>
          <w:sz w:val="28"/>
          <w:szCs w:val="28"/>
          <w:rtl w:val="true"/>
          <w:lang w:bidi="fa-IR"/>
        </w:rPr>
        <w:t>فیها، لکن دلّ الدّلیل علی أنّ ذلک جائز، فقلت به لمکان الدّلیل</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فأمّا من خالف فی المذهب الّذی ذکرناه من أنّ النّهی یقتضی فساد المنهیّ عنه، و جعل الطّریق الّذی به یعلم فساد المنهی عنه و کونه مجزیا، فحکی أبو عبد اللّه البصری</w:t>
      </w:r>
      <w:r>
        <w:rPr>
          <w:rStyle w:val="FootnoteAnchor"/>
          <w:rtl w:val="true"/>
        </w:rPr>
        <w:footnoteReference w:id="503"/>
      </w:r>
      <w:r>
        <w:rPr>
          <w:rFonts w:ascii="IRNazanin" w:hAnsi="IRNazanin" w:eastAsia="IRNazanin"/>
          <w:color w:val="111111"/>
          <w:sz w:val="28"/>
          <w:sz w:val="28"/>
          <w:szCs w:val="28"/>
          <w:rtl w:val="true"/>
          <w:lang w:bidi="fa-IR"/>
        </w:rPr>
        <w:t xml:space="preserve">عن أبی الحسن الکرخی أنّه متی کان وقوع المنهی عنه علی الوجه الّذی نهی عنه، یقتضی أنّه واقع علی غیر الشّرط الّذی اقتضاه الشّرع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وجب فساده، لأنّه إنّما یصحّ إذا أتی به علی شروطه، و النّهی</w:t>
      </w:r>
      <w:r>
        <w:rPr>
          <w:rStyle w:val="FootnoteAnchor"/>
          <w:rtl w:val="true"/>
        </w:rPr>
        <w:footnoteReference w:id="504"/>
      </w:r>
      <w:r>
        <w:rPr>
          <w:rFonts w:ascii="IRNazanin" w:hAnsi="IRNazanin" w:eastAsia="IRNazanin"/>
          <w:color w:val="111111"/>
          <w:sz w:val="28"/>
          <w:sz w:val="28"/>
          <w:szCs w:val="28"/>
          <w:rtl w:val="true"/>
          <w:lang w:bidi="fa-IR"/>
        </w:rPr>
        <w:t>عنه قد أخلّ بذلک، و ما لم تکن هذه حاله من الأشیاء المنهیّ عنها فإنّه یکون مجزیا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ذکر عن الشّافعی أنّه ذکر فی کتابه</w:t>
      </w:r>
      <w:r>
        <w:rPr>
          <w:rStyle w:val="FootnoteAnchor"/>
          <w:rtl w:val="true"/>
        </w:rPr>
        <w:footnoteReference w:id="505"/>
      </w:r>
    </w:p>
    <w:p>
      <w:pPr>
        <w:pStyle w:val="BookText"/>
        <w:rPr/>
      </w:pPr>
      <w:r>
        <w:rPr>
          <w:rFonts w:ascii="Amiri" w:hAnsi="Amiri" w:eastAsia="Amiri" w:cs="Amiri"/>
          <w:color w:val="111111"/>
          <w:sz w:val="28"/>
          <w:sz w:val="28"/>
          <w:szCs w:val="28"/>
          <w:rtl w:val="true"/>
          <w:lang w:bidi="ar-SA"/>
        </w:rPr>
        <w:t>الرسالة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فیما نهی عنه فاسدا أو فیه ما لا یفسد، إن کان النّهی یقتضی کون جمیعه معصیة، ما لم یکن المراد به التأدیب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فالّذی یفسد هو أن یصل إلیه من طریق محرّم نحو ملک الغیر، أو الفروج، لأنّه إذا کان مجزیا فیتوصّل إلیه بما نهی عنه فیجب الاستباح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حکی عنه قول آخر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إذا نهی عن الفعل بوجه یختصّه فوجب أن یفسد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 ما ذکرناه إنّما هو علی مذهب من قال إنّ النّهی لا یدلّ علی فساد المنهیّ عنه، و یحتاج فی الفرق بین ما هو فاسد و ما لیس کذلک إلی أمر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قال بما قلناه لا یحتاج إلی شیء من ذلک</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هذه جملة کافیة فی هذا الباب</w:t>
      </w:r>
      <w:r>
        <w:rPr>
          <w:rFonts w:eastAsia="IRNazanin" w:cs="IRNazanin"/>
          <w:color w:val="111111"/>
          <w:sz w:val="28"/>
          <w:szCs w:val="28"/>
          <w:rtl w:val="true"/>
          <w:lang w:bidi="fa-IR"/>
        </w:rPr>
        <w:t xml:space="preserve">. </w:t>
      </w:r>
      <w:bookmarkStart w:id="150" w:name="pg6519_49396"/>
    </w:p>
    <w:p>
      <w:pPr>
        <w:pStyle w:val="Heading4"/>
        <w:numPr>
          <w:ilvl w:val="3"/>
          <w:numId w:val="1"/>
        </w:numPr>
        <w:rPr/>
      </w:pPr>
      <w:bookmarkStart w:id="151" w:name="__RefHeading___Toc1757251_653776707"/>
      <w:bookmarkStart w:id="152" w:name="_Toc49"/>
      <w:bookmarkEnd w:id="150"/>
      <w:bookmarkEnd w:id="151"/>
      <w:r>
        <w:rPr>
          <w:rtl w:val="true"/>
        </w:rPr>
        <w:t xml:space="preserve">فصل </w:t>
      </w:r>
      <w:r>
        <w:rPr>
          <w:rtl w:val="true"/>
        </w:rPr>
        <w:t xml:space="preserve">- </w:t>
      </w:r>
      <w:r>
        <w:rPr/>
        <w:t>3</w:t>
      </w:r>
      <w:r>
        <w:rPr>
          <w:rtl w:val="true"/>
        </w:rPr>
        <w:t xml:space="preserve"> «</w:t>
      </w:r>
      <w:r>
        <w:rPr>
          <w:rtl w:val="true"/>
        </w:rPr>
        <w:t>فیما یقتضیه الأمر من جمع و آحاد</w:t>
      </w:r>
      <w:r>
        <w:rPr>
          <w:rtl w:val="true"/>
        </w:rPr>
        <w:t>»</w:t>
      </w:r>
      <w:bookmarkEnd w:id="152"/>
    </w:p>
    <w:p>
      <w:pPr>
        <w:pStyle w:val="BookText"/>
        <w:rPr/>
      </w:pPr>
      <w:r>
        <w:rPr>
          <w:rFonts w:ascii="IRNazanin" w:hAnsi="IRNazanin" w:eastAsia="IRNazanin"/>
          <w:color w:val="111111"/>
          <w:sz w:val="28"/>
          <w:sz w:val="28"/>
          <w:szCs w:val="28"/>
          <w:rtl w:val="true"/>
          <w:lang w:bidi="fa-IR"/>
        </w:rPr>
        <w:t>اعلم أنّ الواجب اعتبار ظاهر الأمر، فإن اقتضی تناوله جمیع المکلّفین لزمتهم تلک العبادة و کان ذلک من فروض الأعیان، و ذلک مثل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أَقِیمُوا الصَّلاةَ وَ آتُوا الزَّکاةَ  </w:t>
      </w:r>
      <w:r>
        <w:rPr>
          <w:rStyle w:val="FootnoteAnchor"/>
          <w:rtl w:val="true"/>
        </w:rPr>
        <w:footnoteReference w:id="506"/>
      </w:r>
    </w:p>
    <w:p>
      <w:pPr>
        <w:pStyle w:val="BookText"/>
        <w:rPr/>
      </w:pP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یجری مجری ذلک، فإن دلّ الدّلیل علی أنّ المراد به بعضهم حمل علیه، و لأجل هذا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فَاقْطَعُوا أَیْدِیَهُما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یختصّ الأئمّة و من یقوم مقامهم فی النّیابة عنهم، لما دلّ الدّلیل علی أنّ ذلک من فروض الأئمة، و کذلک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خُذْ مِنْ أَمْوالِهِمْ صَدَقَةً   </w:t>
      </w:r>
      <w:r>
        <w:rPr>
          <w:rStyle w:val="FootnoteAnchor"/>
          <w:rtl w:val="true"/>
        </w:rPr>
        <w:footnoteReference w:id="507"/>
      </w:r>
      <w:r>
        <w:rPr>
          <w:rFonts w:ascii="IRNazanin" w:hAnsi="IRNazanin" w:eastAsia="IRNazanin"/>
          <w:color w:val="111111"/>
          <w:sz w:val="28"/>
          <w:sz w:val="28"/>
          <w:szCs w:val="28"/>
          <w:rtl w:val="true"/>
          <w:lang w:bidi="fa-IR"/>
        </w:rPr>
        <w:t>حملناه علی أنّ المراد به الأئمّة و السّعاة من قبلهم، لما کان ذلک من فروضهم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دلّ الدّلیل علی أنّ المأمور به مشروط، حمل وجوبه علی من اجتمعت تلک الشّرائط فیه، و لهذا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الأمر بصلاة الجمعة مخصوص بمن کان علی صفات مخصوصة و اجتمعت شرائط الجمعة کلّها هنا، و من لم یکن کذلک لا یجب علیه</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إن دلّ الدّلیل علی أنّ المراد بالأمر حصول أمر، و علم حصول ذلک الأمر </w:t>
      </w:r>
    </w:p>
    <w:p>
      <w:pPr>
        <w:pStyle w:val="BookText"/>
        <w:rPr/>
      </w:pPr>
      <w:r>
        <w:rPr>
          <w:rFonts w:ascii="IRNazanin" w:hAnsi="IRNazanin" w:eastAsia="IRNazanin"/>
          <w:color w:val="111111"/>
          <w:sz w:val="28"/>
          <w:sz w:val="28"/>
          <w:szCs w:val="28"/>
          <w:rtl w:val="true"/>
          <w:lang w:bidi="fa-IR"/>
        </w:rPr>
        <w:t>ببعض من تناوله الخطاب،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ذلک من فروض الکفایات، و ذلک نحو الجهاد لما کان البغیة به حفظ بیضة الإسلام و دفع الأعداء عن المسلمین، و کان ذلک یحصل ببعضهم، کان ذلک من فروض الکفایات، و کذلک القول فی الصّلاة علی الأموات، و دفنهم، و حملهم إلی المقابر، و متی قام بذلک من یحصل البغیة به سقط عن الباقین، و أجری مجری ذلک الفقهاء طلب الفقه، لأنّ ذلک عندهم من فروض الکفایات، لأنّهم جوّزوا تقلید العلماء و الرّجوع إلیهم، و من لم یجوّز ذلک جعله من فروض الأعیان و لم یجعله من فروض الکفایات، و کذلک أجری هذا المجری اختیار الأئمّة من أجاز اختیار الأئمّة، فأمّا علی مذهبنا فطریقة معرفة الأئمّة النصّ الثابت علی أعیانهم علی ما ذکرنا فی کتب الإمامة</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فهذه الجملة کافیة فی هذا الباب لأنّها تنبّه علی ما زاد علیها و یتفرّع إن شاء اللّه تعالی</w:t>
      </w:r>
      <w:r>
        <w:rPr>
          <w:rFonts w:eastAsia="IRNazanin" w:cs="IRNazanin"/>
          <w:color w:val="111111"/>
          <w:sz w:val="28"/>
          <w:szCs w:val="28"/>
          <w:rtl w:val="true"/>
          <w:lang w:bidi="fa-IR"/>
        </w:rPr>
        <w:t xml:space="preserve">. </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3" w:name="pg6519_49402"/>
      <w:bookmarkStart w:id="154" w:name="pg6519_49402"/>
      <w:bookmarkEnd w:id="154"/>
    </w:p>
    <w:p>
      <w:pPr>
        <w:pStyle w:val="Heading3"/>
        <w:numPr>
          <w:ilvl w:val="2"/>
          <w:numId w:val="1"/>
        </w:numPr>
        <w:rPr/>
      </w:pPr>
      <w:bookmarkStart w:id="155" w:name="pg6519_49402"/>
      <w:bookmarkStart w:id="156" w:name="__RefHeading___Toc1757253_653776707"/>
      <w:bookmarkStart w:id="157" w:name="_Toc50"/>
      <w:bookmarkEnd w:id="155"/>
      <w:bookmarkEnd w:id="156"/>
      <w:r>
        <w:rPr>
          <w:rtl w:val="true"/>
        </w:rPr>
        <w:t>الباب الخامس</w:t>
      </w:r>
      <w:r>
        <w:rPr>
          <w:rtl w:val="true"/>
        </w:rPr>
        <w:t xml:space="preserve">: </w:t>
      </w:r>
      <w:r>
        <w:rPr>
          <w:rtl w:val="true"/>
        </w:rPr>
        <w:t>الکلام فی العموم و الخصوص</w:t>
      </w:r>
      <w:bookmarkEnd w:id="157"/>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58" w:name="__RefHeading___Toc1757255_653776707"/>
      <w:bookmarkStart w:id="159" w:name="_Toc51"/>
      <w:bookmarkEnd w:id="158"/>
      <w:r>
        <w:rPr>
          <w:rtl w:val="true"/>
        </w:rPr>
        <w:t>اشارة</w:t>
      </w:r>
      <w:bookmarkEnd w:id="159"/>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0" w:name="pg6519_49406"/>
      <w:bookmarkStart w:id="161" w:name="pg6519_49406"/>
      <w:bookmarkEnd w:id="161"/>
    </w:p>
    <w:p>
      <w:pPr>
        <w:pStyle w:val="Heading4"/>
        <w:numPr>
          <w:ilvl w:val="3"/>
          <w:numId w:val="1"/>
        </w:numPr>
        <w:rPr/>
      </w:pPr>
      <w:bookmarkStart w:id="162" w:name="pg6519_49406"/>
      <w:bookmarkStart w:id="163" w:name="__RefHeading___Toc1757257_653776707"/>
      <w:bookmarkStart w:id="164" w:name="_Toc52"/>
      <w:bookmarkEnd w:id="162"/>
      <w:bookmarkEnd w:id="163"/>
      <w:r>
        <w:rPr>
          <w:rtl w:val="true"/>
        </w:rPr>
        <w:t xml:space="preserve">فصل </w:t>
      </w:r>
      <w:r>
        <w:rPr>
          <w:rtl w:val="true"/>
        </w:rPr>
        <w:t xml:space="preserve">- </w:t>
      </w:r>
      <w:r>
        <w:rPr/>
        <w:t>1</w:t>
      </w:r>
      <w:r>
        <w:rPr>
          <w:rtl w:val="true"/>
        </w:rPr>
        <w:t xml:space="preserve"> «</w:t>
      </w:r>
      <w:r>
        <w:rPr>
          <w:rtl w:val="true"/>
        </w:rPr>
        <w:t>فی ذکر حقیقة العموم و الخصوص، و ذکر ألفاظه</w:t>
      </w:r>
      <w:r>
        <w:rPr>
          <w:rtl w:val="true"/>
        </w:rPr>
        <w:t>»</w:t>
      </w:r>
      <w:bookmarkEnd w:id="164"/>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اعلم أنّ معنی قولنا فی اللّفظ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یفید أنّه یستغرق جمیع ما یصلح له، و بهذا الّذی ذکرناه یتمیّز من غیره ممّا لا یشرکه فی هذا الحکم، کما أنّ الأمر و النّهی و سائر أقسام الکلام یتمیّز بعضها من بعض بما یفید کلّ واحد من الأقسام، و لذلک 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 اللّه تعالی المکلّفین بالخطاب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کان متوجّها إلی جمیعهم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فأمّا استعمال هذه اللّفظة فی المعانی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 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عمّهم البلاء و القحط و المطر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ذلک، فالأقرب فی ذلک أن یکون مجازا، لأنّه لا یطّرد فی سائر المعانی، فلو إنّ قائلا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ذلک مشترک لم یکن بعیدا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قد ذهب إلیه قوم من الأصولیین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معنی قولنا فی اللّفظ</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یفید أنّه یتناول شیئا مخصوصا دون غیره ممّا کان یصحّ أن یتناوله، و لذلک 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خصّ اللّه تعالی زیدا بالخطاب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کان متوجّها إلیه دون غیره من المکلّفین الّذین کان یصحّ أن یتوجّه إلیهم الخطاب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ألفاظ التّثنیة، و ألفاظ الجموع، و ألفاظ النکرات و غیر ذلک فلا توصف بالعموم، لما لم تکن متناولة لها علی وجه الاستغراق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ألفاظ العموم فکثیرة نحن نذکر منها طرفا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جمیع العقلاء</w:t>
      </w:r>
      <w:r>
        <w:rPr>
          <w:rStyle w:val="FootnoteAnchor"/>
          <w:rtl w:val="true"/>
        </w:rPr>
        <w:footnoteReference w:id="508"/>
      </w:r>
    </w:p>
    <w:p>
      <w:pPr>
        <w:pStyle w:val="BookText"/>
        <w:rPr/>
      </w:pPr>
      <w:r>
        <w:rPr>
          <w:rFonts w:ascii="IRNazanin" w:hAnsi="IRNazanin" w:eastAsia="IRNazanin"/>
          <w:color w:val="111111"/>
          <w:sz w:val="28"/>
          <w:sz w:val="28"/>
          <w:szCs w:val="28"/>
          <w:rtl w:val="true"/>
          <w:lang w:bidi="fa-IR"/>
        </w:rPr>
        <w:t xml:space="preserve">أوضح المسالک </w:t>
      </w:r>
      <w:r>
        <w:rPr>
          <w:rFonts w:eastAsia="IRNazanin" w:cs="IRNazanin"/>
          <w:color w:val="111111"/>
          <w:sz w:val="28"/>
          <w:szCs w:val="28"/>
          <w:lang w:bidi="fa-IR"/>
        </w:rPr>
        <w:t>147:1</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کان نکرة فی المجازاة و الاستفهام، و متی وقعت معرفة لم تکن للعموم و کانت 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خاصّة بلا 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ما لا یعقل إذا وقعت الموقع الّذی ذکرناه من المجازاة و الاستفهام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متی کانت معرفة لم تکن مستغرقة کما قلنا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النّاس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یعمّ ما یعقل و ما لا یعقل و هی أعم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ذلک محکیّ عن قوم من النّحویین</w:t>
      </w:r>
      <w:r>
        <w:rPr>
          <w:rStyle w:val="FootnoteAnchor"/>
          <w:rtl w:val="true"/>
        </w:rPr>
        <w:footnoteReference w:id="509"/>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ابن عقیل </w:t>
      </w:r>
      <w:r>
        <w:rPr>
          <w:rFonts w:eastAsia="IRNazanin" w:cs="IRNazanin"/>
          <w:color w:val="111111"/>
          <w:sz w:val="28"/>
          <w:szCs w:val="28"/>
          <w:lang w:bidi="fa-IR"/>
        </w:rPr>
        <w:t>147:1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فإنّها تستغرق ما یعقل و ما لا یعقل و هی أعمّ من اللّفظتین معا، و لأجل هذا إذا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 شیء عندک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یحسن أن یجاب بما یعقل و ما لا یعقل، إلاّ أنّها لا تفید الاستغراق کما تفید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إلاّ أن یدلّ دلیل علی ذلک فیحکم له بحکم الاستغراق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الأوقات لأنّها تجری فی تناول جمیع الأوقات مجری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تناولها لجمیع العقلاء، و ذلک نحو أن یقول القائل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متی جئتنی جئتک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ذلک لا یختصّ وقتا دون وقت بل یتناول جمیع الأوقات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المکان نحو قول القائل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أین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یحسن أن یجیبه بذکر کلّ مکان، فعلم أنّه متناول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النّفی إذا دخل علی النّکرات، نحو قول القائل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رأیت أحدا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جاءنی من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ذلک یفید الاستغراق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أسماء الأجناس إذا دخلها الألف و اللاّم و لم یرد بها التّعریف، نحو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الْعَصْرِ إِنَّ الْإِنْسانَ لَفِی خُسْرٍ  </w:t>
      </w:r>
      <w:r>
        <w:rPr>
          <w:rStyle w:val="FootnoteAnchor"/>
          <w:rtl w:val="true"/>
        </w:rPr>
        <w:footnoteReference w:id="510"/>
      </w:r>
      <w:r>
        <w:rPr>
          <w:rFonts w:ascii="IRNazanin" w:hAnsi="IRNazanin" w:eastAsia="IRNazanin"/>
          <w:color w:val="111111"/>
          <w:sz w:val="28"/>
          <w:sz w:val="28"/>
          <w:szCs w:val="28"/>
          <w:rtl w:val="true"/>
          <w:lang w:bidi="fa-IR"/>
        </w:rPr>
        <w:t>و نحو 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أهلک النّاس الدّنیا و الدّرهم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ذلک یفید الجنس کلّه، و متی کان للتعریف کان مختصّا بما عرّف به نحو قول القائل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رأیت 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یشیر به إلی إنسان معهود متقدّم</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فأمّا إذا کان خالیا من الألف و اللاّم فإنّه یفید واحدا لا بعینه، نحو قول القائل</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رجلا و إنسانا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یجری مجراه، و هذا یسمّیه أهل اللّغة النّکرة لأنّه لا یخصّص واحدا من غیره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الأسماء المشتقّة نحو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السّارِقُ وَ السّارِقَةُ  </w:t>
      </w:r>
      <w:r>
        <w:rPr>
          <w:rStyle w:val="FootnoteAnchor"/>
          <w:rtl w:val="true"/>
        </w:rPr>
        <w:footnoteReference w:id="511"/>
      </w:r>
    </w:p>
    <w:p>
      <w:pPr>
        <w:pStyle w:val="BookText"/>
        <w:rPr/>
      </w:pP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اَلزّانِیَةُ وَ الزّانِی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 ما یجری مجری ذلک، فإنّه متی کان فیها الألف و اللاّم و لم یکن المراد بهما المعهود و المعرّف أفاد الاستغراق، و متی کان العهد أفاد التّعریف، نحو قول القائل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رأیت ضاربا و قاتلا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یفید واحدا لا بعینه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ألفاظ الجموع إذا دخلها الألف و اللاّم فإنّها تفید الاستغراق نحو 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رأیت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یجری مجری ذلک، فإنّ ذلک یفید جمیع الرّجال، إلاّ أن یراد بذلک التّعریف و العهد فیحمل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متی خلت ألفاظ الجموع من الألف و اللاّم فإنّها تفید ثلاثة فصاعدا لا بأعیانهم، و یکون الثّلاثة مقطوعا بهم و ما زاد علی ذلک مشکوکا فیه مجوّزا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اختلف المتکلّمون فیما ذکرناه من ألفاظ الجموع، و ألفاظ الجموع، و ألفاظ الأجناس، فذهب أبو علیّ و أکثر المتکلّمین إلی أنّ هذه الألفاظ إذا کان فیها الألف و اللام وجب حملها علی الاستغراق إذا لم یکونا للعهد، إلاّ أن یدلّ دلیل علی أنّه أرید بهما البعض فیحمل علیه</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ذهب أبو هاشم إلی أنّ ذلک لا یفید الاستغراق و إنّما یفید فی أسماء الأجناس تعریف الجنس المخصوص، و فی أسماء الجموع الثّلاثة فقط، لأنّ الحکیم لو أراد أکثر من ذلک لبیّنه</w:t>
      </w:r>
      <w:r>
        <w:rPr>
          <w:rStyle w:val="FootnoteAnchor"/>
          <w:rtl w:val="true"/>
        </w:rPr>
        <w:footnoteReference w:id="513"/>
      </w:r>
      <w:r>
        <w:rPr>
          <w:rFonts w:ascii="IRNazanin" w:hAnsi="IRNazanin" w:eastAsia="IRNazanin"/>
          <w:color w:val="111111"/>
          <w:sz w:val="28"/>
          <w:sz w:val="28"/>
          <w:szCs w:val="28"/>
          <w:rtl w:val="true"/>
          <w:lang w:bidi="fa-IR"/>
        </w:rPr>
        <w:t>، و نحن نبیّن الصّحیح من ذلک فیما بعد إن شاء اللّه تعالی</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اتّفق هؤلاء و غیر هؤلاء علی تناول الجموع الثّلاثة فصاعدا حقیقة و إنّ أقلّ الجمع ثلاثة، و ذهب قوم إلی أنّ أقلّ الجمع اثنان، و الأوّل هو مذهب أکثر الفقهاء</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منها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دخلت فی الکلام فإنّها تفید الاستغراق، سواء دخلت للتأکید أو لغیر ذلک، و أمّا ما یدخل للتأکید نحو قول القائل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رأیت الرّجال کلّهم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ذلک یفید الاستغراق، و ما یدخل لغیر التأکید نحو قول القائل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 رجل جاءنی أکرمته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عبد لی فهو حرّ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علی هذا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کُلَّما أُلْقِیَ فِیها فَوْجٌ سَأَلَهُمْ خَزَنَتُها  </w:t>
      </w:r>
      <w:r>
        <w:rPr>
          <w:rStyle w:val="FootnoteAnchor"/>
          <w:rtl w:val="true"/>
        </w:rPr>
        <w:footnoteReference w:id="515"/>
      </w:r>
    </w:p>
    <w:p>
      <w:pPr>
        <w:pStyle w:val="BookText"/>
        <w:rPr/>
      </w:pPr>
      <w:r>
        <w:rPr>
          <w:rFonts w:ascii="IRNazanin" w:hAnsi="IRNazanin" w:eastAsia="IRNazanin"/>
          <w:color w:val="111111"/>
          <w:sz w:val="28"/>
          <w:sz w:val="28"/>
          <w:szCs w:val="28"/>
          <w:rtl w:val="true"/>
          <w:lang w:bidi="fa-IR"/>
        </w:rPr>
        <w:t>الملک</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فهذه جملة من الألفاظ المستعملة فی العموم، و نحن ندلّ علی أنّها تفید العموم علی ما قلناه، و نذکر اختلاف النّاس فی ذلک، و الکلام علی شبههم فی فصل یلی هذا الفصل إن شاء اللّه تعالی</w:t>
      </w:r>
      <w:r>
        <w:rPr>
          <w:rFonts w:eastAsia="IRNazanin" w:cs="IRNazanin"/>
          <w:color w:val="111111"/>
          <w:sz w:val="28"/>
          <w:szCs w:val="28"/>
          <w:rtl w:val="true"/>
          <w:lang w:bidi="fa-IR"/>
        </w:rPr>
        <w:t xml:space="preserve">. </w:t>
      </w:r>
      <w:bookmarkStart w:id="165" w:name="pg6519_49417"/>
    </w:p>
    <w:p>
      <w:pPr>
        <w:pStyle w:val="Heading4"/>
        <w:numPr>
          <w:ilvl w:val="3"/>
          <w:numId w:val="1"/>
        </w:numPr>
        <w:rPr/>
      </w:pPr>
      <w:bookmarkStart w:id="166" w:name="__RefHeading___Toc1757259_653776707"/>
      <w:bookmarkStart w:id="167" w:name="_Toc53"/>
      <w:bookmarkEnd w:id="165"/>
      <w:bookmarkEnd w:id="166"/>
      <w:r>
        <w:rPr>
          <w:rtl w:val="true"/>
        </w:rPr>
        <w:t xml:space="preserve">فصل </w:t>
      </w:r>
      <w:r>
        <w:rPr>
          <w:rtl w:val="true"/>
        </w:rPr>
        <w:t xml:space="preserve">- </w:t>
      </w:r>
      <w:r>
        <w:rPr/>
        <w:t>2</w:t>
      </w:r>
      <w:r>
        <w:rPr>
          <w:rtl w:val="true"/>
        </w:rPr>
        <w:t xml:space="preserve"> «</w:t>
      </w:r>
      <w:r>
        <w:rPr>
          <w:rtl w:val="true"/>
        </w:rPr>
        <w:t>فی ذکر الکلام علی أنّ العموم له صیغة فی اللّغة</w:t>
      </w:r>
      <w:r>
        <w:rPr>
          <w:rtl w:val="true"/>
        </w:rPr>
        <w:t>»</w:t>
      </w:r>
      <w:bookmarkEnd w:id="167"/>
    </w:p>
    <w:p>
      <w:pPr>
        <w:pStyle w:val="BookText"/>
        <w:rPr/>
      </w:pPr>
      <w:r>
        <w:rPr>
          <w:rFonts w:ascii="IRNazanin" w:hAnsi="IRNazanin" w:eastAsia="IRNazanin"/>
          <w:color w:val="111111"/>
          <w:sz w:val="28"/>
          <w:sz w:val="28"/>
          <w:szCs w:val="28"/>
          <w:rtl w:val="true"/>
          <w:lang w:bidi="fa-IR"/>
        </w:rPr>
        <w:t>ذهب الفقهاء بأسرهم، و أکثر المتکلّمین إلی أنّ العموم له صیغة موضوعة فی اللّغة تختصّ به</w:t>
      </w:r>
      <w:r>
        <w:rPr>
          <w:rStyle w:val="FootnoteAnchor"/>
          <w:rtl w:val="true"/>
        </w:rPr>
        <w:footnoteReference w:id="516"/>
      </w:r>
    </w:p>
    <w:p>
      <w:pPr>
        <w:pStyle w:val="BookText"/>
        <w:rPr/>
      </w:pPr>
      <w:r>
        <w:rPr>
          <w:rFonts w:ascii="IRNazanin" w:hAnsi="IRNazanin" w:eastAsia="IRNazanin"/>
          <w:color w:val="111111"/>
          <w:sz w:val="28"/>
          <w:sz w:val="28"/>
          <w:szCs w:val="28"/>
          <w:rtl w:val="true"/>
          <w:lang w:bidi="fa-IR"/>
        </w:rPr>
        <w:t xml:space="preserve">انظر التعلیقة رقم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صفحة </w:t>
      </w:r>
      <w:r>
        <w:rPr>
          <w:rFonts w:eastAsia="IRNazanin" w:cs="IRNazanin"/>
          <w:color w:val="111111"/>
          <w:sz w:val="28"/>
          <w:szCs w:val="28"/>
          <w:lang w:bidi="fa-IR"/>
        </w:rPr>
        <w:t>273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قوم من المرجئة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لیس للعموم صیغة أصلا، بل کلّما یدّعی أنّه للعموم فهو للخصوص، و إنّما یفید أقلّ ما یمکن أن یکون مرادا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أکثر المرجئة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الألفاظ مشترکة بین العموم و الخصوص حقیقة فیهما معا</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النّاس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یجب حمل اللّفظ علی الاستغراق فیما یتعلّق بالأمر </w:t>
      </w:r>
    </w:p>
    <w:p>
      <w:pPr>
        <w:pStyle w:val="BookText"/>
        <w:rPr/>
      </w:pPr>
      <w:r>
        <w:rPr>
          <w:rFonts w:ascii="IRNazanin" w:hAnsi="IRNazanin" w:eastAsia="IRNazanin"/>
          <w:color w:val="111111"/>
          <w:sz w:val="28"/>
          <w:sz w:val="28"/>
          <w:szCs w:val="28"/>
          <w:rtl w:val="true"/>
          <w:lang w:bidi="fa-IR"/>
        </w:rPr>
        <w:t>و النّهی، و لا یجب ذلک فی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الّذی أذهب إلیه هو الأوّل، و الّذی یدلّ علی ذلک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استعملت فی المجازات یحسن أن یستثنی منها کلّ واحد من العقلاء، فلو لا أنّها مستغرقة لهم و إلاّ لم یجز ذلک، یبیّن ذلک أنّها لمّا لم یکن متناولة لغیر العقلاء لم یحسن أن یستثنی منها من لیس بعاقل، و من دفع حسن الاستثناء فی هذا لا یحسن مکالمته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حسن الاستثناء فی هذا الموضع لأنّه یصلح أن یکون متناولا لجمیع العقلاء و إن لم یکن ذلک واجبا، و غیر العقلاء إنّما لم یحسن استثناؤهم لأنّ اللّفظ لا یصلح أن یتناولهم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الاستثناء إنّما حسن للصّلاح دون الوجوب لحسن الاستثناء من النکرات، و قد علمنا أنّه لا یحسن أن یقول القائل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رأیت رجلا إلاّ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کان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یصلح أن یقع علی زید و علی غیره من الرّجال صلاحا لما لم یکن متناولا له علی طریق 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ارتکبوا حسن الاستثناء من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لم یحسن کلامهم، لأنّ ذلک معلوم من دین أهل اللّغة 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لم یحسن الاستثناء من ذلک لأنّ من شأن الاستثناء ألاّ یدخل إلاّ علی جملة ذات عدد و إن لم تکن مستغرقة، أ لا تری أنّها تدخل علی ألفاظ الجموع الّتی لیست للاستغراق، أ لا تری أنّه إذا قال القائل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رأیت رجالا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یحسن أن یستثنی منها زیدا و عمرا و خالدا و بکرا، و لا یقول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ألفاظ الجمع الخالیة من الألف و اللاّم مستغرقة لجمیع الرّجال، فبطل أن یکون الاستثناء دلالة علی الاستغراق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قولکم</w:t>
      </w:r>
      <w:r>
        <w:rPr>
          <w:rStyle w:val="FootnoteAnchor"/>
          <w:rtl w:val="true"/>
        </w:rPr>
        <w:footnoteReference w:id="517"/>
      </w:r>
    </w:p>
    <w:p>
      <w:pPr>
        <w:pStyle w:val="BookText"/>
        <w:rPr/>
      </w:pPr>
      <w:r>
        <w:rPr>
          <w:rFonts w:ascii="IRNazanin" w:hAnsi="IRNazanin" w:eastAsia="IRNazanin"/>
          <w:color w:val="111111"/>
          <w:sz w:val="28"/>
          <w:sz w:val="28"/>
          <w:szCs w:val="28"/>
          <w:rtl w:val="true"/>
          <w:lang w:bidi="fa-IR"/>
        </w:rPr>
        <w:t>فی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قولکم أنّ من شأن الاستثناء ألاّ یدخل إلاّ علی جملة باطل، لأنّها تدخل علی لفظ الواحد المنفیّ، أ لا تری أنّه یحسن أن یقول القائل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جاءنی من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یستثنی کلّ واحد من العقلاء، و لیس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جمع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إمّا ألفاظ الجموع فمن النّاس من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محمولة علی الاستغراق، لأنّ المتکلّم بها لو أراد أقلّ الجموع أو جمعا دون جمع لبیّنه، فلمّا لم یبیّن ذلک دلّ علی أنّه أراد الجمیع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قال هذا سقط عنه السّؤال، و من لم یقل ذلک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تصلح للثّلاثة فصاعدا یقول لا یحسن الاستثناء من ألفاظ الجموع، لأنّ من حقّ الاستثناء أن یخرج من الکلام ما لولاه لوجب دخوله فیه، و لمّا لم یکن ذلک فی ألفاظ المجموع لم یحسن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أکّدوا ذلک بأن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حسن ذلک لحسن أن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رأیت رجالا إلاّ رجلا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فیستثنون واحدا منکرا من ألفاظ الجمع، فلمّا لم یحسن ذلک دلّ علی أنّ حکم المعرّف مثله و إنّما ذلک أبین</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لیس لهم أن یقولوا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لم یحسن استثناء المنکر لأنّه لا یفید، و ذلک أنّه لو کان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یحسن لما قالوه لما حسن استثناؤه من ألفاظ الجموع إذا کان فیها الألف و اللام، و ذلک نحو قول القائل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لقیت الأشراف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یحسن منه أن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واحدا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کان منکرا لما کان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مستغرقا من حیث کانت فیه الألف و اللام، فعلم بذلک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إنّما امتنع فی الموضع الّذی امتنع لمکان الصّلاح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لعلّة </w:t>
      </w:r>
    </w:p>
    <w:p>
      <w:pPr>
        <w:pStyle w:val="BookText"/>
        <w:rPr/>
      </w:pPr>
      <w:r>
        <w:rPr>
          <w:rFonts w:ascii="IRNazanin" w:hAnsi="IRNazanin" w:eastAsia="IRNazanin"/>
          <w:color w:val="111111"/>
          <w:sz w:val="28"/>
          <w:sz w:val="28"/>
          <w:szCs w:val="28"/>
          <w:rtl w:val="true"/>
          <w:lang w:bidi="fa-IR"/>
        </w:rPr>
        <w:t>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إنّما لم یحسن الاستثناء من لفظ الواحد المنکر فی الإثبات من حیث إنّه کان من حقّ الاستثناء أن یمیّز ذاتا من ذات، و إذا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رأیت رجلا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یمیّز ذاتا من ذات، لأنّ الذّات واحدة و إنّما میّزها بصفة، کأنّه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لیس صفتها أن یکون زیدا و ذلک ضدّ حقیقة الاستثناء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ذلک یبطل بما قلناه من لفظ النّکرة فی النّفی، و 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جاءنی من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اللّفظ واحد و التّمیّز یقع هاهنا بالتّسمیة و الصّفة، و مع ذلک فإنّه یحسن الاستثناء بلا 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أنّ الّذی ذکروه غیر صحیح، لأنّ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یقع علی کلّ رجل صلاحا، فإذا استثنی بعض الرّجال فقد میّز ذاتا من غیرها علی ما تقتضیه حقیقتها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یکون الاستثناء دلیلا فی هذا الموضع و نحن نعلم أنّ القائل إذا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دخل داری أکرمته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یحسن أن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الشیاطین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کانوا من العقلاء؟ و کذلک إذا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دخل داری ضربته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یحسن أن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الملائکة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کانوا من جملة العقلاء؟ فعلم بذلک أنّ الاستثناء لیس بدلالة علی أنّ اللّفظ متناول لجمیع العقلاء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الّذی ذکرتموه لا ینقض استدلالنا، لأنّ هذا السّؤال یتضمّن أنّ اللّفظ قد یشمل علی من لم یحسن استثناؤه و ذلک لا یضرّنا، و إنّما کان ینقض دلیلنا لو تبیّنوا حسن الاستثناء من لفظ لا یتناول ما استثنی، و ذلک متعذّر علی ما بیّناه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أنّه إنّما لم یحسن استثناء واحد من الفریقین المذکورین فی السّؤال من حیث علمنا بالعادة أنّه لم یقصدهما باللّفظ، فصار الفریقان فی حکم ما لم یتناوله اللّفظ أصلا، و متی فرضنا أنّ الکلام صادر من الحکیم تعالی حسن أن 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عصانی عاقبته إلاّ إبلیس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کان اللّفظ متناولا له و جاز أن یکون مقصودا به، و إنّما امتنع فی الواحد منّا لما قلناه</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قول القائل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دخل داری ضربته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متناولا لجمیع العقلاء لم </w:t>
      </w:r>
    </w:p>
    <w:p>
      <w:pPr>
        <w:pStyle w:val="BookText"/>
        <w:rPr/>
      </w:pPr>
      <w:r>
        <w:rPr>
          <w:rFonts w:ascii="IRNazanin" w:hAnsi="IRNazanin" w:eastAsia="IRNazanin"/>
          <w:color w:val="111111"/>
          <w:sz w:val="28"/>
          <w:sz w:val="28"/>
          <w:szCs w:val="28"/>
          <w:rtl w:val="true"/>
          <w:lang w:bidi="fa-IR"/>
        </w:rPr>
        <w:t>یحسن أن یستفهم فیقال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دخلها 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دخلها أبوک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فلمّا حسن هذا الاستفهام دلّ علی أنّ اللّفظ مشترک، و إنّما یستفهم عن مراده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نسلّم أنّه یحسن الاستفهام فی هذا الموضع علی کلّ حال و علی کلّ وجه، و هو أنّه إذا کان المخاطب عالما باللّغة، و کان حکیما لا یجوز علیه التعمیة، و لم یقرن بخطابه ما یدلّ علی أنّه أراد بعضه أو تخصیصه، و کان المخاطب أیضا عالما باللّغة و بموضوعها لم یحسن أن یستفهم، و إنّما یحسن الاستفهام إذا اختلف بعض الشّرائط، إمّا بأن یکون أحدهما غیر عالم باللّغة و موضوعها، أو مع کونهما عالمین یجوّز السّامع أن یکون المتکلّم أراد به المجاز و لم یبیّنه فی الحال، أو غیر ذلک من الأمور فإنّ عند ذلک یحسن الاستفهام، و إذا خلا من ذلک لم یحسن علی ما بیّناه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الاستفهام قد یحسن فی المواضع الّتی لیست للاشتراک، أ لا تری أنّ القائل إذا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لقیت الأمیر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ضربت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یحسن أن 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لقیت الأمیر نفسه أو بعض أصحابه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کذلک 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ضربت أباک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ذلک لا یدلّ علی أنّ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مشترک بینه و بین صاحبه، و لا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مشترک بینه و بین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امتنعوا من حسن الاستفهام هاهنا امتنعنا هناک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لیس باستفهام، و إنّما هو استعظام و استکبار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قول السّائل لمن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دخل داری أهنته، و إن دخلها نبیّ أو أبوک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هو استعظام و استکبار و لیس باستفهام، و لا فرق بینهما علی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یدلّ أیضا علی أنّ الاستثناء یخرج من الکلام ما لولاه لوجب دخوله تحته لا ما یصلح، حسن الاستثناء من الأعداد، لأنّ القائل إذا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أعط فلانا عشرة دراهم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یحسن أن یستثنی منه أن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واحدا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لفظة عشرة مشترکة بین العشرة و التّسعة</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ارتکبوا ذلک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اللّفظ مشترک، ألزموا أن یکون مشترکا بین العشرة و الثمانیة، و السّبعة، و الستّة، و الخمسة، و إلی الواحد، لأنّه یحسن استثناء جمیع ذلک من لفظ العشرة، لأنّه یحسن بلا خلاف أن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أعط عشرة دراهم إلاّ خمسة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علی</w:t>
      </w:r>
      <w:r>
        <w:rPr>
          <w:rStyle w:val="FootnoteAnchor"/>
          <w:rtl w:val="true"/>
        </w:rPr>
        <w:footnoteReference w:id="518"/>
      </w:r>
    </w:p>
    <w:p>
      <w:pPr>
        <w:pStyle w:val="BookText"/>
        <w:rPr/>
      </w:pPr>
      <w:r>
        <w:rPr>
          <w:rFonts w:ascii="IRNazanin" w:hAnsi="IRNazanin" w:eastAsia="IRNazanin"/>
          <w:color w:val="111111"/>
          <w:sz w:val="28"/>
          <w:sz w:val="28"/>
          <w:szCs w:val="28"/>
          <w:rtl w:val="true"/>
          <w:lang w:bidi="fa-IR"/>
        </w:rPr>
        <w:t>فی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الصّحیح من المذهب و إن کان فیه خلاف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أعط عشرة إلاّ تسعة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أیّ الأمرین ارتکبوا کان ذلک خلافا لما هو معلوم ضرورة من دین أهل اللّغة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العلّة الجامعة بین الأعداد و غیرها؟، و لم إذا ثبت فی الأعداد ما قلتم یجب أن یکون حکم غیرها هذا الحکم‌؟ قیل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جمعنا بینهما من حیث أنّ حقیقة الاستثناء کان أن یخرج من الکلام ما لولاه لوجب دخوله تحته، فلمّا کان هذا حقیقة الاستثناء وجب ذلک فی کلّ موضع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الوجوب الّذی ثبت فی الأعداد أمر زائد علی الصّلاح، و إذا کان الأمر کذلک عاد الأمر إلی أنّه إنّما حسن الاستثناء فیها للصّلاح دون 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الصّلاح و إن کان حاصلا فی الأعداد فإنّه لا ینفصل من الوجوب، فینبغی أن یکون حقیقة الاستثناء أن یدخل علی الصّلاح الّذی هو الواجب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نقول فی جمیع المواضع الّتی نقول فیها بالعموم، و لا یجب أن یحکم بأنّ هذا الحکم بمجرّد الصّلاح، لأنّ ذلک لیس بحاصل فی الأعداد، و إنّما کان یجوز أن لو ثبت الصّلاح بمجرّده و حسن مع ذلک الاستثناء لزمنا أن نحکم بحسن ذلک الصّلاح، فأمّا و لمّا یثبت ذلک فلا یجوز علی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یدلّ أیضا علی ما قلناه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القائل إذا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عندک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مستفهما، یحسن أن یجاب بذکر کلّ عاقل، فلو لا أنّ اللّفظة مستغرق لجمیع العقلاء، و إلاّ لم یحسن ذلک، و إنّما قلنا ذلک لأنّ من شأن الجواب أن یکون مطابقا للسّؤال، و لا یکون مطابقا إلاّ بأن یجیب المجیب عمّا سأل عنه السائل، و فی ذلک ثبوت الاستفهام عن جمیع العقلاء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لأجل ذلک حسن الجواب بذکر کلّ واحد منهم</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یحسن أن یجیب بذکر کلّ عاقل، بل ینبغی أن یستفهم و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الرّجال، أو من النّساء، أو من الأشراف، أو من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بیّن مراده أجابه حینئذ</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قیل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مذهب أهل اللّغة خلاف هذا، لأنّهم یستحسنون الجواب بذکر العقلاء فی الموضع الّذی ذکرناه و إن لم یستفهموا أصلا، فمن أوقف حسن ذلک علی الاستفهام کان مکابرا مدافعا للضّرورات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هذا یوجب أن یستفهموا أبدا حتّی ینتهی إلی أقلّ من یمکن أن یکون مرادا، لأنّه لو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ذلک غیر مستغرق فی الرّجال علی مذهب الخصم، و یحسن أن یستفهم دفعة أخری فیقال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من أهل الأشراف أو من غیرهم أو من شیوخهم أو شبّانهم، أ من صنّاعهم أو غیرهم‌؟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أبدا، و هذا یؤدّی إلی أن لا یحسن الجواب إلاّ بعد ذکر جمیع ذلک، و المعلوم ضرورة خلاف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لهم أن یقولوا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حسن الجواب بجواز أن یکون مستفهما عنه لا بوجوب ذلک، و ذلک أنّ بالصّلاح لا یصیر الکلام مطابقا للجواب و إنّما یصیر کذلک بالوجوب، أ لا تری أنّه إذا سأل سائل</w:t>
      </w:r>
      <w:r>
        <w:rPr>
          <w:rStyle w:val="FootnoteAnchor"/>
          <w:rtl w:val="true"/>
        </w:rPr>
        <w:footnoteReference w:id="519"/>
      </w:r>
    </w:p>
    <w:p>
      <w:pPr>
        <w:pStyle w:val="BookText"/>
        <w:rPr/>
      </w:pPr>
      <w:r>
        <w:rPr>
          <w:rFonts w:ascii="IRNazanin" w:hAnsi="IRNazanin" w:eastAsia="IRNazanin"/>
          <w:color w:val="111111"/>
          <w:sz w:val="28"/>
          <w:sz w:val="28"/>
          <w:szCs w:val="28"/>
          <w:rtl w:val="true"/>
          <w:lang w:bidi="fa-IR"/>
        </w:rPr>
        <w:t>فی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المفتی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یجوز وطء المرأة فی حال قرأها؟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یحسن من المفتی أن یجیب عن ذلک بنعم أو لا، بل یحتاج أن یستفهمه فیقول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الّذی أردت بالقرء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 أردت الحیض فلا یجوّز ذلک وطئها، و إن أردت الطّهر کان ذلک جائزا، و العلّة فی قبح الجواب بما ذکرناه هو أنّ السّؤال یمکن أن یکون عن کلّ واحد من المعنیین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یجب أن یکون سؤالا عنهما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فکذلک لو کان ألفاظ العموم من الاستفهام جاریة ذلک المجری، لوجب أن لا یحسن الجواب بذکر آحاد العقلاء، و قد علمنا خلاف ذلک</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ثبت ذلک فی الاستفهام، لم زعمتم أنّ حکم غیر الاستفهام حکمه فی المجازات و غیرها؟ قیل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غرضنا بهذا الدّلیل أن یثبت أنّ هاهنا لفظا موضوعا للاستغراق فی </w:t>
      </w:r>
    </w:p>
    <w:p>
      <w:pPr>
        <w:pStyle w:val="BookText"/>
        <w:rPr/>
      </w:pPr>
      <w:r>
        <w:rPr>
          <w:rFonts w:ascii="IRNazanin" w:hAnsi="IRNazanin" w:eastAsia="IRNazanin"/>
          <w:color w:val="111111"/>
          <w:sz w:val="28"/>
          <w:sz w:val="28"/>
          <w:szCs w:val="28"/>
          <w:rtl w:val="true"/>
          <w:lang w:bidi="fa-IR"/>
        </w:rPr>
        <w:t>اللّغة لیبطل به مذهب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لیس کذلک أو قال بالاشتراک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فأمّا ثبوتها فی کلّ حال فنعمله بالإجماع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هو أنّ کلّ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اللّفظة مستغرقة فی الاستفهام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کذلک فی المجازاة، فمن فرّق بینهما کان مخالفا للإجماع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القول فی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وقعت للمجازاة أو الاستفهام حکم ما ذکرنا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السّواء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فأمّا إذا وقعت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معرفة فلا یدلّ علی الاستغراق، بل تکون مصروفة إلی ذلک المعروف بعینه، و لأجل هذا یحتاجان إلی صلة کصلة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کانت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معرفة، و ذلک نحو قول القائل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ضربت من عندک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أکلت ما أکلت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یجری مجری ذلک، فلا یتمّ فائدتهما إلاّ بالصّلة علی ما بیّناه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 أیضا علی صحّة ما ذهبنا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أهل اللّغة عدّوا العموم من أقسام الکلام، و کذلک الخصوص، و فرّقوا بینهما، و قالوا هذا الکلام خرج مخرج العموم، و هذا الکلام خرج مخرج الخصوص، فدلّ ذلک علی أنّ فائدتهما تختلف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علی مذهب الخصم کلاهما سواء، فینبغی أن نحکم ببطلان ذلک، و جری مجری فصلهم بین صیغة الأمر، و النّهی، و الخبر، و غیر ذلک من أقسام الکلام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فکما أنّ لکلّ شیء من ذلک صیغة موضوعة، ینبغی أن یکون حکم العموم مثله سواء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نازعوا فی جمیع ذلک، فقد دللنا علی ثبوته فیما تقدّم فلا فائدة فی إعادته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استدلّ کثیر من الفقهاء و المتکلّمین</w:t>
      </w:r>
      <w:r>
        <w:rPr>
          <w:rStyle w:val="FootnoteAnchor"/>
          <w:rtl w:val="true"/>
        </w:rPr>
        <w:footnoteReference w:id="520"/>
      </w:r>
    </w:p>
    <w:p>
      <w:pPr>
        <w:pStyle w:val="BookText"/>
        <w:rPr/>
      </w:pPr>
      <w:r>
        <w:rPr>
          <w:rFonts w:ascii="IRNazanin" w:hAnsi="IRNazanin" w:eastAsia="IRNazanin"/>
          <w:color w:val="111111"/>
          <w:sz w:val="28"/>
          <w:sz w:val="28"/>
          <w:szCs w:val="28"/>
          <w:rtl w:val="true"/>
          <w:lang w:bidi="fa-IR"/>
        </w:rPr>
        <w:t>انظر أقوالهم 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میزان الأصول </w:t>
      </w:r>
      <w:r>
        <w:rPr>
          <w:rFonts w:eastAsia="IRNazanin" w:cs="IRNazanin"/>
          <w:color w:val="111111"/>
          <w:sz w:val="28"/>
          <w:szCs w:val="28"/>
          <w:lang w:bidi="fa-IR"/>
        </w:rPr>
        <w:t>417:1</w:t>
      </w:r>
      <w:r>
        <w:rPr>
          <w:rFonts w:eastAsia="IRNazanin" w:cs="IRNazanin"/>
          <w:color w:val="111111"/>
          <w:sz w:val="28"/>
          <w:szCs w:val="28"/>
          <w:rtl w:val="true"/>
          <w:lang w:bidi="fa-IR"/>
        </w:rPr>
        <w:t>-</w:t>
      </w:r>
      <w:r>
        <w:rPr>
          <w:rFonts w:eastAsia="IRNazanin" w:cs="IRNazanin"/>
          <w:color w:val="111111"/>
          <w:sz w:val="28"/>
          <w:szCs w:val="28"/>
          <w:lang w:bidi="fa-IR"/>
        </w:rPr>
        <w:t>415</w:t>
      </w:r>
      <w:r>
        <w:rPr>
          <w:rFonts w:ascii="IRNazanin" w:hAnsi="IRNazanin" w:eastAsia="IRNazanin"/>
          <w:color w:val="111111"/>
          <w:sz w:val="28"/>
          <w:sz w:val="28"/>
          <w:szCs w:val="28"/>
          <w:rtl w:val="true"/>
          <w:lang w:bidi="fa-IR"/>
        </w:rPr>
        <w:t>، المنخول</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شرح اللّمع </w:t>
      </w:r>
      <w:r>
        <w:rPr>
          <w:rFonts w:eastAsia="IRNazanin" w:cs="IRNazanin"/>
          <w:color w:val="111111"/>
          <w:sz w:val="28"/>
          <w:szCs w:val="28"/>
          <w:lang w:bidi="fa-IR"/>
        </w:rPr>
        <w:t>317:1</w:t>
      </w:r>
      <w:r>
        <w:rPr>
          <w:rFonts w:ascii="IRNazanin" w:hAnsi="IRNazanin" w:eastAsia="IRNazanin"/>
          <w:color w:val="111111"/>
          <w:sz w:val="28"/>
          <w:sz w:val="28"/>
          <w:szCs w:val="28"/>
          <w:rtl w:val="true"/>
          <w:lang w:bidi="fa-IR"/>
        </w:rPr>
        <w:t>، روضة النّاظر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المعتمد </w:t>
      </w:r>
      <w:r>
        <w:rPr>
          <w:rFonts w:eastAsia="IRNazanin" w:cs="IRNazanin"/>
          <w:color w:val="111111"/>
          <w:sz w:val="28"/>
          <w:szCs w:val="28"/>
          <w:lang w:bidi="fa-IR"/>
        </w:rPr>
        <w:t>206:1</w:t>
      </w:r>
      <w:r>
        <w:rPr>
          <w:rFonts w:eastAsia="IRNazanin" w:cs="IRNazanin"/>
          <w:color w:val="111111"/>
          <w:sz w:val="28"/>
          <w:szCs w:val="28"/>
          <w:rtl w:val="true"/>
          <w:lang w:bidi="fa-IR"/>
        </w:rPr>
        <w:t>-</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الإحکام </w:t>
      </w:r>
      <w:r>
        <w:rPr>
          <w:rFonts w:eastAsia="IRNazanin" w:cs="IRNazanin"/>
          <w:color w:val="111111"/>
          <w:sz w:val="28"/>
          <w:szCs w:val="28"/>
          <w:lang w:bidi="fa-IR"/>
        </w:rPr>
        <w:t>379:3</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ذلک بأن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ثبت أنّ العموم</w:t>
      </w:r>
    </w:p>
    <w:p>
      <w:pPr>
        <w:pStyle w:val="BookText"/>
        <w:rPr/>
      </w:pPr>
      <w:r>
        <w:rPr>
          <w:rFonts w:ascii="IRNazanin" w:hAnsi="IRNazanin" w:eastAsia="IRNazanin"/>
          <w:color w:val="111111"/>
          <w:sz w:val="28"/>
          <w:sz w:val="28"/>
          <w:szCs w:val="28"/>
          <w:rtl w:val="true"/>
          <w:lang w:bidi="fa-IR"/>
        </w:rPr>
        <w:t>أمر معقول و الحاجة إلی استعماله ماسّة، فلا بدّ أن یکونوا وضعوا لذلک عبارة یلتجئون إلیها عند الحاجة إلی ذلک، کما أنّهم وضعوا لسائر أقسام الکلام، و قد قلنا ما عندنا فی هذه الطریقة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استدلّوا أیضا بأن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یخلو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تکون موضوعة لغیر العقلاء أو لبعض العقلاء، أو لکلّ واحد منهم علی البدل، أو لجمیعهم علی جهة الاستغراق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یجوز أن تکون موضوعة لغیر العقلاء لأنّ ذلک معلوم خلافه و هو متّفق علیه أیضا، و لا أن تکون موضوعة لبعضهم، لأنّه لیس بعضهم بأن یتناوله أولی من بعض، و لا أن تکون موضوعة لواحد لا بعینه لمثل ما قلناه، و لأنّه لو کان کذلک لجری مجری أسماء النّکرات، و قد علمنا خلاف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کان لواحد لا بعینه لکان السائل إذا استفهم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عندک‌؟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یحسن أن یجاب بذکر نفسین أو ما زاد علیهما، لأنّ السّؤال وقع عن واحد، و قد علمنا خلاف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یبق بعد ذلک إلاّ أنّها مستغرقة لجمیع العقلاء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استدلّوا أیضا علی ذلک بأن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وجدنا العموم قد أکّد بلفظ لا یؤکّد به الخصوص، و کذلک الخصوص أکّد بلفظ لا یؤکّد به العموم، أ لا تری أنّهم یقولون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القوم أجمعین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زیدا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لا یحسن أن یقول القائل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رأیت القوم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زیدا أجمعین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ثبت هذا، دلّ علی أنّ معنیهما یختلف، کما أنّ تأکیدیهما یختلف، و لا یختلفان إلاّ بأن یکون أحدهما عامّا و الآخر یکون خاصّا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یمکن الاعتراض علی هذا الدّلیل بأن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لم یحسن أن 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رأیت زیدا أجمعین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زیدا یختصّ شخصا واحدا، فلا یجوز أن یؤکّد بما یختصّ الجماعة و إن کانت غیر مستغرقة، و کذلک إنّما لم یحسن أن 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رأیت القوم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w:t>
      </w:r>
    </w:p>
    <w:p>
      <w:pPr>
        <w:pStyle w:val="BookText"/>
        <w:rPr/>
      </w:pPr>
      <w:r>
        <w:rPr>
          <w:rFonts w:ascii="IRNazanin" w:hAnsi="IRNazanin" w:eastAsia="IRNazanin"/>
          <w:color w:val="111111"/>
          <w:sz w:val="28"/>
          <w:sz w:val="28"/>
          <w:szCs w:val="28"/>
          <w:rtl w:val="true"/>
          <w:lang w:bidi="fa-IR"/>
        </w:rPr>
        <w:t>القوم یفید جماعة و إن لم یفد جمیعهم، فلا یجوز أن یؤکّد بما یؤکّد به شخص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رتّبوا دلیل الاستفهام علی وجه آخر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علمنا أنّهم لمّا استطالوا أن یستفهموا عن العقلاء بذکر أسمائهم فیقولوا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زید عندک، أ عمرو عندک، أ خالد عندک‌؟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وضعوا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نائبة من تعداد الأسماء لما شقّ علیهم ذلک، فیجب أن تکون مستغرقة لجمیعهم، کما أنّهم لو عدّوا ذکر جمیعهم علی التّفصیل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أمکن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لکان ذلک شاملا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رتّبوا مثل هذا فی المجازات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استطالوا أن یقولوا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دخل زید و عمرو و بکر داری أکرمتهم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وضعوا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عوضا عنه فقالوا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دخل داری أکرمته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فینبغی أن تکون مستغرقة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طریقة قریبة، غیر أنّه یمکن أن یقال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نسلّم أنّهم وضعوا هذه اللّفظة بدلا عن تعداد جمیع الأسماء، بل لا یمتنع أن یکونوا وضعوها لجماعة لا بأعیانهم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قلنا جوابا عن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کذلک لم یحسن أن یجاب بذکر کلّ واحد من العقلاء، کان ذلک رجوعا إلی الطّریقة الأولی الّتی قدّمناها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قالوا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کان الاستفهام بلفظ الخاصّ یختصّ شخصا بعینه و لا یتعدّی إلی غیره، فینبغی أن یکون الاستفهام بلفظ العموم بالعکس من ذلک، و هو أن یتعدّی إلی غیره، و لیس بأن یتعدّی إلی قوم أولی من أن یتعدّی إلی آخرین، فوجب أن یتعدّی إلی جمیعهم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أیضا مثل الأوّل، لأنّه یمکن أوّلا أن 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هذا قیاس، و القیاس فی اللّغة لا یجوز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غایة ما فی هذا أنّه یجب أن یتعدّی إلی أکثر من لفظ الخاصّ، و لا یجب من ذلک تعدّیه إلی جمیعهم</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لم یجب، لم یحسن أن یجاب بذکر کلّ واحد منهم کان رجوعا إلی الدّلیل الّذی قدّمناه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إن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بعضهم بذلک أولی من بعض، کان ذلک رجوعا إلی دلیل التّقسیم الّذی قدّمناه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استدلّ المخالف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صحّة مذهبه بأن قال</w:t>
      </w:r>
      <w:r>
        <w:rPr>
          <w:rStyle w:val="FootnoteAnchor"/>
          <w:rtl w:val="true"/>
        </w:rPr>
        <w:footnoteReference w:id="521"/>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المعتمد </w:t>
      </w:r>
      <w:r>
        <w:rPr>
          <w:rFonts w:eastAsia="IRNazanin" w:cs="IRNazanin"/>
          <w:color w:val="111111"/>
          <w:sz w:val="28"/>
          <w:szCs w:val="28"/>
          <w:lang w:bidi="fa-IR"/>
        </w:rPr>
        <w:t>223:1</w:t>
      </w:r>
      <w:r>
        <w:rPr>
          <w:rFonts w:eastAsia="IRNazanin" w:cs="IRNazanin"/>
          <w:color w:val="111111"/>
          <w:sz w:val="28"/>
          <w:szCs w:val="28"/>
          <w:rtl w:val="true"/>
          <w:lang w:bidi="fa-IR"/>
        </w:rPr>
        <w:t>-</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الأحکام</w:t>
      </w:r>
      <w:r>
        <w:rPr>
          <w:rFonts w:eastAsia="IRNazanin" w:cs="IRNazanin"/>
          <w:color w:val="111111"/>
          <w:sz w:val="28"/>
          <w:szCs w:val="28"/>
          <w:rtl w:val="true"/>
          <w:lang w:bidi="fa-IR"/>
        </w:rPr>
        <w:t xml:space="preserve">: </w:t>
      </w:r>
      <w:r>
        <w:rPr>
          <w:rFonts w:eastAsia="IRNazanin" w:cs="IRNazanin"/>
          <w:color w:val="111111"/>
          <w:sz w:val="28"/>
          <w:szCs w:val="28"/>
          <w:lang w:bidi="fa-IR"/>
        </w:rPr>
        <w:t>185:2</w:t>
      </w:r>
      <w:r>
        <w:rPr>
          <w:rFonts w:ascii="IRNazanin" w:hAnsi="IRNazanin" w:eastAsia="IRNazanin"/>
          <w:color w:val="111111"/>
          <w:sz w:val="28"/>
          <w:sz w:val="28"/>
          <w:szCs w:val="28"/>
          <w:rtl w:val="true"/>
          <w:lang w:bidi="fa-IR"/>
        </w:rPr>
        <w:t>، التبصرة</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میزان الأصول </w:t>
      </w:r>
      <w:r>
        <w:rPr>
          <w:rFonts w:eastAsia="IRNazanin" w:cs="IRNazanin"/>
          <w:color w:val="111111"/>
          <w:sz w:val="28"/>
          <w:szCs w:val="28"/>
          <w:lang w:bidi="fa-IR"/>
        </w:rPr>
        <w:t>409:1</w:t>
      </w:r>
      <w:r>
        <w:rPr>
          <w:rFonts w:ascii="IRNazanin" w:hAnsi="IRNazanin" w:eastAsia="IRNazanin"/>
          <w:color w:val="111111"/>
          <w:sz w:val="28"/>
          <w:sz w:val="28"/>
          <w:szCs w:val="28"/>
          <w:rtl w:val="true"/>
          <w:lang w:bidi="fa-IR"/>
        </w:rPr>
        <w:t xml:space="preserve">، الذریعة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201</w:t>
      </w:r>
      <w:r>
        <w:rPr>
          <w:rFonts w:ascii="Amiri" w:hAnsi="Amiri" w:eastAsia="Amiri" w:cs="Amiri"/>
          <w:color w:val="111111"/>
          <w:sz w:val="28"/>
          <w:sz w:val="28"/>
          <w:szCs w:val="28"/>
          <w:rtl w:val="true"/>
          <w:lang w:bidi="ar-SA"/>
        </w:rPr>
        <w:t>، روضة النّاظر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وجدت هذه الألفاظ تستعمل فی الخصوص کما تستعمل فی العموم، بل استعمالها فی الخصوص أکثر، لأنّه لیس فی جمیع ألفاظ القرآن لفظة تفید الاستغراق إلاّ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بِکُلِّ شَیْءٍ عَلِیمٌ  </w:t>
      </w:r>
      <w:r>
        <w:rPr>
          <w:rStyle w:val="FootnoteAnchor"/>
          <w:rtl w:val="true"/>
        </w:rPr>
        <w:footnoteReference w:id="522"/>
      </w:r>
      <w:r>
        <w:rPr>
          <w:rFonts w:ascii="IRNazanin" w:hAnsi="IRNazanin" w:eastAsia="IRNazanin"/>
          <w:color w:val="111111"/>
          <w:sz w:val="28"/>
          <w:sz w:val="28"/>
          <w:szCs w:val="28"/>
          <w:rtl w:val="true"/>
          <w:lang w:bidi="fa-IR"/>
        </w:rPr>
        <w:t>فوجب أن تکون اللّفظة مشترکة فیهما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بیّنا أنّ مجرّد الاستعمال لا یدلّ علی الاشتراک، لأنّ المجاز مستعمل کما أنّ الحقیقة مستعملة، فلا یمکن أن یستدلّ بالاستعمال علی واحد من الأمرین، و یحتاج فی إثبات أحدهما إلی الرّجوع إلی أمر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إنّهم لم یجدوا فی ألفاظ القرآن لفظة تفید الاستغراق إلاّ لفظة واحدة</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فلیس إذا قلّ استعمال الحقیقة فیما هو حقیقة فیه و کثر استعماله فی المجاز دلّ علی أنّه لیس بحقیقة فیه، أ لا تری أنّه لم تجر عادتهم فی استعمال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کلّ ما دبّ، بل صار بالعرف لا یستعمل إلاّ فی دابّة بعینها، و لا یدلّ ذلک علی أنّهم لم </w:t>
      </w:r>
    </w:p>
    <w:p>
      <w:pPr>
        <w:pStyle w:val="BookText"/>
        <w:rPr/>
      </w:pPr>
      <w:r>
        <w:rPr>
          <w:rFonts w:ascii="IRNazanin" w:hAnsi="IRNazanin" w:eastAsia="IRNazanin"/>
          <w:color w:val="111111"/>
          <w:sz w:val="28"/>
          <w:sz w:val="28"/>
          <w:szCs w:val="28"/>
          <w:rtl w:val="true"/>
          <w:lang w:bidi="fa-IR"/>
        </w:rPr>
        <w:t>یضعوا هذه اللّفظة فی الأصل لکلّ ما یدبّ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فعلم بذلک أنّ قلّة الاستعمال لا یدلّ علی أنّ اللّفظ لیس بحقیقة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عندنا أنّ الحکیم تعالی إذا استعمل هذه اللّفظة فیما دون الاستغراق فلا بدّ من أن یدلّ علیه، و إلاّ لم یحسن منه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استدلّوا أیضا بحسن الاستفهام عن هذه الألفاظ،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لا أنّها مشترکة و إلاّ لم یحسن</w:t>
      </w:r>
      <w:r>
        <w:rPr>
          <w:rStyle w:val="FootnoteAnchor"/>
          <w:rtl w:val="true"/>
        </w:rPr>
        <w:footnoteReference w:id="523"/>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المعتمد </w:t>
      </w:r>
      <w:r>
        <w:rPr>
          <w:rFonts w:eastAsia="IRNazanin" w:cs="IRNazanin"/>
          <w:color w:val="111111"/>
          <w:sz w:val="28"/>
          <w:szCs w:val="28"/>
          <w:lang w:bidi="fa-IR"/>
        </w:rPr>
        <w:t>216:1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قلنا ما عندنا فی ذلک فیما مضی فأغنی عن الإعادة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استدلّوا أیضا بأن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ذلک مفیدا للاستغراق لما حسن أن یؤکّد، لأنّ المؤکّد قد أنبأ عن المراد، فتأکیده عبث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عن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قد بیّنا أنّ التأکید دلیل لمن قال بالاستغراق، و لو لزم هذا الاعتبار أن لا یکون اللّفظ موضوعا للاستغراق، لوجب فی ألفاظ الخصوص و ألفاظ الأعداد مثله، لأنّا وجدناهم یؤکّدون ألفاظ الخصوص و ألفاظ الأعداد کما یؤکّدون ألفاظ العموم، فأیّ شیء أجابوا به عن ذلک فهو جوابنا بعینه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استدلّوا أیضا بأن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کانت هذه الألفاظ تفید الاستغراق لما حسن الاستثناء منها و کانت تکون نقضا، لأنّ هذه اللّفظة تجری عندکم مجری تعداد الأسماء، فکما لا یجوز أن تعدّ الأسماء ثمّ یستثنی منها، فکذلک لفظ العموم لو کان جاریا مجری ذلک لما حسن الاستثناء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عن ذلک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الاستثناء إنّما یحسن إذا قصد المتکلّم بالخطاب بعض العموم، فیحتاج أن یبیّن من لم یعنه بالخطاب، و إنّما کان یکون نقضا لو قصد به الاستغراق ثمّ استثنی منها، و نحن لا نقول ذلک</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لیس کذلک تعداد الأسماء لأنّه إذا عدّدها فقد قصدها کلّها، فلا یجوز بعد ذلک أن یستثنی منها، لأنّه یؤدّی إلی نفی ما أثبته بعینه، و ذلک لا یجوز علی حال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لیس کذلک لفظ العموم، لأنّه یجوز أن یستعمل فی بعض ما وضع له علی ضرب من المجاز إذا بیّن معه المراد بذلک، و فی ذلک سقوط هذا السّؤال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من فرّق بین الأوامر و الأخبار فقوله یبطل بما دللنا علیه من أنّ هذه الألفاظ تفید الاستغراق فی الأخبار کإفادتها فی الأوامر، فإذا ثبت ذلک فمتی ورد خطاب من اللّه تعالی وجب حمله علی عمومه سواء کان أمرا أو خبرا، إلاّ أن یدلّ دلیل علی أنّ المراد به التّخصیص فتحمل علیه، و لأجل هذا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 أخبر اللّه تعالی به من عقاب العصاة المراد به بعضهم لا جمیعهم، لما دلّ الدّلیل عندنا علی ذلک، فلا یظنّ ظانّ أنّ فی القول بالعموم ترکا لهذا المذهب أو تصحیحا لمذهب الخصم، لأنّ الخصم یدفع أن یکون هاهنا دلیل یدلّ علی تخصیص آیات الوعید و نحن نثبته، و إذا ثبت ما ندّعیه بطل مذهب الخصم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من فرّق بین الأمر و الخبر بأن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الأمر تکلیف و الخبر لیس کذلک، فلا یمتنع أن لا یکون مفیدا للاستغراق، و إن لم یعلمه فقد أخطأ، و ذلک أنّه لا فرق بینهما فی تعلّق التکلیف بهما، لأنّ الأمر یوجب علینا فعل ما تناوله، و الخبر یوجب علینا اعتقاد ما تضمّنه فلا بدّ من أن یکون مفیدا للاستغراق إن کان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المراد به الخصوص فلا بدّ من أن یقترن به البیان، و إلاّ أدّی ذلک إلی إباحة الجهل و الاعتقاد الّذی لا نأمن کونه جهلا، و کلّ ذلک منفیّ من القدیم تعالی</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هذه جملة کافیة فی هذا الباب</w:t>
      </w:r>
      <w:r>
        <w:rPr>
          <w:rFonts w:eastAsia="IRNazanin" w:cs="IRNazanin"/>
          <w:color w:val="111111"/>
          <w:sz w:val="28"/>
          <w:szCs w:val="28"/>
          <w:rtl w:val="true"/>
          <w:lang w:bidi="fa-IR"/>
        </w:rPr>
        <w:t xml:space="preserve">. </w:t>
      </w:r>
      <w:bookmarkStart w:id="168" w:name="pg6519_49444"/>
    </w:p>
    <w:p>
      <w:pPr>
        <w:pStyle w:val="Heading4"/>
        <w:numPr>
          <w:ilvl w:val="3"/>
          <w:numId w:val="1"/>
        </w:numPr>
        <w:rPr/>
      </w:pPr>
      <w:bookmarkStart w:id="169" w:name="__RefHeading___Toc1757261_653776707"/>
      <w:bookmarkStart w:id="170" w:name="_Toc54"/>
      <w:bookmarkEnd w:id="168"/>
      <w:bookmarkEnd w:id="169"/>
      <w:r>
        <w:rPr>
          <w:rtl w:val="true"/>
        </w:rPr>
        <w:t xml:space="preserve">فصل </w:t>
      </w:r>
      <w:r>
        <w:rPr>
          <w:rtl w:val="true"/>
        </w:rPr>
        <w:t xml:space="preserve">- </w:t>
      </w:r>
      <w:r>
        <w:rPr/>
        <w:t>3</w:t>
      </w:r>
      <w:r>
        <w:rPr>
          <w:rtl w:val="true"/>
        </w:rPr>
        <w:t xml:space="preserve"> «</w:t>
      </w:r>
      <w:r>
        <w:rPr>
          <w:rtl w:val="true"/>
        </w:rPr>
        <w:t>فی ذکر ألفاظ الجمع و الجنس و غیر ذلک</w:t>
      </w:r>
      <w:r>
        <w:rPr>
          <w:rtl w:val="true"/>
        </w:rPr>
        <w:t>»</w:t>
      </w:r>
      <w:bookmarkEnd w:id="170"/>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ذهب أکثر من قال بالعموم إلی أنّ اسم الجنس إذا دخله الألف و اللام اقتضی </w:t>
      </w:r>
    </w:p>
    <w:p>
      <w:pPr>
        <w:pStyle w:val="BookText"/>
        <w:rPr/>
      </w:pPr>
      <w:r>
        <w:rPr>
          <w:rFonts w:ascii="Amiri" w:hAnsi="Amiri" w:eastAsia="Amiri" w:cs="Amiri"/>
          <w:color w:val="111111"/>
          <w:sz w:val="28"/>
          <w:sz w:val="28"/>
          <w:szCs w:val="28"/>
          <w:rtl w:val="true"/>
          <w:lang w:bidi="ar-SA"/>
        </w:rPr>
        <w:t>استغراق الجنس، و ذلک مثل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الْعَصْرِ إِنَّ الْإِنْسانَ لَفِی خُسْرٍ  </w:t>
      </w:r>
      <w:r>
        <w:rPr>
          <w:rStyle w:val="FootnoteAnchor"/>
          <w:rtl w:val="true"/>
        </w:rPr>
        <w:footnoteReference w:id="524"/>
      </w:r>
    </w:p>
    <w:p>
      <w:pPr>
        <w:pStyle w:val="BookText"/>
        <w:rPr/>
      </w:pPr>
      <w:r>
        <w:rPr>
          <w:rFonts w:ascii="IRNazanin" w:hAnsi="IRNazanin" w:eastAsia="IRNazanin"/>
          <w:color w:val="111111"/>
          <w:sz w:val="28"/>
          <w:sz w:val="28"/>
          <w:szCs w:val="28"/>
          <w:rtl w:val="true"/>
          <w:lang w:bidi="fa-IR"/>
        </w:rPr>
        <w:t>العصر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 کذلک قالوا فی ألفاظ الجمع و الأسماء المشتقّة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نحو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رأیت الرّجال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فَاقْتُلُوا الْمُشْرِکِینَ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إِنَّ الْفُجّارَ لَفِی جَحِیمٍ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یَقُولُ الْکافِرُ یا لَیْتَنِی کُنْتُ تُراباً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إذا لم یکن هناک ما یدلّ علی أنّهما دخلا للعهد، فإن دلّ دلیل علی ذلک حمل اللّفظ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ذلک فی اسم الجنس، و أسماء الجموع، و امتنع من القول به فی الأسماء المشتقّة</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أبو هاشم خاصّة</w:t>
      </w:r>
      <w:r>
        <w:rPr>
          <w:rStyle w:val="FootnoteAnchor"/>
          <w:rtl w:val="true"/>
        </w:rPr>
        <w:footnoteReference w:id="5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یدلّ فی هذه المواضع کلّها علی الاستغراق، بل یدلّ الألف و اللام إمّا علی العهد أو علی تعریف الجنس، فأمّا الاستغراق فلا یدلّ علی ذلک إلاّ أن یقترن به دلیل یدلّ علیه نحو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السّارِقُ وَ السّارِقَةُ فَاقْطَعُوا أَیْدِیَهُما  </w:t>
      </w:r>
      <w:r>
        <w:rPr>
          <w:rStyle w:val="FootnoteAnchor"/>
          <w:rtl w:val="true"/>
        </w:rPr>
        <w:footnoteReference w:id="527"/>
      </w:r>
      <w:r>
        <w:rPr>
          <w:rFonts w:ascii="Amiri" w:hAnsi="Amiri" w:eastAsia="Amiri" w:cs="Amiri"/>
          <w:color w:val="111111"/>
          <w:sz w:val="28"/>
          <w:sz w:val="28"/>
          <w:szCs w:val="28"/>
          <w:rtl w:val="true"/>
          <w:lang w:bidi="ar-SA"/>
        </w:rPr>
        <w:t>،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الْفُجّارَ لَفِی جَحِیمٍ  </w:t>
      </w:r>
      <w:r>
        <w:rPr>
          <w:rStyle w:val="FootnoteAnchor"/>
          <w:rtl w:val="true"/>
        </w:rPr>
        <w:footnoteReference w:id="528"/>
      </w:r>
      <w:r>
        <w:rPr>
          <w:rFonts w:ascii="Amiri" w:hAnsi="Amiri" w:eastAsia="Amiri" w:cs="Amiri"/>
          <w:color w:val="111111"/>
          <w:sz w:val="28"/>
          <w:sz w:val="28"/>
          <w:szCs w:val="28"/>
          <w:rtl w:val="true"/>
          <w:lang w:bidi="ar-SA"/>
        </w:rPr>
        <w:t>،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فَاقْتُلُوا الْمُشْرِکِینَ  </w:t>
      </w:r>
      <w:r>
        <w:rPr>
          <w:rStyle w:val="FootnoteAnchor"/>
          <w:rtl w:val="true"/>
        </w:rPr>
        <w:footnoteReference w:id="529"/>
      </w:r>
      <w:r>
        <w:rPr>
          <w:rFonts w:ascii="IRNazanin" w:hAnsi="IRNazanin" w:eastAsia="IRNazanin"/>
          <w:color w:val="111111"/>
          <w:sz w:val="28"/>
          <w:sz w:val="28"/>
          <w:szCs w:val="28"/>
          <w:rtl w:val="true"/>
          <w:lang w:bidi="fa-IR"/>
        </w:rPr>
        <w:t xml:space="preserve">، أنّ جمیع هذه المواضع المراد بها الاستغراق، لأنّ الکلام خرج مخرج الزّجر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الزجر حاصل فی الجمیع کما هو حاصل فی کلّ واحد منهم، فلأجل ذلک حملته </w:t>
      </w:r>
    </w:p>
    <w:p>
      <w:pPr>
        <w:pStyle w:val="BookText"/>
        <w:rPr/>
      </w:pPr>
      <w:r>
        <w:rPr>
          <w:rFonts w:ascii="IRNazanin" w:hAnsi="IRNazanin" w:eastAsia="IRNazanin"/>
          <w:color w:val="111111"/>
          <w:sz w:val="28"/>
          <w:sz w:val="28"/>
          <w:szCs w:val="28"/>
          <w:rtl w:val="true"/>
          <w:lang w:bidi="fa-IR"/>
        </w:rPr>
        <w:t>علی الجمیع</w:t>
      </w:r>
      <w:r>
        <w:rPr>
          <w:rStyle w:val="FootnoteAnchor"/>
          <w:rtl w:val="true"/>
        </w:rPr>
        <w:footnoteReference w:id="530"/>
      </w:r>
    </w:p>
    <w:p>
      <w:pPr>
        <w:pStyle w:val="BookText"/>
        <w:rPr/>
      </w:pPr>
      <w:r>
        <w:rPr>
          <w:rFonts w:ascii="IRNazanin" w:hAnsi="IRNazanin" w:eastAsia="IRNazanin"/>
          <w:color w:val="111111"/>
          <w:sz w:val="28"/>
          <w:sz w:val="28"/>
          <w:szCs w:val="28"/>
          <w:rtl w:val="true"/>
          <w:lang w:bidi="fa-IR"/>
        </w:rPr>
        <w:t xml:space="preserve">المعتمد فی أصول الفقه </w:t>
      </w:r>
      <w:r>
        <w:rPr>
          <w:rFonts w:eastAsia="IRNazanin" w:cs="IRNazanin"/>
          <w:color w:val="111111"/>
          <w:sz w:val="28"/>
          <w:szCs w:val="28"/>
          <w:lang w:bidi="fa-IR"/>
        </w:rPr>
        <w:t>228:1</w:t>
      </w:r>
      <w:r>
        <w:rPr>
          <w:rFonts w:eastAsia="IRNazanin" w:cs="IRNazanin"/>
          <w:color w:val="111111"/>
          <w:sz w:val="28"/>
          <w:szCs w:val="28"/>
          <w:rtl w:val="true"/>
          <w:lang w:bidi="fa-IR"/>
        </w:rPr>
        <w:t>-</w:t>
      </w:r>
      <w:r>
        <w:rPr>
          <w:rFonts w:eastAsia="IRNazanin" w:cs="IRNazanin"/>
          <w:color w:val="111111"/>
          <w:sz w:val="28"/>
          <w:szCs w:val="28"/>
          <w:lang w:bidi="fa-IR"/>
        </w:rPr>
        <w:t>227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النّاس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الّذی ادّعاه أبو هاشم من تعریف الجنس غیر معقول أصلا، و لا یفهم من الألف و اللام إلاّ الاستغراق أو العهد</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فهذا جملة الخلاف بین من قال بالعموم فی هذه الألفاظ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من قال بالخصوص أو بالوقف فقولهم فی هذه الألفاظ مثل قولهم فیما مضی علی السّواء</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الّذی أذهب إلیه هو الأوّل، و الّذی یدلّ علی ذلک حسن الاستثناء فی جمیع هذه الألفاظ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 لا تری أنّه یحسن أن 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الإنسان لفی خسر إلاّ زیدا و عمرا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فیستثنی کلّ واحد من النّاس من اللّفظ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إذا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رأیت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یحسن أن یستثنی کلّ واحد منهم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کذلک یحسن الاستثناء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فَاقْتُلُوا الْمُشْرِکِینَ  </w:t>
      </w:r>
      <w:r>
        <w:rPr>
          <w:rStyle w:val="FootnoteAnchor"/>
          <w:rtl w:val="true"/>
        </w:rPr>
        <w:footnoteReference w:id="533"/>
      </w:r>
      <w:r>
        <w:rPr>
          <w:rFonts w:ascii="Amiri" w:hAnsi="Amiri" w:eastAsia="Amiri" w:cs="Amiri"/>
          <w:color w:val="111111"/>
          <w:sz w:val="28"/>
          <w:sz w:val="28"/>
          <w:szCs w:val="28"/>
          <w:rtl w:val="true"/>
          <w:lang w:bidi="ar-SA"/>
        </w:rPr>
        <w:t>،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الْفُجّارَ لَفِی جَحِیمٍ  </w:t>
      </w:r>
      <w:r>
        <w:rPr>
          <w:rStyle w:val="FootnoteAnchor"/>
          <w:rtl w:val="true"/>
        </w:rPr>
        <w:footnoteReference w:id="534"/>
      </w:r>
      <w:r>
        <w:rPr>
          <w:rFonts w:ascii="Amiri" w:hAnsi="Amiri" w:eastAsia="Amiri" w:cs="Amiri"/>
          <w:color w:val="111111"/>
          <w:sz w:val="28"/>
          <w:sz w:val="28"/>
          <w:szCs w:val="28"/>
          <w:rtl w:val="true"/>
          <w:lang w:bidi="ar-SA"/>
        </w:rPr>
        <w:t>،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یَقُولُ الْکافِرُ  </w:t>
      </w:r>
      <w:r>
        <w:rPr>
          <w:rStyle w:val="FootnoteAnchor"/>
          <w:rtl w:val="true"/>
        </w:rPr>
        <w:footnoteReference w:id="535"/>
      </w:r>
      <w:r>
        <w:rPr>
          <w:rFonts w:ascii="IRNazanin" w:hAnsi="IRNazanin" w:eastAsia="IRNazanin"/>
          <w:color w:val="111111"/>
          <w:sz w:val="28"/>
          <w:sz w:val="28"/>
          <w:szCs w:val="28"/>
          <w:rtl w:val="true"/>
          <w:lang w:bidi="fa-IR"/>
        </w:rPr>
        <w:t>و ما جری مجری ذلک من الألفاظ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بیّنا فی الباب الأوّل أنّ من حقّ الاستثناء أن یخرج من الکلام ما لولاه لوجب دخوله تحته، و فی ذلک اقتضاء هذه الألفاظ الاستغراق</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دفعوا حسن الاستثناء فی هذه المواضع، دفعهم أصحاب الخصوص و الوقف عن دخوله فیما مضی من الألفاظ</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فإن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یحسن دخوله و لا یدلّ علی الاستغراق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أصحاب الخصوص و الوقف مثل ذلک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إذا کان الکلام مع أصحاب الخصوص و الوقف یکون الکلام علی ما رتّبناه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حدّ سواء</w:t>
      </w:r>
      <w:r>
        <w:rPr>
          <w:rStyle w:val="FootnoteAnchor"/>
          <w:rtl w:val="true"/>
        </w:rPr>
        <w:footnoteReference w:id="536"/>
      </w:r>
    </w:p>
    <w:p>
      <w:pPr>
        <w:pStyle w:val="BookText"/>
        <w:rPr/>
      </w:pPr>
      <w:r>
        <w:rPr>
          <w:rFonts w:ascii="IRNazanin" w:hAnsi="IRNazanin" w:eastAsia="IRNazanin"/>
          <w:color w:val="111111"/>
          <w:sz w:val="28"/>
          <w:sz w:val="28"/>
          <w:szCs w:val="28"/>
          <w:rtl w:val="true"/>
          <w:lang w:bidi="fa-IR"/>
        </w:rPr>
        <w:t xml:space="preserve">انظر کلام المصنّف حول هذین اللّفظین و دلالتهما فی صفحة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فأمّا الّذی اختاره أبو هاشم من أنّهما یقتضیان تعریف الجنس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فلسنا نمنع من أنّ ذلک قد یراد فی بعض الأحوال، کما لا نمنع من أن یراد بهما المعهود علی بعض الأحوال، و لا یدلّ ذلک</w:t>
      </w:r>
      <w:r>
        <w:rPr>
          <w:rStyle w:val="FootnoteAnchor"/>
          <w:rtl w:val="true"/>
        </w:rPr>
        <w:footnoteReference w:id="537"/>
      </w:r>
      <w:r>
        <w:rPr>
          <w:rFonts w:ascii="IRNazanin" w:hAnsi="IRNazanin" w:eastAsia="IRNazanin"/>
          <w:color w:val="111111"/>
          <w:sz w:val="28"/>
          <w:sz w:val="28"/>
          <w:szCs w:val="28"/>
          <w:rtl w:val="true"/>
          <w:lang w:bidi="fa-IR"/>
        </w:rPr>
        <w:t>علی أنّه یجب حملها علیه أبدا، کما لا یجب ذلک فی حمله علی العهد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من دفع أبا هاشم عن ذلک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ذلک غیر معقول</w:t>
      </w:r>
      <w:r>
        <w:rPr>
          <w:rStyle w:val="FootnoteAnchor"/>
          <w:rtl w:val="true"/>
        </w:rPr>
        <w:footnoteReference w:id="538"/>
      </w:r>
      <w:r>
        <w:rPr>
          <w:rFonts w:ascii="IRNazanin" w:hAnsi="IRNazanin" w:eastAsia="IRNazanin"/>
          <w:color w:val="111111"/>
          <w:sz w:val="28"/>
          <w:sz w:val="28"/>
          <w:szCs w:val="28"/>
          <w:rtl w:val="true"/>
          <w:lang w:bidi="fa-IR"/>
        </w:rPr>
        <w:t>، فباطل، لأنّا نحن نعلم أنّ القائل إذا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أکلت اللّحم، و لبست الجباب</w:t>
      </w:r>
      <w:r>
        <w:rPr>
          <w:rStyle w:val="FootnoteAnchor"/>
          <w:rtl w:val="true"/>
        </w:rPr>
        <w:footnoteReference w:id="539"/>
      </w:r>
      <w:r>
        <w:rPr>
          <w:rFonts w:ascii="IRNazanin" w:hAnsi="IRNazanin" w:eastAsia="IRNazanin"/>
          <w:color w:val="111111"/>
          <w:sz w:val="28"/>
          <w:sz w:val="28"/>
          <w:szCs w:val="28"/>
          <w:rtl w:val="true"/>
          <w:lang w:bidi="fa-IR"/>
        </w:rPr>
        <w:t>، أو الثیاب، أو جاء وقت لبس الجباب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یرید بذلک أکله لحما بعینه، و لا أنّه أکل جمیع اللّحوم، و إنّما أراد تعریف هذا الجنس بعینه، و کذلک لا یرید لبس جمیع الجباب و لا جبابا بأعیانها، و إنّما یرید تعریف هذا الجنس، و الکلام فی ذلک بیّن فمن دفعه کان دافعا لما هو معلوم</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یدلّ أیضا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أهل اللّغة نصّوا فقالوا أسماء الأجناس تدلّ علی القلیل و الکثیر</w:t>
      </w:r>
      <w:r>
        <w:rPr>
          <w:rStyle w:val="FootnoteAnchor"/>
          <w:rtl w:val="true"/>
        </w:rPr>
        <w:footnoteReference w:id="540"/>
      </w:r>
      <w:r>
        <w:rPr>
          <w:rFonts w:ascii="IRNazanin" w:hAnsi="IRNazanin" w:eastAsia="IRNazanin"/>
          <w:color w:val="111111"/>
          <w:sz w:val="28"/>
          <w:sz w:val="28"/>
          <w:szCs w:val="28"/>
          <w:rtl w:val="true"/>
          <w:lang w:bidi="fa-IR"/>
        </w:rPr>
        <w:t>، و لأجل ذلک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لفظ الجنس لا یجوز أن یجمع، لأنه بنفسه یدلّ علی القلیل و الکثیر فجمعه عبث، و إنّما یحسن جمیعه إذا اختلفت الأجناس </w:t>
      </w:r>
    </w:p>
    <w:p>
      <w:pPr>
        <w:pStyle w:val="BookText"/>
        <w:rPr/>
      </w:pPr>
      <w:r>
        <w:rPr>
          <w:rFonts w:ascii="IRNazanin" w:hAnsi="IRNazanin" w:eastAsia="IRNazanin"/>
          <w:color w:val="111111"/>
          <w:sz w:val="28"/>
          <w:sz w:val="28"/>
          <w:szCs w:val="28"/>
          <w:rtl w:val="true"/>
          <w:lang w:bidi="fa-IR"/>
        </w:rPr>
        <w:t>و لا یدلّ بعضهما علی بعض، فحینئذ یستفاد بالجمع أجناس مختلفة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فأمّا فی الجنس الواحد فلا یحسن علی حال و لا یجب، من حیث إنّ الألف و اللام یدخلان للعهد، أو لتعریف الجنس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ذهب إلیه أبو هاشم </w:t>
      </w:r>
      <w:r>
        <w:rPr>
          <w:rStyle w:val="FootnoteAnchor"/>
          <w:rtl w:val="true"/>
        </w:rPr>
        <w:footnoteReference w:id="541"/>
      </w:r>
    </w:p>
    <w:p>
      <w:pPr>
        <w:pStyle w:val="BookText"/>
        <w:rPr/>
      </w:pPr>
      <w:r>
        <w:rPr>
          <w:rFonts w:ascii="IRNazanin" w:hAnsi="IRNazanin" w:eastAsia="IRNazanin"/>
          <w:color w:val="111111"/>
          <w:sz w:val="28"/>
          <w:sz w:val="28"/>
          <w:szCs w:val="28"/>
          <w:rtl w:val="true"/>
          <w:lang w:bidi="fa-IR"/>
        </w:rPr>
        <w:t xml:space="preserve">المعتمد فی أصول الفقه </w:t>
      </w:r>
      <w:r>
        <w:rPr>
          <w:rFonts w:eastAsia="IRNazanin" w:cs="IRNazanin"/>
          <w:color w:val="111111"/>
          <w:sz w:val="28"/>
          <w:szCs w:val="28"/>
          <w:lang w:bidi="fa-IR"/>
        </w:rPr>
        <w:t>228:1</w:t>
      </w:r>
      <w:r>
        <w:rPr>
          <w:rFonts w:eastAsia="IRNazanin" w:cs="IRNazanin"/>
          <w:color w:val="111111"/>
          <w:sz w:val="28"/>
          <w:szCs w:val="28"/>
          <w:rtl w:val="true"/>
          <w:lang w:bidi="fa-IR"/>
        </w:rPr>
        <w:t>-</w:t>
      </w:r>
      <w:r>
        <w:rPr>
          <w:rFonts w:eastAsia="IRNazanin" w:cs="IRNazanin"/>
          <w:color w:val="111111"/>
          <w:sz w:val="28"/>
          <w:szCs w:val="28"/>
          <w:lang w:bidi="fa-IR"/>
        </w:rPr>
        <w:t>227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لا یفید الاستغراق، کما لا یجب ذلک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لأنّهما قد یستعملان فی المعهود، و لا یدلّ ذلک علی أنّهما لا یستعملان فی الاستغراق علی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استدلّ أبو علیّ أنّ لفظ الجمع یقتضی الاستغراق إذا لم یدلّ دلیل علی أنّه أراد البعض، بأن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قد ثبت أنّه حقیقة فی الاستغراق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کما أنّه حقیقة فی أقل الجمع، فإذا کان کذلک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یکون هناک دلالة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وجب حمله علی الاستغراق</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الکلام صادرا من حکیم، فلو أراد أقلّ الجمع لبیّنه، فلمّا لم یبیّن دلّ علی أنّه أراد الاستغراق</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اعترض علی ذلک أبو هاشم، و أصحاب الخصوص و الوقف بأن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ذلک حقیقة فی أقلّ الجمع کما هو حقیقة فی الاستغراق وجب حمله علی الأقلّ لأنّه مقطوع به، و الاستغراق لا دلالة علیه فوجب أن لا یکون مراداً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الکلام صادرا من حکیم و لا یدلّ علی أنّه أراد الاستغراق، و دلّ علی أنّه أراد أقلّ الجمع، و تعارض القولان، و وقف الدّلیل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المعتمد عندی هو الأوّل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استدلّ أبو هاشم علی أنّ لفظ الجمع لا یفید الاستغراق بأن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لو اقتضی ذلک لاقتضی أکثر الأعداد، و ذلک یوجب أن یکون مقتضیا لما لا یتناهی، أو أن یکون حقیقة فی کلّ عدد یوجد الجموع و کلّ ذلک فاسد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Style w:val="FootnoteAnchor"/>
          <w:rtl w:val="true"/>
        </w:rPr>
        <w:footnoteReference w:id="544"/>
      </w:r>
    </w:p>
    <w:p>
      <w:pPr>
        <w:pStyle w:val="BookText"/>
        <w:rPr/>
      </w:pPr>
      <w:r>
        <w:rPr>
          <w:rFonts w:ascii="IRNazanin" w:hAnsi="IRNazanin" w:eastAsia="IRNazanin"/>
          <w:color w:val="111111"/>
          <w:sz w:val="28"/>
          <w:sz w:val="28"/>
          <w:szCs w:val="28"/>
          <w:rtl w:val="true"/>
          <w:lang w:bidi="fa-IR"/>
        </w:rPr>
        <w:t>أی محال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الکلام علی ذلک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أکثر ما فی هذا أن یقتضی أنّه لا یجوز أن یفید ما لا یتناهی لأنّ ذلک محال، و لا یدلّ علی أنّه لا یفید استغراق ما یمکن، و لو لزم هذا هاهنا للزمه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یقال لو أفاد الاستغراق لتعلّقا بما لا یتناهی، و ذلک 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جواب عن ذلک إلاّ ما قلناه من أنّه ینبغی أن یحمل علی الاستغراق فیما یمکن، فأمّا ما هو محال، فکیف یحمل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استدلاله علی أنّه حقیقة فی الثلاثة من حیث کان أقل الجمع، فصحیح لا ینازع فیه، و لیس ذلک بمانع عند من خالفه من أن یفید الاستغراق أیضا حقیقة، و إنّما یحمل علی إحدی الحقیقتین لضرب من الاعتبار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اعلم أنّ الّذی اعتبرناه من دلیل الاستثناء فی الألفاظ الجموع إنّما یدلّ علی أنّها تفید الاستغراق حقیقة ردّا علی أصحاب الخصوص، و لا یمکننا أن نقول إنّها لا تتناول أقلّ الجمع أیضا حقیقة لأنّ ذلک یکون مکابرة، فإذا ثبت کونها حقیقة فی الأمرین، و صدر الکلام من حکیم، و لم یقرن به ما یدلّ علی أنّه أراد به أقلّ الجمع، </w:t>
      </w:r>
    </w:p>
    <w:p>
      <w:pPr>
        <w:pStyle w:val="BookText"/>
        <w:rPr/>
      </w:pPr>
      <w:r>
        <w:rPr>
          <w:rFonts w:ascii="IRNazanin" w:hAnsi="IRNazanin" w:eastAsia="IRNazanin"/>
          <w:color w:val="111111"/>
          <w:sz w:val="28"/>
          <w:sz w:val="28"/>
          <w:szCs w:val="28"/>
          <w:rtl w:val="true"/>
          <w:lang w:bidi="fa-IR"/>
        </w:rPr>
        <w:t>وجب حمله علی أنّه أراد الکلّ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لهم أن یقولوا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اجعلوا فقد دلالة الاستغراق دلالة علی أنّه أراد أقلّ الجمع، کما جعلتم فقد دلالة الأقلّ دلالة علی أنّه أراد الاستغراق، و یتعارض القولان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أنّ هذا إنّما یمکن أن یقال فی ألفاظ الجموع الخالیة من الألف و اللام، فأمّا إذا کانت فیها الألف و اللام فلا تفید إلاّ الاستغراق، لأنّه لو أراد أقلّ الجمع لم یکن لإدخالهما فی الکلام فائدة، و کان اللّفظ مع عدمهما یفید أقلّ الجمع کما یفید أکثر الجمع، فإذا لا بدّ من حمله علی الاستغراق و إلاّ کان ذلک لغوا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عادوا إلی أن یقولوا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ذلک یفید العهد أو تعریف الجنس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إنّما نتکلّم فی الموضع الّذی لا نعلم أنّه أرید بهما العهد أو تعریف الجنس، فأمّا إذا علمنا أنّه أراد العهد أو تعریف الجنس وجب حمله علیه، و ذلک لا ینافی ما قلناه</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هذه جملة کافیة فی هذا الباب</w:t>
      </w:r>
      <w:r>
        <w:rPr>
          <w:rFonts w:eastAsia="IRNazanin" w:cs="IRNazanin"/>
          <w:color w:val="111111"/>
          <w:sz w:val="28"/>
          <w:szCs w:val="28"/>
          <w:rtl w:val="true"/>
          <w:lang w:bidi="fa-IR"/>
        </w:rPr>
        <w:t xml:space="preserve">. </w:t>
      </w:r>
      <w:bookmarkStart w:id="171" w:name="pg6519_49459"/>
    </w:p>
    <w:p>
      <w:pPr>
        <w:pStyle w:val="Heading4"/>
        <w:numPr>
          <w:ilvl w:val="3"/>
          <w:numId w:val="1"/>
        </w:numPr>
        <w:rPr/>
      </w:pPr>
      <w:bookmarkStart w:id="172" w:name="__RefHeading___Toc1757263_653776707"/>
      <w:bookmarkStart w:id="173" w:name="_Toc55"/>
      <w:bookmarkEnd w:id="171"/>
      <w:bookmarkEnd w:id="172"/>
      <w:r>
        <w:rPr>
          <w:rtl w:val="true"/>
        </w:rPr>
        <w:t xml:space="preserve">فصل </w:t>
      </w:r>
      <w:r>
        <w:rPr>
          <w:rtl w:val="true"/>
        </w:rPr>
        <w:t xml:space="preserve">- </w:t>
      </w:r>
      <w:r>
        <w:rPr/>
        <w:t>4</w:t>
      </w:r>
      <w:r>
        <w:rPr>
          <w:rtl w:val="true"/>
        </w:rPr>
        <w:t xml:space="preserve"> «</w:t>
      </w:r>
      <w:r>
        <w:rPr>
          <w:rtl w:val="true"/>
        </w:rPr>
        <w:t>فی أنّ أقلّ الجمع ما هو؟</w:t>
      </w:r>
      <w:r>
        <w:rPr>
          <w:rtl w:val="true"/>
        </w:rPr>
        <w:t>»</w:t>
      </w:r>
      <w:bookmarkEnd w:id="173"/>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ذهب المتکلّمون و أکثر الفقهاء إلی أنّ أقلّ الجمع ثلاثة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قال من شذّ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أقلّ الجمع اثنان</w:t>
      </w:r>
      <w:r>
        <w:rPr>
          <w:rStyle w:val="FootnoteAnchor"/>
          <w:rtl w:val="true"/>
        </w:rPr>
        <w:footnoteReference w:id="545"/>
      </w:r>
    </w:p>
    <w:p>
      <w:pPr>
        <w:pStyle w:val="BookText"/>
        <w:rPr/>
      </w:pPr>
      <w:r>
        <w:rPr>
          <w:rFonts w:ascii="IRNazanin" w:hAnsi="IRNazanin" w:eastAsia="IRNazanin"/>
          <w:color w:val="111111"/>
          <w:sz w:val="28"/>
          <w:sz w:val="28"/>
          <w:szCs w:val="28"/>
          <w:rtl w:val="true"/>
          <w:lang w:bidi="fa-IR"/>
        </w:rPr>
        <w:t xml:space="preserve">انظر التعلیقة رقم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صفحة </w:t>
      </w:r>
      <w:r>
        <w:rPr>
          <w:rFonts w:eastAsia="IRNazanin" w:cs="IRNazanin"/>
          <w:color w:val="111111"/>
          <w:sz w:val="28"/>
          <w:szCs w:val="28"/>
          <w:lang w:bidi="fa-IR"/>
        </w:rPr>
        <w:t>298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الصحیح هو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یدلّ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أهل اللغة فرّقوا بین التّثنیة و الجمع، و خصّوا کلّ واحد منهما بأمر لا یشرکه فیه الآخر،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التثنیة تکون بالألف و النّون، و الجمع یکون بالواو و النون، و الألف و التّاء، کما فرّقوا بین الواحد و الاثنین، فإن جاز أن یدّعی فی التثنیة أنّه جمع جاز أن یدّعی فی الواحد أنّه تثنیة أو جمع، و قد علمنا خلاف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 علی ذلک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أنّهم یقولون للاثنین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أمروهما، و للجماعة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یثنّون بالألف و یجمعون بالواو، و علی مذهب الخصم کان یجب أن لا یکون بینهما فرق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 أیضا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یفسّرون بلفظ الجمع عدد الثّلاثة فیقولون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ثلاثة 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یفسّرون به الاثنین بل یقولون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رجلان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فعلم بجمیع ذلک الفرق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السّامع إذا سمع المتکلّم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رأیت رجالا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یفهم من ذلک و لا یسبق إلی قلبه إلاّ ثلاثة و لا یسبق إلی قلبه اثنان أصلا، فعلم أنّ الحقیقة ما قلناه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من خالف فی ذلک فإنّه یستدلّ بأشیاء</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الجمع مأخوذ من ضمّ شیء إلی شیء، و ذلک موجود فی الاثنین فینبغی أن یکون جمعا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الجواب عن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لا ننکر أن یکون أصل الاشتقاق ما ذکروه، لکن صار بعرف اللّغة و مواضعتهم مخصوصا ببعض ذلک و هو إذا کانوا ثلاثة منضمّین، و جری ذلک مجری 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أنّه موضوع فی أصل اللّغة لکلّ ما یدبّ ثمّ صار بعرف اللّغة مخصوصا لدابّة بعینها، فکذلک لفظ الجمع، علی أنّه إنّما نرید بقولنا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أقلّ الجمع ثلاثة أنّ أحکام الثلاثة لا تجری علی الاثنین و أحکام الاثنین لا تجری علی ثلاثة علی ما بیّناه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سلّموا ذلک و قالوا مع ذلک الاثنان جمع من حیث الاشتقاق، کان ذلک خلافا فی عبارة لا یعتدّ بمثله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استدلّوا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روی عن النّبیّ صلّی اللّه علیه و آله و سلّم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الاثنان فما فوقهما جماعة</w:t>
      </w:r>
      <w:r>
        <w:rPr>
          <w:rFonts w:eastAsia="IRNazanin" w:cs="IRNazanin"/>
          <w:color w:val="111111"/>
          <w:sz w:val="28"/>
          <w:szCs w:val="28"/>
          <w:rtl w:val="true"/>
          <w:lang w:bidi="fa-IR"/>
        </w:rPr>
        <w:t>»</w:t>
      </w:r>
      <w:r>
        <w:rPr>
          <w:rStyle w:val="FootnoteAnchor"/>
          <w:rtl w:val="true"/>
        </w:rPr>
        <w:footnoteReference w:id="546"/>
      </w:r>
    </w:p>
    <w:p>
      <w:pPr>
        <w:pStyle w:val="BookText"/>
        <w:rPr/>
      </w:pP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lang w:bidi="fa-IR"/>
        </w:rPr>
        <w:t>555:7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20224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اثنان فما فوقهما جماعة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فسمّاهما جماعة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الجواب عن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قوله علیه السّلام ینبغی أن یحمل علی الأحکام لأنّها المستفادة من جهته، و لا یحمل علی الأسماء لأنّها مستفادة معلومة باللّغة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قیل فی معناه شیئان،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کان نهی عن خروج الرّجل وحده فی السّفر، ثمّ أباح ذلک فی الاثنین، فخبّر عند ذلک أنّ حکم الاثنین فی جواز السّفر حکم الثلاثة و ما زاد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الوجه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أراد بذلک فضیلة الجماعة بالصّلاة، لأنّ حکم الاثنین فی انعقاد الجماعة بهما و حصول الفضل لهما حکم الثلاثة و ما زاد علی ذلک، فینبغی أن یحمل الخبر علیهم</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کُنّا لِحُکْمِهِمْ شاهِدِینَ  </w:t>
      </w:r>
      <w:r>
        <w:rPr>
          <w:rStyle w:val="FootnoteAnchor"/>
          <w:rtl w:val="true"/>
        </w:rPr>
        <w:footnoteReference w:id="547"/>
      </w:r>
      <w:r>
        <w:rPr>
          <w:rFonts w:ascii="IRNazanin" w:hAnsi="IRNazanin" w:eastAsia="IRNazanin"/>
          <w:color w:val="111111"/>
          <w:sz w:val="28"/>
          <w:sz w:val="28"/>
          <w:szCs w:val="28"/>
          <w:rtl w:val="true"/>
          <w:lang w:bidi="fa-IR"/>
        </w:rPr>
        <w:t>، و عنی بذلک داود و سلیمان و هما اثنان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دَخَلُوا عَلی داوُدَ  </w:t>
      </w:r>
      <w:r>
        <w:rPr>
          <w:rStyle w:val="FootnoteAnchor"/>
          <w:rtl w:val="true"/>
        </w:rPr>
        <w:footnoteReference w:id="548"/>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أراد به الخصمین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الجواب عن ذلک من وجهین،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ذلک مجاز و کلامنا فی الحقیقة، و جری ذلک مجری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نَحْنُ نَزَّلْنَا الذِّکْرَ وَ إِنّا لَهُ لَحافِظُونَ  </w:t>
      </w:r>
      <w:r>
        <w:rPr>
          <w:rStyle w:val="FootnoteAnchor"/>
          <w:rtl w:val="true"/>
        </w:rPr>
        <w:footnoteReference w:id="549"/>
      </w:r>
      <w:r>
        <w:rPr>
          <w:rFonts w:ascii="IRNazanin" w:hAnsi="IRNazanin" w:eastAsia="IRNazanin"/>
          <w:color w:val="111111"/>
          <w:sz w:val="28"/>
          <w:sz w:val="28"/>
          <w:szCs w:val="28"/>
          <w:rtl w:val="true"/>
          <w:lang w:bidi="fa-IR"/>
        </w:rPr>
        <w:t>، و نحو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کُنّا لِحُکْمِهِمْ شاهِدِینَ   </w:t>
      </w:r>
      <w:r>
        <w:rPr>
          <w:rStyle w:val="FootnoteAnchor"/>
          <w:rtl w:val="true"/>
        </w:rPr>
        <w:footnoteReference w:id="550"/>
      </w:r>
      <w:r>
        <w:rPr>
          <w:rFonts w:ascii="Amiri" w:hAnsi="Amiri" w:eastAsia="Amiri" w:cs="Amiri"/>
          <w:color w:val="111111"/>
          <w:sz w:val="28"/>
          <w:sz w:val="28"/>
          <w:szCs w:val="28"/>
          <w:rtl w:val="true"/>
          <w:lang w:bidi="ar-SA"/>
        </w:rPr>
        <w:t>، و لا خلاف أنّ لفظ الجماعة فی الواحد مجاز، فلو لزم ما قالوه للزم أن ذلک حقیقة فی الواحد، و للزم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هَلْ أَتاکَ نَبَأُ الْخَصْمِ إِذْ تَسَوَّرُوا الْمِحْرابَ  </w:t>
      </w:r>
      <w:r>
        <w:rPr>
          <w:rStyle w:val="FootnoteAnchor"/>
          <w:rtl w:val="true"/>
        </w:rPr>
        <w:footnoteReference w:id="551"/>
      </w:r>
      <w:r>
        <w:rPr>
          <w:rFonts w:ascii="IRNazanin" w:hAnsi="IRNazanin" w:eastAsia="IRNazanin"/>
          <w:color w:val="111111"/>
          <w:sz w:val="28"/>
          <w:sz w:val="28"/>
          <w:szCs w:val="28"/>
          <w:rtl w:val="true"/>
          <w:lang w:bidi="fa-IR"/>
        </w:rPr>
        <w:t xml:space="preserve">لأنّ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الواحد و مع ذلک قد أخبر عنه بلفظ الجمع، و ذلک مجاز بلا خلاف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الوجه 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کُنّا لِحُکْمِهِمْ شاهِدِینَ   أراد به داود و سلیمان و المحکوم علیه و الخصم و هم جماعة، فلأجل ذلک أخبر عنهم بلفظ الجمع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کذلک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خَصْمانِ بَغی بَعْضُنا عَلی بَعْضٍ  </w:t>
      </w:r>
      <w:r>
        <w:rPr>
          <w:rStyle w:val="FootnoteAnchor"/>
          <w:rtl w:val="true"/>
        </w:rPr>
        <w:footnoteReference w:id="552"/>
      </w:r>
      <w:r>
        <w:rPr>
          <w:rFonts w:ascii="IRNazanin" w:hAnsi="IRNazanin" w:eastAsia="IRNazanin"/>
          <w:color w:val="111111"/>
          <w:sz w:val="28"/>
          <w:sz w:val="28"/>
          <w:szCs w:val="28"/>
          <w:rtl w:val="true"/>
          <w:lang w:bidi="fa-IR"/>
        </w:rPr>
        <w:t xml:space="preserve">أنّه أراد به جنس الخصمین لأنّ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المصدر و یقع علی الواحد، و الجماعة، و الذّکر، و الأنثی علی حدّ واحد، لأنّهم یقولون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رجل خصم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خصم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امرأة خصم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 خصم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ذلک بلفظ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ثبت ذلک کان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خصمان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یختصّ بالاثنین دون ما زاد علیهما، فلأجل ذلک أخبر عنهما بلفظ الجماعة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قوّوا ذلک بأن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فی أوّل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هَلْ أَتاکَ نَبَأُ الْخَصْمِ إِذْ تَسَوَّرُوا الْمِحْرابَ   فأخبر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بکنایة الجماعة، فعلم بذلک أنّه أراد الجنس دون الواحد</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الوجهین جمیعا سقط التّعلّق بالآیات</w:t>
      </w:r>
      <w:r>
        <w:rPr>
          <w:rFonts w:eastAsia="IRNazanin" w:cs="IRNazanin"/>
          <w:color w:val="111111"/>
          <w:sz w:val="28"/>
          <w:szCs w:val="28"/>
          <w:rtl w:val="true"/>
          <w:lang w:bidi="fa-IR"/>
        </w:rPr>
        <w:t xml:space="preserve">. </w:t>
      </w:r>
      <w:bookmarkStart w:id="174" w:name="pg6519_49468"/>
    </w:p>
    <w:p>
      <w:pPr>
        <w:pStyle w:val="Heading4"/>
        <w:numPr>
          <w:ilvl w:val="3"/>
          <w:numId w:val="1"/>
        </w:numPr>
        <w:rPr/>
      </w:pPr>
      <w:bookmarkStart w:id="175" w:name="__RefHeading___Toc1757265_653776707"/>
      <w:bookmarkStart w:id="176" w:name="_Toc56"/>
      <w:bookmarkEnd w:id="174"/>
      <w:bookmarkEnd w:id="175"/>
      <w:r>
        <w:rPr>
          <w:rtl w:val="true"/>
        </w:rPr>
        <w:t xml:space="preserve">فصل </w:t>
      </w:r>
      <w:r>
        <w:rPr>
          <w:rtl w:val="true"/>
        </w:rPr>
        <w:t xml:space="preserve">- </w:t>
      </w:r>
      <w:r>
        <w:rPr/>
        <w:t>5</w:t>
      </w:r>
      <w:r>
        <w:rPr>
          <w:rtl w:val="true"/>
        </w:rPr>
        <w:t xml:space="preserve"> «</w:t>
      </w:r>
      <w:r>
        <w:rPr>
          <w:rtl w:val="true"/>
        </w:rPr>
        <w:t>فی معنی قولنا إنّ العموم مخصوص، و إنّ اللّه تعالی یجوز أن یرید بالعامّ الخاصّ</w:t>
      </w:r>
      <w:r>
        <w:rPr>
          <w:rtl w:val="true"/>
        </w:rPr>
        <w:t>»</w:t>
      </w:r>
      <w:bookmarkEnd w:id="176"/>
    </w:p>
    <w:p>
      <w:pPr>
        <w:pStyle w:val="BookText"/>
        <w:rPr/>
      </w:pPr>
      <w:r>
        <w:rPr>
          <w:rFonts w:ascii="IRNazanin" w:hAnsi="IRNazanin" w:eastAsia="IRNazanin"/>
          <w:color w:val="111111"/>
          <w:sz w:val="28"/>
          <w:sz w:val="28"/>
          <w:szCs w:val="28"/>
          <w:rtl w:val="true"/>
          <w:lang w:bidi="fa-IR"/>
        </w:rPr>
        <w:t>معنی 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العموم مخصوص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أنّه مستعمل فی بعض ما وضع له دون بعض و ذلک مجاز، لأنّ حقیقة المجاز ثابتة فیه، و شبّه ذلک بالمخصوص و الّذی وضع فی الأصل للخصوص، و إذا استعمل فی بعض ما وضع له فی الأصل لا یصیر حقیقة فیه، لأنّا قد دللنا علی أنّ للعموم صیغة فأنّ حقیقتها الاستغراق</w:t>
      </w:r>
      <w:r>
        <w:rPr>
          <w:rStyle w:val="FootnoteAnchor"/>
          <w:rtl w:val="true"/>
        </w:rPr>
        <w:footnoteReference w:id="553"/>
      </w:r>
    </w:p>
    <w:p>
      <w:pPr>
        <w:pStyle w:val="BookText"/>
        <w:rPr/>
      </w:pPr>
      <w:r>
        <w:rPr>
          <w:rFonts w:ascii="IRNazanin" w:hAnsi="IRNazanin" w:eastAsia="IRNazanin"/>
          <w:color w:val="111111"/>
          <w:sz w:val="28"/>
          <w:sz w:val="28"/>
          <w:szCs w:val="28"/>
          <w:rtl w:val="true"/>
          <w:lang w:bidi="fa-IR"/>
        </w:rPr>
        <w:t xml:space="preserve">راجع استدلال المصنّف فی صفحة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و انظر أیضا التعلیقة رقم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صفحة </w:t>
      </w:r>
      <w:r>
        <w:rPr>
          <w:rFonts w:eastAsia="IRNazanin" w:cs="IRNazanin"/>
          <w:color w:val="111111"/>
          <w:sz w:val="28"/>
          <w:szCs w:val="28"/>
          <w:lang w:bidi="fa-IR"/>
        </w:rPr>
        <w:t>273</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فمتی استعمل فی غیر ذلک ینبغی أن یکون مجازا، لأنّ حقیقة المجاز هو أن یستعمل اللّفظة فی غیر ما وضعت له، و هذا موجود فی العموم إذا أرید به الخصوص، فینبغی أن یکون مجازا،</w:t>
      </w:r>
    </w:p>
    <w:p>
      <w:pPr>
        <w:pStyle w:val="BookText"/>
        <w:rPr/>
      </w:pPr>
      <w:r>
        <w:rPr>
          <w:rFonts w:ascii="IRNazanin" w:hAnsi="IRNazanin" w:eastAsia="IRNazanin"/>
          <w:color w:val="111111"/>
          <w:sz w:val="28"/>
          <w:sz w:val="28"/>
          <w:szCs w:val="28"/>
          <w:rtl w:val="true"/>
          <w:lang w:bidi="fa-IR"/>
        </w:rPr>
        <w:t>و لهذا لا یقولون لمن خاطب بالعموم و أراد به بعض ما یتناوله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مخاطب بالخصوص و لا إنّه خصّ الخطاب، کما یقولون ذلک فی الألفاظ الخاصّة، فعلم أنّ ذلک مجاز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إذا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 خصّ العموم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فالمراد بذلک أنّه علم من حاله الخصوص بدلیل دلّه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یقال فیمن اعتقد ذلک أیضا فیه و إن لم یکن اعتقاده علما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استعمل کثیر من الفقهاء لفظ التخصیص فیما لیس بعام إذا علم بالدّلیل أنّه عام، مثل الأفعال و غیرها، و نحن نبیّن ذلک فیما بعد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یفارق 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العامّ مخصوص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الخطاب منسوخ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الحکم و الحدّ جمیعا، و قد ظنّ بعضهم أنّهما سواء، و ذلک خطأ من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 حدّ التخصیص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دلّ علی أنّ المراد باللّفظ بعض ما یتناوله دون 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حدّ النّسخ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دلّ علی أنّ مثل الحکم الثّابت بالخطاب زائل فی المستقبل علی وجه لولاه لکان ثابتا بالخطاب الأوّل مع تراخیه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فحدّهما مختلف علی ما 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لأنّ التّخصیص یؤذن بأنّ المراد بالعموم عند الخطاب ما عداه، و النّسخ یحقّق أنّ کلّ ما تناوله اللفظ کان مرادا فی حال الخطاب، و إن کان غیر مراد فیما عداه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من حقّ التّخصیص ألاّ یصحّ إلاّ فیما تناوله اللّفظ، و النّسخ قد یصحّ فیما علم بالدّلیل أنّه مراد و إن لم یتناوله اللّفظ</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النّسخ یدخل فی النّص علی عین واحدة، و التّخصیص لا یدخل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فالنّسخ فی الشّرع لا یقع بأشیاء یقع التّخصیص بها نحو أدلّة العقل، و الأدلّة المتّصلة بالخطاب من الاستثناء و غیرها من أخبار الآحاد، و القیاس، و الأدلّة المستنبطة عند من أجاز التخصیص بها، و التخصیص قد لا یقع ببعض ما یقع به النّسخ</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فعلم بجمیع ذلک مفارقة التّخصیص النّسخ</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لا یجب من حیث شارک التّخصیص النّسخ فی بعض الأحکام أن یکونا بمعنی واحد، کما أنّ مشارکة بیان المجمل للتّخصیص فی بعض الأحکام لا یدلّ علی أنّ معناهما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کون النّسخ فی المعنی تخصیصا، من حیث أنّه تخصیص للأوقات لا یوجب أنّه تخصیص، لأنّه أخصّ منه و التّخصیص أعمّ، و کلّ ذلک یوجب افتراقهما فی الحدّ و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ثبت ذلک، فالقدیم تعالی یجوز أن یرید بالعامّ الخاصّ، لأنّ أهل اللّغة إذا کانوا استجازوا ذلک و تعارفوه و جرت عادتهم باستعماله، و کان القدیم تعالی متکلّما بلغتهم، وجب أن یجوز أن یتکلّم بذلک و یرید به الخصوص، کما أنّه یجوز أن یتکلّم بالمجاز و الحقیقة و الإطالة تارة و الإیجاز أخری، و یؤکّد کلامه تارة و لا یؤکّد أخری، لما کان ذلک من عادة أهل اللّغة، و کان القدیم تعالی متکلّما بلغتهم، فینبغی أن یتکلّم علی طریقتهم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أنّه متی تکلّم بلفظ العام و أراد به الخاصّ فلا بدّ من أن یدلّ علیه، و یقرن به ما یدلّ علی تخصیصه، و إلاّ کان موجبا لاعتقاد الجهل، کما أنّه إذا أراد بالحقیقة المجاز فلا بدّ من أن یدلّ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جاز أن یتکلّم بالعامّ و یستثنی منه، جاز أن یدلّ علیه دلیل غیر الاستثناء یعلم أنّه أراد الخصوص، لأنّ الاستثناء دلیل التّخصیص کما أنّ غیره من الأدلّة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 علی جواز ذلک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اللّه تعالی تکلّم فی مواضع بلفظ العام، و قد علمنا أنّه أراد الخصوص، فلو لا أنّ ذلک کان حسنا و إلاّ لم یحسن منه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لأحد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لا یحسن منه الإخبار إلاّ علی القطع و الأمر علی الشروط فی بعض الوجوه و حسن ذلک فینا، فکذلک لا یمتنع استعمال العام فی الخاصّ فینا و إن لم یحسن فیه تعالی</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ذلک أنّ هذا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باطل بما قلناه من وجودنا مواضع کثیرة من القرآن ظاهرها </w:t>
      </w:r>
    </w:p>
    <w:p>
      <w:pPr>
        <w:pStyle w:val="BookText"/>
        <w:rPr/>
      </w:pPr>
      <w:r>
        <w:rPr>
          <w:rFonts w:ascii="IRNazanin" w:hAnsi="IRNazanin" w:eastAsia="IRNazanin"/>
          <w:color w:val="111111"/>
          <w:sz w:val="28"/>
          <w:sz w:val="28"/>
          <w:szCs w:val="28"/>
          <w:rtl w:val="true"/>
          <w:lang w:bidi="fa-IR"/>
        </w:rPr>
        <w:t>العموم و قد علمنا أنّه أراد بها الخصوص، بل أکثر القرآن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إنّما حسن منّا الإخبار و الأوامر بالشّروط لما لم یکن لنا طریق إلی العلم بما یمنع من الشّروط، و لم یحسن ذلک فی القدیم تعالی العالم بالعواقب، و لذلک لا یحسن منّا أن نخبر عمّا نعلمه بشرط لما کان العلم حاصلا لنا</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هذه جملة کافیة فی هذا الباب</w:t>
      </w:r>
      <w:r>
        <w:rPr>
          <w:rFonts w:eastAsia="IRNazanin" w:cs="IRNazanin"/>
          <w:color w:val="111111"/>
          <w:sz w:val="28"/>
          <w:szCs w:val="28"/>
          <w:rtl w:val="true"/>
          <w:lang w:bidi="fa-IR"/>
        </w:rPr>
        <w:t xml:space="preserve">. </w:t>
      </w:r>
      <w:bookmarkStart w:id="177" w:name="pg6519_49476"/>
    </w:p>
    <w:p>
      <w:pPr>
        <w:pStyle w:val="Heading4"/>
        <w:numPr>
          <w:ilvl w:val="3"/>
          <w:numId w:val="1"/>
        </w:numPr>
        <w:rPr/>
      </w:pPr>
      <w:bookmarkStart w:id="178" w:name="__RefHeading___Toc1757267_653776707"/>
      <w:bookmarkStart w:id="179" w:name="_Toc57"/>
      <w:bookmarkEnd w:id="177"/>
      <w:bookmarkEnd w:id="178"/>
      <w:r>
        <w:rPr>
          <w:rtl w:val="true"/>
        </w:rPr>
        <w:t xml:space="preserve">فصل </w:t>
      </w:r>
      <w:r>
        <w:rPr>
          <w:rtl w:val="true"/>
        </w:rPr>
        <w:t xml:space="preserve">- </w:t>
      </w:r>
      <w:r>
        <w:rPr/>
        <w:t>6</w:t>
      </w:r>
      <w:r>
        <w:rPr>
          <w:rtl w:val="true"/>
        </w:rPr>
        <w:t xml:space="preserve"> «</w:t>
      </w:r>
      <w:r>
        <w:rPr>
          <w:rtl w:val="true"/>
        </w:rPr>
        <w:t>فی أنّ العموم إذا خصّ کان مجازا، و ما به یعلم ذلک، و حصر أدلّته</w:t>
      </w:r>
      <w:r>
        <w:rPr>
          <w:rtl w:val="true"/>
        </w:rPr>
        <w:t>»</w:t>
      </w:r>
      <w:bookmarkEnd w:id="179"/>
    </w:p>
    <w:p>
      <w:pPr>
        <w:pStyle w:val="BookText"/>
        <w:rPr/>
      </w:pPr>
      <w:r>
        <w:rPr>
          <w:rFonts w:ascii="IRNazanin" w:hAnsi="IRNazanin" w:eastAsia="IRNazanin"/>
          <w:color w:val="111111"/>
          <w:sz w:val="28"/>
          <w:sz w:val="28"/>
          <w:szCs w:val="28"/>
          <w:rtl w:val="true"/>
          <w:lang w:bidi="fa-IR"/>
        </w:rPr>
        <w:t xml:space="preserve">ذهب کثیر من أصحاب الشّافعی، و أصحاب أبی حنیفة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العموم مع الدّلیل الّذی خصّ به حقیقة فیما عدا ما خصّ منه، سواء کان ذلک الدّلیل لفظا متّصلا أو منفصلا، أو غیر لفظ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ذهب أبو عبد اللّه البصری</w:t>
      </w:r>
      <w:r>
        <w:rPr>
          <w:rStyle w:val="FootnoteAnchor"/>
          <w:rtl w:val="true"/>
        </w:rPr>
        <w:footnoteReference w:id="554"/>
      </w:r>
    </w:p>
    <w:p>
      <w:pPr>
        <w:pStyle w:val="BookText"/>
        <w:rPr/>
      </w:pPr>
      <w:r>
        <w:rPr>
          <w:rFonts w:ascii="IRNazanin" w:hAnsi="IRNazanin" w:eastAsia="IRNazanin"/>
          <w:color w:val="111111"/>
          <w:sz w:val="28"/>
          <w:sz w:val="28"/>
          <w:szCs w:val="28"/>
          <w:rtl w:val="true"/>
          <w:lang w:bidi="fa-IR"/>
        </w:rPr>
        <w:t xml:space="preserve">المعتمد فی أصول الفقه </w:t>
      </w:r>
      <w:r>
        <w:rPr>
          <w:rFonts w:eastAsia="IRNazanin" w:cs="IRNazanin"/>
          <w:color w:val="111111"/>
          <w:sz w:val="28"/>
          <w:szCs w:val="28"/>
          <w:lang w:bidi="fa-IR"/>
        </w:rPr>
        <w:t>264:1</w:t>
      </w:r>
      <w:r>
        <w:rPr>
          <w:rFonts w:eastAsia="IRNazanin" w:cs="IRNazanin"/>
          <w:color w:val="111111"/>
          <w:sz w:val="28"/>
          <w:szCs w:val="28"/>
          <w:rtl w:val="true"/>
          <w:lang w:bidi="fa-IR"/>
        </w:rPr>
        <w:t>-</w:t>
      </w:r>
      <w:r>
        <w:rPr>
          <w:rFonts w:eastAsia="IRNazanin" w:cs="IRNazanin"/>
          <w:color w:val="111111"/>
          <w:sz w:val="28"/>
          <w:szCs w:val="28"/>
          <w:lang w:bidi="fa-IR"/>
        </w:rPr>
        <w:t>262</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 ذلک الدّلیل لفظا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متّصلا من</w:t>
      </w:r>
    </w:p>
    <w:p>
      <w:pPr>
        <w:pStyle w:val="BookText"/>
        <w:rPr/>
      </w:pPr>
      <w:r>
        <w:rPr>
          <w:rFonts w:ascii="IRNazanin" w:hAnsi="IRNazanin" w:eastAsia="IRNazanin"/>
          <w:color w:val="111111"/>
          <w:sz w:val="28"/>
          <w:sz w:val="28"/>
          <w:szCs w:val="28"/>
          <w:rtl w:val="true"/>
          <w:lang w:bidi="fa-IR"/>
        </w:rPr>
        <w:t xml:space="preserve">استثناء و غیره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حقیقة، فأمّا إذا لم یکن متّصلا فإنّه یصیر مجازا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ذهب أبو علیّ و أبو هاشم و من تبعهما و أکثر المتکلّمین و باقی الفقهاء إلی أنّه یصیر مجازا بأیّ دلیل خصّ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هو الصّحیح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یدلّ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قد بیّنا فی هذا الکتاب أنّ حقیقة المجاز أن یستعمل اللّفظ فی غیر ما وضع له، فإذا ثبت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دللنا علی أنّ للعموم صیغة تختصّه یفید الاستغراق </w:t>
      </w:r>
      <w:r>
        <w:rPr>
          <w:rStyle w:val="FootnoteAnchor"/>
          <w:rtl w:val="true"/>
        </w:rPr>
        <w:footnoteReference w:id="555"/>
      </w:r>
    </w:p>
    <w:p>
      <w:pPr>
        <w:pStyle w:val="BookText"/>
        <w:rPr/>
      </w:pPr>
      <w:r>
        <w:rPr>
          <w:rFonts w:ascii="IRNazanin" w:hAnsi="IRNazanin" w:eastAsia="IRNazanin"/>
          <w:color w:val="111111"/>
          <w:sz w:val="28"/>
          <w:sz w:val="28"/>
          <w:szCs w:val="28"/>
          <w:rtl w:val="true"/>
          <w:lang w:bidi="fa-IR"/>
        </w:rPr>
        <w:t xml:space="preserve">انظر استدلال المصنّف فی صفحة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و لاحظ أیضا التعلیق رقم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صفحة </w:t>
      </w:r>
      <w:r>
        <w:rPr>
          <w:rFonts w:eastAsia="IRNazanin" w:cs="IRNazanin"/>
          <w:color w:val="111111"/>
          <w:sz w:val="28"/>
          <w:szCs w:val="28"/>
          <w:lang w:bidi="fa-IR"/>
        </w:rPr>
        <w:t>273</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فینبغی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استعملت فیما دون الاستغراق أن یکون مجازا لثبوت حقیقته فیه، و هذا یبیّن أنّه یصیر مجازا بأیّ دلیل خصّ، سواء کان لفظا متّصلا</w:t>
      </w:r>
    </w:p>
    <w:p>
      <w:pPr>
        <w:pStyle w:val="BookText"/>
        <w:rPr/>
      </w:pPr>
      <w:r>
        <w:rPr>
          <w:rFonts w:ascii="IRNazanin" w:hAnsi="IRNazanin" w:eastAsia="IRNazanin"/>
          <w:color w:val="111111"/>
          <w:sz w:val="28"/>
          <w:sz w:val="28"/>
          <w:szCs w:val="28"/>
          <w:rtl w:val="true"/>
          <w:lang w:bidi="fa-IR"/>
        </w:rPr>
        <w:t>أو منفصلا، أو غیر لفظ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لأحد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العموم إذا خصّ فلم یتناول غیر ما کان یتناوله</w:t>
      </w:r>
      <w:r>
        <w:rPr>
          <w:rStyle w:val="FootnoteAnchor"/>
          <w:rtl w:val="true"/>
        </w:rPr>
        <w:footnoteReference w:id="556"/>
      </w:r>
    </w:p>
    <w:p>
      <w:pPr>
        <w:pStyle w:val="BookText"/>
        <w:rPr/>
      </w:pPr>
      <w:r>
        <w:rPr>
          <w:rFonts w:ascii="IRNazanin" w:hAnsi="IRNazanin" w:eastAsia="IRNazanin"/>
          <w:color w:val="111111"/>
          <w:sz w:val="28"/>
          <w:sz w:val="28"/>
          <w:szCs w:val="28"/>
          <w:rtl w:val="true"/>
          <w:lang w:bidi="fa-IR"/>
        </w:rPr>
        <w:t>أی ما لم یکن یتناوله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بل ما تناوله فی حال الخصوص ما تناوله فی حال الاستغراق، فکیف یکون مجازا؟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ذلک أنّا لم نقل إنّه یصیر مجازا لتناوله ما تناوله، و إنّما صار مجازا لأنّه لم یتناول ما زاد علیه من الاستغراق، فصار فی ذلک کأنّه استعمل فی غیر ما وضع له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لیس الکلام إذا انضمّ بعضه إلی بعض تغیّر معناه و لا یکون ذلک مجازا، و ذلک نحو الخبر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انضمّ إلی المبتدأ و الحروف الدّاخلة علی الجمل من حرف شرط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استفهام، أو نفی، أو تمنّ، و ما أشبه ذلک، فقولوا فی العموم أیضا مثل ذلک إذا خصّ أنّه لا یصیر مجازا بما قارنه من الدّلیل الّذی اقتضی تخصیصه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ما فی هذا أنّ هذه الشّبهة توجب أن لا یکون فی الکلام مجازا أصلا، لأنّه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اللّفظ و ما دلّ علی أنّه مجاز کلاهما حقیقة فیما أرید به، و هذا واضح البطلان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هذه الأمثلة إنّما یمکن أن تکون شبهة لمن قال إذا خصّ بدلیل لفظیّ متّصل لا یصیر مجازا، فأمّا إذا خصّ بدلیل غیر مقترن باللّفظ أو بدلیل منفصل و إن کان لفظیّا فلا یکون ذلک نظیرا لهذه الأمثلة</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نحن نجیب عن جمیع ذلک و نفصل بینه و بین العموم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أمّا ما ذکروه من الخبر إذا انضاف إلی المبتدأ، فإنّما کان کذلک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المبتدأ بانفراده لا یفید شیئا بل یحتاج فی الفائدة إلی الخبر الّذی تکمل الفائدة به، و جری ذلک مجری بعض الاسم فی أنّه لا یفید حتّی یتکامل جمیع حروفه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انضمام بعض الحروف إلی بعض لتکامل الفائدة مجاز، و قبل تکاملها یکون حقیقة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ذلک کلّه فاسد، لأنّ الفائدة إنّما تتمّ عند آخر حرف منها، فکذلک القول فی المبتدأ و الخبر، و لیس کذلک القول فی العموم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لفظ العموم مستقلّ بنفسه و یفید فائدته الّتی وضع لها و لا یحتاج إلی أمر آخر، و إنّما دخل علیه ما اقتضی استعماله فی غیر ما وضع له، فینبغی أن یحکم بکونه مجازا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الحروف الدّاخلة علی الجمل، فإنّما تحدث فیها معنی من المعانی فتغیّر معناها إن کانت خبریّة، و دخل علیها حرف الاستفهام أحدث فیها معنی الاستخبار، و کذلک لفظ التّمنّی، و حروف الشّرط و غیرها، و لم یغیّر هذه الحروف أحکام الجملة من زیادة إلی نقصان، أو نقل إلی غیر ما وضع له، فلا ینبغی أن یکون مجازا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کذلک ألفاظ العموم لأنّها بعد التّخصیص لا تفید ما کانت تفیده قبل التّخصیص، فینبغی أن یکون مجازا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هذا یوجب ألاّ یکون قول القائل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رأیت سبعا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قال عقیب ذلک</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إنّی أردت رجلا شجاعا، أو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رأیت حمارا أو حائطا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أردت بلیدا مجازا، لأنّه قد وصل بالکلام لفظا دلّ به علی مراده، و جری ذلک مجری الحروف الدّاخلة علی الجمل حسب ما سألنا فی العموم سواء، و هذا لا یقوله أحد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إذا لم یلزم ذلک، فکذلک لا یلزم فی العموم إذا خصّ بدلیل متّصل به أو منفصل إذا کان لفظا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تعاطوا الفرق بین ذلک، فکلّ شیء أوردوه فی ذلک أمکننا أن نورد مثله فیما سألنا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ما به یصیر العام خاصّا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قصد المخاطب، لأنّ اللّفظ إذا کان موضوعا للاستغراق، فإذا أراد استعماله فیما وضع له یحتاج أن یقصد ذلک، و کذلک إذا أراد أن یستعمله فی بعض ما وضع له، یحتاج إلی أن یقصد ذلک، و جری ذلک مجری اللّفظ الموضوع للأمر فی أنّه یحتاج أن یقصد به ما وضع له من استدعاء الفعل، فإذا أراد استعماله فی التّهدید أو النّهی یحتاج إلی القصد إلی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ثبت هذه الجملة فالتّخصیص فی الحقیقة یقع بالقصد لا بالأدلّة الدّالة علی ذلک من الکتاب أو السّنة أو العقل، لأنّ هذه الأدلّة تکشف عن غرض المتکلّم بالخطاب، و هل قصد العموم أو الخصوص‌؟ و لیست موجبة لذلک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قلنا ذلک، لأنّ التخصیص مضاف إلی المتکلّم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مخصّص بخطابه، فینبغی أن یکون وقع ذلک بشیء من فعله، و لا یقع بالدّلیل الّذی ربّما کان من فعل غیره، و جری ذلک مجری قصده إلی استعمال اللّفظ فیما وضع له فی أنّ القصد یفید تعلّقه بما وضع له أو غیر ما وضع له فی المجاز دون الدّلیل الدّال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سقط قول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شأن التّخصیص ألا یقع إلاّ بأمر متّصل بالخطاب مجاور له، و لا یجوز أن یقع بالأدلّة المنفصلة، لأنّ علی هذا التحریر الّذی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التّخصیص یقع بالقصد، قد أجبنا إلی ما قاله، فالقصد</w:t>
      </w:r>
      <w:r>
        <w:rPr>
          <w:rStyle w:val="FootnoteAnchor"/>
          <w:rtl w:val="true"/>
        </w:rPr>
        <w:footnoteReference w:id="557"/>
      </w:r>
    </w:p>
    <w:p>
      <w:pPr>
        <w:pStyle w:val="BookText"/>
        <w:rPr/>
      </w:pPr>
      <w:r>
        <w:rPr>
          <w:rFonts w:ascii="IRNazanin" w:hAnsi="IRNazanin" w:eastAsia="IRNazanin"/>
          <w:color w:val="111111"/>
          <w:sz w:val="28"/>
          <w:sz w:val="28"/>
          <w:szCs w:val="28"/>
          <w:rtl w:val="true"/>
          <w:lang w:bidi="fa-IR"/>
        </w:rPr>
        <w:t>و القصد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مقترن بالخطاب غیر منفصل منه</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فأمّا الأدلّة الدّالّة علی ذلک، فلا یجب ذلک فیها لأنّها قد تکون متّصلة به، و قد تکون متقدّمة علیه، أ لا تری أنّ أدلّة العقل یخصّ بها الخطاب العام علی بعض </w:t>
      </w:r>
    </w:p>
    <w:p>
      <w:pPr>
        <w:pStyle w:val="BookText"/>
        <w:rPr/>
      </w:pPr>
      <w:r>
        <w:rPr>
          <w:rFonts w:ascii="IRNazanin" w:hAnsi="IRNazanin" w:eastAsia="IRNazanin"/>
          <w:color w:val="111111"/>
          <w:sz w:val="28"/>
          <w:sz w:val="28"/>
          <w:szCs w:val="28"/>
          <w:rtl w:val="true"/>
          <w:lang w:bidi="fa-IR"/>
        </w:rPr>
        <w:t>الوجوه، و مع هذا فهی متقدّمة لحال الخطاب، و لیست الأدلّة الدّالة علی التّخصیص تجری مجری نفس التّخصیص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یقال فی الأدلّة إنّها هی المخصّصة، و ذلک مجاز، و الحقیقة ما قلناه، و إنّما یسوّغ لهم ذلک من حیث یوصل بها إلی العلم بالخصوص، فأطلق علیها أنّها المخصّصة، و ذلک مجاز علی ما بیّناه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الأدلّة الّتی یعلم بها التّخصیص فعلی ضربین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یتّصل بالخطاب من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ینفصل منه من الأدلّة و ما یتّصل بالخطاب، فینقسم أقساما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الاستثناء، و له حکم نفرد له بابا</w:t>
      </w:r>
      <w:r>
        <w:rPr>
          <w:rStyle w:val="FootnoteAnchor"/>
          <w:rtl w:val="true"/>
        </w:rPr>
        <w:footnoteReference w:id="558"/>
      </w:r>
    </w:p>
    <w:p>
      <w:pPr>
        <w:pStyle w:val="BookText"/>
        <w:rPr/>
      </w:pPr>
      <w:r>
        <w:rPr>
          <w:rFonts w:ascii="IRNazanin" w:hAnsi="IRNazanin" w:eastAsia="IRNazanin"/>
          <w:color w:val="111111"/>
          <w:sz w:val="28"/>
          <w:sz w:val="28"/>
          <w:szCs w:val="28"/>
          <w:rtl w:val="true"/>
          <w:lang w:bidi="fa-IR"/>
        </w:rPr>
        <w:t xml:space="preserve">راجع کلام المصنّف فی الفصل الوارد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ذکر جمل من أحکام الاستثناء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صفحة </w:t>
      </w:r>
      <w:r>
        <w:rPr>
          <w:rFonts w:eastAsia="IRNazanin" w:cs="IRNazanin"/>
          <w:color w:val="111111"/>
          <w:sz w:val="28"/>
          <w:szCs w:val="28"/>
          <w:lang w:bidi="fa-IR"/>
        </w:rPr>
        <w:t>313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الشّرط، و له أیضا أحکام سنبیّنها</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تقیید الخطاب بالصّفات، و لذلک أیضا باب مفرد نذکره</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ما ینفصل من الخطاب من الأدلّة علی ضربین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یوجب العلم من دلیل العقل، أو الکتاب، أو السنّة المقطوع بها، أو 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الأدلّة کلّها لا خلاف بین أهل العلم فی جواز تخصیص العموم بها، و إنّما قالوا ذلک لأنّه لا یجوز القول بتکافؤ الأدلّة، فإذا کان العام دلیلا علی الاستغراق، و ما دلّ علی الخصوص دالا علی تخصیصه فلا بدّ من تخصیص العام به و إلاّ أدّی إلی إسقاط أحد الدّلیلین و إبطاله أو إبطالهما معا و العدول إلی الآخر، و کلّ ذلک فاسد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الضّرب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الّذی لا یوجب العلم، و هو علی ضربین</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خبر واحد، و قیاس</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فأمّا خبر الواحد، فنذکر ما عندنا فی ذلک فی باب مفرد</w:t>
      </w:r>
      <w:r>
        <w:rPr>
          <w:rStyle w:val="FootnoteAnchor"/>
          <w:rtl w:val="true"/>
        </w:rPr>
        <w:footnoteReference w:id="561"/>
      </w:r>
    </w:p>
    <w:p>
      <w:pPr>
        <w:pStyle w:val="BookText"/>
        <w:rPr/>
      </w:pPr>
      <w:r>
        <w:rPr>
          <w:rFonts w:ascii="IRNazanin" w:hAnsi="IRNazanin" w:eastAsia="IRNazanin"/>
          <w:color w:val="111111"/>
          <w:sz w:val="28"/>
          <w:sz w:val="28"/>
          <w:szCs w:val="28"/>
          <w:rtl w:val="true"/>
          <w:lang w:bidi="fa-IR"/>
        </w:rPr>
        <w:t xml:space="preserve">راجع کلام المصنّف فی الفصل الوارد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ذکر تخصیص العموم بأخبار الآحاد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صفحة </w:t>
      </w:r>
      <w:r>
        <w:rPr>
          <w:rFonts w:eastAsia="IRNazanin" w:cs="IRNazanin"/>
          <w:color w:val="111111"/>
          <w:sz w:val="28"/>
          <w:szCs w:val="28"/>
          <w:lang w:bidi="fa-IR"/>
        </w:rPr>
        <w:t>343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القیاس، فلا یجوز العمل به أصلا لا فی تخصیص العام و لا فی غیره من الأحکام، و نحن ندلّ علی ذلک فیما بعد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خالفنا من الفقهاء الّذین أوجبوا العمل بخبر الواحد و القیاس اختلفوا فی جواز تخصیص العموم به، و سنذکر اختلافهم فی ذلک فیما بعد إن شاء اللّه تعالی</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هذه جملة کافیة فی هذا الباب</w:t>
      </w:r>
      <w:r>
        <w:rPr>
          <w:rFonts w:eastAsia="IRNazanin" w:cs="IRNazanin"/>
          <w:color w:val="111111"/>
          <w:sz w:val="28"/>
          <w:szCs w:val="28"/>
          <w:rtl w:val="true"/>
          <w:lang w:bidi="fa-IR"/>
        </w:rPr>
        <w:t xml:space="preserve">. </w:t>
      </w:r>
      <w:bookmarkStart w:id="180" w:name="pg6519_49490"/>
    </w:p>
    <w:p>
      <w:pPr>
        <w:pStyle w:val="Heading4"/>
        <w:numPr>
          <w:ilvl w:val="3"/>
          <w:numId w:val="1"/>
        </w:numPr>
        <w:rPr/>
      </w:pPr>
      <w:bookmarkStart w:id="181" w:name="__RefHeading___Toc1757269_653776707"/>
      <w:bookmarkStart w:id="182" w:name="_Toc58"/>
      <w:bookmarkEnd w:id="180"/>
      <w:bookmarkEnd w:id="181"/>
      <w:r>
        <w:rPr>
          <w:rtl w:val="true"/>
        </w:rPr>
        <w:t xml:space="preserve">فصل </w:t>
      </w:r>
      <w:r>
        <w:rPr>
          <w:rtl w:val="true"/>
        </w:rPr>
        <w:t xml:space="preserve">- </w:t>
      </w:r>
      <w:r>
        <w:rPr/>
        <w:t>7</w:t>
      </w:r>
      <w:r>
        <w:rPr>
          <w:rtl w:val="true"/>
        </w:rPr>
        <w:t xml:space="preserve"> «</w:t>
      </w:r>
      <w:r>
        <w:rPr>
          <w:rtl w:val="true"/>
        </w:rPr>
        <w:t>فی ذکر جمل من أحکام الاستثناء</w:t>
      </w:r>
      <w:r>
        <w:rPr>
          <w:rtl w:val="true"/>
        </w:rPr>
        <w:t>»</w:t>
      </w:r>
      <w:bookmarkEnd w:id="182"/>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ذهب المتکلّمون بأجمعهم و الفقهاء المحصّلون إلی أنّ من شرط الاستثناء أن یکون متّصلا بالکلام و لا یجوز انفصاله عنه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حکی عن ابن عبّاس أنّه کان یذهب إلی أنّه یجوز تأخیره عن حال الخطاب، و ذلک مستبعد من قوله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الّذی یدلّ علی صحّة ما قلناه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أهل اللّغة لا یعدّون ما انفصل عن الکلام استثناء، کما لا یعدّون ما تقدّمه کذلک، فلو جاز لأحد أن یخالف فی المتأخّر فیسمّیه استثناء، جاز لغیره أن یخالف فی المتقدّم فیسمّه استثناء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یدلّ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 الاستثناء متی انفصل عن حال الخطاب لا یفید أصلا، فکیف یجوز أن یکون استثناء من الکلام المتقدّم‌؟ فإن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الاستثناء إذا تأخّر و لا یستقلّ بنفسه فلا یفید، فإنّه یجوز أن یقرن به من الکلام ما یدلّ علی أنّه متعلّق بالکلام الأوّل، فیفید حینئذ و یتعلّق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لا یفید بنفسه و إنّما یتعلّق بالکلام الأوّل بلفظ یقترن به، فقد صار المخصّص للکلام الأوّل اللّفظ الّذی اقترن بالاستثناء، و إذا کان کذلک فلا معنی للاستثناء و کان استعماله لغوا</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لیس لهم أن یقولوا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القائل إذا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رأیت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بعد زمان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أردت بهذا استثناءه من اللّفظ الأوّل أفاد أنّه غیر داخل فی الجملة الأولی، و لو لم یذکر الاستثناء أصلا و اقتصر علی هذا القول المقترن به لما أفاد ذلک، </w:t>
      </w:r>
    </w:p>
    <w:p>
      <w:pPr>
        <w:pStyle w:val="BookText"/>
        <w:rPr/>
      </w:pPr>
      <w:r>
        <w:rPr>
          <w:rFonts w:ascii="IRNazanin" w:hAnsi="IRNazanin" w:eastAsia="IRNazanin"/>
          <w:color w:val="111111"/>
          <w:sz w:val="28"/>
          <w:sz w:val="28"/>
          <w:szCs w:val="28"/>
          <w:rtl w:val="true"/>
          <w:lang w:bidi="fa-IR"/>
        </w:rPr>
        <w:t>فعلم بذلک أنّ التّخصیص یقع بلفظ الاستثناء، و إنّما یعلم بالکلام المقترن به تعلّقه بالأوّل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ذلک، أنّ هذا متی کان علی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 یفید، غیر أنّه لا یحسن من 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بیان تخصیص العموم لا یجوز أن یتأخّر عن حال</w:t>
      </w:r>
      <w:r>
        <w:rPr>
          <w:rStyle w:val="FootnoteAnchor"/>
          <w:rtl w:val="true"/>
        </w:rPr>
        <w:footnoteReference w:id="562"/>
      </w:r>
    </w:p>
    <w:p>
      <w:pPr>
        <w:pStyle w:val="BookText"/>
        <w:rPr/>
      </w:pPr>
      <w:r>
        <w:rPr>
          <w:rFonts w:ascii="IRNazanin" w:hAnsi="IRNazanin" w:eastAsia="IRNazanin"/>
          <w:color w:val="111111"/>
          <w:sz w:val="28"/>
          <w:sz w:val="28"/>
          <w:szCs w:val="28"/>
          <w:rtl w:val="true"/>
          <w:lang w:bidi="fa-IR"/>
        </w:rPr>
        <w:t>إنّما یفید فی المقام عدم الجواز لغة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الخطاب علی ما نبیّنه فیما بعد، و إذا لم یجز ذلک لم یحسن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یؤدّی إلی أن لا یفهم بشیء من الکلام أمر أصلا، و لا بإخبار النّبی صلّی اللّه علیه و آله و سلّم إذا أخبر عن نفسه، أو إخبار اللّه تعالی إذا أخبر عمّا یفعله، لأنّا لا نأمن أن یأتی بعد ذلک استثناء یدلّ علی أنّه أراد المجاز، و هذا یؤدّی إلی ما قدّمناه من أن لا یفهم بالکلام شیء أصلا، و ذلک فاسد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الّذی ذکروه لو حسن تأخیر الاستثناء، لحسن تأخیر خبر المبتدأ</w:t>
      </w:r>
      <w:r>
        <w:rPr>
          <w:rStyle w:val="FootnoteAnchor"/>
          <w:rtl w:val="true"/>
        </w:rPr>
        <w:footnoteReference w:id="563"/>
      </w:r>
      <w:r>
        <w:rPr>
          <w:rFonts w:ascii="IRNazanin" w:hAnsi="IRNazanin" w:eastAsia="IRNazanin"/>
          <w:color w:val="111111"/>
          <w:sz w:val="28"/>
          <w:sz w:val="28"/>
          <w:szCs w:val="28"/>
          <w:rtl w:val="true"/>
          <w:lang w:bidi="fa-IR"/>
        </w:rPr>
        <w:t>، مثلا أن یقول القائل الیوم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یقول غدا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یقرن به من الکلام ما یدلّ علی أنّه متعلّق بما تکلّم به أمس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ارتکبوا ذلک کان قبحه معلوما، و إن راموا الفصل لم یجدوه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إذا ثبت ما قلناه من وجوب اتّصاله بالکلام، فمن حقّه أن یخرج من الکلام ما لولاه لوجب دخوله تحته، و قد دللنا علی ذلک فی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Style w:val="FootnoteAnchor"/>
          <w:rtl w:val="true"/>
        </w:rPr>
        <w:footnoteReference w:id="564"/>
      </w:r>
      <w:r>
        <w:rPr>
          <w:rFonts w:ascii="IRNazanin" w:hAnsi="IRNazanin" w:eastAsia="IRNazanin"/>
          <w:color w:val="111111"/>
          <w:sz w:val="28"/>
          <w:sz w:val="28"/>
          <w:szCs w:val="28"/>
          <w:rtl w:val="true"/>
          <w:lang w:bidi="fa-IR"/>
        </w:rPr>
        <w:t>العموم له صیغة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بیّناه من أنّ الاستثناء فی الأعداد یفید ذلک، فینبغی أن یکون ذلک حقیقة، و استوفینا الکلام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استثناء الأکثر من اللّفظ، و الأقلّ</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فذهب أکثر المحصّلین من المتکلّمین، و الفقهاء، و أهل اللّغة إلی أنّ استثناء </w:t>
      </w:r>
    </w:p>
    <w:p>
      <w:pPr>
        <w:pStyle w:val="BookText"/>
        <w:rPr/>
      </w:pPr>
      <w:r>
        <w:rPr>
          <w:rFonts w:ascii="IRNazanin" w:hAnsi="IRNazanin" w:eastAsia="IRNazanin"/>
          <w:color w:val="111111"/>
          <w:sz w:val="28"/>
          <w:sz w:val="28"/>
          <w:szCs w:val="28"/>
          <w:rtl w:val="true"/>
          <w:lang w:bidi="fa-IR"/>
        </w:rPr>
        <w:t xml:space="preserve">الأکثر من اللّفظ یجوز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إنّما یحسن استثناء الأقلّ، فأمّا استثناء الأکثر فلا یجوز، لأنّ ذلک لم یوجد مستعملا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الّذی یدلّ علی صحّة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الاستثناء تخصیص للکلام الأوّل، فکما یجوز أن یخصّص اللّفظ أو یخرج منه الأکثر، فکذلک حکم الاستثناء لأنّه بعض أدلّة التخصیص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من حقّه أن یخرج من الکلام ما لولاه لوجب دخوله تحته، فلا فرق بین أن یخرج الأکثر أو الأقلّ فی أنّه علی حدّ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قول من خالف فی ذلک، أنّ ذلک لم یستعمل</w:t>
      </w:r>
      <w:r>
        <w:rPr>
          <w:rStyle w:val="FootnoteAnchor"/>
          <w:rtl w:val="true"/>
        </w:rPr>
        <w:footnoteReference w:id="565"/>
      </w:r>
    </w:p>
    <w:p>
      <w:pPr>
        <w:pStyle w:val="BookText"/>
        <w:rPr/>
      </w:pPr>
      <w:r>
        <w:rPr>
          <w:rFonts w:ascii="Amiri" w:hAnsi="Amiri" w:eastAsia="Amiri" w:cs="Amiri"/>
          <w:color w:val="111111"/>
          <w:sz w:val="28"/>
          <w:sz w:val="28"/>
          <w:szCs w:val="28"/>
          <w:rtl w:val="true"/>
          <w:lang w:bidi="ar-SA"/>
        </w:rPr>
        <w:t>التبصرة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فلا یبطل ما قلناه، لأنّه لیس کلّما قلّ استعماله لم یحسن، و لو لزم ذلک للزم أن لا یحسن استثناء النّصف من الکلام أو ما یقارب النّصف، لأنّ ذلک أیضا غیر مستعمل، و ذلک لا خلاف فی جوازه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w:t>
      </w:r>
      <w:r>
        <w:rPr>
          <w:rStyle w:val="FootnoteAnchor"/>
          <w:rtl w:val="true"/>
        </w:rPr>
        <w:footnoteReference w:id="566"/>
      </w:r>
      <w:r>
        <w:rPr>
          <w:rFonts w:ascii="IRNazanin" w:hAnsi="IRNazanin" w:eastAsia="IRNazanin"/>
          <w:color w:val="111111"/>
          <w:sz w:val="28"/>
          <w:sz w:val="28"/>
          <w:szCs w:val="28"/>
          <w:rtl w:val="true"/>
          <w:lang w:bidi="fa-IR"/>
        </w:rPr>
        <w:t>الاستثناء من غیر الجنس، فلا یمکن دفع استعماله لأنّهم قالوا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فی الدّار أحد إلاّ وتد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قالوا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بلدة لیس بها أنیس إلاّ الیعافیر و إلاّ العیس</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من أحد، و 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الیعافیر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جملة الأنیس، 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أنّه و إن کان مستعملا فإنّه مجاز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ذهب قوم إلی أنّه حقیقة</w:t>
      </w:r>
      <w:r>
        <w:rPr>
          <w:rStyle w:val="FootnoteAnchor"/>
          <w:rtl w:val="true"/>
        </w:rPr>
        <w:footnoteReference w:id="567"/>
      </w:r>
    </w:p>
    <w:p>
      <w:pPr>
        <w:pStyle w:val="BookText"/>
        <w:rPr/>
      </w:pPr>
      <w:r>
        <w:rPr>
          <w:rFonts w:ascii="IRNazanin" w:hAnsi="IRNazanin" w:eastAsia="IRNazanin"/>
          <w:color w:val="111111"/>
          <w:sz w:val="28"/>
          <w:sz w:val="28"/>
          <w:szCs w:val="28"/>
          <w:rtl w:val="true"/>
          <w:lang w:bidi="fa-IR"/>
        </w:rPr>
        <w:t xml:space="preserve">میزان الأصول </w:t>
      </w:r>
      <w:r>
        <w:rPr>
          <w:rFonts w:eastAsia="IRNazanin" w:cs="IRNazanin"/>
          <w:color w:val="111111"/>
          <w:sz w:val="28"/>
          <w:szCs w:val="28"/>
          <w:lang w:bidi="fa-IR"/>
        </w:rPr>
        <w:t>458:1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الّذی یدلّ علی ما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قد بیّنا أنّ من حقّ الاستثناء أن یخرج من الکلام ما لولاه لوجب دخوله تحته، و نحن نعلم أنّ القائل لو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فی الدّار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یستثن لم یفهم من ذلک إلاّ نفی العقلاء و لا یفهم منه نفی الأوتاد، فإذا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وتد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فینبغی ألا یکون استثناء حقیقة و تکون مجازا، لأنّه لم یدخل فی الکلام الأوّل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کذلک لو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بلدة لیس بها أنیس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سکت، لم یفهم من ذلک إلاّ أنّه لیس بها إنسان، و لم یفهم من ذلک أنّه لیس بها بهائم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فکذلک إذا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الیعافیر و إلاّ العیس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أن یکون مجازا، و إنّما حسن عندهم هذا النّوع من الاستثناء لأنّ فیه معنی من الکلام الأوّل، لأنّه إذا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فی الدّار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أفاد أنّه لیس فیها أحد ثابت، فلمّا کان الوتد ثابتا فی الدّار حسن أن یستثنی من الثبوت لا من لفظ أحد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کذلک قالوا فی 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بلدة لیس بها أنیس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نفی کون النّاس مقیمین فیها، فلمّا کانت الیعافیر و العیس مقیمة فیها حسن أن یستثنیهما من الإقامة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لم یرد بالأنیس النّاس، و إنّما أراد ما یؤنس به و یسکن إلیه، و لمّا کانت الیعافیر و العیس ممّا یسکن إلیها علی بعض الوجوه و یستأنس بها، حسن أن یستثنی منها، و علی هذا الوجه فالاستثناء ما وقع إلاّ من جنسه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فأمّا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فَسَجَدَ الْمَلائِکَةُ کُلُّهُمْ أَجْمَعُونَ إِلاّ إِبْلِیسَ  </w:t>
      </w:r>
      <w:r>
        <w:rPr>
          <w:rStyle w:val="FootnoteAnchor"/>
          <w:rtl w:val="true"/>
        </w:rPr>
        <w:footnoteReference w:id="568"/>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قیل فیه وجهان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إبلیس کان من جملة الملائکة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إلاّ أنّه عصی بترک السّجود فحسن أن یستثنیه من جملة الملائکة، هذا علی مذهب من جوّز علی جنس الملائکة المعاصی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لم یجوّز ذلک علیهم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استثناه لأنّه کان أیضا مأمورا بالسّجود کما أنّهم کانوا مأمورین کذلک، فاستثناه من جملة المأمورین لا من جملة الملائکة، و یکون ذلک حملا علی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المعنی</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الوجهان جمیعا قریبان</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کانَ لِمُؤْمِنٍ أَنْ یَقْتُلَ مُؤْمِناً إِلاّ خَطَأً  </w:t>
      </w:r>
      <w:r>
        <w:rPr>
          <w:rStyle w:val="FootnoteAnchor"/>
          <w:rtl w:val="true"/>
        </w:rPr>
        <w:footnoteReference w:id="570"/>
      </w:r>
      <w:r>
        <w:rPr>
          <w:rFonts w:ascii="IRNazanin" w:hAnsi="IRNazanin" w:eastAsia="IRNazanin"/>
          <w:color w:val="111111"/>
          <w:sz w:val="28"/>
          <w:sz w:val="28"/>
          <w:szCs w:val="28"/>
          <w:rtl w:val="true"/>
          <w:lang w:bidi="fa-IR"/>
        </w:rPr>
        <w:t>فقد قیل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المؤمن لا یقتله إلاّ خطأ، لأنّه لو قتله متعمّدا لم یکن مؤمنا، لأنّ الفسق یخرج من إطلاق اسم الإیمان علیه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الفسق</w:t>
      </w:r>
      <w:r>
        <w:rPr>
          <w:rStyle w:val="FootnoteAnchor"/>
          <w:rtl w:val="true"/>
        </w:rPr>
        <w:footnoteReference w:id="571"/>
      </w:r>
    </w:p>
    <w:p>
      <w:pPr>
        <w:pStyle w:val="BookText"/>
        <w:rPr/>
      </w:pPr>
      <w:r>
        <w:rPr>
          <w:rFonts w:ascii="Amiri" w:hAnsi="Amiri" w:eastAsia="Amiri" w:cs="Amiri"/>
          <w:color w:val="111111"/>
          <w:sz w:val="28"/>
          <w:sz w:val="28"/>
          <w:szCs w:val="28"/>
          <w:rtl w:val="true"/>
          <w:lang w:bidi="ar-SA"/>
        </w:rPr>
        <w:t>بأنّ الفسق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یخرج من الإیمان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إِلاّ خَطَأً   معناه بمعنی لکنّه إن قتل خطأ کان حکمه کذا و کذا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کذلک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عاصِمَ الْیَوْمَ مِنْ أَمْرِ اللّهِ إِلاّ مَنْ رَحِمَ  </w:t>
      </w:r>
      <w:r>
        <w:rPr>
          <w:rStyle w:val="FootnoteAnchor"/>
          <w:rtl w:val="true"/>
        </w:rPr>
        <w:footnoteReference w:id="572"/>
      </w:r>
      <w:r>
        <w:rPr>
          <w:rFonts w:ascii="Amiri" w:hAnsi="Amiri" w:eastAsia="Amiri" w:cs="Amiri"/>
          <w:color w:val="111111"/>
          <w:sz w:val="28"/>
          <w:sz w:val="28"/>
          <w:szCs w:val="28"/>
          <w:rtl w:val="true"/>
          <w:lang w:bidi="ar-SA"/>
        </w:rPr>
        <w:t>منقطع عن الأوّل، لأنّ مَنْ رَحِمَ   معصوم و لیس بعاصم یدخل فی الکلام الأوّل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فأمّا من خالف فی ذلک و حمل الاستثناء علی الإقرار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یحسن أن یستثنی فی الإقرار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غیر جنس ما أقرّ به فکذلک فی الإخبار و غیرها</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فقوله یبطل، لأنّ هذا طریقة القیاس، و لیس یجوز أن تثبت اللّغة و أحکام ألفاظها بالقیاس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الصّحیح فی الإقرار ما نقوله فی الاستثناء، أنّه لا یحسن أن یستثنی فیه من غیر جنسه، فإن دلّ دلیل من إجماع و غیره علی خلافه حکمنا بجوازه و علمنا أنّه استثناء منقطع کما قلناه فیما تقدّم من الألفاظ</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فأمّا إذا تعقّب جملا کثیرة فإلی أیّها ترجع‌؟ فسنذکره فی باب مفرد إن شاء اللّه وحده</w:t>
      </w:r>
      <w:r>
        <w:rPr>
          <w:rFonts w:eastAsia="IRNazanin" w:cs="IRNazanin"/>
          <w:color w:val="111111"/>
          <w:sz w:val="28"/>
          <w:szCs w:val="28"/>
          <w:rtl w:val="true"/>
          <w:lang w:bidi="fa-IR"/>
        </w:rPr>
        <w:t xml:space="preserve">. </w:t>
      </w:r>
      <w:bookmarkStart w:id="183" w:name="pg6519_49505"/>
    </w:p>
    <w:p>
      <w:pPr>
        <w:pStyle w:val="Heading4"/>
        <w:numPr>
          <w:ilvl w:val="3"/>
          <w:numId w:val="1"/>
        </w:numPr>
        <w:rPr/>
      </w:pPr>
      <w:bookmarkStart w:id="184" w:name="__RefHeading___Toc1757271_653776707"/>
      <w:bookmarkStart w:id="185" w:name="_Toc59"/>
      <w:bookmarkEnd w:id="183"/>
      <w:bookmarkEnd w:id="184"/>
      <w:r>
        <w:rPr>
          <w:rtl w:val="true"/>
        </w:rPr>
        <w:t xml:space="preserve">فصل </w:t>
      </w:r>
      <w:r>
        <w:rPr>
          <w:rtl w:val="true"/>
        </w:rPr>
        <w:t xml:space="preserve">- </w:t>
      </w:r>
      <w:r>
        <w:rPr/>
        <w:t>8</w:t>
      </w:r>
      <w:r>
        <w:rPr>
          <w:rtl w:val="true"/>
        </w:rPr>
        <w:t xml:space="preserve"> «</w:t>
      </w:r>
      <w:r>
        <w:rPr>
          <w:rtl w:val="true"/>
        </w:rPr>
        <w:t>فی أنّ الاستثناء إذا تعقّب جملا کثیرة هل یرجع إلی جمیعها أو إلی ما یلیه ؟</w:t>
      </w:r>
      <w:r>
        <w:rPr>
          <w:rtl w:val="true"/>
        </w:rPr>
        <w:t>»</w:t>
      </w:r>
      <w:bookmarkEnd w:id="185"/>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ذهب الشّافعی و أصحابه إلی أنّ الاستثناء إذا تعقّب جملا کثیرة، و کان یصحّ </w:t>
      </w:r>
    </w:p>
    <w:p>
      <w:pPr>
        <w:pStyle w:val="BookText"/>
        <w:rPr/>
      </w:pPr>
      <w:r>
        <w:rPr>
          <w:rFonts w:ascii="IRNazanin" w:hAnsi="IRNazanin" w:eastAsia="IRNazanin"/>
          <w:color w:val="111111"/>
          <w:sz w:val="28"/>
          <w:sz w:val="28"/>
          <w:szCs w:val="28"/>
          <w:rtl w:val="true"/>
          <w:lang w:bidi="fa-IR"/>
        </w:rPr>
        <w:t>أن یرجع إلی کلّ واحدة منها بانفرادها، یجب أن یرجع إلیها کلّها</w:t>
      </w:r>
      <w:r>
        <w:rPr>
          <w:rStyle w:val="FootnoteAnchor"/>
          <w:rtl w:val="true"/>
        </w:rPr>
        <w:footnoteReference w:id="574"/>
      </w:r>
    </w:p>
    <w:p>
      <w:pPr>
        <w:pStyle w:val="BookText"/>
        <w:rPr/>
      </w:pPr>
      <w:r>
        <w:rPr>
          <w:rFonts w:ascii="IRNazanin" w:hAnsi="IRNazanin" w:eastAsia="IRNazanin"/>
          <w:color w:val="111111"/>
          <w:sz w:val="28"/>
          <w:sz w:val="28"/>
          <w:szCs w:val="28"/>
          <w:rtl w:val="true"/>
          <w:lang w:bidi="fa-IR"/>
        </w:rPr>
        <w:t xml:space="preserve">انظر ذیل التعلیقة رقم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صفحة </w:t>
      </w:r>
      <w:r>
        <w:rPr>
          <w:rFonts w:eastAsia="IRNazanin" w:cs="IRNazanin"/>
          <w:color w:val="111111"/>
          <w:sz w:val="28"/>
          <w:szCs w:val="28"/>
          <w:lang w:bidi="fa-IR"/>
        </w:rPr>
        <w:t>320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ذهب أبو الحسن الکرخی، و أکثر أصحاب أبی حنیفة إلی أنّه یرجع إلی ما یلیه من المذکور</w:t>
      </w:r>
      <w:r>
        <w:rPr>
          <w:rStyle w:val="FootnoteAnchor"/>
          <w:rtl w:val="true"/>
        </w:rPr>
        <w:footnoteReference w:id="575"/>
      </w:r>
      <w:r>
        <w:rPr>
          <w:rFonts w:ascii="IRNazanin" w:hAnsi="IRNazanin" w:eastAsia="IRNazanin"/>
          <w:color w:val="111111"/>
          <w:sz w:val="28"/>
          <w:sz w:val="28"/>
          <w:szCs w:val="28"/>
          <w:rtl w:val="true"/>
          <w:lang w:bidi="fa-IR"/>
        </w:rPr>
        <w:t>و قال سیّدنا المرتضی رحمه اللّه</w:t>
      </w:r>
      <w:r>
        <w:rPr>
          <w:rStyle w:val="FootnoteAnchor"/>
          <w:rtl w:val="true"/>
        </w:rPr>
        <w:footnoteReference w:id="5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یرجع إلی ما یلیه قطعا، و یجوز مع ذلک رجوعه إلی ما تقدّمها من الجمل، و یقف ذلک علی البیان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یقوی فی نفسی المذهب الأوّل، و الّذی یدلّ علی ذلک</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الکلام إذا عطف بعضه علی بعض بالواو الموضوعة للجمع صار کأنّه مذکور بلفظ واحد، أ لا تری أنّه لا فرق بین أن یقول القائل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رأیت زیدا و عمرا و خالدا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بین </w:t>
      </w:r>
    </w:p>
    <w:p>
      <w:pPr>
        <w:pStyle w:val="BookText"/>
        <w:rPr/>
      </w:pPr>
      <w:r>
        <w:rPr>
          <w:rFonts w:ascii="IRNazanin" w:hAnsi="IRNazanin" w:eastAsia="IRNazanin"/>
          <w:color w:val="111111"/>
          <w:sz w:val="28"/>
          <w:sz w:val="28"/>
          <w:szCs w:val="28"/>
          <w:rtl w:val="true"/>
          <w:lang w:bidi="fa-IR"/>
        </w:rPr>
        <w:t>أن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رأیتهم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بلفظ یشملهم، فإذا صحّ ذلک فالاستثناء لو ذکر عقیب الجملة المتناولة لجمیعهم کان متعلّقا بهم، فکذلک إذا ذکر عقیب الجمل المعطوف بعضها علی بعض، لأنّها فی حکم الجملة الواحدة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 أیضا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الشّرط إذا تعقّب جملا کثیرة فلا خلاف فی أنّه یرجع إلی جمیعها، و العلّة الجامعة بینهما أنّ کلّ واحد منهما لا یستقلّ بنفسه و یحتاج إلی تعلیقه بغیره لیفید، فلمّا اتّفقا فی هذا الحکم وجب اتفاقهما فی وجوب رجوع کلّ واحد منهما إلی 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وجب ذلک فی الشّرط، لأنّ له صدر الکلام، فهو و إن ذکر آخر الکلام فکأنّه مذکور</w:t>
      </w:r>
      <w:r>
        <w:rPr>
          <w:rStyle w:val="FootnoteAnchor"/>
          <w:rtl w:val="true"/>
        </w:rPr>
        <w:footnoteReference w:id="577"/>
      </w:r>
    </w:p>
    <w:p>
      <w:pPr>
        <w:pStyle w:val="BookText"/>
        <w:rPr/>
      </w:pPr>
      <w:r>
        <w:rPr>
          <w:rFonts w:ascii="IRNazanin" w:hAnsi="IRNazanin" w:eastAsia="IRNazanin"/>
          <w:color w:val="111111"/>
          <w:sz w:val="28"/>
          <w:sz w:val="28"/>
          <w:szCs w:val="28"/>
          <w:rtl w:val="true"/>
          <w:lang w:bidi="fa-IR"/>
        </w:rPr>
        <w:t>فی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مذکورا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أوّله، و إذا کان مذکورا فی أوّله فالجمل کلّها معطوفة علیه و هو داخل علیها و وجب تعلّقه بها کلّها، فکذلک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حکمه إذا تأخّر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نسلّم أنّ له صدر الکلام حتّی لا یجوز أن یؤخّر، بل الموجود بخلافه، و إنّما یستعمل تارة فی صدر الکلام و تارة فی آخره، و لیس مخالفته للاستثناء فی جواز تقدّمه بموجب مخالفته فی کلّ وجه، أ لا تری أنّه قد خالف الاستثناء أیضا فی أنّه لا یدخل إلاّ علی أفعال مستقبلة أو ما یقدّر فیها الاستقبال، و لیس کذلک الاستثناء فإنّه یدخل علی ما کان ماضیا، أو مستقبلا، أو یکون اسما و لیس فیه معنی الفعل أصلا، و کلّ ذلک لا یصحّ فی الشّرط، و لم یجب بذلک أن یکون</w:t>
      </w:r>
      <w:r>
        <w:rPr>
          <w:rStyle w:val="FootnoteAnchor"/>
          <w:rtl w:val="true"/>
        </w:rPr>
        <w:footnoteReference w:id="578"/>
      </w:r>
      <w:r>
        <w:rPr>
          <w:rFonts w:ascii="IRNazanin" w:hAnsi="IRNazanin" w:eastAsia="IRNazanin"/>
          <w:color w:val="111111"/>
          <w:sz w:val="28"/>
          <w:sz w:val="28"/>
          <w:szCs w:val="28"/>
          <w:rtl w:val="true"/>
          <w:lang w:bidi="fa-IR"/>
        </w:rPr>
        <w:t>حکم الاستثناء حکمه، فکذلک فیما قلناه</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یدلّ أیضا علی ما ذهبنا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الاستثناء بمشیّة اللّه</w:t>
      </w:r>
      <w:r>
        <w:rPr>
          <w:rStyle w:val="FootnoteAnchor"/>
          <w:rtl w:val="true"/>
        </w:rPr>
        <w:footnoteReference w:id="579"/>
      </w:r>
      <w:r>
        <w:rPr>
          <w:rFonts w:ascii="IRNazanin" w:hAnsi="IRNazanin" w:eastAsia="IRNazanin"/>
          <w:color w:val="111111"/>
          <w:sz w:val="28"/>
          <w:sz w:val="28"/>
          <w:szCs w:val="28"/>
          <w:rtl w:val="true"/>
          <w:lang w:bidi="fa-IR"/>
        </w:rPr>
        <w:t xml:space="preserve">إذا تعقّب جملا کثیرة وجب رجوعه إلی جمیعها، فکذلک یجب أن یکون حکم الاستثناء الآخر مثله، و العلّة الجامعة بینهما ما قدّمناها من افتقار کلّ واحد منهما إلی ما یتعلّق به، و کونه غیر </w:t>
      </w:r>
    </w:p>
    <w:p>
      <w:pPr>
        <w:pStyle w:val="BookText"/>
        <w:rPr/>
      </w:pPr>
      <w:r>
        <w:rPr>
          <w:rFonts w:ascii="IRNazanin" w:hAnsi="IRNazanin" w:eastAsia="IRNazanin"/>
          <w:color w:val="111111"/>
          <w:sz w:val="28"/>
          <w:sz w:val="28"/>
          <w:szCs w:val="28"/>
          <w:rtl w:val="true"/>
          <w:lang w:bidi="fa-IR"/>
        </w:rPr>
        <w:t>مستقلّ بنفسه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استدلّ من خالف علی صحّة ما ذهب إلیه بأن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 الاستثناء إنّما وجب تعلیقه بما تقدّم لأنّه لا یستقلّ بنفسه، و لو استقلّ بنفسه لما وجب ذلک فیه، فإذا علّقناه بما یلیه فقد أفاد و استقلّ بنفسه، فلا معنی لردّه إلی جمیع ما تقدّم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عن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أوّلا ینتقض بالشّرط و الاستثناء بمشیئة اللّه، لأنّهما إنّما علّقا بما تقدّم، لأنّهما لا یستقلاّن بأنفسهما، و مع هذا لا یجب تعلیقهما بما یلیهما فحسب دون ما تقدّم، فکذلک</w:t>
      </w:r>
      <w:r>
        <w:rPr>
          <w:rStyle w:val="FootnoteAnchor"/>
          <w:rtl w:val="true"/>
        </w:rPr>
        <w:footnoteReference w:id="580"/>
      </w:r>
    </w:p>
    <w:p>
      <w:pPr>
        <w:pStyle w:val="BookText"/>
        <w:rPr/>
      </w:pPr>
      <w:r>
        <w:rPr>
          <w:rFonts w:ascii="IRNazanin" w:hAnsi="IRNazanin" w:eastAsia="IRNazanin"/>
          <w:color w:val="111111"/>
          <w:sz w:val="28"/>
          <w:sz w:val="28"/>
          <w:szCs w:val="28"/>
          <w:rtl w:val="true"/>
          <w:lang w:bidi="fa-IR"/>
        </w:rPr>
        <w:t>و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فی الاستثناء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إذا وجب تعلیقه بما تقدّم لکونه غیر مستقل بنفسه، فلم صار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یعلّق بما یلیه بأولی من أن یعلّق بما قبله‌؟ و إذا لم یکن هناک ما یخصّصه بما یلیه وجب تعلیقه بجمیع ما تقدّم لفقد الاختصاص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استدلّوا أیضا بأن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ثبت أنّ الاستثناء من الاستثناء لا یرجع إلاّ إلی ما یلیه، و لا یرجع إلی الجملة الأولی، فکذلک القول فی الجمل الکثیرة یجب أن یکون حکمه ذلک الحکم فی رجوعه إلی ما یلیه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عن ذلک من وجوه</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إنّما أوجبنا فی الجمل الکثیرة أن یرجع إلی جمیعها لما کانت معطوفة بعضها علی بعض بواو العطف الّتی یوجب الاشتراک و یصیّر الجمل الکثیرة فی حکم الجملة الواحدة علی ما بیّناه، و لیس هذا موجودا فی الاستثناء من الاستثناء، لأنّه لیس هناک ما یوجب اشتراک الجملة الثّانیة للجملة الأولی، فلا یجب أن یرجع إلی الجملة الأولی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إنّما لم یحسن ذلک لأنّه لا یفید شیئا، لأنّ القائل إذا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لزید عندی عشرة إلاّ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أقرّ له بالسّبعة، فإذا قال بعد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واحدا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رددناه إلی الجملتین معا لکان یجب أن ینقص من الثّلاثة واحدا فیصیر المستثنی منه ثمانیة، و کان یجب أن ینقص من الجملة الأولی أیضا واحدا فیرجع إلی السّبعة فلا یفید إلاّ ما أفاد الاستثناء الأوّل، و لا یکون لدخول الاستثناء الثّانی فائدة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Style w:val="FootnoteAnchor"/>
          <w:rtl w:val="true"/>
        </w:rPr>
        <w:footnoteReference w:id="581"/>
      </w:r>
    </w:p>
    <w:p>
      <w:pPr>
        <w:pStyle w:val="BookText"/>
        <w:rPr/>
      </w:pPr>
      <w:r>
        <w:rPr>
          <w:rFonts w:ascii="IRNazanin" w:hAnsi="IRNazanin" w:eastAsia="IRNazanin"/>
          <w:color w:val="111111"/>
          <w:sz w:val="28"/>
          <w:sz w:val="28"/>
          <w:szCs w:val="28"/>
          <w:rtl w:val="true"/>
          <w:lang w:bidi="fa-IR"/>
        </w:rPr>
        <w:t>فی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بدّ أن یکون استثناء من الجملة الّتی یلیها فیصیر إقرارا بالثّمانیة و یکون ذلک مفیدا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لأحد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 رددتموه إلی الجملة الأولی فحسب و جعلتم کأنّه أقرّ بستّة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أنّ هذا لم یعتبره أحد، لأنّ أحدا لم یقل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یرجع إلی ما تقدّم، و لا یرجع إلی ما یلیه و مع إمکان أن یرجع إلیه، لأنّ النّاس بین قائلین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یرجع إلی ما یلیه و هو مقصور علیه، و قائل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یرجع إلیهما، و لیس هاهنا من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یرجع إلی ما تقدّم، و لا یرجع إلی ما یلیه، و ذلک باطل بالاتّفاق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لأنّ ذلک لو کان مردودا إلیها لوجب دخول واو العطف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فیقول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 عندی عشرة إلاّ ثلاثة و إلاّ واحدا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یکون إقرارا بالسّتة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أجاب بعض من نصر المذهب الّذی اخترناه عن شبهة الاستثناء من الاستثناء، بأن قال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الاستثناء من الإیجاب نفی و من النّفی إیجاب، و محال أن یکون الشّیء الواحد مثبتا و منفیّا</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هذا لیس بصحیح، و ذلک أنّ المحال هو أن ینفی الشّیء علی الحدّ الّذی </w:t>
      </w:r>
    </w:p>
    <w:p>
      <w:pPr>
        <w:pStyle w:val="BookText"/>
        <w:rPr/>
      </w:pPr>
      <w:r>
        <w:rPr>
          <w:rFonts w:ascii="IRNazanin" w:hAnsi="IRNazanin" w:eastAsia="IRNazanin"/>
          <w:color w:val="111111"/>
          <w:sz w:val="28"/>
          <w:sz w:val="28"/>
          <w:szCs w:val="28"/>
          <w:rtl w:val="true"/>
          <w:lang w:bidi="fa-IR"/>
        </w:rPr>
        <w:t>أثبت، و ذلک لیس بموجود هاهنا، لأنّ الاستثناء من الجملة الأولی الّتی هی مثبتة نفی، و الاستثناء من الجملة المنفیّة إثبات، و هما جملتان متباینتان فلا تنافی بین ذلک فیهما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المعتمد ما قلناه من الوجهین</w:t>
      </w:r>
      <w:r>
        <w:rPr>
          <w:rStyle w:val="FootnoteAnchor"/>
          <w:rtl w:val="true"/>
        </w:rPr>
        <w:footnoteReference w:id="582"/>
      </w:r>
    </w:p>
    <w:p>
      <w:pPr>
        <w:pStyle w:val="BookText"/>
        <w:rPr/>
      </w:pPr>
      <w:r>
        <w:rPr>
          <w:rFonts w:ascii="IRNazanin" w:hAnsi="IRNazanin" w:eastAsia="IRNazanin"/>
          <w:color w:val="111111"/>
          <w:sz w:val="28"/>
          <w:sz w:val="28"/>
          <w:szCs w:val="28"/>
          <w:rtl w:val="true"/>
          <w:lang w:bidi="fa-IR"/>
        </w:rPr>
        <w:t>انظر استدلال المصنّف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الجواب عن ذلک من 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صفحة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324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استدلّ کلّ واحد من الفریقین</w:t>
      </w:r>
      <w:r>
        <w:rPr>
          <w:rStyle w:val="FootnoteAnchor"/>
          <w:rtl w:val="true"/>
        </w:rPr>
        <w:footnoteReference w:id="583"/>
      </w:r>
      <w:r>
        <w:rPr>
          <w:rFonts w:ascii="IRNazanin" w:hAnsi="IRNazanin" w:eastAsia="IRNazanin"/>
          <w:color w:val="111111"/>
          <w:sz w:val="28"/>
          <w:sz w:val="28"/>
          <w:szCs w:val="28"/>
          <w:rtl w:val="true"/>
          <w:lang w:bidi="fa-IR"/>
        </w:rPr>
        <w:t>بأشیاء وجدوها موافقة لما یذهبون إلیه، إمّا من رجوع الاستثناء إلی ما یلیه، أو رجوعه إلی جمیع ما تقدّم</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یمکن الاعتماد علیها، لأنّ لقائل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ذلک إنّما علم بدلیل آخر غیر الوجود، فالمعوّل علی الوجود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یمکن، لأنّه یعارض الوجود لمخالف له، و هذه شبهة من خالف و قال بالوقف فی ذلک علی ما قلناه، فعلم بذلک أنّ المعوّل علی ما قلناه</w:t>
      </w:r>
      <w:r>
        <w:rPr>
          <w:rFonts w:eastAsia="IRNazanin" w:cs="IRNazanin"/>
          <w:color w:val="111111"/>
          <w:sz w:val="28"/>
          <w:szCs w:val="28"/>
          <w:rtl w:val="true"/>
          <w:lang w:bidi="fa-IR"/>
        </w:rPr>
        <w:t xml:space="preserve">. </w:t>
      </w:r>
      <w:bookmarkStart w:id="186" w:name="pg6519_49517"/>
    </w:p>
    <w:p>
      <w:pPr>
        <w:pStyle w:val="Heading4"/>
        <w:numPr>
          <w:ilvl w:val="3"/>
          <w:numId w:val="1"/>
        </w:numPr>
        <w:rPr/>
      </w:pPr>
      <w:bookmarkStart w:id="187" w:name="__RefHeading___Toc1757273_653776707"/>
      <w:bookmarkStart w:id="188" w:name="_Toc60"/>
      <w:bookmarkEnd w:id="186"/>
      <w:bookmarkEnd w:id="187"/>
      <w:r>
        <w:rPr>
          <w:rtl w:val="true"/>
        </w:rPr>
        <w:t xml:space="preserve">فصل </w:t>
      </w:r>
      <w:r>
        <w:rPr>
          <w:rtl w:val="true"/>
        </w:rPr>
        <w:t xml:space="preserve">- </w:t>
      </w:r>
      <w:r>
        <w:rPr/>
        <w:t>9</w:t>
      </w:r>
      <w:r>
        <w:rPr>
          <w:rtl w:val="true"/>
        </w:rPr>
        <w:t xml:space="preserve"> «</w:t>
      </w:r>
      <w:r>
        <w:rPr>
          <w:rtl w:val="true"/>
        </w:rPr>
        <w:t>فی ذکر جملة من أحکام الشّرط، و تخصیص العموم به</w:t>
      </w:r>
      <w:r>
        <w:rPr>
          <w:rtl w:val="true"/>
        </w:rPr>
        <w:t>»</w:t>
      </w:r>
      <w:bookmarkEnd w:id="188"/>
    </w:p>
    <w:p>
      <w:pPr>
        <w:pStyle w:val="BookText"/>
        <w:rPr/>
      </w:pPr>
      <w:r>
        <w:rPr>
          <w:rFonts w:ascii="IRNazanin" w:hAnsi="IRNazanin" w:eastAsia="IRNazanin"/>
          <w:color w:val="111111"/>
          <w:sz w:val="28"/>
          <w:sz w:val="28"/>
          <w:szCs w:val="28"/>
          <w:rtl w:val="true"/>
          <w:lang w:bidi="fa-IR"/>
        </w:rPr>
        <w:t xml:space="preserve">اعلم أنّ من حکم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الشّرط ألاّ یدخل إلاّ علی المنتظر إمّا لفظا أو تقدیرا، لأنّ ما وجد ممّا قد قضی، أو وجد فی الحال لا یصحّ دخول الشّرط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حقّه أن یخصّ المشروط، إلاّ أن یقوم دلیل علی أنّه دخل للتأکید</w:t>
      </w:r>
      <w:r>
        <w:rPr>
          <w:rStyle w:val="FootnoteAnchor"/>
          <w:rtl w:val="true"/>
        </w:rPr>
        <w:footnoteReference w:id="584"/>
      </w:r>
    </w:p>
    <w:p>
      <w:pPr>
        <w:pStyle w:val="BookText"/>
        <w:rPr/>
      </w:pPr>
      <w:r>
        <w:rPr>
          <w:rFonts w:ascii="IRNazanin" w:hAnsi="IRNazanin" w:eastAsia="IRNazanin"/>
          <w:color w:val="111111"/>
          <w:sz w:val="28"/>
          <w:sz w:val="28"/>
          <w:szCs w:val="28"/>
          <w:rtl w:val="true"/>
          <w:lang w:bidi="fa-IR"/>
        </w:rPr>
        <w:t>کأن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القوم أبدا، إن استطعت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فیحمل علیه، و یخرج فی المعنی من أن یکون شرطا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فأمّا ما یخصّ المشروط فنحو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تَجِدُوا ماءً فَتَیَمَّمُوا صَعِیداً  </w:t>
      </w:r>
      <w:r>
        <w:rPr>
          <w:rStyle w:val="FootnoteAnchor"/>
          <w:rtl w:val="true"/>
        </w:rPr>
        <w:footnoteReference w:id="585"/>
      </w:r>
      <w:r>
        <w:rPr>
          <w:rFonts w:ascii="Amiri" w:hAnsi="Amiri" w:eastAsia="Amiri" w:cs="Amiri"/>
          <w:color w:val="111111"/>
          <w:sz w:val="28"/>
          <w:sz w:val="28"/>
          <w:szCs w:val="28"/>
          <w:rtl w:val="true"/>
          <w:lang w:bidi="ar-SA"/>
        </w:rPr>
        <w:t>، و نحو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لَمْ یَسْتَطِعْ فَإِطْعامُ سِتِّینَ مِسْکِیناً  </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فرق بین أن یکون الشّرط متقدّما أو متأخّرا فی أنّه یخصّص المشروط</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ذهب النحویون إلی أنّه متی تأخّر فالمراد به التقدّم لأنّ له صدر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یقوی فی نفسی أنّه لا فرق بین تقدّمه و تأخّره، و لا یمتنع أن یجعل الشّرط الواحد شرطا فی أشیاء کثیرة، کما لا یمتنع أن یکون المشروط الواحد مشروطا بشروط کثیرة، و ذلک مثل قول القائل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دخل داری، و أکل طعامی، و شرب شرابی، فله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یستحقّ الدّراهم إذا دخل الدّار و أکل و شرب، فأمّا بواحد منها فلا یستحقّ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یصحّ أن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دخلت الدّار فلک خلعة و دراهم و طعام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متی دخل استحقّ جمیع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فتارة یکون الشّرط واحدا و المشروط أشیاء، و تارة یکون الشّرط أشیاء و المشروط واحد، فکلّ ذلک جائز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الحق بهذا الباب، تعلیق الحکم بغایة، لأنّها تصیر بمنزلة الشّرط فی ثبوت ذلک أو نفیه، و ذلک نحو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تَقْرَبُوهُنَّ حَتّی یَطْهُرْنَ  </w:t>
      </w:r>
      <w:r>
        <w:rPr>
          <w:rStyle w:val="FootnoteAnchor"/>
          <w:rtl w:val="true"/>
        </w:rPr>
        <w:footnoteReference w:id="587"/>
      </w:r>
    </w:p>
    <w:p>
      <w:pPr>
        <w:pStyle w:val="BookText"/>
        <w:rPr/>
      </w:pP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لأنّ جعل نفی التّطهّر شرطا فی حظر قربهنّ و وجوده مبیحا لذلک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نحو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قاتِلُوا الَّذِینَ لا یُؤْمِنُونَ بِاللّهِ وَ لا بِالْیَوْمِ الْآخِرِ   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یُعْطُوا الْجِزْیَةَ عَنْ یَدٍ وَ هُمْ صاغِرُونَ  </w:t>
      </w:r>
      <w:r>
        <w:rPr>
          <w:rStyle w:val="FootnoteAnchor"/>
          <w:rtl w:val="true"/>
        </w:rPr>
        <w:footnoteReference w:id="588"/>
      </w:r>
      <w:r>
        <w:rPr>
          <w:rFonts w:ascii="IRNazanin" w:hAnsi="IRNazanin" w:eastAsia="IRNazanin"/>
          <w:color w:val="111111"/>
          <w:sz w:val="28"/>
          <w:sz w:val="28"/>
          <w:szCs w:val="28"/>
          <w:rtl w:val="true"/>
          <w:lang w:bidi="fa-IR"/>
        </w:rPr>
        <w:t>، فجعل إعطاء الجزیة حدّا یجب عنده الکفّ عن قتالهم، و زواله شرطا فی ثبوت القتل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کذلک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کُلُوا وَ اشْرَبُوا حَتّی یَتَبَیَّنَ لَکُمُ الْخَیْطُ الْأَبْیَضُ مِنَ الْخَیْطِ الْأَسْوَدِ مِنَ الْفَجْرِ  </w:t>
      </w:r>
      <w:r>
        <w:rPr>
          <w:rStyle w:val="FootnoteAnchor"/>
          <w:rtl w:val="true"/>
        </w:rPr>
        <w:footnoteReference w:id="589"/>
      </w:r>
      <w:r>
        <w:rPr>
          <w:rFonts w:ascii="IRNazanin" w:hAnsi="IRNazanin" w:eastAsia="IRNazanin"/>
          <w:color w:val="111111"/>
          <w:sz w:val="28"/>
          <w:sz w:val="28"/>
          <w:szCs w:val="28"/>
          <w:rtl w:val="true"/>
          <w:lang w:bidi="fa-IR"/>
        </w:rPr>
        <w:t>، فجعل طلوع الفجر حدّا یجب عنده الکفّ عن الطّعام و الشّراب لمن أراد الصوم، و عدمه مبیحا لذلک</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نظائر ذلک کثیرة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قد یجعل للحکم الواحد غایتان و أکثر، و قد یجعل غایة واحدة لأحکام کثیرة کما قلنا فی الشّرط سواء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الشّرط و الغایة جمیعا یدخلان فی جمیع أحکام الأفعال من واجب، و ندب، و مباح، فینبغی أن یجری الکلام علی ما قلناه،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شاء اللّه تعالی</w:t>
      </w:r>
      <w:r>
        <w:rPr>
          <w:rFonts w:eastAsia="IRNazanin" w:cs="IRNazanin"/>
          <w:color w:val="111111"/>
          <w:sz w:val="28"/>
          <w:szCs w:val="28"/>
          <w:rtl w:val="true"/>
          <w:lang w:bidi="fa-IR"/>
        </w:rPr>
        <w:t>)</w:t>
      </w:r>
      <w:r>
        <w:rPr>
          <w:rStyle w:val="FootnoteAnchor"/>
          <w:rtl w:val="true"/>
        </w:rPr>
        <w:footnoteReference w:id="590"/>
      </w:r>
    </w:p>
    <w:p>
      <w:pPr>
        <w:pStyle w:val="BookText"/>
        <w:rPr/>
      </w:pPr>
      <w:r>
        <w:rPr>
          <w:rFonts w:ascii="IRNazanin" w:hAnsi="IRNazanin" w:eastAsia="IRNazanin"/>
          <w:color w:val="111111"/>
          <w:sz w:val="28"/>
          <w:sz w:val="28"/>
          <w:szCs w:val="28"/>
          <w:rtl w:val="true"/>
          <w:lang w:bidi="fa-IR"/>
        </w:rPr>
        <w:t>زیادة من النسخة الثّانیة</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89" w:name="pg6519_49523"/>
    </w:p>
    <w:p>
      <w:pPr>
        <w:pStyle w:val="Heading4"/>
        <w:numPr>
          <w:ilvl w:val="3"/>
          <w:numId w:val="1"/>
        </w:numPr>
        <w:rPr/>
      </w:pPr>
      <w:bookmarkStart w:id="190" w:name="__RefHeading___Toc1757275_653776707"/>
      <w:bookmarkStart w:id="191" w:name="_Toc61"/>
      <w:bookmarkEnd w:id="189"/>
      <w:bookmarkEnd w:id="190"/>
      <w:r>
        <w:rPr>
          <w:rtl w:val="true"/>
        </w:rPr>
        <w:t xml:space="preserve">فصل </w:t>
      </w:r>
      <w:r>
        <w:rPr>
          <w:rtl w:val="true"/>
        </w:rPr>
        <w:t xml:space="preserve">- </w:t>
      </w:r>
      <w:r>
        <w:rPr/>
        <w:t>10</w:t>
      </w:r>
      <w:r>
        <w:rPr>
          <w:rtl w:val="true"/>
        </w:rPr>
        <w:t xml:space="preserve"> «</w:t>
      </w:r>
      <w:r>
        <w:rPr>
          <w:rtl w:val="true"/>
        </w:rPr>
        <w:t>فی ذکر الکلام فی المطلق و المقیّد</w:t>
      </w:r>
      <w:r>
        <w:rPr>
          <w:rtl w:val="true"/>
        </w:rPr>
        <w:t>»</w:t>
      </w:r>
      <w:bookmarkEnd w:id="191"/>
    </w:p>
    <w:p>
      <w:pPr>
        <w:pStyle w:val="BookText"/>
        <w:rPr/>
      </w:pPr>
      <w:r>
        <w:rPr>
          <w:rFonts w:ascii="IRNazanin" w:hAnsi="IRNazanin" w:eastAsia="IRNazanin"/>
          <w:color w:val="111111"/>
          <w:sz w:val="28"/>
          <w:sz w:val="28"/>
          <w:szCs w:val="28"/>
          <w:rtl w:val="true"/>
          <w:lang w:bidi="fa-IR"/>
        </w:rPr>
        <w:t>التقیید یخصّ العام، و یخصّ المطلق الّذی لیس بعام، فمثال تخصیصه للعام قول القائل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دخل داری راکبا أکرمته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لقیت الرّجال الأشراف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راکبا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 لفظه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لأنّه لو لم یذکره لوجب علیه إکرام کلّ من یدخل داره، سواء کان راکبا أو ماشیا، و کذلک لو لم یقیّد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بالأشراف لکان متناولا لجمیع الرّجال، سواء کانوا أشرافا أو غیر أشراف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تخصیصه المطلق و إن لم یکن عاما، فمثل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فَتَحْرِیرُ رَقَبَةٍ مُؤْمِنَةٍ  </w:t>
      </w:r>
      <w:r>
        <w:rPr>
          <w:rStyle w:val="FootnoteAnchor"/>
          <w:rtl w:val="true"/>
        </w:rPr>
        <w:footnoteReference w:id="591"/>
      </w:r>
    </w:p>
    <w:p>
      <w:pPr>
        <w:pStyle w:val="BookText"/>
        <w:rPr/>
      </w:pP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لو لم یذکر ذلک لکان یجوز تحریر أیّ رقبة کانت، سواء کانت مؤمنة أو غیر مؤمنة</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کذلک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شَهْرَیْنِ مُتَتابِعَیْنِ  </w:t>
      </w:r>
      <w:r>
        <w:rPr>
          <w:rStyle w:val="FootnoteAnchor"/>
          <w:rtl w:val="true"/>
        </w:rPr>
        <w:footnoteReference w:id="592"/>
      </w:r>
      <w:r>
        <w:rPr>
          <w:rFonts w:ascii="IRNazanin" w:hAnsi="IRNazanin" w:eastAsia="IRNazanin"/>
          <w:color w:val="111111"/>
          <w:sz w:val="28"/>
          <w:sz w:val="28"/>
          <w:szCs w:val="28"/>
          <w:rtl w:val="true"/>
          <w:lang w:bidi="fa-IR"/>
        </w:rPr>
        <w:t>لأنّه لو لم یذکر ذلک لکان یجوز متتابعین و غیر متتابعین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التّقیید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یخلو من أن یکون متّصلا بالمطلق، أو منفصلا منه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کان متّصلا، فلا خلاف فی أنّه یخصّ المطلق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إذا کان منفصلا، فلا یخلو من أن یکون ما أطلق فی موضع هو بعینه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قیّد فی موضع آخر أو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کان هو هو بعینه، فلا خلاف أیضا فی أنّه یجب تخصیصه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غیره، فلا یخلو من أن یکون من جنسه أو من غیر جنسه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کان من غیر جنسه، فلا خلاف أیضا فی أنّه لا یجب تخصیصه به، و أنّه ینبغی أن یحمل المطلق علی إطلاقه، و یحمل المقیّد علی تقییده، و مثال</w:t>
      </w:r>
      <w:r>
        <w:rPr>
          <w:rStyle w:val="FootnoteAnchor"/>
          <w:rtl w:val="true"/>
        </w:rPr>
        <w:footnoteReference w:id="593"/>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ذلک أن یرد تحریر الرقبة مقیّدا بالإیمان فی کفّارة قتل الخطأ، و یرد مطلقا فی باب النّذر أو</w:t>
      </w:r>
    </w:p>
    <w:p>
      <w:pPr>
        <w:pStyle w:val="BookText"/>
        <w:rPr/>
      </w:pPr>
      <w:r>
        <w:rPr>
          <w:rFonts w:ascii="IRNazanin" w:hAnsi="IRNazanin" w:eastAsia="IRNazanin"/>
          <w:color w:val="111111"/>
          <w:sz w:val="28"/>
          <w:sz w:val="28"/>
          <w:szCs w:val="28"/>
          <w:rtl w:val="true"/>
          <w:lang w:bidi="fa-IR"/>
        </w:rPr>
        <w:t>العتق المتبرع به، فإنّ کلّ واحد منهما ینبغی أن یحمل علی ظاهره علی ما بیّناه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من جنسه، فلا یخلو من أن یکون من جنسه فی موضع آخر مقیّدا فحسب و یکون فی موضع مقیدا، أو فی موضع آخر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وجد من جنسه مطلقا و مقیّدا فی موضعین، فلا خلاف أیضا فی أنه لا ینبغی حمله علی أحدهما، لأنّه لیس أن یقیّد لأجل ما قیّد من جنسه بأولی من أن یحمل علی إطلاقه لإطلاق ما أطلق من جنسه، و مثاله صوم کفّارة الیمین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أن یحمل علی ما شرط فیه التتابع من کفّارة الظّهار بأولی من أن یحمل علی ما شرط فیه التفریق من صوم المتمتّع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یجب أن یترک علی ظاهره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من جنسه ما هو مقیّد فحسب نحو إطلاق اللّه تعالی الرّقبة فی الظّهار و تقییده لها بالإیمان فی کفّارة قتل الخطأ، فاختلف العلماء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فمنهم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المطلق علی إطلاقه لا یؤثّر تقیید المقیّد، و هو مذهب أصحاب أبی حنیفة، و بعض أصحاب الشّافعی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المطلق یصیر مقیّدا لتقییده ما قیّد من جنسه، و اختلفوا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فمنهم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حمل المطلق علی المقیّد لغة و عرفا و لا یحتاج إلی قیاس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اللّغة لا تقتضی ذلک، و إنّما یحمل علیه قیاسا، و هو قول جماعة من أصحاب الشّافعی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ذهب إلی القول الأوّل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اختلفوا</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فمنهم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المطلق لا یجوز أن یقیّد بأن یقاس علی المقیّد،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ذلک یقتضی زیادة فی النّص، و ذلک نسخ و لا یصحّ النّسخ بالقیاس، و هو المحکی عن </w:t>
      </w:r>
    </w:p>
    <w:p>
      <w:pPr>
        <w:pStyle w:val="BookText"/>
        <w:rPr/>
      </w:pPr>
      <w:r>
        <w:rPr>
          <w:rFonts w:ascii="IRNazanin" w:hAnsi="IRNazanin" w:eastAsia="IRNazanin"/>
          <w:color w:val="111111"/>
          <w:sz w:val="28"/>
          <w:sz w:val="28"/>
          <w:szCs w:val="28"/>
          <w:rtl w:val="true"/>
          <w:lang w:bidi="fa-IR"/>
        </w:rPr>
        <w:t>المتقدّمین من أصحاب أبی حنیفة، و عن أبی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لا یجوز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یقیّد، ثمّ اختلفوا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فمنهم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یقتضی تخصیص المطلق لا الزّیادة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یقتضی الزّیادة فیه، و جوّز الزّیادة بالقیاس و لم یعدّه نسخا، فهذه جملة الخلاف فیه</w:t>
      </w:r>
      <w:r>
        <w:rPr>
          <w:rStyle w:val="FootnoteAnchor"/>
          <w:rtl w:val="true"/>
        </w:rPr>
        <w:footnoteReference w:id="594"/>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أصول السرخسی </w:t>
      </w:r>
      <w:r>
        <w:rPr>
          <w:rFonts w:eastAsia="IRNazanin" w:cs="IRNazanin"/>
          <w:color w:val="111111"/>
          <w:sz w:val="28"/>
          <w:szCs w:val="28"/>
          <w:lang w:bidi="fa-IR"/>
        </w:rPr>
        <w:t>267:1</w:t>
      </w:r>
      <w:r>
        <w:rPr>
          <w:rFonts w:ascii="IRNazanin" w:hAnsi="IRNazanin" w:eastAsia="IRNazanin"/>
          <w:color w:val="111111"/>
          <w:sz w:val="28"/>
          <w:sz w:val="28"/>
          <w:szCs w:val="28"/>
          <w:rtl w:val="true"/>
          <w:lang w:bidi="fa-IR"/>
        </w:rPr>
        <w:t>، التبصرة</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میزان الأصول </w:t>
      </w:r>
      <w:r>
        <w:rPr>
          <w:rFonts w:eastAsia="IRNazanin" w:cs="IRNazanin"/>
          <w:color w:val="111111"/>
          <w:sz w:val="28"/>
          <w:szCs w:val="28"/>
          <w:lang w:bidi="fa-IR"/>
        </w:rPr>
        <w:t>595:1</w:t>
      </w:r>
      <w:r>
        <w:rPr>
          <w:rFonts w:eastAsia="IRNazanin" w:cs="IRNazanin"/>
          <w:color w:val="111111"/>
          <w:sz w:val="28"/>
          <w:szCs w:val="28"/>
          <w:rtl w:val="true"/>
          <w:lang w:bidi="fa-IR"/>
        </w:rPr>
        <w:t>-</w:t>
      </w:r>
      <w:r>
        <w:rPr>
          <w:rFonts w:eastAsia="IRNazanin" w:cs="IRNazanin"/>
          <w:color w:val="111111"/>
          <w:sz w:val="28"/>
          <w:szCs w:val="28"/>
          <w:lang w:bidi="fa-IR"/>
        </w:rPr>
        <w:t>584</w:t>
      </w:r>
      <w:r>
        <w:rPr>
          <w:rFonts w:ascii="IRNazanin" w:hAnsi="IRNazanin" w:eastAsia="IRNazanin"/>
          <w:color w:val="111111"/>
          <w:sz w:val="28"/>
          <w:sz w:val="28"/>
          <w:szCs w:val="28"/>
          <w:rtl w:val="true"/>
          <w:lang w:bidi="fa-IR"/>
        </w:rPr>
        <w:t xml:space="preserve">، شرح اللّمع </w:t>
      </w:r>
      <w:r>
        <w:rPr>
          <w:rFonts w:eastAsia="IRNazanin" w:cs="IRNazanin"/>
          <w:color w:val="111111"/>
          <w:sz w:val="28"/>
          <w:szCs w:val="28"/>
          <w:lang w:bidi="fa-IR"/>
        </w:rPr>
        <w:t>418:1</w:t>
      </w:r>
      <w:r>
        <w:rPr>
          <w:rFonts w:eastAsia="IRNazanin" w:cs="IRNazanin"/>
          <w:color w:val="111111"/>
          <w:sz w:val="28"/>
          <w:szCs w:val="28"/>
          <w:rtl w:val="true"/>
          <w:lang w:bidi="fa-IR"/>
        </w:rPr>
        <w:t xml:space="preserve"> -  </w:t>
      </w:r>
      <w:r>
        <w:rPr>
          <w:rFonts w:eastAsia="IRNazanin" w:cs="IRNazanin"/>
          <w:color w:val="111111"/>
          <w:sz w:val="28"/>
          <w:szCs w:val="28"/>
          <w:lang w:bidi="fa-IR"/>
        </w:rPr>
        <w:t>416</w:t>
      </w:r>
      <w:r>
        <w:rPr>
          <w:rFonts w:ascii="IRNazanin" w:hAnsi="IRNazanin" w:eastAsia="IRNazanin"/>
          <w:color w:val="111111"/>
          <w:sz w:val="28"/>
          <w:sz w:val="28"/>
          <w:szCs w:val="28"/>
          <w:rtl w:val="true"/>
          <w:lang w:bidi="fa-IR"/>
        </w:rPr>
        <w:t xml:space="preserve">، المعتمد </w:t>
      </w:r>
      <w:r>
        <w:rPr>
          <w:rFonts w:eastAsia="IRNazanin" w:cs="IRNazanin"/>
          <w:color w:val="111111"/>
          <w:sz w:val="28"/>
          <w:szCs w:val="28"/>
          <w:lang w:bidi="fa-IR"/>
        </w:rPr>
        <w:t>291:1</w:t>
      </w:r>
      <w:r>
        <w:rPr>
          <w:rFonts w:eastAsia="IRNazanin" w:cs="IRNazanin"/>
          <w:color w:val="111111"/>
          <w:sz w:val="28"/>
          <w:szCs w:val="28"/>
          <w:rtl w:val="true"/>
          <w:lang w:bidi="fa-IR"/>
        </w:rPr>
        <w:t>-</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روضة النّاظر</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الذریعة </w:t>
      </w:r>
      <w:r>
        <w:rPr>
          <w:rFonts w:eastAsia="IRNazanin" w:cs="IRNazanin"/>
          <w:color w:val="111111"/>
          <w:sz w:val="28"/>
          <w:szCs w:val="28"/>
          <w:lang w:bidi="fa-IR"/>
        </w:rPr>
        <w:t>275:1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الوفاق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أذهب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ینبغی أن یحمل المطلق علی إطلاقه، و المقیّد علی تقییده، و لا یخصّ أحدهما بالآخر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قلت ذلک، لأنّ حمل أحدهما علی الآخر قیاسا إنّما یسوغ ذلک لمن جوّز العمل به، فأمّا علی ما نذهب إلیه فی المنع منه و حظر استعماله فلا یجوز لا فی هذا الموضع و لا فی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حمل المطلق علی المقیّد من غیر قیاس فبعید، و الّذی یدلّ علی ذلک أنّ من حقّ الکلام أن یحمل علی ظاهره، إلاّ أن یمنع منه مانع، و إذا کان المقیّد غیر المطلق و هما حکمان مختلفان</w:t>
      </w:r>
      <w:r>
        <w:rPr>
          <w:rStyle w:val="FootnoteAnchor"/>
          <w:rtl w:val="true"/>
        </w:rPr>
        <w:footnoteReference w:id="595"/>
      </w:r>
      <w:r>
        <w:rPr>
          <w:rFonts w:ascii="IRNazanin" w:hAnsi="IRNazanin" w:eastAsia="IRNazanin"/>
          <w:color w:val="111111"/>
          <w:sz w:val="28"/>
          <w:sz w:val="28"/>
          <w:szCs w:val="28"/>
          <w:rtl w:val="true"/>
          <w:lang w:bidi="fa-IR"/>
        </w:rPr>
        <w:t>فکیف یؤثر أحدهما فی الآخر؟ فإن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اللّه تعالی لمّا أطلق الشّهادة فی موضع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قیّدها بالعدالة فی موضع آخر، عقل من ذلک تقییدها بالعدالة فی الموضع الّذی أطلقها فیه، فیجب أن یجعل ذلک عبرة فی أمثاله</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المطلق من الشّهادة إنّما قیّد بالعدالة لدلیل دلّ علی ذلک من إجماع أو غیره، و لم تجعل العدالة شرطا فی الشّهادة لأنّها قیّدت فی موضع آخر </w:t>
      </w:r>
    </w:p>
    <w:p>
      <w:pPr>
        <w:pStyle w:val="BookText"/>
        <w:rPr/>
      </w:pPr>
      <w:r>
        <w:rPr>
          <w:rFonts w:ascii="IRNazanin" w:hAnsi="IRNazanin" w:eastAsia="IRNazanin"/>
          <w:color w:val="111111"/>
          <w:sz w:val="28"/>
          <w:sz w:val="28"/>
          <w:szCs w:val="28"/>
          <w:rtl w:val="true"/>
          <w:lang w:bidi="fa-IR"/>
        </w:rPr>
        <w:t>بالعدالة، فمن ادّعی ذلک فعلیه الدّلالة، و نحن لو خلّینا و الظّاهر لما قیّدنا الشّهادة المطلقة و ترکناها علی إطلاقها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کلّه کالکلمة الواحدة، و قد روی ذلک عن أمیر المؤمنین علیه السّلام، فیجب أن یکون المقیّد و إن انفصل من المطلق فکأنّه متّصل به، و یصیر ذلک بمنزلة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الذّاکِرِینَ اللّهَ کَثِیراً وَ الذّاکِراتِ  </w:t>
      </w:r>
      <w:r>
        <w:rPr>
          <w:rStyle w:val="FootnoteAnchor"/>
          <w:rtl w:val="true"/>
        </w:rPr>
        <w:footnoteReference w:id="596"/>
      </w:r>
    </w:p>
    <w:p>
      <w:pPr>
        <w:pStyle w:val="BookText"/>
        <w:rPr/>
      </w:pPr>
      <w:r>
        <w:rPr>
          <w:rFonts w:ascii="IRNazanin" w:hAnsi="IRNazanin" w:eastAsia="IRNazanin"/>
          <w:color w:val="111111"/>
          <w:sz w:val="28"/>
          <w:sz w:val="28"/>
          <w:szCs w:val="28"/>
          <w:rtl w:val="true"/>
          <w:lang w:bidi="fa-IR"/>
        </w:rPr>
        <w:t>الأحزاب</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أنّه مقیّد بما تقدّم، کأنّه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الذّاکرات اللّه کثیرا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قیل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سلّمنا ما ذکرته لم یجب ما ذهبت إلیه، لأنّ المطلق و المقیّد لو افترقا لما وجب تقیید المقیّد إذا کانا حکمین مختلفین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یدلّ علی ذلک أنّه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قَتَلَ مُؤْمِناً خَطَأً فَتَحْرِیرُ رَقَبَةٍ مُؤْمِنَةٍ  </w:t>
      </w:r>
      <w:r>
        <w:rPr>
          <w:rStyle w:val="FootnoteAnchor"/>
          <w:rtl w:val="true"/>
        </w:rPr>
        <w:footnoteReference w:id="597"/>
      </w:r>
      <w:r>
        <w:rPr>
          <w:rFonts w:ascii="Amiri" w:hAnsi="Amiri" w:eastAsia="Amiri" w:cs="Amiri"/>
          <w:color w:val="111111"/>
          <w:sz w:val="28"/>
          <w:sz w:val="28"/>
          <w:szCs w:val="28"/>
          <w:rtl w:val="true"/>
          <w:lang w:bidi="ar-SA"/>
        </w:rPr>
        <w:t xml:space="preserve">، وَ الَّذِینَ یُظاهِرُونَ مِنْ نِسائِهِمْ ثُمَّ یَعُودُونَ لِما قالُوا فَتَحْرِیرُ رَقَبَةٍ  </w:t>
      </w:r>
      <w:r>
        <w:rPr>
          <w:rStyle w:val="FootnoteAnchor"/>
          <w:rtl w:val="true"/>
        </w:rPr>
        <w:footnoteReference w:id="598"/>
      </w:r>
      <w:r>
        <w:rPr>
          <w:rFonts w:ascii="IRNazanin" w:hAnsi="IRNazanin" w:eastAsia="IRNazanin"/>
          <w:color w:val="111111"/>
          <w:sz w:val="28"/>
          <w:sz w:val="28"/>
          <w:szCs w:val="28"/>
          <w:rtl w:val="true"/>
          <w:lang w:bidi="fa-IR"/>
        </w:rPr>
        <w:t>لما وجب أن یکون الثّانیة مقیّدة لأجل کون الأولی مقیّدة، فالتّعلّق بقولهم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القرآن کالکلمة الواحدة لا معنی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فأمّا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الذّاکِرِینَ اللّهَ کَثِیراً وَ الذّاکِراتِ   فإنّما حملناه علی الأوّل لأنّه لا یستقلّ بنفسه و لا یفید شیئا، و إنّما حذف منه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لدلالة الأوّل علیه اختصارا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لیس کذلک المطلق لأنّه مفید و مستقلّ بنفسه فلا یحتاج إلی حمله علی المقیّد بل ترک علی حاله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علی أنّه یلزم من خالف فیما قلناه و جوّز تخصیص المطلق لمکان المقیّد أن یزید فی کفّارة القتل الإطعام، لما کان ذلک ثابتا فی کفّارة الظّهار، و فی التیمّم مسح الرّأس و الرّجلین لما کان ذلک ثابتا فی الوضوء، و غیر ذلک من المواضع، و ذلک لا یرتکبه أحد</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فأمّا من حمل أحدهما علی الآخر قیاسا، فعلی مذهب من أوجب القیاس </w:t>
      </w:r>
    </w:p>
    <w:p>
      <w:pPr>
        <w:pStyle w:val="BookText"/>
        <w:rPr/>
      </w:pPr>
      <w:r>
        <w:rPr>
          <w:rFonts w:ascii="IRNazanin" w:hAnsi="IRNazanin" w:eastAsia="IRNazanin"/>
          <w:color w:val="111111"/>
          <w:sz w:val="28"/>
          <w:sz w:val="28"/>
          <w:szCs w:val="28"/>
          <w:rtl w:val="true"/>
          <w:lang w:bidi="fa-IR"/>
        </w:rPr>
        <w:t>قوله أولی من قول من منع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إنّما قلنا ذلک لأنّ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المطلقة و إن کانت من جهة اللّفظ لیست عامّة، فهی فی المعنی عامّة، لأنّها تقتضی دخول جمیع الرّقاب</w:t>
      </w:r>
      <w:r>
        <w:rPr>
          <w:rStyle w:val="FootnoteAnchor"/>
          <w:rtl w:val="true"/>
        </w:rPr>
        <w:footnoteReference w:id="599"/>
      </w:r>
    </w:p>
    <w:p>
      <w:pPr>
        <w:pStyle w:val="BookText"/>
        <w:rPr/>
      </w:pPr>
      <w:r>
        <w:rPr>
          <w:rFonts w:ascii="IRNazanin" w:hAnsi="IRNazanin" w:eastAsia="IRNazanin"/>
          <w:color w:val="111111"/>
          <w:sz w:val="28"/>
          <w:sz w:val="28"/>
          <w:szCs w:val="28"/>
          <w:rtl w:val="true"/>
          <w:lang w:bidi="fa-IR"/>
        </w:rPr>
        <w:t>فی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الرّقبات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فیه، فإذا علم بالقیاس أنّ من شرطها أن تکون مؤمنة عند من قال بالقیاس صار المجزی منها أقلّ ممّا کان یقتضیه إطلاقها، فصار تخصیصا من هذا الوجه، فینبغی أن یسوغ استعمال القیاس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لهم أن یقولوا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ذلک زیادة لا تخصیص، لأنّ المعقول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الشّخص دون الإیمان، فإذا شرط فیها الإیمان فقد شرط فیها ما لا یقتضیه لفظها، و من حقّ التّخصیص أن یکون متناولا لما یتناوله لفظ المخصوص فیجب أن یکون زیادة، و ذلک أنّ الإیمان و إن لم یعقل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الرقبة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فقد عقل منها المؤمنة و الکافرة الّتی کانت معقولة من الکلام لو لا هذا التّقیید، فصحّ</w:t>
      </w:r>
      <w:r>
        <w:rPr>
          <w:rStyle w:val="FootnoteAnchor"/>
          <w:rtl w:val="true"/>
        </w:rPr>
        <w:footnoteReference w:id="600"/>
      </w:r>
      <w:r>
        <w:rPr>
          <w:rFonts w:ascii="IRNazanin" w:hAnsi="IRNazanin" w:eastAsia="IRNazanin"/>
          <w:color w:val="111111"/>
          <w:sz w:val="28"/>
          <w:sz w:val="28"/>
          <w:szCs w:val="28"/>
          <w:rtl w:val="true"/>
          <w:lang w:bidi="fa-IR"/>
        </w:rPr>
        <w:t>أنّ ذلک تخصیص لا زیادة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یکون التّخصیص علی ضروب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التّخصیص بلفظ المخصوص منه، نحو قول القائل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رأیت الزّیدین إلاّ زید بن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شاکل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یکون بخلاف لفظ المخصوص منه، و ما یتناوله داخل تحت المخصوص منه لفظا نحو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فَلَبِثَ فِیهِمْ أَلْفَ سَنَةٍ إِلاّ خَمْسِینَ عاماً  </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یکون التّخصیص بأن یعلم أنّ اللّفظ یتناول جنسا من غیر اعتبار صفته، و یخصّ بعد ذلک بذکر صفة من صفاته، نحو قول القائل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تصدّق بالورق إذا کان صحاحا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یستثنی منه ما لیس بصحاح</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إن کان اللّفظ الأوّل لم یتناول ذلک علی التّفصیل، و قد علم أنّ الرّقبة إذا ذکرت منکرة لم تختصّ عینا دون عین، فصحّ تخصیص الکافرة منها، و تخصیص ذلک قد یکون بأن یقترن إلی الرقبة صفة تقتضی إخراج الکافرة، و قد یکون باستثناء </w:t>
      </w:r>
    </w:p>
    <w:p>
      <w:pPr>
        <w:pStyle w:val="BookText"/>
        <w:rPr/>
      </w:pPr>
      <w:r>
        <w:rPr>
          <w:rFonts w:ascii="Amiri" w:hAnsi="Amiri" w:eastAsia="Amiri" w:cs="Amiri"/>
          <w:color w:val="111111"/>
          <w:sz w:val="28"/>
          <w:sz w:val="28"/>
          <w:szCs w:val="28"/>
          <w:rtl w:val="true"/>
          <w:lang w:bidi="ar-SA"/>
        </w:rPr>
        <w:t>الکافرة فلا فصل بین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فَتَحْرِیرُ رَقَبَةٍ مُؤْمِنَةٍ  </w:t>
      </w:r>
      <w:r>
        <w:rPr>
          <w:rStyle w:val="FootnoteAnchor"/>
          <w:rtl w:val="true"/>
        </w:rPr>
        <w:footnoteReference w:id="602"/>
      </w:r>
    </w:p>
    <w:p>
      <w:pPr>
        <w:pStyle w:val="BookText"/>
        <w:rPr/>
      </w:pP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 بین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أن تکون کافرة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هذا 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سلّم أنّ ذلک زیادة لکان لا یمتنع أن یقال به قیاسا عند من قال به إذا لم یکن نسخا، و لیس کلّ الزّیادة</w:t>
      </w:r>
      <w:r>
        <w:rPr>
          <w:rStyle w:val="FootnoteAnchor"/>
          <w:rtl w:val="true"/>
        </w:rPr>
        <w:footnoteReference w:id="603"/>
      </w:r>
      <w:r>
        <w:rPr>
          <w:rFonts w:ascii="IRNazanin" w:hAnsi="IRNazanin" w:eastAsia="IRNazanin"/>
          <w:color w:val="111111"/>
          <w:sz w:val="28"/>
          <w:sz w:val="28"/>
          <w:szCs w:val="28"/>
          <w:rtl w:val="true"/>
          <w:lang w:bidi="fa-IR"/>
        </w:rPr>
        <w:t>فی النّص یکون نسخا علی ما نبیّنه فی باب النّاسخ و المنسوخ، و هذه الزّیادة ممّا لا توجب نسخا علی ما نبیّنه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ألزم القائلون بتقیید المطلق قیاسا، ما ألزمناه من قال ذلک من غیر قیاس من إیجاب مسح الرّأس فی التیمّم، و الإطعام فی کفّارة قتل الخطأ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أجابوا عن ذلک بجوابین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ذلک کان جائزا لکنّه منع الإجماع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إنّما یصحّ علی مذهب من أجاز تخصیص العلّة، فأمّا من لم یجز ذلک فلا یمکنه هذا الجواب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القیاس إنّما یصحّ أن یستعمل فی إثبات صفة الحکم و تقییده لا فی إثبات نفس الحکم، لأنّ إثبات عدد الشّهود بالقیاس لا یجوز، و إن جاز إثبات عدالتهم قیاسا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اعترض علی هذا الجواب بأن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الأمرین واحد فی جواز القول بهما قیاسا، و قد استعمل الشّافعی القیاس</w:t>
      </w:r>
      <w:r>
        <w:rPr>
          <w:rStyle w:val="FootnoteAnchor"/>
          <w:rtl w:val="true"/>
        </w:rPr>
        <w:footnoteReference w:id="604"/>
      </w:r>
      <w:r>
        <w:rPr>
          <w:rFonts w:ascii="IRNazanin" w:hAnsi="IRNazanin" w:eastAsia="IRNazanin"/>
          <w:color w:val="111111"/>
          <w:sz w:val="28"/>
          <w:sz w:val="28"/>
          <w:szCs w:val="28"/>
          <w:rtl w:val="true"/>
          <w:lang w:bidi="fa-IR"/>
        </w:rPr>
        <w:t>فی إثبات عبادات نحو إثبات الصّوم بدلا من هدی المحصر و غیر ذلک، کما استعمله فی التقیید، و فی إثبات الصّفات، فلا یمکنه أن ینکر هذا علی مذهبه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فالتّعلّق بما قالوه بعید و الأولی ما قالوه أوّلا</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هذه جملة کافیة فی هذا الباب</w:t>
      </w:r>
      <w:r>
        <w:rPr>
          <w:rFonts w:eastAsia="IRNazanin" w:cs="IRNazanin"/>
          <w:color w:val="111111"/>
          <w:sz w:val="28"/>
          <w:szCs w:val="28"/>
          <w:rtl w:val="true"/>
          <w:lang w:bidi="fa-IR"/>
        </w:rPr>
        <w:t xml:space="preserve">. </w:t>
      </w:r>
      <w:bookmarkStart w:id="192" w:name="pg6519_49537"/>
    </w:p>
    <w:p>
      <w:pPr>
        <w:pStyle w:val="Heading4"/>
        <w:numPr>
          <w:ilvl w:val="3"/>
          <w:numId w:val="1"/>
        </w:numPr>
        <w:rPr/>
      </w:pPr>
      <w:bookmarkStart w:id="193" w:name="__RefHeading___Toc1757277_653776707"/>
      <w:bookmarkStart w:id="194" w:name="_Toc62"/>
      <w:bookmarkEnd w:id="192"/>
      <w:bookmarkEnd w:id="193"/>
      <w:r>
        <w:rPr>
          <w:rtl w:val="true"/>
        </w:rPr>
        <w:t xml:space="preserve">فصل </w:t>
      </w:r>
      <w:r>
        <w:rPr>
          <w:rtl w:val="true"/>
        </w:rPr>
        <w:t xml:space="preserve">- </w:t>
      </w:r>
      <w:r>
        <w:rPr/>
        <w:t>11</w:t>
      </w:r>
      <w:r>
        <w:rPr>
          <w:rtl w:val="true"/>
        </w:rPr>
        <w:t xml:space="preserve"> «</w:t>
      </w:r>
      <w:r>
        <w:rPr>
          <w:rtl w:val="true"/>
        </w:rPr>
        <w:t>فی ذکر ما یدلّ علی تخصیص العموم من الأدلّة المنفصلة الّتی توجب العلم</w:t>
      </w:r>
      <w:r>
        <w:rPr>
          <w:rtl w:val="true"/>
        </w:rPr>
        <w:t>»</w:t>
      </w:r>
      <w:bookmarkEnd w:id="194"/>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تخصیص العموم بأدلّة العقل، و الکتاب، و السّنة، و الإجماع و أفعال النّبیّ صلّی اللّه علیه و آله و سلّم صحیح</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ذهب بعضهم إلی أنّ تخصیص العموم لا یقع بأدلّة العقل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الّذی یدلّ علی صحّة المذهب الأوّل، أنّ هذه الأدلّة الّتی ذکرناها إذا کانت موجبة للعلم و مقتضیة له وجب تخصیص العموم بها، و إلاّ تناقضت الأدلّة و ذلک لا یجوز،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لهذه الجملة خصّصنا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النّاسُ اتَّقُوا رَبَّکُمُ  </w:t>
      </w:r>
      <w:r>
        <w:rPr>
          <w:rStyle w:val="FootnoteAnchor"/>
          <w:rtl w:val="true"/>
        </w:rPr>
        <w:footnoteReference w:id="605"/>
      </w:r>
    </w:p>
    <w:p>
      <w:pPr>
        <w:pStyle w:val="BookText"/>
        <w:rPr/>
      </w:pP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حملناه علی العقلاء، لما دلّ دلیل العقل علی أنّ الأطفال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المجانین و من لا عقل له لا یحسن تکلیفه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کذلک خصّصنا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خالِقُ کُلِّ شَیْءٍ  </w:t>
      </w:r>
      <w:r>
        <w:rPr>
          <w:rStyle w:val="FootnoteAnchor"/>
          <w:rtl w:val="true"/>
        </w:rPr>
        <w:footnoteReference w:id="606"/>
      </w:r>
      <w:r>
        <w:rPr>
          <w:rFonts w:ascii="IRNazanin" w:hAnsi="IRNazanin" w:eastAsia="IRNazanin"/>
          <w:color w:val="111111"/>
          <w:sz w:val="28"/>
          <w:sz w:val="28"/>
          <w:szCs w:val="28"/>
          <w:rtl w:val="true"/>
          <w:lang w:bidi="fa-IR"/>
        </w:rPr>
        <w:t>و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المراد به أفعال نفسه، لما دلّ الدّلیل علی أنّ الواحد منّا فاعل و محدث</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یدلّ علی ذلک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ظاهر الکتاب و حقیقته یترک إلی المجاز لدلیل العقل، کما ترکنا ظاهر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جاءَ رَبُّکَ  </w:t>
      </w:r>
      <w:r>
        <w:rPr>
          <w:rStyle w:val="FootnoteAnchor"/>
          <w:rtl w:val="true"/>
        </w:rPr>
        <w:footnoteReference w:id="607"/>
      </w:r>
      <w:r>
        <w:rPr>
          <w:rFonts w:ascii="Amiri" w:hAnsi="Amiri" w:eastAsia="Amiri" w:cs="Amiri"/>
          <w:color w:val="111111"/>
          <w:sz w:val="28"/>
          <w:sz w:val="28"/>
          <w:szCs w:val="28"/>
          <w:rtl w:val="true"/>
          <w:lang w:bidi="ar-SA"/>
        </w:rPr>
        <w:t>،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یَنْظُرُونَ إِلاّ أَنْ یَأْتِیَهُمُ اللّهُ فِی ظُلَلٍ مِنَ الْغَمامِ  </w:t>
      </w:r>
      <w:r>
        <w:rPr>
          <w:rStyle w:val="FootnoteAnchor"/>
          <w:rtl w:val="true"/>
        </w:rPr>
        <w:footnoteReference w:id="608"/>
      </w:r>
      <w:r>
        <w:rPr>
          <w:rFonts w:ascii="IRNazanin" w:hAnsi="IRNazanin" w:eastAsia="IRNazanin"/>
          <w:color w:val="111111"/>
          <w:sz w:val="28"/>
          <w:sz w:val="28"/>
          <w:szCs w:val="28"/>
          <w:rtl w:val="true"/>
          <w:lang w:bidi="fa-IR"/>
        </w:rPr>
        <w:t>، و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المراد به أمر ربّک، و أمر اللّه، لما دل دلیل العقل علی أنّ المجیء لا یجوز علی اللّه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إذا ثبت ذلک، و قد دللنا</w:t>
      </w:r>
      <w:r>
        <w:rPr>
          <w:rStyle w:val="FootnoteAnchor"/>
          <w:rtl w:val="true"/>
        </w:rPr>
        <w:footnoteReference w:id="609"/>
      </w:r>
    </w:p>
    <w:p>
      <w:pPr>
        <w:pStyle w:val="BookText"/>
        <w:rPr/>
      </w:pPr>
      <w:r>
        <w:rPr>
          <w:rFonts w:ascii="IRNazanin" w:hAnsi="IRNazanin" w:eastAsia="IRNazanin"/>
          <w:color w:val="111111"/>
          <w:sz w:val="28"/>
          <w:sz w:val="28"/>
          <w:szCs w:val="28"/>
          <w:rtl w:val="true"/>
          <w:lang w:bidi="fa-IR"/>
        </w:rPr>
        <w:t xml:space="preserve">انظر دلیل المصنّف صفحة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العموم إذا خصّ کان مجازا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العموم إذا خصّ کان مجازا، فینبغی أن یجوّز ذلک بأدلّة العقل، لأنّ غایة ما فی ذلک أن یترک حقیقة إلی المجاز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العقل یجب تقدّمه علی الکتاب، و ما هذا حکمه لا یجوز أن یخصّ به العموم، لأنّ ما یقتضی الخصوص یجب أن یکون مقارنا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قد بیّنا أنّ الّذی یخصّ العموم هو قصد المخاطب إلی بعض ما تناوله اللّفظ، و ذلک مقارن لحال</w:t>
      </w:r>
      <w:r>
        <w:rPr>
          <w:rStyle w:val="FootnoteAnchor"/>
          <w:rtl w:val="true"/>
        </w:rPr>
        <w:footnoteReference w:id="610"/>
      </w:r>
      <w:r>
        <w:rPr>
          <w:rFonts w:ascii="IRNazanin" w:hAnsi="IRNazanin" w:eastAsia="IRNazanin"/>
          <w:color w:val="111111"/>
          <w:sz w:val="28"/>
          <w:sz w:val="28"/>
          <w:szCs w:val="28"/>
          <w:rtl w:val="true"/>
          <w:lang w:bidi="fa-IR"/>
        </w:rPr>
        <w:t>الخطاب، و أدلّة العقل إنّما یتوصّل بها إلی معرفة القصد الّذی وقع التّخصیص به، و علی هذا یسقط هذا السّؤال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لهم أن یقولوا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دلیل العقل و إن دلّ علی قصد فقد تقدّمه، و ذلک لا یجوز،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w:t>
      </w:r>
      <w:r>
        <w:rPr>
          <w:rFonts w:eastAsia="IRNazanin" w:cs="IRNazanin"/>
          <w:color w:val="111111"/>
          <w:sz w:val="28"/>
          <w:szCs w:val="28"/>
          <w:rtl w:val="true"/>
          <w:lang w:bidi="fa-IR"/>
        </w:rPr>
        <w:t>)</w:t>
      </w:r>
      <w:r>
        <w:rPr>
          <w:rStyle w:val="FootnoteAnchor"/>
          <w:rtl w:val="true"/>
        </w:rPr>
        <w:footnoteReference w:id="611"/>
      </w:r>
      <w:r>
        <w:rPr>
          <w:rFonts w:ascii="IRNazanin" w:hAnsi="IRNazanin" w:eastAsia="IRNazanin"/>
          <w:color w:val="111111"/>
          <w:sz w:val="28"/>
          <w:sz w:val="28"/>
          <w:szCs w:val="28"/>
          <w:rtl w:val="true"/>
          <w:lang w:bidi="fa-IR"/>
        </w:rPr>
        <w:t>أنّ الّذی أنکروه جائز عندنا غیر منکر، لأنّ الدّلیل</w:t>
      </w:r>
      <w:r>
        <w:rPr>
          <w:rStyle w:val="FootnoteAnchor"/>
          <w:rtl w:val="true"/>
        </w:rPr>
        <w:footnoteReference w:id="612"/>
      </w:r>
      <w:r>
        <w:rPr>
          <w:rFonts w:ascii="IRNazanin" w:hAnsi="IRNazanin" w:eastAsia="IRNazanin"/>
          <w:color w:val="111111"/>
          <w:sz w:val="28"/>
          <w:sz w:val="28"/>
          <w:szCs w:val="28"/>
          <w:rtl w:val="true"/>
          <w:lang w:bidi="fa-IR"/>
        </w:rPr>
        <w:t>کما یتأخّر و یقارن تارة، کذلک قد یتقدّم علی بعض الوجوه، فاستبعاد ذلک لا معنی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لأجل ما قلناه علمنا بالعقل أنّ اللّه تعالی یثیب المؤمن علی طاعته و یعوّضه علی آلامه، و إن کان ذلک متقدّما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یقال لمن خالف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یخلو من أن یحملوا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النّاسُ   علی عمومه و شموله حتّی یحمله علی العقلاء و غیر العقلاء، أو یحمله علی العقلاء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أحمله علی جمیعهم، ظهر بطلان قوله بما دلّ الدّلیل علی 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أحمله علی العقلاء خاصّة غیر أنّی لا أسمّی ذلک تخصیصا، کان ذلک خلافا فی عبارة لا یعتبر بها</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النّاس من قال</w:t>
      </w:r>
      <w:r>
        <w:rPr>
          <w:rStyle w:val="FootnoteAnchor"/>
          <w:rtl w:val="true"/>
        </w:rPr>
        <w:footnoteReference w:id="6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عموم الکتاب یترتّب علی أدلّة العقل فلا یصحّ أن </w:t>
      </w:r>
    </w:p>
    <w:p>
      <w:pPr>
        <w:pStyle w:val="BookText"/>
        <w:rPr/>
      </w:pPr>
      <w:r>
        <w:rPr>
          <w:rFonts w:ascii="IRNazanin" w:hAnsi="IRNazanin" w:eastAsia="IRNazanin"/>
          <w:color w:val="111111"/>
          <w:sz w:val="28"/>
          <w:sz w:val="28"/>
          <w:szCs w:val="28"/>
          <w:rtl w:val="true"/>
          <w:lang w:bidi="fa-IR"/>
        </w:rPr>
        <w:t>یقال إنّه یخصّ به، و جوّز تخصیصه بالکتاب و إن تقدّمه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غیر صحیح، لأنّ الغرض بقولنا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مخصوص بالکتاب، هو أنّه قد دلّ علی أنّ المراد به الخصوص، و لدلیل العقل هذا الحظ، فکیف لا یقال إنّه مخصوص به‌؟ فإن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جاز تخصیص العموم بدلیل العقل جاز نسخه بدلیل العقل، فلمّا اتّفقنا علی أنّ النّسخ لا یجوز أن یقع به کان العموم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النّسخ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یصحّ عندنا بأدلّة العقل لکنّه لا یسمّی نسخا، یدلّ علی ذلک أنّ اللّه تعالی إذا أمر المکلّف بفعل ثمّ عجز عنه المکلّف، علمنا أنّه قد سقط عنه فرضه، کما أنّه لو نهاه عنه فی أنّه یسقط فرضه عنه، فمعنی النّسخ حاصل لکنّه منع من إطلاق هذه التسمیة، لأنّ حدّ النسخ لیس بحاصل فیه علی ما سنبیّنه فیما بعد و یسمّی تخصیصا، لأنّ فائدة التّخصیص حاصلة و لا مانع یمنع من إطلاقه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تخصیص الکتاب بالکتاب، فیدلّ علی صحّته ما دلّ علی صحّة تخصیصه بأدلّة العقل سواء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فأمّا أمثلته فأکثر من أن تحصی نحو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فَاقْتُلُوا الْمُشْرِکِینَ  </w:t>
      </w:r>
      <w:r>
        <w:rPr>
          <w:rStyle w:val="FootnoteAnchor"/>
          <w:rtl w:val="true"/>
        </w:rPr>
        <w:footnoteReference w:id="614"/>
      </w:r>
    </w:p>
    <w:p>
      <w:pPr>
        <w:pStyle w:val="BookText"/>
        <w:rPr/>
      </w:pP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و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فَإِذا لَقِیتُمُ الَّذِینَ کَفَرُوا فَضَرْبَ الرِّقابِ   </w:t>
      </w:r>
      <w:r>
        <w:rPr>
          <w:rStyle w:val="FootnoteAnchor"/>
          <w:rtl w:val="true"/>
        </w:rPr>
        <w:footnoteReference w:id="615"/>
      </w:r>
      <w:r>
        <w:rPr>
          <w:rFonts w:ascii="Amiri" w:hAnsi="Amiri" w:eastAsia="Amiri" w:cs="Amiri"/>
          <w:color w:val="111111"/>
          <w:sz w:val="28"/>
          <w:sz w:val="28"/>
          <w:szCs w:val="28"/>
          <w:rtl w:val="true"/>
          <w:lang w:bidi="ar-SA"/>
        </w:rPr>
        <w:t>، ثمّ قال فی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یُعْطُوا الْجِزْیَةَ عَنْ یَدٍ وَ هُمْ صاغِرُونَ  </w:t>
      </w:r>
      <w:r>
        <w:rPr>
          <w:rStyle w:val="FootnoteAnchor"/>
          <w:rtl w:val="true"/>
        </w:rPr>
        <w:footnoteReference w:id="616"/>
      </w:r>
      <w:r>
        <w:rPr>
          <w:rFonts w:ascii="IRNazanin" w:hAnsi="IRNazanin" w:eastAsia="IRNazanin"/>
          <w:color w:val="111111"/>
          <w:sz w:val="28"/>
          <w:sz w:val="28"/>
          <w:szCs w:val="28"/>
          <w:rtl w:val="true"/>
          <w:lang w:bidi="fa-IR"/>
        </w:rPr>
        <w:t xml:space="preserve">فخصّ بذلک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عدا أهل الکتاب</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نحو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تَنْکِحُوا الْمُشْرِکاتِ حَتّی یُؤْمِنَّ  </w:t>
      </w:r>
      <w:r>
        <w:rPr>
          <w:rStyle w:val="FootnoteAnchor"/>
          <w:rtl w:val="true"/>
        </w:rPr>
        <w:footnoteReference w:id="617"/>
      </w:r>
      <w:r>
        <w:rPr>
          <w:rFonts w:ascii="Amiri" w:hAnsi="Amiri" w:eastAsia="Amiri" w:cs="Amiri"/>
          <w:color w:val="111111"/>
          <w:sz w:val="28"/>
          <w:sz w:val="28"/>
          <w:szCs w:val="28"/>
          <w:rtl w:val="true"/>
          <w:lang w:bidi="ar-SA"/>
        </w:rPr>
        <w:t xml:space="preserve">فخصّ من ذلک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بعضهم فی نکاح الدّوام عند من خالفنا، و عندنا فی نکاح المتعة و ملک الیمین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نحو قوله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أُولاتُ الْأَحْمالِ أَجَلُهُنَّ أَنْ یَضَعْنَ حَمْلَهُنَّ  </w:t>
      </w:r>
      <w:r>
        <w:rPr>
          <w:rStyle w:val="FootnoteAnchor"/>
          <w:rtl w:val="true"/>
        </w:rPr>
        <w:footnoteReference w:id="618"/>
      </w:r>
    </w:p>
    <w:p>
      <w:pPr>
        <w:pStyle w:val="BookText"/>
        <w:rPr/>
      </w:pPr>
      <w:r>
        <w:rPr>
          <w:rFonts w:ascii="Amiri" w:hAnsi="Amiri" w:eastAsia="Amiri" w:cs="Amiri"/>
          <w:color w:val="111111"/>
          <w:sz w:val="28"/>
          <w:sz w:val="28"/>
          <w:szCs w:val="28"/>
          <w:rtl w:val="true"/>
          <w:lang w:bidi="ar-SA"/>
        </w:rPr>
        <w:t>الطّلاق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فخصّ بهذا الحکم المطلّقات عندنا، و عند بعض الفقهاء خصّ الآیة الأولی بمن عدّ الحوامل من النّساء، و له نظائر کثیرة، و لو لم یرد له نظیر، لکنّا نعلم أنّ ذلک جائز لما قدّمناه من الدّلیل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لأحد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تعالی وصف نبیّه صلّی اللّه علیه و آله و سلّم بأنّه یبیّن للنّاس ما نزّل إلیهم فلا یجوز أن یثبت لغیره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أنّ هذا یسقط من 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لیس فی وصفه نبیّه صلّی اللّه علیه و آله و سلّم بأنّه یبیّن للنّاس ما یمنع من أن یبیّن هو أیضا بعض کلامه ببعض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کما وصف النبیّ صلّی اللّه علیه و آله و سلّم أیضا، فلا وجه یوجب کون السّنّة تبیانا للکتاب و مخصّصا له، إلاّ و هو بعینه یوجب کون الکتاب تبیانا له و مخصّصا</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فأمّا تخصّص الکتاب بالسّنّة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خلاف فیه بین أهل العلم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قد وقع منه أیضا فی مواضع کثیرة، لأنّ اللّه تعالی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یُوصِیکُمُ اللّهُ فِی أَوْلادِکُمْ  </w:t>
      </w:r>
      <w:r>
        <w:rPr>
          <w:rStyle w:val="FootnoteAnchor"/>
          <w:rtl w:val="true"/>
        </w:rPr>
        <w:footnoteReference w:id="619"/>
      </w:r>
      <w:r>
        <w:rPr>
          <w:rFonts w:ascii="IRNazanin" w:hAnsi="IRNazanin" w:eastAsia="IRNazanin"/>
          <w:color w:val="111111"/>
          <w:sz w:val="28"/>
          <w:sz w:val="28"/>
          <w:szCs w:val="28"/>
          <w:rtl w:val="true"/>
          <w:lang w:bidi="fa-IR"/>
        </w:rPr>
        <w:t>، و قال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لِلرِّجالِ نَصِیبٌ مِمّا تَرَکَ الْوالِدانِ   </w:t>
      </w:r>
      <w:r>
        <w:rPr>
          <w:rStyle w:val="FootnoteAnchor"/>
          <w:rtl w:val="true"/>
        </w:rPr>
        <w:footnoteReference w:id="620"/>
      </w:r>
    </w:p>
    <w:p>
      <w:pPr>
        <w:pStyle w:val="BookText"/>
        <w:rPr/>
      </w:pP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غیر ذلک من آیات المواریث، و خصصنا من ذلک القاتل و الکافر بقول النبیّ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یرث القاتل</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یتوارث أهل ملّتین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تخصیص بعض السّنة ببعض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جائز لمثل ما قدّمناه من الأدلّة، و قد وجد أیضا فی مواضع لا تحصی 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النّاس من أنکر ذلک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تعالی جعله صلّی اللّه علیه و آله و سلّم مبیّنا، فلا یجوز أن یکون قوله یحتاج إلی بیان فأوجب فیه التّعارض و أبطله</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هذا خطأ لأنّ حال السّنة مع السّنة حال الکتاب مع الکتاب، و کونه صلّی اللّه علیه و آله و سلّم مبیّنا یقتضی جواز أن یبیّن سنّته، کما یقتضی جواز أن یبیّن الکتاب، و کما لم یمنع ذلک من أن یبیّن أحکاما مبتدأة، فکذلک لا یمنع من أن یبیّن سنّة یحتاج إلی أن یبیّنها بسنّة أخری</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فأمّا</w:t>
      </w:r>
      <w:r>
        <w:rPr>
          <w:rStyle w:val="FootnoteAnchor"/>
          <w:rtl w:val="true"/>
        </w:rPr>
        <w:footnoteReference w:id="622"/>
      </w:r>
      <w:r>
        <w:rPr>
          <w:rFonts w:ascii="IRNazanin" w:hAnsi="IRNazanin" w:eastAsia="IRNazanin"/>
          <w:color w:val="111111"/>
          <w:sz w:val="28"/>
          <w:sz w:val="28"/>
          <w:szCs w:val="28"/>
          <w:rtl w:val="true"/>
          <w:lang w:bidi="fa-IR"/>
        </w:rPr>
        <w:t xml:space="preserve">تخصیص الکتاب بالإجماع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فصحیح أیضا لمثل ما قدّمناه من الأدلّة، و قد وقع أیضا فی مواضع کثیرة، نحو اتّفاقهم علی أنّ العبد لا یرث، فخصّ بذلک آیة المواریث، و نحو إجماعهم علی أنّ العبد کالأمة فی تنصیف الحدّ، فخصّ به قوله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اَلزّانِیَةُ وَ الزّانِی  </w:t>
      </w:r>
      <w:r>
        <w:rPr>
          <w:rStyle w:val="FootnoteAnchor"/>
          <w:rtl w:val="true"/>
        </w:rPr>
        <w:footnoteReference w:id="623"/>
      </w:r>
    </w:p>
    <w:p>
      <w:pPr>
        <w:pStyle w:val="BookText"/>
        <w:rPr/>
      </w:pPr>
      <w:r>
        <w:rPr>
          <w:rFonts w:ascii="IRNazanin" w:hAnsi="IRNazanin" w:eastAsia="IRNazanin"/>
          <w:color w:val="111111"/>
          <w:sz w:val="28"/>
          <w:sz w:val="28"/>
          <w:szCs w:val="28"/>
          <w:rtl w:val="true"/>
          <w:lang w:bidi="fa-IR"/>
        </w:rPr>
        <w:t>النور</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غیر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تخصیص الکتاب بأفعال النبیّ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فصحیح أیضا، لأنّ الدّلیل قد دلّ علی أنّ فعله کقوله فی وجوب الرجوع إلیه فی معرفة الأحکام، فإذا ورد الکتاب بتحریم أشیاء ثمّ وجدناه علیه السّلام فاعلا لبعضها علمنا بفعله خصوص الکتاب، و لذلک خصّ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اَلزّانِیَةُ وَ الزّانِی فَاجْلِدُوا کُلَّ واحِدٍ مِنْهُما مِائَةَ جَلْدَةٍ   برجمه علیه السّلام ماعزا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تخصیص قوله علیه السّلام بفعله صحیح أیضا لمثل ما قلناه، و سندلّ فیما بعد علی أنّ فعله لیس بمقصور علیه و أنّه کقوله، و صحّة ذلک تقتضی جواز التّخصیص به</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هذه الجملة کافیة فی هذا الباب</w:t>
      </w:r>
      <w:r>
        <w:rPr>
          <w:rFonts w:eastAsia="IRNazanin" w:cs="IRNazanin"/>
          <w:color w:val="111111"/>
          <w:sz w:val="28"/>
          <w:szCs w:val="28"/>
          <w:rtl w:val="true"/>
          <w:lang w:bidi="fa-IR"/>
        </w:rPr>
        <w:t xml:space="preserve">. </w:t>
      </w:r>
      <w:bookmarkStart w:id="195" w:name="pg6519_49545"/>
    </w:p>
    <w:p>
      <w:pPr>
        <w:pStyle w:val="Heading4"/>
        <w:numPr>
          <w:ilvl w:val="3"/>
          <w:numId w:val="1"/>
        </w:numPr>
        <w:rPr/>
      </w:pPr>
      <w:bookmarkStart w:id="196" w:name="__RefHeading___Toc1757279_653776707"/>
      <w:bookmarkStart w:id="197" w:name="_Toc63"/>
      <w:bookmarkEnd w:id="195"/>
      <w:bookmarkEnd w:id="196"/>
      <w:r>
        <w:rPr>
          <w:rtl w:val="true"/>
        </w:rPr>
        <w:t xml:space="preserve">فصل </w:t>
      </w:r>
      <w:r>
        <w:rPr>
          <w:rtl w:val="true"/>
        </w:rPr>
        <w:t xml:space="preserve">- </w:t>
      </w:r>
      <w:r>
        <w:rPr/>
        <w:t>12</w:t>
      </w:r>
      <w:r>
        <w:rPr>
          <w:rtl w:val="true"/>
        </w:rPr>
        <w:t xml:space="preserve"> «</w:t>
      </w:r>
      <w:r>
        <w:rPr>
          <w:rtl w:val="true"/>
        </w:rPr>
        <w:t>فی ذکر تخصیص العموم بأخبار الآحاد</w:t>
      </w:r>
      <w:r>
        <w:rPr>
          <w:rtl w:val="true"/>
        </w:rPr>
        <w:t>»</w:t>
      </w:r>
      <w:bookmarkEnd w:id="197"/>
    </w:p>
    <w:p>
      <w:pPr>
        <w:pStyle w:val="BookText"/>
        <w:rPr/>
      </w:pPr>
      <w:r>
        <w:rPr>
          <w:rFonts w:ascii="IRNazanin" w:hAnsi="IRNazanin" w:eastAsia="IRNazanin"/>
          <w:color w:val="111111"/>
          <w:sz w:val="28"/>
          <w:sz w:val="28"/>
          <w:szCs w:val="28"/>
          <w:rtl w:val="true"/>
          <w:lang w:bidi="fa-IR"/>
        </w:rPr>
        <w:t>اعلم أنّ من قال أنّ خبر الواحد لا یجوز العمل</w:t>
      </w:r>
      <w:r>
        <w:rPr>
          <w:rStyle w:val="FootnoteAnchor"/>
          <w:rtl w:val="true"/>
        </w:rPr>
        <w:footnoteReference w:id="624"/>
      </w:r>
    </w:p>
    <w:p>
      <w:pPr>
        <w:pStyle w:val="BookText"/>
        <w:rPr/>
      </w:pPr>
      <w:r>
        <w:rPr>
          <w:rFonts w:ascii="Amiri" w:hAnsi="Amiri" w:eastAsia="Amiri" w:cs="Amiri"/>
          <w:color w:val="111111"/>
          <w:sz w:val="28"/>
          <w:sz w:val="28"/>
          <w:szCs w:val="28"/>
          <w:rtl w:val="true"/>
          <w:lang w:bidi="ar-SA"/>
        </w:rPr>
        <w:t xml:space="preserve">انظر هامش رقم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به فقوله خارج عن هذا الباب، و إنّما الخلاف فی ذلک بین من أوجب العمل به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اختلف القائلون بأخبار الآحاد فی إثبات الأحکام فی هذه المسألة</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أجاز تخصیص العموم بها علی کلّ حال ما لم یمنع من ذلک مانع، و هو مذهب أکثر الفقهاء و المتکلّمین، و هو الظّاهر عن الشّافعی و أصحابه، و عن أبی الحسین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غیرهما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منهم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یجوز تخصیصه بخبر الواحد إذا کان قد خصّ، لأنّه قد صار مجملا و مجازا، و إذا لم یدخله التّخصیص لم یجز أن یخصّ بها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هو مذهب عیسی بن أبان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خصّ العموم بدلیل متّصل مثل الاستثناء و ما جری مجراه لم یجز تخصیص العموم به لأنّ ذلک حقیقة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حکیناه فیما تقدّم</w:t>
      </w:r>
      <w:r>
        <w:rPr>
          <w:rStyle w:val="FootnoteAnchor"/>
          <w:rtl w:val="true"/>
        </w:rPr>
        <w:footnoteReference w:id="625"/>
      </w:r>
    </w:p>
    <w:p>
      <w:pPr>
        <w:pStyle w:val="BookText"/>
        <w:rPr/>
      </w:pPr>
      <w:r>
        <w:rPr>
          <w:rFonts w:ascii="IRNazanin" w:hAnsi="IRNazanin" w:eastAsia="IRNazanin"/>
          <w:color w:val="111111"/>
          <w:sz w:val="28"/>
          <w:sz w:val="28"/>
          <w:szCs w:val="28"/>
          <w:rtl w:val="true"/>
          <w:lang w:bidi="fa-IR"/>
        </w:rPr>
        <w:t xml:space="preserve">راجع کلام المصنّف فی فصل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صفحة </w:t>
      </w:r>
      <w:r>
        <w:rPr>
          <w:rFonts w:eastAsia="IRNazanin" w:cs="IRNazanin"/>
          <w:color w:val="111111"/>
          <w:sz w:val="28"/>
          <w:szCs w:val="28"/>
          <w:lang w:bidi="fa-IR"/>
        </w:rPr>
        <w:t>313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خصّ بدلیل منفصل جاز تخصیصه بأخبار الآحاد لأنّه قد صار مجازا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الّذی أذهب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یجوز تخصیص العموم بها علی کلّ حال، سواء خصّ أو لم یخصّ، بدلیل متّصل أو منفصل، و کیف کان، و الّذی یدلّ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عموم القرآن یوجب العلم، و خبر الواحد یوجب غلبة الظّن، و لا یجوز أن یترک العلم للظنّ علی حال، فوجب لذلک أن لا یخصّ العموم به</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دلّ الدّلیل علی وجوب العمل بخبر الواحد، کان وجوب </w:t>
      </w:r>
    </w:p>
    <w:p>
      <w:pPr>
        <w:pStyle w:val="BookText"/>
        <w:rPr/>
      </w:pPr>
      <w:r>
        <w:rPr>
          <w:rFonts w:ascii="IRNazanin" w:hAnsi="IRNazanin" w:eastAsia="IRNazanin"/>
          <w:color w:val="111111"/>
          <w:sz w:val="28"/>
          <w:sz w:val="28"/>
          <w:szCs w:val="28"/>
          <w:rtl w:val="true"/>
          <w:lang w:bidi="fa-IR"/>
        </w:rPr>
        <w:t xml:space="preserve">التّخصیص معلوما </w:t>
      </w:r>
      <w:r>
        <w:rPr>
          <w:rStyle w:val="FootnoteAnchor"/>
          <w:rtl w:val="true"/>
        </w:rPr>
        <w:footnoteReference w:id="626"/>
      </w:r>
    </w:p>
    <w:p>
      <w:pPr>
        <w:pStyle w:val="BookText"/>
        <w:rPr/>
      </w:pPr>
      <w:r>
        <w:rPr>
          <w:rFonts w:ascii="IRNazanin" w:hAnsi="IRNazanin" w:eastAsia="IRNazanin"/>
          <w:color w:val="111111"/>
          <w:sz w:val="28"/>
          <w:sz w:val="28"/>
          <w:szCs w:val="28"/>
          <w:rtl w:val="true"/>
          <w:lang w:bidi="fa-IR"/>
        </w:rPr>
        <w:t>فی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کان نفس الخبر مظنونا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یجری ذلک مجری قیام الدّلالة علی وجوب تنفیذ الحکم عند الشّهادة، و إن کانت الشهادة غیر معلومة، و کذلک إذا ظنّ کون القبلة فی جهة من الجهات، وجب علینا التّوجه إلیها و إن کان ذلک معلوما، و إن کان کون القبلة فیه مظنونا، فما المنکر من أن یکون خبر الواحد مع العموم یجری هذا المجری‌؟ و الجواب عن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السّائل عن هذا السّؤال لا یخلو من أن یکون مخالفا لنا فی الأصول أو موافقا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کان مخالفا، فلا یصحّ له هذا السّؤال، لأنّه تضمّن قیام الدّلالة علی وجوب العمل بخبر الواحد، و نحن قد أفسدنا سائر ما یدّعیه مخالفونا من الأدلّة علی وجوب العمل بخبر الواحد</w:t>
      </w:r>
      <w:r>
        <w:rPr>
          <w:rStyle w:val="FootnoteAnchor"/>
          <w:rtl w:val="true"/>
        </w:rPr>
        <w:footnoteReference w:id="627"/>
      </w:r>
      <w:r>
        <w:rPr>
          <w:rFonts w:ascii="IRNazanin" w:hAnsi="IRNazanin" w:eastAsia="IRNazanin"/>
          <w:color w:val="111111"/>
          <w:sz w:val="28"/>
          <w:sz w:val="28"/>
          <w:szCs w:val="28"/>
          <w:rtl w:val="true"/>
          <w:lang w:bidi="fa-IR"/>
        </w:rPr>
        <w:t>، فإذا فسد العمل بها بتلک الأدلّة، فلا یمکن أن یدّعی جواز التّخصیص بها، و قد مضی الکلام علی أدلّتهم مستوفی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أنّه لو سلّم لهم العمل بخبر الواحد علی غایة اقتراحهم، لم یجز تخصیص العموم به، لأنّه لیس ما دلّ علی وجوب العمل بها یدلّ علی جواز التخصیص، کما أنّ ما دلّ علی وجوب العمل بها لا یدلّ علی وجوب النّسخ بها، بل احتاج ذلک إلی دلیل غیر ذلک، فکذلک التّخصیص، فلا فرق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دلّ الدّلیل علی وجوب العمل بخبر الواحد، فینبغی أن یکون خبر الواحد دلیلا فی کلّ موضع إلاّ أن یمنع منه مانع، و النّسخ الّذی ذکرتموه قد کان یجوز أن یقع بخبر الواحد إلاّ أنّه منع الإجماع منه، فبقی کونه دلیلا فیما عدا النّسخ</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الواحد دلیل شرعیّ و لیس بعموم یخصّ منه بعضه و یبقی ما عداه، و إذا ثبت ذلک کان الّذی یدلّ علی وجوب العمل به من الإجماع إنّما هو </w:t>
      </w:r>
    </w:p>
    <w:p>
      <w:pPr>
        <w:pStyle w:val="BookText"/>
        <w:rPr/>
      </w:pPr>
      <w:r>
        <w:rPr>
          <w:rFonts w:ascii="IRNazanin" w:hAnsi="IRNazanin" w:eastAsia="IRNazanin"/>
          <w:color w:val="111111"/>
          <w:sz w:val="28"/>
          <w:sz w:val="28"/>
          <w:szCs w:val="28"/>
          <w:rtl w:val="true"/>
          <w:lang w:bidi="fa-IR"/>
        </w:rPr>
        <w:t>حاصل فیما طریقه العمل فحسب ممّا لا نصّ فیه فی الکتاب، فینبغی أن یحتاج فی إثبات کونه دلیلا فی تخصیص العموم به إلی 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قال</w:t>
      </w:r>
      <w:r>
        <w:rPr>
          <w:rStyle w:val="FootnoteAnchor"/>
          <w:rtl w:val="true"/>
        </w:rPr>
        <w:footnoteReference w:id="628"/>
      </w:r>
    </w:p>
    <w:p>
      <w:pPr>
        <w:pStyle w:val="BookText"/>
        <w:rPr/>
      </w:pPr>
      <w:r>
        <w:rPr>
          <w:rFonts w:ascii="IRNazanin" w:hAnsi="IRNazanin" w:eastAsia="IRNazanin"/>
          <w:color w:val="111111"/>
          <w:sz w:val="28"/>
          <w:sz w:val="28"/>
          <w:szCs w:val="28"/>
          <w:rtl w:val="true"/>
          <w:lang w:bidi="fa-IR"/>
        </w:rPr>
        <w:t>زیادة من النسخة الثّانیة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الصّحابة الّذین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عملوا بخبر الواحد، عملوا به و إن خصّ العموم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محض الدّعوی، ما الّذی یدلّ علیها؟ فإنّا لا نسلّم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ذکروا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أنّهم خصّوا آیة المواریث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بالخبر الّذی روی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القاتل لا یرث</w:t>
      </w:r>
      <w:r>
        <w:rPr>
          <w:rFonts w:eastAsia="IRNazanin" w:cs="IRNazanin"/>
          <w:color w:val="111111"/>
          <w:sz w:val="28"/>
          <w:szCs w:val="28"/>
          <w:rtl w:val="true"/>
          <w:lang w:bidi="fa-IR"/>
        </w:rPr>
        <w:t>»</w:t>
      </w:r>
      <w:r>
        <w:rPr>
          <w:rStyle w:val="FootnoteAnchor"/>
          <w:rtl w:val="true"/>
        </w:rPr>
        <w:footnoteReference w:id="629"/>
      </w:r>
      <w:r>
        <w:rPr>
          <w:rFonts w:ascii="Amiri" w:hAnsi="Amiri" w:eastAsia="Amiri" w:cs="Amiri"/>
          <w:color w:val="111111"/>
          <w:sz w:val="28"/>
          <w:sz w:val="28"/>
          <w:szCs w:val="28"/>
          <w:rtl w:val="true"/>
          <w:lang w:bidi="ar-SA"/>
        </w:rPr>
        <w:t xml:space="preserve">و کان خبرا واحدا؟ و کذلک عملوا بخبر أبی هریرة فی نکاح المرأة علی عمّتها و خالتها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خصّوا بذلک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أُحِلَّ لَکُمْ ما وَراءَ ذلِکُمْ  </w:t>
      </w:r>
      <w:r>
        <w:rPr>
          <w:rStyle w:val="FootnoteAnchor"/>
          <w:rtl w:val="true"/>
        </w:rPr>
        <w:footnoteReference w:id="630"/>
      </w:r>
      <w:r>
        <w:rPr>
          <w:rFonts w:ascii="IRNazanin" w:hAnsi="IRNazanin" w:eastAsia="IRNazanin"/>
          <w:color w:val="111111"/>
          <w:sz w:val="28"/>
          <w:sz w:val="28"/>
          <w:szCs w:val="28"/>
          <w:rtl w:val="true"/>
          <w:lang w:bidi="fa-IR"/>
        </w:rPr>
        <w:t>و نظائر ذلک 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ترکوا عموم آیة المیراث بالخبر الّذی تضمّن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القاتل لا یرث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لأنّهم أجمعوا علی صحّته، فلمّا أجمعوا علی صحّته و عملوه خصّوا العموم به، و لیس ذلک موجودا فی الأخبار الّتی لا یعلم صحّتها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نکاح المرأة علی عمّتها و خالتها فعندنا یجوز علی وجه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فلا یخصّص العموم به</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أجاز ذلک أیضا إنّما أجازه لأنّ عنده أنّهم أجمعوا علی صحّة هذا الخبر، </w:t>
      </w:r>
    </w:p>
    <w:p>
      <w:pPr>
        <w:pStyle w:val="BookText"/>
        <w:rPr/>
      </w:pPr>
      <w:r>
        <w:rPr>
          <w:rFonts w:ascii="IRNazanin" w:hAnsi="IRNazanin" w:eastAsia="IRNazanin"/>
          <w:color w:val="111111"/>
          <w:sz w:val="28"/>
          <w:sz w:val="28"/>
          <w:szCs w:val="28"/>
          <w:rtl w:val="true"/>
          <w:lang w:bidi="fa-IR"/>
        </w:rPr>
        <w:t xml:space="preserve">فلمّا أجمعوا علیه دلّ ذلک علی صحّته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لیس هذا موجودا فی أخبار الآحاد الّتی لا یعلم صحّتها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أنّ المعلوم من حال الصّحابة أنّهم ردّوا أخبارا کثیرة نافت عموم القرآن و اقتضت تخصیصه، نحو ما روی عن عمر و غیره أنّهم ردّوا خبر فاطمة بنت قیس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أنّه لا نفقة لها و لا سکنی، و قالوا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ندع کتاب ربّنا بقول امرأة لا ندری صدقت أم کذبت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هذا تصریح بأنّه لا یجوز تخصیص العموم بخبر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لهم أن یقولوا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ردّوا الخبر إذا کان یخالف القرآن لا أنّه یخصّه، و ما یخصّ العموم به لا یقتضی ترک القرآن بل یقتضی القول به، فدلّ ذلک علی سقوط ما ذکرتموه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ذلک أنّ سقوط نفقة المبتوتة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کفاطمة خاصّة</w:t>
      </w:r>
      <w:r>
        <w:rPr>
          <w:rStyle w:val="FootnoteAnchor"/>
          <w:rtl w:val="true"/>
        </w:rPr>
        <w:footnoteReference w:id="631"/>
      </w:r>
    </w:p>
    <w:p>
      <w:pPr>
        <w:pStyle w:val="BookText"/>
        <w:rPr/>
      </w:pPr>
      <w:r>
        <w:rPr>
          <w:rFonts w:ascii="Amiri" w:hAnsi="Amiri" w:eastAsia="Amiri" w:cs="Amiri"/>
          <w:color w:val="111111"/>
          <w:sz w:val="28"/>
          <w:sz w:val="28"/>
          <w:szCs w:val="28"/>
          <w:rtl w:val="true"/>
          <w:lang w:bidi="ar-SA"/>
        </w:rPr>
        <w:t>خاصّة متعلّق بالمبتوتة</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تخصیص القرآن، لأنّ عموم القرآن اقتضی النفقة لها و لغیرها و مع ذلک لأنّهم علموا أنّ حکم فاطمة و غیرها من النّساء حکم واحد، و کان ذلک عندهم معلوما و لو قبلوا خبرها لأدّی عندهم إلی دفع القرآن، فلذلک ردّوه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محض الدّعوی، و من أین أنّهم علموا أنّ حکم فاطمة حکم غیرها علی حدّ واحد إلاّ بعموم القرآن‌؟ و لذلک صرّح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التّعلیل عمر، و لو کان ذلک معلوما بغیر عموم القرآن لکان یقول قد علمنا أنّ حکمک فی هذا الباب حکم غیرک من النّساء، و لا یحتاج أن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ندع کتاب ربّنا بقول امرأة لا ندری صدقت أم کذبت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ذلک یسقط هذا السّؤال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لیس قد قبل أهل قباء خبر الواحد</w:t>
      </w:r>
      <w:r>
        <w:rPr>
          <w:rStyle w:val="FootnoteAnchor"/>
          <w:rtl w:val="true"/>
        </w:rPr>
        <w:footnoteReference w:id="632"/>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المعتمد </w:t>
      </w:r>
      <w:r>
        <w:rPr>
          <w:rFonts w:eastAsia="IRNazanin" w:cs="IRNazanin"/>
          <w:color w:val="111111"/>
          <w:sz w:val="28"/>
          <w:szCs w:val="28"/>
          <w:lang w:bidi="fa-IR"/>
        </w:rPr>
        <w:t>116:2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فیما طریقه النّسخ و انتقلوا بذلک عن القبلة الّتی کانوا علیها، و لم یدلّ ذلک علی جواز النّسخ بخبر الواحد؟ فإن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قبلوا ذلک بدلیل دلّهم علی ذلک دون مجرّد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 لهم مثل ذلک فی الأخبار الّتی تعلّقوا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لیس خبر الواحد قد قبل فیما یقتضی العقل خلافه، فما المنکر من أن یجوز قبوله فیما یقتضی عموم القرآن خلافه‌؟ قیل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إنّما یمکن أن یستدلّ به علی من أبی من تخصیص العموم به عقلا، فیقال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جاز الانتقال عمّا یقتضی العقل خلافه بخبر الواحد، جاز أن ینتقل عمّا یقتضیه العموم بمثل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من أجاز ذلک عقلا و إنّما امتنع منه لفقد</w:t>
      </w:r>
      <w:r>
        <w:rPr>
          <w:rStyle w:val="FootnoteAnchor"/>
          <w:rtl w:val="true"/>
        </w:rPr>
        <w:footnoteReference w:id="633"/>
      </w:r>
      <w:r>
        <w:rPr>
          <w:rFonts w:ascii="IRNazanin" w:hAnsi="IRNazanin" w:eastAsia="IRNazanin"/>
          <w:color w:val="111111"/>
          <w:sz w:val="28"/>
          <w:sz w:val="28"/>
          <w:szCs w:val="28"/>
          <w:rtl w:val="true"/>
          <w:lang w:bidi="fa-IR"/>
        </w:rPr>
        <w:t>الدّلالة علیه، فهذا السّؤال ساقط عنه، و إنّما ینبغی أن یتشاغل بأنّ هاهنا دلیلا یدلّ علی جواز تخصیص العموم به، و هو نفس المسألة الّتی اختلفنا فیها</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أنّ مثل هذا یمکن أن یقال فی جواز النّسخ به، لأنّ الانتقال عن موجب العقل من حظر إلی إباحة، أو من إباحة إلی حظر فی معنی النّسخ و إن لم یسمّ نسخا، </w:t>
      </w:r>
    </w:p>
    <w:p>
      <w:pPr>
        <w:pStyle w:val="BookText"/>
        <w:rPr/>
      </w:pPr>
      <w:r>
        <w:rPr>
          <w:rFonts w:ascii="IRNazanin" w:hAnsi="IRNazanin" w:eastAsia="IRNazanin"/>
          <w:color w:val="111111"/>
          <w:sz w:val="28"/>
          <w:sz w:val="28"/>
          <w:szCs w:val="28"/>
          <w:rtl w:val="true"/>
          <w:lang w:bidi="fa-IR"/>
        </w:rPr>
        <w:t>فینبغی أن یجوز علی موجب ذلک النّسخ بخبر الواحد، و هذا لا یقوله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جواب عن ذلک، إلاّ ما ذکرناه من أنّ ذلک دلیل علی جواز ذلک لا علی وجوبه، بل وجوبه یحتاج إلی دلیل مفرد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النّاس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العموم یثبت اجتهادا</w:t>
      </w:r>
      <w:r>
        <w:rPr>
          <w:rStyle w:val="FootnoteAnchor"/>
          <w:rtl w:val="true"/>
        </w:rPr>
        <w:footnoteReference w:id="634"/>
      </w:r>
    </w:p>
    <w:p>
      <w:pPr>
        <w:pStyle w:val="BookText"/>
        <w:rPr/>
      </w:pPr>
      <w:r>
        <w:rPr>
          <w:rFonts w:ascii="IRNazanin" w:hAnsi="IRNazanin" w:eastAsia="IRNazanin"/>
          <w:color w:val="111111"/>
          <w:sz w:val="28"/>
          <w:sz w:val="28"/>
          <w:szCs w:val="28"/>
          <w:rtl w:val="true"/>
          <w:lang w:bidi="fa-IR"/>
        </w:rPr>
        <w:t>المراد بالاجتهاد اتّباع الظّن من حیث إنّه ظنّ استفراغ الوسع فی تحصیله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فجاز الانتقال عنه بخبر یوجب غلبة الظنّ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القول باطل، لأنّ الدّلیل علی القول بالعموم دلیل یوجب العلم و لیس من باب الاجتهاد فی شیء، و قد دللنا علی ذلک، فکیف یجوز أن یترک بما طریقه غلبة الظّن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خلاف</w:t>
      </w:r>
      <w:r>
        <w:rPr>
          <w:rStyle w:val="FootnoteAnchor"/>
          <w:rtl w:val="true"/>
        </w:rPr>
        <w:footnoteReference w:id="635"/>
      </w:r>
      <w:r>
        <w:rPr>
          <w:rFonts w:ascii="IRNazanin" w:hAnsi="IRNazanin" w:eastAsia="IRNazanin"/>
          <w:color w:val="111111"/>
          <w:sz w:val="28"/>
          <w:sz w:val="28"/>
          <w:szCs w:val="28"/>
          <w:rtl w:val="true"/>
          <w:lang w:bidi="fa-IR"/>
        </w:rPr>
        <w:t>أنّ خبر الواحد لا یجوز قبوله فیما طریقه العلم و الاعتقاد، و إذا ثبت ذلک فخبر الواحد إذا خصّ العموم اقتضی شیئین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العمل بمتضمّنه و ذلک من باب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الاعتقاد فی ظاهر العموم أنّه مخصوص، و ذلک لا یجوز لأنّه إقدام علی ما لا نأمن کونه جهلا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نأمن من کونه جهلا بما قام من الدّلیل علی جواز قبوله فیما خصّ العموم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مضی الکلام علی ذلک و بیّنا أنّ ذلک محض الدّعوی و صریح الاقتراح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تخصیص العموم به إلاّ إذا خصّ علی حسب اختلافهم فی ذلک من تخصیصه بدلیل متّصل أو منفصل، أو استثناء و غیر ذلک، و متی خصّ بشیء من ذلک جاز تخصیصه</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فما دللنا به من المنع من جواز تخصیصه بخبر الواحد یبطل هذا الفصل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علی أنّه إنّما أجازوا تخصیصه بخبر الواحد إذا خصّ، لأنّه یصیر مجملا</w:t>
      </w:r>
      <w:r>
        <w:rPr>
          <w:rStyle w:val="FootnoteAnchor"/>
          <w:rtl w:val="true"/>
        </w:rPr>
        <w:footnoteReference w:id="636"/>
      </w:r>
    </w:p>
    <w:p>
      <w:pPr>
        <w:pStyle w:val="BookText"/>
        <w:rPr/>
      </w:pPr>
      <w:r>
        <w:rPr>
          <w:rFonts w:ascii="IRNazanin" w:hAnsi="IRNazanin" w:eastAsia="IRNazanin"/>
          <w:color w:val="111111"/>
          <w:sz w:val="28"/>
          <w:sz w:val="28"/>
          <w:szCs w:val="28"/>
          <w:rtl w:val="true"/>
          <w:lang w:bidi="fa-IR"/>
        </w:rPr>
        <w:t>هذا غیر مذکور صریحا فی مذهب غیر عیسی بن أبان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مجازا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کونه مجازا فنحن نقول به، و لا نسلّم ما أنّه یصیر مجملا فیما عداه، بل ما عدا ما خصّ منه 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أنّه لو لم یخصّ منه شیء کان الجمیع معلوما، و ذلک یبطل ما قالوه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إذا کان السّائل عن السّؤال الّذی قدّمناه من موافقینا، و سئل ذلک علی طریقتنا الّتی اعتمدناها من جواز العمل بالأخبار الّتی یختصّ بنقلها</w:t>
      </w:r>
      <w:r>
        <w:rPr>
          <w:rStyle w:val="FootnoteAnchor"/>
          <w:rtl w:val="true"/>
        </w:rPr>
        <w:footnoteReference w:id="637"/>
      </w:r>
      <w:r>
        <w:rPr>
          <w:rFonts w:ascii="IRNazanin" w:hAnsi="IRNazanin" w:eastAsia="IRNazanin"/>
          <w:color w:val="111111"/>
          <w:sz w:val="28"/>
          <w:sz w:val="28"/>
          <w:szCs w:val="28"/>
          <w:rtl w:val="true"/>
          <w:lang w:bidi="fa-IR"/>
        </w:rPr>
        <w:t>الطّائفة المحقّة، فالکلام علیهم أیضا مثل ذلک بأن 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دلّ علی عمل الطّائفة المحقّة بهذه الأخبار من إجماعهم علی ذلک لم یدلّ علی العمل بما یخصّ القرآن، و یحتاج فی ثبوت ذلک إلی دلالة، بل قد ورد عنهم علیهم السّلام ما لا خلاف فیه من 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جاءکم عنّا حدیث فاعرضوه علی کتاب اللّه فإن وافق کتاب اللّه فخذوه، و إن خالفه فردوه أو فاضربوا به عرض الحائط</w:t>
      </w:r>
      <w:r>
        <w:rPr>
          <w:rStyle w:val="FootnoteAnchor"/>
          <w:rtl w:val="true"/>
        </w:rPr>
        <w:footnoteReference w:id="6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حسب اختلاف الألفاظ فیه، و ذلک صریح بالمنع من العمل بما یخالف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لیس قد عملت الطّائفة بأخبار کثیرة طریقها الآحاد، و عموم الکتاب بخلافها، فهلا دلّ ذلک علی جواز تخصیص العموم بها علی کلّ حال‌؟ قیل لهم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نسلّم أنّ الطّائفة عملت بأخبار آحاد یقتضی تخصیص القرآن، و علی من ادّعی ذلک أنّ یبیّنه</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أنّا قد بیّنا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الأخبار الصّادرة من جهتهم علیهم السّلام علی ضربین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خبرا و لیس هناک ما یخالفه و یکون فتیا الطّائفة به، فما هذا حکمه یکون مجمعا علی صحّته و یجوز العمل به و تخصیص العموم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هناک ما یخالفه من الأخبار، فالعمل بما یطابق العموم أیضا أولی، لأنّه یصیر معلوما صحّته مثل العموم، و بیّنا أنّ ذلک وجه یرجّح به أحد الخبرین علی الآخر</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کان خبر لا یعلم فتیا الطائفة أصلا فیه، و هناک عموم یقتضی خلافه، فالعمل بما یقتضی العموم أولی بما قدّمناه من الدّلالة</w:t>
      </w:r>
      <w:r>
        <w:rPr>
          <w:rFonts w:eastAsia="IRNazanin" w:cs="IRNazanin"/>
          <w:color w:val="111111"/>
          <w:sz w:val="28"/>
          <w:szCs w:val="28"/>
          <w:rtl w:val="true"/>
          <w:lang w:bidi="fa-IR"/>
        </w:rPr>
        <w:t xml:space="preserve">. </w:t>
      </w:r>
      <w:bookmarkStart w:id="198" w:name="pg6519_49554"/>
    </w:p>
    <w:p>
      <w:pPr>
        <w:pStyle w:val="Heading4"/>
        <w:numPr>
          <w:ilvl w:val="3"/>
          <w:numId w:val="1"/>
        </w:numPr>
        <w:rPr/>
      </w:pPr>
      <w:bookmarkStart w:id="199" w:name="__RefHeading___Toc1757281_653776707"/>
      <w:bookmarkStart w:id="200" w:name="_Toc64"/>
      <w:bookmarkEnd w:id="198"/>
      <w:bookmarkEnd w:id="199"/>
      <w:r>
        <w:rPr>
          <w:rtl w:val="true"/>
        </w:rPr>
        <w:t xml:space="preserve">فصل </w:t>
      </w:r>
      <w:r>
        <w:rPr>
          <w:rtl w:val="true"/>
        </w:rPr>
        <w:t xml:space="preserve">- </w:t>
      </w:r>
      <w:r>
        <w:rPr/>
        <w:t>13</w:t>
      </w:r>
      <w:r>
        <w:rPr>
          <w:rtl w:val="true"/>
        </w:rPr>
        <w:t xml:space="preserve"> «</w:t>
      </w:r>
      <w:r>
        <w:rPr>
          <w:rtl w:val="true"/>
        </w:rPr>
        <w:t>فی ذکر تخصیص العموم بالقیاس</w:t>
      </w:r>
      <w:r>
        <w:rPr>
          <w:rtl w:val="true"/>
        </w:rPr>
        <w:t>»</w:t>
      </w:r>
      <w:bookmarkEnd w:id="200"/>
    </w:p>
    <w:p>
      <w:pPr>
        <w:pStyle w:val="BookText"/>
        <w:rPr/>
      </w:pPr>
      <w:r>
        <w:rPr>
          <w:rFonts w:ascii="IRNazanin" w:hAnsi="IRNazanin" w:eastAsia="IRNazanin"/>
          <w:color w:val="111111"/>
          <w:sz w:val="28"/>
          <w:sz w:val="28"/>
          <w:szCs w:val="28"/>
          <w:rtl w:val="true"/>
          <w:lang w:bidi="fa-IR"/>
        </w:rPr>
        <w:t>اعلم أنّ الکلام فی هذه المسألة قد سقط عنّا، لأنا لا نجیز العمل بالقیاس، لا ابتداء و لا فیما یخصّ العموم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الخلاف فی ذلک بین من أثبت القیاس، لأنّ</w:t>
      </w:r>
      <w:r>
        <w:rPr>
          <w:rStyle w:val="FootnoteAnchor"/>
          <w:rtl w:val="true"/>
        </w:rPr>
        <w:footnoteReference w:id="639"/>
      </w:r>
    </w:p>
    <w:p>
      <w:pPr>
        <w:pStyle w:val="BookText"/>
        <w:rPr/>
      </w:pPr>
      <w:r>
        <w:rPr>
          <w:rFonts w:ascii="Amiri" w:hAnsi="Amiri" w:eastAsia="Amiri" w:cs="Amiri"/>
          <w:color w:val="111111"/>
          <w:sz w:val="28"/>
          <w:sz w:val="28"/>
          <w:szCs w:val="28"/>
          <w:rtl w:val="true"/>
          <w:lang w:bidi="ar-SA"/>
        </w:rPr>
        <w:t>فإنّ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فیهم من أجاز تخصیص العموم به علی کلّ حال إذا صحّ القیاس بشروطه، و هو مذهب أکثر الفقهاء، و هو مذهب الشّافعی، و المحکیّ عن أبی الحسن، و إلیه ذهب أبو هاشم أخیرا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منهم من أبی تخصیص العموم به علی کلّ وجه، و هو مذهب أبی علیّ، و به قال أبو هاشم أوّلا، و قد قال به بعض الفقهاء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منهم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یخصّ بالقیاس الجلیّ، و لا یخصّ بالخفیّ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هو مذهب بعض أصحاب الشّافعی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یخصّ بذلک إذا دخله التّخصیص و سوّغ فیه الاجتهاد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لا یجوز تخصیصه إذا کن باقیا علی عمومه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الأقوی من هذه الأقاویل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فرضنا العبادة بالقیاس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أبی علیّ، و هو أنّه لا یجوز تخصیص العموم به علی کلّ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یدلّ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العموم دلیل یوجب العلم، و القیاس عن من قال به یوجب غلبة الظنّ، و لا یجوز أن ینتقل عمّا طریقه العلم إلی ما یقتضی غالب الظنّ</w:t>
      </w:r>
      <w:r>
        <w:rPr>
          <w:rStyle w:val="FootnoteAnchor"/>
          <w:rtl w:val="true"/>
        </w:rPr>
        <w:footnoteReference w:id="640"/>
      </w:r>
    </w:p>
    <w:p>
      <w:pPr>
        <w:pStyle w:val="BookText"/>
        <w:rPr/>
      </w:pPr>
      <w:r>
        <w:rPr>
          <w:rFonts w:ascii="IRNazanin" w:hAnsi="IRNazanin" w:eastAsia="IRNazanin"/>
          <w:color w:val="111111"/>
          <w:sz w:val="28"/>
          <w:sz w:val="28"/>
          <w:szCs w:val="28"/>
          <w:rtl w:val="true"/>
          <w:lang w:bidi="fa-IR"/>
        </w:rPr>
        <w:t>فی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فلیس</w:t>
      </w:r>
      <w:r>
        <w:rPr>
          <w:rStyle w:val="FootnoteAnchor"/>
          <w:rtl w:val="true"/>
        </w:rPr>
        <w:footnoteReference w:id="641"/>
      </w:r>
      <w:r>
        <w:rPr>
          <w:rFonts w:ascii="IRNazanin" w:hAnsi="IRNazanin" w:eastAsia="IRNazanin"/>
          <w:color w:val="111111"/>
          <w:sz w:val="28"/>
          <w:sz w:val="28"/>
          <w:szCs w:val="28"/>
          <w:rtl w:val="true"/>
          <w:lang w:bidi="fa-IR"/>
        </w:rPr>
        <w:t>لهم أن یقولوا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ثبت أنّ القیاس دلیل کان تخصیص العموم به معلوما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ذلک أنّا قد بیّنا الجواب عن مثل هذا السّؤال فی الباب الأوّل</w:t>
      </w:r>
      <w:r>
        <w:rPr>
          <w:rStyle w:val="FootnoteAnchor"/>
          <w:rtl w:val="true"/>
        </w:rPr>
        <w:footnoteReference w:id="642"/>
      </w:r>
    </w:p>
    <w:p>
      <w:pPr>
        <w:pStyle w:val="BookText"/>
        <w:rPr/>
      </w:pPr>
      <w:r>
        <w:rPr>
          <w:rFonts w:ascii="IRNazanin" w:hAnsi="IRNazanin" w:eastAsia="IRNazanin"/>
          <w:color w:val="111111"/>
          <w:sz w:val="28"/>
          <w:sz w:val="28"/>
          <w:szCs w:val="28"/>
          <w:rtl w:val="true"/>
          <w:lang w:bidi="fa-IR"/>
        </w:rPr>
        <w:t xml:space="preserve">انظر کلام المصنّف فی صفحة </w:t>
      </w:r>
      <w:r>
        <w:rPr>
          <w:rFonts w:eastAsia="IRNazanin" w:cs="IRNazanin"/>
          <w:color w:val="111111"/>
          <w:sz w:val="28"/>
          <w:szCs w:val="28"/>
          <w:lang w:bidi="fa-IR"/>
        </w:rPr>
        <w:t>100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الواحد دلیل شرعیّ، و کذلک نقول إنّ القیاس دلیل شرعیّ، فینبغی أن یثبت فی الموضع الّذی استعملته الصّحابة و قرّرته الشّریعة، و إنّما ثبت عنهم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زعمهم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القیاس فیما لا نصّ فیه من أحکام الحوادث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یمکنهم أن یدّعوا أنّهم استعملوه فیما یخصّ العموم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 هذه الدّعوی لا برهان علیها، و دون ذلک خرط القتاد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 أیضا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النّسخ قد ثبت أنّه لا یجوز به، فکذلک یجب أن یکون حکمه حکم التّخصیص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لهم أن یقولوا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من الحکیم تعالی أن ینزّل نصّا و یجعل القول به و العمل بمقتضاه موقوفا علی اجتهادنا، و إنّما یسوغ الاجتهاد</w:t>
      </w:r>
      <w:r>
        <w:rPr>
          <w:rStyle w:val="FootnoteAnchor"/>
          <w:rtl w:val="true"/>
        </w:rPr>
        <w:footnoteReference w:id="643"/>
      </w:r>
      <w:r>
        <w:rPr>
          <w:rFonts w:ascii="IRNazanin" w:hAnsi="IRNazanin" w:eastAsia="IRNazanin"/>
          <w:color w:val="111111"/>
          <w:sz w:val="28"/>
          <w:sz w:val="28"/>
          <w:szCs w:val="28"/>
          <w:rtl w:val="true"/>
          <w:lang w:bidi="fa-IR"/>
        </w:rPr>
        <w:t>فی صرفه إلی وجه دون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الّذی ذکرتموه من الجواب عن هذا السّؤال یمکن أن یجعل فرقا بین النّسخ و تخصیص العموم، و سقط بذلک أصل الدّلیل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أنّهم إذا جعلوا ذلک فرقا بین التّخصیص و النّسخ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فرق بین النّسخ و التخصیص فی المعنی، لأنّ التّخصیص 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إخراج بعض ما یتناوله لفظ العموم من الأعیان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النّسخ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إخراج بعض ما یتناوله دلیل النّص من الأزمان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فهما سواء فی المعنی، فما منع من أحدهما منع من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أنّه لا یمکن أن یجوّز النّسخ بالقیاس إلاّ من یقول بتخصیص العلّة، و من لم یجز تخصیص العلّة لا یمکنه ارتکابه علی حال</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أجاب بعض أصحاب الشّافعی</w:t>
      </w:r>
      <w:r>
        <w:rPr>
          <w:rStyle w:val="FootnoteAnchor"/>
          <w:rtl w:val="true"/>
        </w:rPr>
        <w:footnoteReference w:id="644"/>
      </w:r>
      <w:r>
        <w:rPr>
          <w:rFonts w:ascii="Amiri" w:hAnsi="Amiri" w:eastAsia="Amiri" w:cs="Amiri"/>
          <w:color w:val="111111"/>
          <w:sz w:val="28"/>
          <w:sz w:val="28"/>
          <w:szCs w:val="28"/>
          <w:rtl w:val="true"/>
          <w:lang w:bidi="ar-SA"/>
        </w:rPr>
        <w:t>عمّا ألزمناهم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النّسخ إنّما لم یصحّ </w:t>
      </w:r>
    </w:p>
    <w:p>
      <w:pPr>
        <w:pStyle w:val="BookText"/>
        <w:rPr/>
      </w:pPr>
      <w:r>
        <w:rPr>
          <w:rFonts w:ascii="IRNazanin" w:hAnsi="IRNazanin" w:eastAsia="IRNazanin"/>
          <w:color w:val="111111"/>
          <w:sz w:val="28"/>
          <w:sz w:val="28"/>
          <w:szCs w:val="28"/>
          <w:rtl w:val="true"/>
          <w:lang w:bidi="fa-IR"/>
        </w:rPr>
        <w:t xml:space="preserve">فیه لأنّ کونه ناسخا للنّص ینبئ عن أنّ النّص بخلافه، و القیاس لا یصحّ إذا دفعه النّص و خصّه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فکأنّ النّسخ به یوجب النّسخ بقیاس فاسد، و هذا لا یجوز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بعینه یمکن أن یقال فی المنع من تخصیص العموم به، لأنّ العموم أیضا نصّ، و ما یؤدّی إلی تخصیصه ینبئ عن أنّ ظاهره بخلافه، و القیاس لا یصحّ إذا دفعه النّص، و کان التّخصیص به یوجب التّخصیص بقیاس فاسد، و هذا ما لا فصل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 أیضا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القیاس إنّما یسوغ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عدم النّص للاضطرار إلیه، و عموم الکتاب نصّ یغنی عنه و لا یسوغ استعماله، و خلافه نصّ حتّی یخصّ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لهم أن یقولوا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إذا خصّ العموم به یکون مستعملا فیما لا نصّ علیه، لأنّه قد یبیّن به أنّه لم یرد ذلک بالعموم، و إذا لم یکن</w:t>
      </w:r>
      <w:r>
        <w:rPr>
          <w:rStyle w:val="FootnoteAnchor"/>
          <w:rtl w:val="true"/>
        </w:rPr>
        <w:footnoteReference w:id="645"/>
      </w:r>
    </w:p>
    <w:p>
      <w:pPr>
        <w:pStyle w:val="BookText"/>
        <w:rPr/>
      </w:pPr>
      <w:r>
        <w:rPr>
          <w:rFonts w:ascii="IRNazanin" w:hAnsi="IRNazanin" w:eastAsia="IRNazanin"/>
          <w:color w:val="111111"/>
          <w:sz w:val="28"/>
          <w:sz w:val="28"/>
          <w:szCs w:val="28"/>
          <w:rtl w:val="true"/>
          <w:lang w:bidi="fa-IR"/>
        </w:rPr>
        <w:t>فی الأصل و الحجریة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مرادا به فقد استعمل القیاس فیما لم یدخل تحت النّص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أنّ الّذی قالوه غیر صحیح، لأنّه لو لم یستعمل ذلک القیاس لکان ما یتناوله داخلا تحت النّص فیجب بطلانه، لأنّه قد استعمل فیما لولاه لدخل تحت النّص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النّص إنّما یتناول ذلک لو لم یصحّ القیاس، فأمّا إذا صحّ ذلک القیاس لم یدخل تحته فقد حصل أنّ القیاس إذا استعمل فیما یخصّ به العموم لا یکون مستعملا فیما تناوله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سلّم أنّ القیاس الّذی یوجب تخصیص العموم قیاس صحیح‌؟ و لیس یعلم أنّ من قال بالمنع من تخصیص العموم به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بظاهر العموم أحکم بأنّ کلّ قیاس یؤدّی إلی تخصیصه قیاس باطل</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سلّم أنّ ذلک قیاس صحیح لکان قد سلّمت المسألة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فعلم بجمیع ذلک صحّة ما نصرناه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 أیضا علی صحّة ما قدّمناه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معاذ و أنّ النّبی صلّی اللّه علیه و آله و سلّم لمّا بعثه إلی الیمن 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 تقضی‌؟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بکتاب اللّه،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بسنّة رسول اللّه</w:t>
      </w:r>
      <w:r>
        <w:rPr>
          <w:rStyle w:val="FootnoteAnchor"/>
          <w:rtl w:val="true"/>
        </w:rPr>
        <w:footnoteReference w:id="646"/>
      </w:r>
    </w:p>
    <w:p>
      <w:pPr>
        <w:pStyle w:val="BookText"/>
        <w:rPr/>
      </w:pPr>
      <w:r>
        <w:rPr>
          <w:rFonts w:ascii="Amiri" w:hAnsi="Amiri" w:eastAsia="Amiri" w:cs="Amiri"/>
          <w:color w:val="111111"/>
          <w:sz w:val="28"/>
          <w:sz w:val="28"/>
          <w:szCs w:val="28"/>
          <w:rtl w:val="true"/>
          <w:lang w:bidi="ar-SA"/>
        </w:rPr>
        <w:t>سنة رسوله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علیه السّلام فان لم تجد؟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أجتهد رأیی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فصوّبه رسول اللّه صلّی اللّه علیه و آله و سلّم فی ذلک، و هذا یقتضی أنّ القیاس إنّما یسوغ استعماله إذا لم یوجد فی الکتاب ما یدلّ علی الحکم الّذی یستعمل فیه، فمتی وجد فیه بطل استعماله، و إذا بطل استعماله لم یصحّ أن یخصّ به العموم، لأنّ القیاس الفاسد لا خلاف أنّه لا یخصّ به العموم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لهم أن یقولوا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المراد بذلک، إن لم أجد فی کتاب اللّه نصّا علی المسألة اجتهدت رأیی، فأمّا إذا کان فیه عموم فإنّه لا یمتنع اجتهاد الرّأی معه، لأنّه إذا خصّ بالقیاس کان ما استعمل فیه القیاس غیر موجود فی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أنّ هذا الّذی ذکروه تخصیص للخبر، لأنّه إنّما صوّبه فی استعمال القیاس إذا لم یکن الحکم موجودا فی الکتاب و السّنة، و قد یکون الحکم ثابتا فیهما بنصّ معیّن، و یکون أیضا موجودا بأن یکون داخلا فی العموم، فمن خصّ الخبر بأحدهما احتاج إلی دلالة</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النّاس من استدلّ علی صحّة ما ذهبنا إلیه بأن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القیاس فرع علی النّص من عموم و غیره، فمتی اعترض به علیه کان قد اعترض علی الأصل بفرعه، و هذا لا یجوز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هذا غیر صحیح، لأنّ لهم أن یقولوا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أصل القیاس هو الّذی ثبتت صحّته به، أو ما یحمل علیه الفرع من الأصول، و کلاهما لا یجب الاعتراض بالقیاس علیه، و إنّما یجوز أن یقاس ما دخل تحت آیة محرّمة ما دخل تحت آیة محلّلة فتحلّله و تخرجه من جملة ما یقتضی التّحریم، نحو قیاس العقد فی الأرز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التّحریم و یخصّ به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أَحَلَّ اللّهُ الْبَیْعَ  </w:t>
      </w:r>
      <w:r>
        <w:rPr>
          <w:rStyle w:val="FootnoteAnchor"/>
          <w:rtl w:val="true"/>
        </w:rPr>
        <w:footnoteReference w:id="647"/>
      </w:r>
    </w:p>
    <w:p>
      <w:pPr>
        <w:pStyle w:val="BookText"/>
        <w:rPr/>
      </w:pP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و فی ذلک سقوط الاستدلال بهذه الطّریقة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استدلّ من خالف ما اخترناه بأن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دلّ علی إثبات القیاس، دلیل مقطوع علیه، و هو إجماع الصّحابة</w:t>
      </w:r>
      <w:r>
        <w:rPr>
          <w:rStyle w:val="FootnoteAnchor"/>
          <w:rtl w:val="true"/>
        </w:rPr>
        <w:footnoteReference w:id="648"/>
      </w:r>
      <w:r>
        <w:rPr>
          <w:rFonts w:ascii="IRNazanin" w:hAnsi="IRNazanin" w:eastAsia="IRNazanin"/>
          <w:color w:val="111111"/>
          <w:sz w:val="28"/>
          <w:sz w:val="28"/>
          <w:szCs w:val="28"/>
          <w:rtl w:val="true"/>
          <w:lang w:bidi="fa-IR"/>
        </w:rPr>
        <w:t>، فصار العمل بما یقتضیه معلوما وجوبه، کما أنّ العمل بما یقتضیه العموم معلوم وجوبه، فإذا تساویا فی هذا الوجه جاز تخصیص العموم به</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هذا الّذی ذکروه غیر صحیح، لأنّا إذا سلّمنا إجماع الصّحابة علی العمل بالقیاس، إنّما نسلّمه فیما لا نصّ فیه من الکتاب من العموم و غیره، فأمّا إذا کان ما یدلّ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الکتاب</w:t>
      </w:r>
      <w:r>
        <w:rPr>
          <w:rFonts w:eastAsia="IRNazanin" w:cs="IRNazanin"/>
          <w:color w:val="111111"/>
          <w:sz w:val="28"/>
          <w:szCs w:val="28"/>
          <w:rtl w:val="true"/>
          <w:lang w:bidi="fa-IR"/>
        </w:rPr>
        <w:t>)</w:t>
      </w:r>
      <w:r>
        <w:rPr>
          <w:rStyle w:val="FootnoteAnchor"/>
          <w:rtl w:val="true"/>
        </w:rPr>
        <w:footnoteReference w:id="649"/>
      </w:r>
      <w:r>
        <w:rPr>
          <w:rFonts w:ascii="IRNazanin" w:hAnsi="IRNazanin" w:eastAsia="IRNazanin"/>
          <w:color w:val="111111"/>
          <w:sz w:val="28"/>
          <w:sz w:val="28"/>
          <w:szCs w:val="28"/>
          <w:rtl w:val="true"/>
          <w:lang w:bidi="fa-IR"/>
        </w:rPr>
        <w:t xml:space="preserve">لا نسلّم أنّهم استعملوا فیه، و لا یمکنهم أن یبیّنوا أنّ الصّحابة استعملت القیاس فی تخصیص العموم، و إذا لم یثبت ذلک لم یجب من حیث استعملوا القیاس فی موضع أن یجوز استعماله فی کلّ موضع، لأنّا قد بیّنا أنّه دلیل </w:t>
      </w:r>
    </w:p>
    <w:p>
      <w:pPr>
        <w:pStyle w:val="BookText"/>
        <w:rPr/>
      </w:pPr>
      <w:r>
        <w:rPr>
          <w:rFonts w:ascii="IRNazanin" w:hAnsi="IRNazanin" w:eastAsia="IRNazanin"/>
          <w:color w:val="111111"/>
          <w:sz w:val="28"/>
          <w:sz w:val="28"/>
          <w:szCs w:val="28"/>
          <w:rtl w:val="true"/>
          <w:lang w:bidi="fa-IR"/>
        </w:rPr>
        <w:t>شرعیّ ینبغی أن لا یتجاوز به الموضع الّذی قرّرته الشّریعة، کما أنّ ثبوته فی الموضع الّذی ثبت لا یجوز أن یتجاوز به إلی أن ینسخ به لأنّه لم یثبت فیه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القول فی التّخصیص، و لا فرق بینهما علی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استدلّوا أیضا بأن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ثبت أنّ القیاس یقبل فیما یقتضی العقل خلافه، و إن کان دلیل العقل یوجب العلم، و القیاس غلبته الظّن، و کذلک العمل به فیما یخصّ الکتاب، و إن کان یوجب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الدّلیل إنّما یمکن أن یستدلّ به علی من أبی تخصیص العموم بالقیاس عقلا</w:t>
      </w:r>
      <w:r>
        <w:rPr>
          <w:rStyle w:val="FootnoteAnchor"/>
          <w:rtl w:val="true"/>
        </w:rPr>
        <w:footnoteReference w:id="650"/>
      </w:r>
    </w:p>
    <w:p>
      <w:pPr>
        <w:pStyle w:val="BookText"/>
        <w:rPr/>
      </w:pPr>
      <w:r>
        <w:rPr>
          <w:rFonts w:ascii="IRNazanin" w:hAnsi="IRNazanin" w:eastAsia="IRNazanin"/>
          <w:color w:val="111111"/>
          <w:sz w:val="28"/>
          <w:sz w:val="28"/>
          <w:szCs w:val="28"/>
          <w:rtl w:val="true"/>
          <w:lang w:bidi="fa-IR"/>
        </w:rPr>
        <w:t>زیادة من النسخة 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 فیقال له إذا جاز العمل به فیما یقتضی العقل خلافه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جاز العمل به فیما یقتضی العموم 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من جوّز ذلک، و إنّما امتنع من القول به لأنّه لم یثبت ورود العبادة به، فلا یمکن أن یعتمد ذلک فی هذا الباب، بل یحتاج إلی أن یشتغل بالدّلالة علی ثبوت ما کان جائزا، لأنّه لیس کلّ ما کان جائزا فی العقل ثبت العلم به علی کلّ حال، فعلم بذلک سقوط هذا الاستدلال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النّاس من اعترض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الدّلیل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لا نعمل بالقیاس إذا اقتضی العقل خلافه</w:t>
      </w:r>
      <w:r>
        <w:rPr>
          <w:rStyle w:val="FootnoteAnchor"/>
          <w:rtl w:val="true"/>
        </w:rPr>
        <w:footnoteReference w:id="651"/>
      </w:r>
      <w:r>
        <w:rPr>
          <w:rFonts w:ascii="IRNazanin" w:hAnsi="IRNazanin" w:eastAsia="IRNazanin"/>
          <w:color w:val="111111"/>
          <w:sz w:val="28"/>
          <w:sz w:val="28"/>
          <w:szCs w:val="28"/>
          <w:rtl w:val="true"/>
          <w:lang w:bidi="fa-IR"/>
        </w:rPr>
        <w:t>، بل إنّما نعمل به فیما یجوّزه العقل دون ما یقتضی قبحه أو حسنه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لیس بشیء، لأنّ غرض القوم بذلک أنّ الفعل إذا کان یقتضی تحلیل شیء أو تحریمه، ثمّ ثبت بالقیاس فی الشّرع تحریم ما کان مباحا، أو إباحة ما کان محظورا، فقد عملوا بخلاف ما کان یقتضیه العقل</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دلیل العقل یقتضی إباحة شیء أو حظره بشرط أن لا یدلّ الشّرع بخلافه، فالقیاس أن یستعمل فی خلافه المبین به</w:t>
      </w:r>
      <w:r>
        <w:rPr>
          <w:rStyle w:val="FootnoteAnchor"/>
          <w:rtl w:val="true"/>
        </w:rPr>
        <w:footnoteReference w:id="652"/>
      </w:r>
      <w:r>
        <w:rPr>
          <w:rFonts w:ascii="IRNazanin" w:hAnsi="IRNazanin" w:eastAsia="IRNazanin"/>
          <w:color w:val="111111"/>
          <w:sz w:val="28"/>
          <w:sz w:val="28"/>
          <w:szCs w:val="28"/>
          <w:rtl w:val="true"/>
          <w:lang w:bidi="fa-IR"/>
        </w:rPr>
        <w:t xml:space="preserve">أنّ العقل لم یقتض ما </w:t>
      </w:r>
    </w:p>
    <w:p>
      <w:pPr>
        <w:pStyle w:val="BookText"/>
        <w:rPr/>
      </w:pPr>
      <w:r>
        <w:rPr>
          <w:rFonts w:ascii="IRNazanin" w:hAnsi="IRNazanin" w:eastAsia="IRNazanin"/>
          <w:color w:val="111111"/>
          <w:sz w:val="28"/>
          <w:sz w:val="28"/>
          <w:szCs w:val="28"/>
          <w:rtl w:val="true"/>
          <w:lang w:bidi="fa-IR"/>
        </w:rPr>
        <w:t>أدّی القیاس إلی خلافه، و لیس کذلک العموم لأنّه اقتضی تحریم الشّیء مطلقا بلا شرط فیه، فلو قبل القیاس فی خلافه لکان فیه اعتراض به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لا یجوز، لأنّ لهم أن یقولوا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الحال فیهما واحد لأنّ دلیل العقل یقتضی تحلیل الأنبذة ما لم یقتض دلیل سمعیّ</w:t>
      </w:r>
      <w:r>
        <w:rPr>
          <w:rStyle w:val="FootnoteAnchor"/>
          <w:rtl w:val="true"/>
        </w:rPr>
        <w:footnoteReference w:id="653"/>
      </w:r>
    </w:p>
    <w:p>
      <w:pPr>
        <w:pStyle w:val="BookText"/>
        <w:rPr/>
      </w:pPr>
      <w:r>
        <w:rPr>
          <w:rFonts w:ascii="IRNazanin" w:hAnsi="IRNazanin" w:eastAsia="IRNazanin"/>
          <w:color w:val="111111"/>
          <w:sz w:val="28"/>
          <w:sz w:val="28"/>
          <w:szCs w:val="28"/>
          <w:rtl w:val="true"/>
          <w:lang w:bidi="fa-IR"/>
        </w:rPr>
        <w:t>شرعی</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تحریمه، و العموم أیضا یقتضی ذلک ما لم یحصل دلیل سمعیّ علی خلافه، فهما فی هذا الباب من جهة المعنی سواء، و إنّما الخلاف بینهما أنّ العموم یدلّ علی ما یدلّ علیه لفظا و لیس کذلک دلیل العقل، و هذا لا یقتضی الفرق بینهما من جهة المعنی</w:t>
      </w:r>
      <w:r>
        <w:rPr>
          <w:rFonts w:eastAsia="IRNazanin" w:cs="IRNazanin"/>
          <w:color w:val="111111"/>
          <w:sz w:val="28"/>
          <w:szCs w:val="28"/>
          <w:rtl w:val="true"/>
          <w:lang w:bidi="fa-IR"/>
        </w:rPr>
        <w:t>.</w:t>
      </w:r>
      <w:bookmarkStart w:id="201" w:name="pg6519_49562"/>
    </w:p>
    <w:p>
      <w:pPr>
        <w:pStyle w:val="Heading4"/>
        <w:numPr>
          <w:ilvl w:val="3"/>
          <w:numId w:val="1"/>
        </w:numPr>
        <w:rPr/>
      </w:pPr>
      <w:bookmarkStart w:id="202" w:name="__RefHeading___Toc1757283_653776707"/>
      <w:bookmarkStart w:id="203" w:name="_Toc65"/>
      <w:bookmarkEnd w:id="201"/>
      <w:bookmarkEnd w:id="202"/>
      <w:r>
        <w:rPr>
          <w:rtl w:val="true"/>
        </w:rPr>
        <w:t xml:space="preserve">فصل </w:t>
      </w:r>
      <w:r>
        <w:rPr>
          <w:rtl w:val="true"/>
        </w:rPr>
        <w:t xml:space="preserve">- </w:t>
      </w:r>
      <w:r>
        <w:rPr/>
        <w:t>14</w:t>
      </w:r>
      <w:r>
        <w:rPr>
          <w:rtl w:val="true"/>
        </w:rPr>
        <w:t xml:space="preserve"> «</w:t>
      </w:r>
      <w:r>
        <w:rPr>
          <w:rtl w:val="true"/>
        </w:rPr>
        <w:t>فی تخصیص العموم بأقاویل الصّحابة، و بالعادات، و بقول الرّاوی</w:t>
      </w:r>
      <w:r>
        <w:rPr>
          <w:rtl w:val="true"/>
        </w:rPr>
        <w:t>»</w:t>
      </w:r>
      <w:bookmarkEnd w:id="203"/>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القول إذا ظهر بین الصّحابة و اتّفقوا کلّهم أنّه یخصّ العموم، فلا خلاف عن أهل العلم أنّه یخصّ به العموم، لأنّ ذلک إجماع، و قد بیّنا أنّ الإجماع یخصّ به العموم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فأمّا إذا ظهر القول و لم یعرف له مخالف، فمن جعله إجماعا أو فی حکم الإجماع خصّ به أیضا العموم، و من لم یجعله إجماعا من حیث جوّز أن یکون السّاکت لو استفتی لأفتی بخلافه لجری ذلک مجری القول المختلف فیه، و القول المختلف فیه بین الصّحابة اختلفوا فی جواز تخصیص العموم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فذهب أبو علیّ إلی أنّه یجوز الأخذ بقول بعضهم و إن خالفه غیره فیه،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لأنّ بعضهم کان یرجع إلی قول بعض من غیر حجاج، و هو المحکیّ عن محمّد بن الحسن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حکی عنه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أجمعوا علیه و اختلفوا فیه جاز أن یقاس علیه و یتّخذ أصلا تجعل اختلافهم کاجتماعهم فی أنّه 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حکی عن الشّافعی قدیما أنّه کان یقول ذلک، و یرتّب أقاویل الصّحابة فیقدّم أقاویل الخلفاء، ثمّ قول أقدمهم فی العلم، فعلی هذه الوجوه لا یمتنعون من تخصیص الکتاب به، لأنّه حجّة کالقیاس و خبر الواحد عندهم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قولهم لیس بحجّة، فإنّه لا یخصّ العموم به، و هو مذهب أکثر الفقهاء</w:t>
      </w:r>
      <w:r>
        <w:rPr>
          <w:rStyle w:val="FootnoteAnchor"/>
          <w:rtl w:val="true"/>
        </w:rPr>
        <w:footnoteReference w:id="654"/>
      </w:r>
    </w:p>
    <w:p>
      <w:pPr>
        <w:pStyle w:val="BookText"/>
        <w:rPr/>
      </w:pPr>
      <w:r>
        <w:rPr>
          <w:rFonts w:ascii="IRNazanin" w:hAnsi="IRNazanin" w:eastAsia="IRNazanin"/>
          <w:color w:val="111111"/>
          <w:sz w:val="28"/>
          <w:sz w:val="28"/>
          <w:szCs w:val="28"/>
          <w:rtl w:val="true"/>
          <w:lang w:bidi="fa-IR"/>
        </w:rPr>
        <w:t xml:space="preserve">انظر التعلیقة رقم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صفحة </w:t>
      </w:r>
      <w:r>
        <w:rPr>
          <w:rFonts w:eastAsia="IRNazanin" w:cs="IRNazanin"/>
          <w:color w:val="111111"/>
          <w:sz w:val="28"/>
          <w:szCs w:val="28"/>
          <w:lang w:bidi="fa-IR"/>
        </w:rPr>
        <w:t>360</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و قول الشّافعی فی الجدید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لأنّه قدّم القول بالعموم علی القول بقول الصّحابی إذا اختلف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الصّحیح عندنا من هذه الأقاویل أنّه لا یخصّ العموم إلاّ بما کان إجماعا موجبا للعلم، أو یکون قول من دلّ الدّلیل علی عصمته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ذلک یخصّ به العموم، و ما عدا ذلک لا یجوز تخصیصه به، و سنبیّن فیما بعد أنّ ما ادّعوه إجماعا، أو فی حکم الإجماع من القول الّذی لا یعرف له مخالف لیس بإجماع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العادات فعلی ضربین</w:t>
      </w:r>
      <w:r>
        <w:rPr>
          <w:rStyle w:val="FootnoteAnchor"/>
          <w:rtl w:val="true"/>
        </w:rPr>
        <w:footnoteReference w:id="655"/>
      </w:r>
    </w:p>
    <w:p>
      <w:pPr>
        <w:pStyle w:val="BookText"/>
        <w:rPr/>
      </w:pPr>
      <w:r>
        <w:rPr>
          <w:rFonts w:ascii="IRNazanin" w:hAnsi="IRNazanin" w:eastAsia="IRNazanin"/>
          <w:color w:val="111111"/>
          <w:sz w:val="28"/>
          <w:sz w:val="28"/>
          <w:szCs w:val="28"/>
          <w:rtl w:val="true"/>
          <w:lang w:bidi="fa-IR"/>
        </w:rPr>
        <w:t xml:space="preserve">انظر التعلیقة رقم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صفحة </w:t>
      </w:r>
      <w:r>
        <w:rPr>
          <w:rFonts w:eastAsia="IRNazanin" w:cs="IRNazanin"/>
          <w:color w:val="111111"/>
          <w:sz w:val="28"/>
          <w:szCs w:val="28"/>
          <w:lang w:bidi="fa-IR"/>
        </w:rPr>
        <w:t>360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ضرب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من جهة الأفعال، فما هذا حکمه لا یخصّ به العموم، بل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علی المخاطبین أن ینتقلوا عن تلک العادات لأجل العموم، و یستدلّوا به علی ترکها، فکیف یخصّ به العموم‌؟ و الضّرب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تکون العادة جاریة فی استعمال لفظ العموم فی بعض ما تناوله، فما هذا حکمه ینبغی أن یخصّ به العموم، لأنّا قد بیّنا فیما تقدّم أنّ الخطاب ینبغی أن یحمل علی ما تعورف و یترک ما کان موضوعا له، لأنّه بالعادة قد صار حقیقة فیما اعتید فیه، و قد استوفینا ما یتعلّق بذلک فیما مضی</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فأمّا إذا روی الرّاوی الحدیث العام ثمّ صرفه إلی بعض ما تناوله، فمن النّاس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یجب حمله علی الخصوص لأنّه أعرف بمراد الرّسول من غیره لمزیّة المشاهدة الّتی عندها تعرف المقاصد، و هو المحکیّ عن بعض أصحاب أبی </w:t>
      </w:r>
    </w:p>
    <w:p>
      <w:pPr>
        <w:pStyle w:val="BookText"/>
        <w:rPr/>
      </w:pPr>
      <w:r>
        <w:rPr>
          <w:rFonts w:ascii="IRNazanin" w:hAnsi="IRNazanin" w:eastAsia="IRNazanin"/>
          <w:color w:val="111111"/>
          <w:sz w:val="28"/>
          <w:sz w:val="28"/>
          <w:szCs w:val="28"/>
          <w:rtl w:val="true"/>
          <w:lang w:bidi="fa-IR"/>
        </w:rPr>
        <w:t xml:space="preserve">حنیفة، لأنّه کان یحمل ما رواه أبو هریرة من خبر ولوغ الکلب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 السّبع لیس علی الوجوب من حیث کان یذهب إلی جواز الاقتصار علی ثلاث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حکی أبو عبد اللّه عن أبی الحسن</w:t>
      </w:r>
      <w:r>
        <w:rPr>
          <w:rStyle w:val="FootnoteAnchor"/>
          <w:rtl w:val="true"/>
        </w:rPr>
        <w:footnoteReference w:id="657"/>
      </w:r>
    </w:p>
    <w:p>
      <w:pPr>
        <w:pStyle w:val="BookText"/>
        <w:rPr/>
      </w:pPr>
      <w:r>
        <w:rPr>
          <w:rFonts w:ascii="IRNazanin" w:hAnsi="IRNazanin" w:eastAsia="IRNazanin"/>
          <w:color w:val="111111"/>
          <w:sz w:val="28"/>
          <w:sz w:val="28"/>
          <w:szCs w:val="28"/>
          <w:rtl w:val="true"/>
          <w:lang w:bidi="fa-IR"/>
        </w:rPr>
        <w:t xml:space="preserve">أی أبی عبد اللّه البصری الفقیه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شیخه أبی الحسن الکرخی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التعلّق بظاهر الخبر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یجب أن ینظر فیه، فإن کان الرّاوی عدل عن ظاهر ما رواه وجب التّمسّک بما رواه من اللّفظ، و إن کان قال بأحد محتملاته حملت علیه، و هذا الّذی یدلّ علیه ظاهر قول الشّافعی، و إلیه یذهب کثیر من أصحابه</w:t>
      </w:r>
      <w:r>
        <w:rPr>
          <w:rStyle w:val="FootnoteAnchor"/>
          <w:rtl w:val="true"/>
        </w:rPr>
        <w:footnoteReference w:id="658"/>
      </w:r>
      <w:r>
        <w:rPr>
          <w:rFonts w:ascii="IRNazanin" w:hAnsi="IRNazanin" w:eastAsia="IRNazanin"/>
          <w:color w:val="111111"/>
          <w:sz w:val="28"/>
          <w:sz w:val="28"/>
          <w:szCs w:val="28"/>
          <w:rtl w:val="true"/>
          <w:lang w:bidi="fa-IR"/>
        </w:rPr>
        <w:t xml:space="preserve">، لأنّه حمل ما رواه ابن عمر فی حدیث الافتراق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الافتراق بالبدن، لأنّ ابن عمر حمله علی ذلک، و حمل قوله فی حدیث الرّبا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یدا بید</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المراد به أن لا یفترقا إلاّ بعد التقابض، من حیث حمله ابن عمر علی ذلک، و لم یصرف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بدّل دینه فاقتلوه</w:t>
      </w:r>
      <w:r>
        <w:rPr>
          <w:rFonts w:eastAsia="IRNazanin" w:cs="IRNazanin"/>
          <w:color w:val="111111"/>
          <w:sz w:val="28"/>
          <w:szCs w:val="28"/>
          <w:rtl w:val="true"/>
          <w:lang w:bidi="fa-IR"/>
        </w:rPr>
        <w:t>»</w:t>
      </w:r>
      <w:r>
        <w:rPr>
          <w:rStyle w:val="FootnoteAnchor"/>
          <w:rtl w:val="true"/>
        </w:rPr>
        <w:footnoteReference w:id="659"/>
      </w:r>
      <w:r>
        <w:rPr>
          <w:rFonts w:ascii="IRNazanin" w:hAnsi="IRNazanin" w:eastAsia="IRNazanin"/>
          <w:color w:val="111111"/>
          <w:sz w:val="28"/>
          <w:sz w:val="28"/>
          <w:szCs w:val="28"/>
          <w:rtl w:val="true"/>
          <w:lang w:bidi="fa-IR"/>
        </w:rPr>
        <w:t>إلی الرّجال، و إن کان ابن عبّاس صرفه إلیهم</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الّذی یجب أن یقول علیه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الرّاوی إذا روی الخبر العام و حمله علی بعض ما تناوله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علم ذلک من قصد النّبی صلّی اللّه علیه و آله و سلّم ضرورة، وجب حمله علی ما ذهب إلیه، لأنّ وجوب حسن الظنّ به فی نفس الخبر یوجب حسن الظنّ به فی قوله إنّه علم ذلک ضرورة من قصد الرّسول صلّی اللّه علیه </w:t>
      </w:r>
    </w:p>
    <w:p>
      <w:pPr>
        <w:pStyle w:val="BookText"/>
        <w:rPr/>
      </w:pPr>
      <w:r>
        <w:rPr>
          <w:rFonts w:ascii="Amiri" w:hAnsi="Amiri" w:eastAsia="Amiri" w:cs="Amiri"/>
          <w:color w:val="111111"/>
          <w:sz w:val="28"/>
          <w:sz w:val="28"/>
          <w:szCs w:val="28"/>
          <w:rtl w:val="true"/>
          <w:lang w:bidi="ar-SA"/>
        </w:rPr>
        <w:t>و آله و 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إن کان ما ذهب إلیه إنّما قال بضرب من الاستدلال، أو بخبر آخر، و قیاس، أو غیر ذلک، فینبغی أن یتمسّک بظاهر الخبر و یترک ما ذهب إلیه، لأنّه یجوز أن یکون أخطأ فی جمیع ذلک لشبهة دخلت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متی لم یظهر لنا ما حمله علیه، و هل فعل ذلک لأنّه علم ذلک من قصد الرّسول صلّی اللّه علیه و آله و سلّم ضرورة، أو لوجه آخر من الاستدلال‌؟ وجب التّمسّک بظاهر الخبر، و إن جاز أن یکون فی الأصول ما لأجله حمله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متی کان ما رواه مجملا، و صرفه إلی أحد الوجهین، فمن النّاس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یجب حمله علیه لأنّ حسن الظنّ به یوجب ذلک، إلاّ أن یکون قد حصل من الرّسول صلّی اللّه علیه و آله و سلّم بیان یخالف ذلک فیعید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الجمیع بمنزلة سواء فی أنّه یجب التّمسّک بقول الرّسول و دون قول الرّاوی، لأنّه لو عرف قصد الرّسول صلّی اللّه علیه و آله و سلّم ضرورة لرواه، و لأزال عن نفسه إیهام مخالفة النبیّ صلّی اللّه علیه و آله و سلّم</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هو الأقوی</w:t>
      </w:r>
      <w:r>
        <w:rPr>
          <w:rFonts w:eastAsia="IRNazanin" w:cs="IRNazanin"/>
          <w:color w:val="111111"/>
          <w:sz w:val="28"/>
          <w:szCs w:val="28"/>
          <w:rtl w:val="true"/>
          <w:lang w:bidi="fa-IR"/>
        </w:rPr>
        <w:t xml:space="preserve">. </w:t>
      </w:r>
      <w:bookmarkStart w:id="204" w:name="pg6519_49567"/>
    </w:p>
    <w:p>
      <w:pPr>
        <w:pStyle w:val="Heading4"/>
        <w:numPr>
          <w:ilvl w:val="3"/>
          <w:numId w:val="1"/>
        </w:numPr>
        <w:rPr/>
      </w:pPr>
      <w:bookmarkStart w:id="205" w:name="__RefHeading___Toc1757285_653776707"/>
      <w:bookmarkStart w:id="206" w:name="_Toc66"/>
      <w:bookmarkEnd w:id="204"/>
      <w:bookmarkEnd w:id="205"/>
      <w:r>
        <w:rPr>
          <w:rtl w:val="true"/>
        </w:rPr>
        <w:t xml:space="preserve">فصل </w:t>
      </w:r>
      <w:r>
        <w:rPr>
          <w:rtl w:val="true"/>
        </w:rPr>
        <w:t xml:space="preserve">- </w:t>
      </w:r>
      <w:r>
        <w:rPr/>
        <w:t>15</w:t>
      </w:r>
      <w:r>
        <w:rPr>
          <w:rtl w:val="true"/>
        </w:rPr>
        <w:t xml:space="preserve"> «</w:t>
      </w:r>
      <w:r>
        <w:rPr>
          <w:rtl w:val="true"/>
        </w:rPr>
        <w:t>فی تخصیص الإجماع، و تخصیص قول الرّسول صلّی اللّه علیه و آله و سلّم</w:t>
      </w:r>
      <w:bookmarkEnd w:id="206"/>
    </w:p>
    <w:p>
      <w:pPr>
        <w:pStyle w:val="BookText"/>
        <w:rPr/>
      </w:pPr>
      <w:r>
        <w:rPr>
          <w:rFonts w:ascii="IRNazanin" w:hAnsi="IRNazanin" w:eastAsia="IRNazanin"/>
          <w:color w:val="111111"/>
          <w:sz w:val="28"/>
          <w:sz w:val="28"/>
          <w:szCs w:val="28"/>
          <w:rtl w:val="true"/>
          <w:lang w:bidi="fa-IR"/>
        </w:rPr>
        <w:t xml:space="preserve">الإجماع لا یخلو من أن یکون علی فعل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علی قول، أو علی رضا بالشّیء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کان الإجماع فعلا، التّخصیص لا یسوغ فیه، کما لا یسوغ فی أفعال النّبی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إن کان رضا بالشّیء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إن کان إجماعهم علی القول، فإن کان عاما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اضطررنا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قصدهم بذلک، امتنع أیضا التّخصیص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لم نضطرّ إلی قصدهم، جاز التّخصیص کما یجوز فی عموم الکتاب</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إن کان ذلک القول نصّا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فالتّخصیص فیه لا یجوز، و إن کان فی حکم </w:t>
      </w:r>
    </w:p>
    <w:p>
      <w:pPr>
        <w:pStyle w:val="BookText"/>
        <w:rPr/>
      </w:pPr>
      <w:r>
        <w:rPr>
          <w:rFonts w:ascii="IRNazanin" w:hAnsi="IRNazanin" w:eastAsia="IRNazanin"/>
          <w:color w:val="111111"/>
          <w:sz w:val="28"/>
          <w:sz w:val="28"/>
          <w:szCs w:val="28"/>
          <w:rtl w:val="true"/>
          <w:lang w:bidi="fa-IR"/>
        </w:rPr>
        <w:t>العموم من حیث کان حال غیر المنصوص علیه حاله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قول الرّسول صلّی اللّه علیه و آله و 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إذا ورد عنه فاقتضی</w:t>
      </w:r>
      <w:r>
        <w:rPr>
          <w:rStyle w:val="FootnoteAnchor"/>
          <w:rtl w:val="true"/>
        </w:rPr>
        <w:footnoteReference w:id="660"/>
      </w:r>
    </w:p>
    <w:p>
      <w:pPr>
        <w:pStyle w:val="BookText"/>
        <w:rPr/>
      </w:pPr>
      <w:r>
        <w:rPr>
          <w:rFonts w:ascii="IRNazanin" w:hAnsi="IRNazanin" w:eastAsia="IRNazanin"/>
          <w:color w:val="111111"/>
          <w:sz w:val="28"/>
          <w:sz w:val="28"/>
          <w:szCs w:val="28"/>
          <w:rtl w:val="true"/>
          <w:lang w:bidi="fa-IR"/>
        </w:rPr>
        <w:t>و اقتضی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تحریم أشیاء علی المکلّفین، ثمّ وجد فاعلا لبعضها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النّاس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علیه السّلام مخصوص بذلک، إلاّ أن یدلّ دلیل علی خلافه فیخصّ به العموم، لأنّ الظّاهر منه أنّ حاله کحال غیره، إلاّ أن یدلّ دلیل علی أنّه مخصوص به، و هذا هو مذهب الشّافعی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لذلک خصّ به نهیه علیه السّلام عن استقبال القبلة لغائط أو بول لقعوده علیه السّلام علی لبنتین مستقبل بیت المقدس</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فعله صلّی اللّه علیه و آله و سلّم قد علم بالدّلیل مساواة أمّته له، فیصیر کقول آخر عام فی جواز تخصیص القول الأوّل به، و القول الأوّل یحکی عن بعض أصحاب الشّافعی، و أنّه حمل ما روی من تزویج میمونة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محرم علی أنّه مخصوص به، و أنّه لا یعترض علی نهیه عن نکاح المحرم، و هو الّذی حکاه أبو </w:t>
      </w:r>
    </w:p>
    <w:p>
      <w:pPr>
        <w:pStyle w:val="BookText"/>
        <w:rPr/>
      </w:pPr>
      <w:r>
        <w:rPr>
          <w:rFonts w:ascii="IRNazanin" w:hAnsi="IRNazanin" w:eastAsia="IRNazanin"/>
          <w:color w:val="111111"/>
          <w:sz w:val="28"/>
          <w:sz w:val="28"/>
          <w:szCs w:val="28"/>
          <w:rtl w:val="true"/>
          <w:lang w:bidi="fa-IR"/>
        </w:rPr>
        <w:t>عبد اللّه عن أبی الحسن</w:t>
      </w:r>
      <w:r>
        <w:rPr>
          <w:rStyle w:val="FootnoteAnchor"/>
          <w:rtl w:val="true"/>
        </w:rPr>
        <w:footnoteReference w:id="662"/>
      </w:r>
    </w:p>
    <w:p>
      <w:pPr>
        <w:pStyle w:val="BookText"/>
        <w:rPr/>
      </w:pPr>
      <w:r>
        <w:rPr>
          <w:rFonts w:ascii="IRNazanin" w:hAnsi="IRNazanin" w:eastAsia="IRNazanin"/>
          <w:color w:val="111111"/>
          <w:sz w:val="28"/>
          <w:sz w:val="28"/>
          <w:szCs w:val="28"/>
          <w:rtl w:val="true"/>
          <w:lang w:bidi="fa-IR"/>
        </w:rPr>
        <w:t xml:space="preserve">أی أبی عبد اللّه البصری الفقیه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شیخه أبی الحسن الکرخی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لأنّه حمل ما روی عن النبیّ صلّی اللّه علیه و آله و سلّم من کشفه فخذه بحضرة بعض أصحابه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 ما روی أنّه استقبل بیت المقدس، علی أنّه مخصوص به، فلم یخصّ قوله به، و دلّ علی ذلک بأن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فعله لا یتعدّاه إلاّ بدلیل، و لا یجوز أن یعترض به علی القول الّذی یقتضی تعدّیه إلینا</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الصّحیح هو الأوّل، لأنّ الدّلالة قد دلّت علی أنّ حکمنا و حکمه فی فعله واحد علی ما نبیّنه فیما بعد، فإذا فعل شیئا صار کأنّه قال لنا هو مباح، و قد علمنا أنّه لو قال ذلک لوجب تخصیص العموم به، فکذلک یخصّ بفعله، لأنّه وقع هذا الموقع</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 xml:space="preserve">. </w:t>
      </w:r>
      <w:bookmarkStart w:id="207" w:name="pg6519_49570"/>
    </w:p>
    <w:p>
      <w:pPr>
        <w:pStyle w:val="Heading4"/>
        <w:numPr>
          <w:ilvl w:val="3"/>
          <w:numId w:val="1"/>
        </w:numPr>
        <w:rPr/>
      </w:pPr>
      <w:bookmarkStart w:id="208" w:name="__RefHeading___Toc1757287_653776707"/>
      <w:bookmarkStart w:id="209" w:name="_Toc67"/>
      <w:bookmarkEnd w:id="207"/>
      <w:bookmarkEnd w:id="208"/>
      <w:r>
        <w:rPr>
          <w:rtl w:val="true"/>
        </w:rPr>
        <w:t xml:space="preserve">فصل </w:t>
      </w:r>
      <w:r>
        <w:rPr>
          <w:rtl w:val="true"/>
        </w:rPr>
        <w:t xml:space="preserve">- </w:t>
      </w:r>
      <w:r>
        <w:rPr/>
        <w:t>16</w:t>
      </w:r>
      <w:r>
        <w:rPr>
          <w:rtl w:val="true"/>
        </w:rPr>
        <w:t xml:space="preserve"> «</w:t>
      </w:r>
      <w:r>
        <w:rPr>
          <w:rtl w:val="true"/>
        </w:rPr>
        <w:t>فی أنّ العموم إذا خرج علی سبب خاصّ لا یجب قصره علیه</w:t>
      </w:r>
      <w:r>
        <w:rPr>
          <w:rtl w:val="true"/>
        </w:rPr>
        <w:t>»</w:t>
      </w:r>
      <w:bookmarkEnd w:id="209"/>
    </w:p>
    <w:p>
      <w:pPr>
        <w:pStyle w:val="BookText"/>
        <w:rPr/>
      </w:pPr>
      <w:r>
        <w:rPr>
          <w:rFonts w:ascii="IRNazanin" w:hAnsi="IRNazanin" w:eastAsia="IRNazanin"/>
          <w:color w:val="111111"/>
          <w:sz w:val="28"/>
          <w:sz w:val="28"/>
          <w:szCs w:val="28"/>
          <w:rtl w:val="true"/>
          <w:lang w:bidi="fa-IR"/>
        </w:rPr>
        <w:t>اختلف الفقهاء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فمنهم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یجب قصره علیه، و إلی ذلک ذهبت طائفة من أصحاب الشّافعی</w:t>
      </w:r>
      <w:r>
        <w:rPr>
          <w:rStyle w:val="FootnoteAnchor"/>
          <w:rtl w:val="true"/>
        </w:rPr>
        <w:footnoteReference w:id="664"/>
      </w:r>
    </w:p>
    <w:p>
      <w:pPr>
        <w:pStyle w:val="BookText"/>
        <w:rPr/>
      </w:pPr>
      <w:r>
        <w:rPr>
          <w:rFonts w:ascii="IRNazanin" w:hAnsi="IRNazanin" w:eastAsia="IRNazanin"/>
          <w:color w:val="111111"/>
          <w:sz w:val="28"/>
          <w:sz w:val="28"/>
          <w:szCs w:val="28"/>
          <w:rtl w:val="true"/>
          <w:lang w:bidi="fa-IR"/>
        </w:rPr>
        <w:t>و هم إمام الحرمین الجوینی، و أبو إبراهیم المزنی، و أبو ثور الکلبی، و محمّد بن جعفر الدّقّاق، و أبو بکر القفّال و 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التبصرة</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میزان الأصول </w:t>
      </w:r>
      <w:r>
        <w:rPr>
          <w:rFonts w:eastAsia="IRNazanin" w:cs="IRNazanin"/>
          <w:color w:val="111111"/>
          <w:sz w:val="28"/>
          <w:szCs w:val="28"/>
          <w:lang w:bidi="fa-IR"/>
        </w:rPr>
        <w:t>481:1</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و إن کان کلام الشّافعی محتملا له و لغیره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ذهب الباقون</w:t>
      </w:r>
      <w:r>
        <w:rPr>
          <w:rStyle w:val="FootnoteAnchor"/>
          <w:rtl w:val="true"/>
        </w:rPr>
        <w:footnoteReference w:id="665"/>
      </w:r>
    </w:p>
    <w:p>
      <w:pPr>
        <w:pStyle w:val="BookText"/>
        <w:rPr/>
      </w:pP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المعتمد </w:t>
      </w:r>
      <w:r>
        <w:rPr>
          <w:rFonts w:eastAsia="IRNazanin" w:cs="IRNazanin"/>
          <w:color w:val="111111"/>
          <w:sz w:val="28"/>
          <w:szCs w:val="28"/>
          <w:lang w:bidi="fa-IR"/>
        </w:rPr>
        <w:t>283:1</w:t>
      </w:r>
      <w:r>
        <w:rPr>
          <w:rFonts w:eastAsia="IRNazanin" w:cs="IRNazanin"/>
          <w:color w:val="111111"/>
          <w:sz w:val="28"/>
          <w:szCs w:val="28"/>
          <w:rtl w:val="true"/>
          <w:lang w:bidi="fa-IR"/>
        </w:rPr>
        <w:t>-</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أصول السرخسی </w:t>
      </w:r>
      <w:r>
        <w:rPr>
          <w:rFonts w:eastAsia="IRNazanin" w:cs="IRNazanin"/>
          <w:color w:val="111111"/>
          <w:sz w:val="28"/>
          <w:szCs w:val="28"/>
          <w:lang w:bidi="fa-IR"/>
        </w:rPr>
        <w:t>271:1</w:t>
      </w:r>
      <w:r>
        <w:rPr>
          <w:rFonts w:ascii="IRNazanin" w:hAnsi="IRNazanin" w:eastAsia="IRNazanin"/>
          <w:color w:val="111111"/>
          <w:sz w:val="28"/>
          <w:sz w:val="28"/>
          <w:szCs w:val="28"/>
          <w:rtl w:val="true"/>
          <w:lang w:bidi="fa-IR"/>
        </w:rPr>
        <w:t>، روضة النّاظر</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میزان الأصول </w:t>
      </w:r>
      <w:r>
        <w:rPr>
          <w:rFonts w:eastAsia="IRNazanin" w:cs="IRNazanin"/>
          <w:color w:val="111111"/>
          <w:sz w:val="28"/>
          <w:szCs w:val="28"/>
          <w:lang w:bidi="fa-IR"/>
        </w:rPr>
        <w:t>481:1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الواجب حمل الکلام علی ظاهره دون السّبب إذا أمکن ذلک فیه، و هو مذهب جماعة من أصحاب الشّافعی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 مذهب أبی الحسن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إذا لم یمکن حمله علی ظاهره، و لم یفد إلاّ إذا علّق به، قصر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نذهب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کلامه علیه السّلام لا یخلو من أن یکون مطابقا للسّبب من غیر زیادة علیه أو یکون أعمّ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کان مطابقا له من غیر زیادة علیه، فلا خلاف أنّه یجب حمله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متی کان أعمّ منه، وجب حمله علی ظاهره و لا یقصر علی سببه، و هو علی ضربین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أعمّ منه فی الحکم</w:t>
      </w:r>
      <w:r>
        <w:rPr>
          <w:rStyle w:val="FootnoteAnchor"/>
          <w:rtl w:val="true"/>
        </w:rPr>
        <w:footnoteReference w:id="666"/>
      </w:r>
      <w:r>
        <w:rPr>
          <w:rFonts w:ascii="IRNazanin" w:hAnsi="IRNazanin" w:eastAsia="IRNazanin"/>
          <w:color w:val="111111"/>
          <w:sz w:val="28"/>
          <w:sz w:val="28"/>
          <w:szCs w:val="28"/>
          <w:rtl w:val="true"/>
          <w:lang w:bidi="fa-IR"/>
        </w:rPr>
        <w:t>الّذی یسأل عنه، نحو ما روی عنه علیه السّلام أنّه سئل عمّن ابتاع عبدا فاستغلّه ثمّ وجد فیه عیبا فقال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الخراج بالضمان</w:t>
      </w:r>
      <w:r>
        <w:rPr>
          <w:rFonts w:eastAsia="IRNazanin" w:cs="IRNazanin"/>
          <w:color w:val="111111"/>
          <w:sz w:val="28"/>
          <w:szCs w:val="28"/>
          <w:rtl w:val="true"/>
          <w:lang w:bidi="fa-IR"/>
        </w:rPr>
        <w:t>»</w:t>
      </w:r>
      <w:r>
        <w:rPr>
          <w:rStyle w:val="FootnoteAnchor"/>
          <w:rtl w:val="true"/>
        </w:rPr>
        <w:footnoteReference w:id="667"/>
      </w:r>
      <w:r>
        <w:rPr>
          <w:rFonts w:ascii="IRNazanin" w:hAnsi="IRNazanin" w:eastAsia="IRNazanin"/>
          <w:color w:val="111111"/>
          <w:sz w:val="28"/>
          <w:sz w:val="28"/>
          <w:szCs w:val="28"/>
          <w:rtl w:val="true"/>
          <w:lang w:bidi="fa-IR"/>
        </w:rPr>
        <w:t>و ذلک یتناوله و یتناول کلّ بیع و کلّ مضمون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 ما یکون عاما فی ذلک الحکم و فی حکم آخر یسأل عنه، نحو ما روی عنه علیه السّلام أنّه سئل عن ماء البحر أ یتوضّأ به‌؟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الطّهور ماؤه، و الحل میتته</w:t>
      </w:r>
      <w:r>
        <w:rPr>
          <w:rFonts w:eastAsia="IRNazanin" w:cs="IRNazanin"/>
          <w:color w:val="111111"/>
          <w:sz w:val="28"/>
          <w:szCs w:val="28"/>
          <w:rtl w:val="true"/>
          <w:lang w:bidi="fa-IR"/>
        </w:rPr>
        <w:t>»</w:t>
      </w:r>
      <w:r>
        <w:rPr>
          <w:rStyle w:val="FootnoteAnchor"/>
          <w:rtl w:val="true"/>
        </w:rPr>
        <w:footnoteReference w:id="668"/>
      </w:r>
      <w:r>
        <w:rPr>
          <w:rFonts w:ascii="IRNazanin" w:hAnsi="IRNazanin" w:eastAsia="IRNazanin"/>
          <w:color w:val="111111"/>
          <w:sz w:val="28"/>
          <w:sz w:val="28"/>
          <w:szCs w:val="28"/>
          <w:rtl w:val="true"/>
          <w:lang w:bidi="fa-IR"/>
        </w:rPr>
        <w:t>فأجاب بما یقتضی جواز التّوضّؤ به، و بما یقتضی جواز سائر الأحکام من الشّرب و إزالة النّجاسة و غیر ذلک</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فأمّا إذا کان کلامه متی لم یعلّق بالسّبب لم یفد، وجب تعلیقه به علی کلّ </w:t>
      </w:r>
    </w:p>
    <w:p>
      <w:pPr>
        <w:pStyle w:val="BookText"/>
        <w:rPr/>
      </w:pPr>
      <w:r>
        <w:rPr>
          <w:rFonts w:ascii="IRNazanin" w:hAnsi="IRNazanin" w:eastAsia="IRNazanin"/>
          <w:color w:val="111111"/>
          <w:sz w:val="28"/>
          <w:sz w:val="28"/>
          <w:szCs w:val="28"/>
          <w:rtl w:val="true"/>
          <w:lang w:bidi="fa-IR"/>
        </w:rPr>
        <w:t>حال</w:t>
      </w:r>
      <w:r>
        <w:rPr>
          <w:rStyle w:val="FootnoteAnchor"/>
          <w:rtl w:val="true"/>
        </w:rPr>
        <w:footnoteReference w:id="669"/>
      </w:r>
    </w:p>
    <w:p>
      <w:pPr>
        <w:pStyle w:val="BookText"/>
        <w:rPr/>
      </w:pPr>
      <w:r>
        <w:rPr>
          <w:rFonts w:ascii="IRNazanin" w:hAnsi="IRNazanin" w:eastAsia="IRNazanin"/>
          <w:color w:val="111111"/>
          <w:sz w:val="28"/>
          <w:sz w:val="28"/>
          <w:szCs w:val="28"/>
          <w:rtl w:val="true"/>
          <w:lang w:bidi="fa-IR"/>
        </w:rPr>
        <w:t>أی وجب قصره علیه و لیس فیه تقسیم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نحو ما روی عنه علیه السّلام أنّه سئل عن بیع الرّطب بالتّمر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ینقص إذا یبس‌؟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إذا</w:t>
      </w:r>
      <w:r>
        <w:rPr>
          <w:rFonts w:eastAsia="IRNazanin" w:cs="IRNazanin"/>
          <w:color w:val="111111"/>
          <w:sz w:val="28"/>
          <w:szCs w:val="28"/>
          <w:rtl w:val="true"/>
          <w:lang w:bidi="fa-IR"/>
        </w:rPr>
        <w:t>»</w:t>
      </w:r>
      <w:r>
        <w:rPr>
          <w:rStyle w:val="FootnoteAnchor"/>
          <w:rtl w:val="true"/>
        </w:rPr>
        <w:footnoteReference w:id="670"/>
      </w:r>
      <w:r>
        <w:rPr>
          <w:rFonts w:ascii="IRNazanin" w:hAnsi="IRNazanin" w:eastAsia="IRNazanin"/>
          <w:color w:val="111111"/>
          <w:sz w:val="28"/>
          <w:sz w:val="28"/>
          <w:szCs w:val="28"/>
          <w:rtl w:val="true"/>
          <w:lang w:bidi="fa-IR"/>
        </w:rPr>
        <w:t>فأمّا إذا سئل عن أشیاء فلا یخلو أن یکون الوقت وقت الحاجة، أو لا یکون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کان وقت الحاجة، فلا یجوز إلاّ أن یجیب عن جمیعه فی الحال، و إن کان قد تقدّم منه بیان آخر یمکن الوصول إلیه، لأنّ الوقت وقت الحاجة فلا یسوغ منه علیه السّلام إلاّ أن یبیّن له الجواب عمّا سئل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لا تری أنّ المستفتی إذا استفتی عن شیء مسّت الحاجة إلیه لم یسع له أ لا یفتی فیه‌؟ فالنّبی صلّی اللّه علیه و آله و سلّم بذلک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لم یکن الوقت وقت الحاجة فلا یخلو السّائل من أن یکون من أهل الاجتهاد أو لا یکون کذلک، فإن کان ممّن یمکنه الوصول إلی ذلک، و قد تقدّم منه علیه السّلام بیان لذلک، جاز أن لا یجیب عنه و یحیله علی ما تقدّم من البیان، و کذلک قال علیه السّلام لعمر لمّا سأله عن الکلالة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تکفیک آیة الصّیف</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قال له أیضا و قد سأله عن القبلة للصّائم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رأیت لو تمضمضت بماء ثمّ مججته</w:t>
      </w:r>
      <w:r>
        <w:rPr>
          <w:rStyle w:val="FootnoteAnchor"/>
          <w:rtl w:val="true"/>
        </w:rPr>
        <w:footnoteReference w:id="671"/>
      </w:r>
      <w:r>
        <w:rPr>
          <w:rFonts w:ascii="IRNazanin" w:hAnsi="IRNazanin" w:eastAsia="IRNazanin"/>
          <w:color w:val="111111"/>
          <w:sz w:val="28"/>
          <w:sz w:val="28"/>
          <w:szCs w:val="28"/>
          <w:rtl w:val="true"/>
          <w:lang w:bidi="fa-IR"/>
        </w:rPr>
        <w:t>أ کان یضرّک‌؟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ففیم إذا؟</w:t>
      </w:r>
      <w:r>
        <w:rPr>
          <w:rFonts w:eastAsia="IRNazanin" w:cs="IRNazanin"/>
          <w:color w:val="111111"/>
          <w:sz w:val="28"/>
          <w:szCs w:val="28"/>
          <w:rtl w:val="true"/>
          <w:lang w:bidi="fa-IR"/>
        </w:rPr>
        <w:t>»</w:t>
      </w:r>
      <w:r>
        <w:rPr>
          <w:rStyle w:val="FootnoteAnchor"/>
          <w:rtl w:val="true"/>
        </w:rPr>
        <w:footnoteReference w:id="672"/>
      </w:r>
      <w:r>
        <w:rPr>
          <w:rFonts w:ascii="IRNazanin" w:hAnsi="IRNazanin" w:eastAsia="IRNazanin"/>
          <w:color w:val="111111"/>
          <w:sz w:val="28"/>
          <w:sz w:val="28"/>
          <w:szCs w:val="28"/>
          <w:rtl w:val="true"/>
          <w:lang w:bidi="fa-IR"/>
        </w:rPr>
        <w:t>، فنبهه علی الجواب</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کان السّائل عامیّا یجوز أیضا أن یحیله علی بیان ظاهر و یکون فی حکم </w:t>
      </w:r>
    </w:p>
    <w:p>
      <w:pPr>
        <w:pStyle w:val="BookText"/>
        <w:rPr/>
      </w:pPr>
      <w:r>
        <w:rPr>
          <w:rFonts w:ascii="IRNazanin" w:hAnsi="IRNazanin" w:eastAsia="IRNazanin"/>
          <w:color w:val="111111"/>
          <w:sz w:val="28"/>
          <w:sz w:val="28"/>
          <w:szCs w:val="28"/>
          <w:rtl w:val="true"/>
          <w:lang w:bidi="fa-IR"/>
        </w:rPr>
        <w:t xml:space="preserve">المجیب، و ذلک فی نحو قوله علیه السّلام للسّائل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توضّأ کما أمرک اللّه تعالی</w:t>
      </w:r>
      <w:r>
        <w:rPr>
          <w:rFonts w:eastAsia="IRNazanin" w:cs="IRNazanin"/>
          <w:color w:val="111111"/>
          <w:sz w:val="28"/>
          <w:szCs w:val="28"/>
          <w:rtl w:val="true"/>
          <w:lang w:bidi="fa-IR"/>
        </w:rPr>
        <w:t>»</w:t>
      </w:r>
      <w:r>
        <w:rPr>
          <w:rStyle w:val="FootnoteAnchor"/>
          <w:rtl w:val="true"/>
        </w:rPr>
        <w:footnoteReference w:id="673"/>
      </w:r>
    </w:p>
    <w:p>
      <w:pPr>
        <w:pStyle w:val="BookText"/>
        <w:rPr/>
      </w:pPr>
      <w:r>
        <w:rPr>
          <w:rFonts w:ascii="IRNazanin" w:hAnsi="IRNazanin" w:eastAsia="IRNazanin"/>
          <w:color w:val="111111"/>
          <w:sz w:val="28"/>
          <w:sz w:val="28"/>
          <w:szCs w:val="28"/>
          <w:rtl w:val="true"/>
          <w:lang w:bidi="fa-IR"/>
        </w:rPr>
        <w:t xml:space="preserve">نصب الرّایة لأحادیث الهدایة </w:t>
      </w:r>
      <w:r>
        <w:rPr>
          <w:rFonts w:eastAsia="IRNazanin" w:cs="IRNazanin"/>
          <w:color w:val="111111"/>
          <w:sz w:val="28"/>
          <w:szCs w:val="28"/>
          <w:lang w:bidi="fa-IR"/>
        </w:rPr>
        <w:t>367:1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فأحاله علی 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یدلّ علی صحّة ما ذهبنا إلیه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ذکره أبو عبد اللّه البصریّ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کلامه علیه السّلام هو الدّلالة علی الحکم، فیجب أن یعتبر صفته فی الدّلالة دون صفة غیره، فإذا کان عامّا دلّ علی حسب دلالة العموم، و کذلک إن کان خاصّا، کما أنّه یعتبر صفته فی کونه أمرا و نهیا و إباحة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العموم لو انفرد عن السّبب لوجب حمله علی عمومه، فکذلک إذا أخرج عند السّبب، لأنّ ذلک ممکن فیه لأنّ السّبب لم یؤثّر فیه، لأنّه لیس ینافی السّبب بیانه علیه السّلام لحکم غیره، کما لا ینافی بیانه لحکمه، فیجب حمله علی جمیعه</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لو ابتدأ علیه السّلام لکم النّهی و السّبب حاصل، فخاطب بالعموم، و لمّا سئل عنه لوجب حمله علیه، فکذلک إذا سئل عنه، لأنّ قصده علیه السّلام فی الحالین لم یختلف، و إن کان مبتدئا للحکم فی أحدهما و مجیبا للآخر، و علی ذلک حمل الفقهاء خطاب اللّه تعالی فی آیة اللّعان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خرجت علی سبب هلال بن أمیّة العجلانی علی کلّ رام زوجته، و آیة القذف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وردت فیمن تکلّم فی عائشة و حملت </w:t>
      </w:r>
    </w:p>
    <w:p>
      <w:pPr>
        <w:pStyle w:val="BookText"/>
        <w:rPr/>
      </w:pPr>
      <w:r>
        <w:rPr>
          <w:rFonts w:ascii="IRNazanin" w:hAnsi="IRNazanin" w:eastAsia="IRNazanin"/>
          <w:color w:val="111111"/>
          <w:sz w:val="28"/>
          <w:sz w:val="28"/>
          <w:szCs w:val="28"/>
          <w:rtl w:val="true"/>
          <w:lang w:bidi="fa-IR"/>
        </w:rPr>
        <w:t xml:space="preserve">علی الجمیع، و کذلک آیة الظّهار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وردت فی سلمة بن صخر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حملت علی کلّ مظاهر و هذا بیّن، و إنّما حملناه علی السّبب إذا لم یفد بنفسه، لأنّ الظاهر</w:t>
      </w:r>
      <w:r>
        <w:rPr>
          <w:rStyle w:val="FootnoteAnchor"/>
          <w:rtl w:val="true"/>
        </w:rPr>
        <w:footnoteReference w:id="674"/>
      </w:r>
    </w:p>
    <w:p>
      <w:pPr>
        <w:pStyle w:val="BookText"/>
        <w:rPr/>
      </w:pPr>
      <w:r>
        <w:rPr>
          <w:rFonts w:ascii="IRNazanin" w:hAnsi="IRNazanin" w:eastAsia="IRNazanin"/>
          <w:color w:val="111111"/>
          <w:sz w:val="28"/>
          <w:sz w:val="28"/>
          <w:szCs w:val="28"/>
          <w:rtl w:val="true"/>
          <w:lang w:bidi="fa-IR"/>
        </w:rPr>
        <w:t>فی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الضرورة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أوجب ذلک، فلیس یجب حمل ما استقلّ بنفسه من الجواب علی ما لا یستقلّ بنفسه لمفارقته فی علّته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تعلّقهم بأنّه لو لم یرد السّبب لم یکن یتأخّر الخطاب إلی وقت حدوثه، فلمّا أخّره إلی ذلک الوقت علم أنّه المراد، فبعید، لأنّه لا یمتنع أن یکون الصّلاح فی تأخیره إلی ذلک الوقت، و لا یمتنع ذلک من بیان حکم غیر السّبب معه، و لو وجب ذلک لوجب حمل الکلام علی عین السّائل، و علی ذلک الوقت و المکان لهذه العلّة، و ذلک ظاهر الفساد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حقّ الجواب أن یطابق السّؤال، و إنّ ذلک یوجب حمل الکلام علی السّبب، فغلط، لأنّ من حقّ الجواب أن ینتظم بیان ما سئل عنه، و أنّه لا یقتضی غیره غلط، لأنّ فیه إخراجه من کونه جوابا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إذا اقتضی بیان حکمه و حکم غیره، فقد حصل جوابا له و زاد علیه، و لا یمنع هذه الزّیادة من کونه جوابا لما لو بیّن حکمه فقط لکان جوابا، لأنّه فی الحالین حصل به بیان السّؤال</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هذه جملة کافیة فی هذا الباب</w:t>
      </w:r>
      <w:r>
        <w:rPr>
          <w:rFonts w:eastAsia="IRNazanin" w:cs="IRNazanin"/>
          <w:color w:val="111111"/>
          <w:sz w:val="28"/>
          <w:szCs w:val="28"/>
          <w:rtl w:val="true"/>
          <w:lang w:bidi="fa-IR"/>
        </w:rPr>
        <w:t xml:space="preserve">. </w:t>
      </w:r>
      <w:bookmarkStart w:id="210" w:name="pg6519_49575"/>
    </w:p>
    <w:p>
      <w:pPr>
        <w:pStyle w:val="Heading4"/>
        <w:numPr>
          <w:ilvl w:val="3"/>
          <w:numId w:val="1"/>
        </w:numPr>
        <w:rPr/>
      </w:pPr>
      <w:bookmarkStart w:id="211" w:name="__RefHeading___Toc1757289_653776707"/>
      <w:bookmarkStart w:id="212" w:name="_Toc68"/>
      <w:bookmarkEnd w:id="210"/>
      <w:bookmarkEnd w:id="211"/>
      <w:r>
        <w:rPr>
          <w:rtl w:val="true"/>
        </w:rPr>
        <w:t xml:space="preserve">فصل </w:t>
      </w:r>
      <w:r>
        <w:rPr>
          <w:rtl w:val="true"/>
        </w:rPr>
        <w:t xml:space="preserve">- </w:t>
      </w:r>
      <w:r>
        <w:rPr/>
        <w:t>17</w:t>
      </w:r>
      <w:r>
        <w:rPr>
          <w:rtl w:val="true"/>
        </w:rPr>
        <w:t xml:space="preserve"> «</w:t>
      </w:r>
      <w:r>
        <w:rPr>
          <w:rtl w:val="true"/>
        </w:rPr>
        <w:t>فی ذکر ما الحق بالعموم و لیس منه، و ما أخرج منه و هو منه</w:t>
      </w:r>
      <w:r>
        <w:rPr>
          <w:rtl w:val="true"/>
        </w:rPr>
        <w:t>»</w:t>
      </w:r>
      <w:bookmarkEnd w:id="212"/>
    </w:p>
    <w:p>
      <w:pPr>
        <w:pStyle w:val="BookText"/>
        <w:rPr/>
      </w:pPr>
      <w:r>
        <w:rPr>
          <w:rFonts w:ascii="IRNazanin" w:hAnsi="IRNazanin" w:eastAsia="IRNazanin"/>
          <w:color w:val="111111"/>
          <w:sz w:val="28"/>
          <w:sz w:val="28"/>
          <w:szCs w:val="28"/>
          <w:rtl w:val="true"/>
          <w:lang w:bidi="fa-IR"/>
        </w:rPr>
        <w:t>الأفعال لا یصحّ ادّعاء العموم فیها، لأنّها لا تقع إلاّ علی وجه واحد، فینبغی أن یراعی</w:t>
      </w:r>
      <w:r>
        <w:rPr>
          <w:rStyle w:val="FootnoteAnchor"/>
          <w:rtl w:val="true"/>
        </w:rPr>
        <w:footnoteReference w:id="675"/>
      </w:r>
    </w:p>
    <w:p>
      <w:pPr>
        <w:pStyle w:val="BookText"/>
        <w:rPr/>
      </w:pPr>
      <w:r>
        <w:rPr>
          <w:rFonts w:ascii="IRNazanin" w:hAnsi="IRNazanin" w:eastAsia="IRNazanin"/>
          <w:color w:val="111111"/>
          <w:sz w:val="28"/>
          <w:sz w:val="28"/>
          <w:szCs w:val="28"/>
          <w:rtl w:val="true"/>
          <w:lang w:bidi="fa-IR"/>
        </w:rPr>
        <w:t>فی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الّذی وقع علیه الفعل، فإن علم صحّ التّعلّق به، و جری ذلک مجری النّص علی عیّن واحدة، و إن لم یعلم الوجه الحق بالمجمل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إذا ثبت ذلک، فلا یصحّ أن یتعلّق بما روی أنّ النّبی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 بالشّاهد و الیمین</w:t>
      </w:r>
      <w:r>
        <w:rPr>
          <w:rFonts w:eastAsia="IRNazanin" w:cs="IRNazanin"/>
          <w:color w:val="111111"/>
          <w:sz w:val="28"/>
          <w:szCs w:val="28"/>
          <w:rtl w:val="true"/>
          <w:lang w:bidi="fa-IR"/>
        </w:rPr>
        <w:t>»</w:t>
      </w:r>
      <w:r>
        <w:rPr>
          <w:rStyle w:val="FootnoteAnchor"/>
          <w:rtl w:val="true"/>
        </w:rPr>
        <w:footnoteReference w:id="676"/>
      </w:r>
      <w:r>
        <w:rPr>
          <w:rFonts w:ascii="IRNazanin" w:hAnsi="IRNazanin" w:eastAsia="IRNazanin"/>
          <w:color w:val="111111"/>
          <w:sz w:val="28"/>
          <w:sz w:val="28"/>
          <w:szCs w:val="28"/>
          <w:rtl w:val="true"/>
          <w:lang w:bidi="fa-IR"/>
        </w:rPr>
        <w:t xml:space="preserve">، و قضی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الخراج بالضّمان</w:t>
      </w:r>
      <w:r>
        <w:rPr>
          <w:rFonts w:eastAsia="IRNazanin" w:cs="IRNazanin"/>
          <w:color w:val="111111"/>
          <w:sz w:val="28"/>
          <w:szCs w:val="28"/>
          <w:rtl w:val="true"/>
          <w:lang w:bidi="fa-IR"/>
        </w:rPr>
        <w:t>»</w:t>
      </w:r>
      <w:r>
        <w:rPr>
          <w:rStyle w:val="FootnoteAnchor"/>
          <w:rtl w:val="true"/>
        </w:rPr>
        <w:footnoteReference w:id="677"/>
      </w:r>
      <w:r>
        <w:rPr>
          <w:rFonts w:ascii="IRNazanin" w:hAnsi="IRNazanin" w:eastAsia="IRNazanin"/>
          <w:color w:val="111111"/>
          <w:sz w:val="28"/>
          <w:sz w:val="28"/>
          <w:szCs w:val="28"/>
          <w:rtl w:val="true"/>
          <w:lang w:bidi="fa-IR"/>
        </w:rPr>
        <w:t>لأنّ ذلک حکایة 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النّاس من فرّق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روی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 بکذا و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یصحّ التّعلّق به لأنّه ینبئ عن الفعل، و إذا روی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 کذا و کذا فیه کذا و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صحّ التّعلّق به، لأنّه ینبئ عن أنّه قال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النّاس من سوّی بین اللّفظین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فرق بینهما فی أنّه لا یصحّ التّعلّق به،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یمتنع أن یقال فی القضاء الّذی هو الحکم فی القضیّة المقضیّ فیها هذا القول</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الأولی عندی أن یکون بینهما فرق، لأنّه إذا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قضی رسول اللّه صلّی اللّه </w:t>
      </w:r>
    </w:p>
    <w:p>
      <w:pPr>
        <w:pStyle w:val="BookText"/>
        <w:rPr/>
      </w:pPr>
      <w:r>
        <w:rPr>
          <w:rFonts w:ascii="IRNazanin" w:hAnsi="IRNazanin" w:eastAsia="IRNazanin"/>
          <w:color w:val="111111"/>
          <w:sz w:val="28"/>
          <w:sz w:val="28"/>
          <w:szCs w:val="28"/>
          <w:rtl w:val="true"/>
          <w:lang w:bidi="fa-IR"/>
        </w:rPr>
        <w:t>علیه و آله و سلّم بالشّاهد و الیمین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منه حکایة فعل لا غیر، و لیس کذلک إذا روی أنّه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قضی أنّ الخراج بالضّمان</w:t>
      </w:r>
      <w:r>
        <w:rPr>
          <w:rFonts w:eastAsia="IRNazanin" w:cs="IRNazanin"/>
          <w:color w:val="111111"/>
          <w:sz w:val="28"/>
          <w:szCs w:val="28"/>
          <w:rtl w:val="true"/>
          <w:lang w:bidi="fa-IR"/>
        </w:rPr>
        <w:t xml:space="preserve">» </w:t>
      </w:r>
      <w:r>
        <w:rPr>
          <w:rStyle w:val="FootnoteAnchor"/>
          <w:rtl w:val="true"/>
        </w:rPr>
        <w:footnoteReference w:id="678"/>
      </w:r>
    </w:p>
    <w:p>
      <w:pPr>
        <w:pStyle w:val="BookText"/>
        <w:rPr/>
      </w:pP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lang w:bidi="fa-IR"/>
        </w:rPr>
        <w:t>93:4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9698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الشّفعة للجار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یسبق إلی الفهم أنّه قال ذلک قولا لا فعلا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أنّه و إن کان کذلک، لا یقتضی صحّة التعلّق به، لأنّه لا یعلم أنّه قال ذلک بقول یقتضی العموم، أو بقول یقتضی الخصوص و یفید الحکم فی تلک العین، و إذا کان کذلک صار مثل الأوّل فی أنّه ینبغی أن یلحق بالمجمل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ثبت هذه الجملة، فلا یصحّ التعلّق بما روی أنّه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قضی بالشّاهد و الیمین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الخراج بالضّمان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قلناه، إلاّ أن یدلّ دلیل علی إلحاق غیره به فیحکم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لا یصحّ لأصحاب مالک أن یحتجّوا فیمن أفطر فی شهر رمضان بأیّ وجه کان فعلیه الکفّارة بما روی أنّ رجلا أفطر فأمره صلّی اللّه علیه و آله و سلّم بالکفّارة، لأنّ الرّجل إنّما سأله عن حکایة فعل و لم یسأله عن حکم من أفطر، و أطلق القول، 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فعلیه الکفّارة</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لأنّه لو کان کذلک لکان یصحّ التّعلّق به، و لکان یجری مجری أن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أفطر فعلیه الکفّارة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فإذا قال ذلک أفاد العموم فی کلّ ما یفطر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کذلک لا یصحّ التّعلّق بما روی عنه علیه السّلام أنّه جمع بین الصّلاتین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 السّفر فی جواز الجمع، لأنّ ذلک حکایة فعل</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لمن خالف فی ذلک أن یحمله علی جمع مخصوص فی بعض الأسفار، أو </w:t>
      </w:r>
    </w:p>
    <w:p>
      <w:pPr>
        <w:pStyle w:val="BookText"/>
        <w:rPr/>
      </w:pPr>
      <w:r>
        <w:rPr>
          <w:rFonts w:ascii="IRNazanin" w:hAnsi="IRNazanin" w:eastAsia="IRNazanin"/>
          <w:color w:val="111111"/>
          <w:sz w:val="28"/>
          <w:sz w:val="28"/>
          <w:szCs w:val="28"/>
          <w:rtl w:val="true"/>
          <w:lang w:bidi="fa-IR"/>
        </w:rPr>
        <w:t>إلی أنّه جمع بینهما بعرفة، فلا یصحّ ادّعاء العموم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إذا روی أنّه کان یجمع بین الصّلاتین فی السّفر</w:t>
      </w:r>
      <w:r>
        <w:rPr>
          <w:rStyle w:val="FootnoteAnchor"/>
          <w:rtl w:val="true"/>
        </w:rPr>
        <w:footnoteReference w:id="679"/>
      </w:r>
    </w:p>
    <w:p>
      <w:pPr>
        <w:pStyle w:val="BookText"/>
        <w:rPr/>
      </w:pPr>
      <w:r>
        <w:rPr>
          <w:rFonts w:ascii="IRNazanin" w:hAnsi="IRNazanin" w:eastAsia="IRNazanin"/>
          <w:color w:val="111111"/>
          <w:sz w:val="28"/>
          <w:sz w:val="28"/>
          <w:szCs w:val="28"/>
          <w:rtl w:val="true"/>
          <w:lang w:bidi="fa-IR"/>
        </w:rPr>
        <w:t xml:space="preserve">لاحظ تخریج الحدیث فی هامش رقم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صفحة </w:t>
      </w:r>
      <w:r>
        <w:rPr>
          <w:rFonts w:eastAsia="IRNazanin" w:cs="IRNazanin"/>
          <w:color w:val="111111"/>
          <w:sz w:val="28"/>
          <w:szCs w:val="28"/>
          <w:lang w:bidi="fa-IR"/>
        </w:rPr>
        <w:t>374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فیصحّ التّعلّق به، لأنّ ذلک یفید تکرار ذلک فی حال السّفر و أنّ ذلک عادته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فأمّا من ضعّف هذا الوجه بأن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یفید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فعل ذلک فیما مضی و لا یفید التّکرار، فلا یصحّ التّعلّق به، فغیر صحیح، لأنّه و إن أفاد الإخبار عمّا مضی، فإنّه یفید تکرار الفعل مع ذلک، أ لا تری أنّ القائل إذا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فلان القاضی یحکم بالشّاهد و الیمین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یفهم من ذلک إلاّ أنّه کان ذلک عادته فی جمیع الأحکام‌؟ و کذلک إذا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أبو حنیفة یقول بتحلیل النبیذ، و کان الشّافعی یقول بتحریمه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یفهم من ذلک إلاّ أنّ ذلک کان عادتهما و قولهما فی جمیع الأحوال، و لا یسبق إلی قلب أحد أنّهما قالا ذلک دفعة واحدة، و إنّما کانت فیما مضی، فعلم بذلک أنّ الأولی ما ذکرناه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یفید الحکم فیما یسأل عنه نظر فیما سئل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کان واقعا علی وجه واحد فالجواب بحسبه، و إن کان ذلک غیر معلوم من حاله کان الجواب فی حکم العموم، و ذلک نحو أن یسأل علیه السّلام عن رجل أفطر فی رمضان علیه الکفّارة أو لا، و لا یعلم بما ذا أفطر، فمتی أجاب بإیجاب الکفّارة صار کأنّه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من أفطر فعلیه الکفّارة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اقتضی ذلک عموم وجوب الکفّارة علی کلّ مفطر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متی کان المعلوم للرّسول صلّی اللّه علیه و آله و سلّم أنّه أفطر بوجه واحد، و کان سؤاله ینبئ عن ذلک لفظا أو معنا فجوابه علیه السّلام مصروف إلیه و لا یتعدّی به إلی غیره إلاّ بدلیل</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علی هذا إذا سئل علیه السّلام عمّن زنا فأمر برجمه کان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لم یکن عامّا فی اللّفظ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فی حکم العموم فی أنّه یقتضی رجم کلّ زان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قد ألحق قوم بهذا الباب إثباته علیه السّلام الحکم فی عین و تعلیله له بعلّة یقتضی التعدّی إلی غیره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نحو قوله علیه السّلام فی الهرّة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إنّها من الطّوافین علیکم و الطّوافات</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 إن لم یمکن أن یدّعی فیه العموم فهو فی حکمه فی أنّ ذلک الحکم متعلّق بکلّ ما فیه تلک العلّة حتّی یصیر بمنزلة تعلیق الحکم باسم یشمل جمیعه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إنّما یمکن أن یعتبره من قال بالقیاس، فأمّا علی مذهبنا فی نفی القیاس فلا یمکن اعتبار ذلک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أنّ فیمن قال بالقیاس من منع من ذلک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النبیّ صلّی اللّه علیه و آله و سلّم لو نصّ علی العلّة فی شیء بعینه لم یجب إلحاق غیره به إلاّ بعد إثبات التعبّد بالقیاس، فأمّا قبل العبادة فلا یصحّ ذلک، فیه، و لذلک لو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حرّمت السّکر لأنّه حلو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یجب أن یحکم بتحریم کلّ حلو إلاّ بعد العبادة بالقیاس</w:t>
      </w:r>
      <w:r>
        <w:rPr>
          <w:rFonts w:eastAsia="IRNazanin" w:cs="IRNazanin"/>
          <w:color w:val="111111"/>
          <w:sz w:val="28"/>
          <w:szCs w:val="28"/>
          <w:rtl w:val="true"/>
          <w:lang w:bidi="fa-IR"/>
        </w:rPr>
        <w:t>»</w:t>
      </w:r>
      <w:r>
        <w:rPr>
          <w:rStyle w:val="FootnoteAnchor"/>
          <w:rtl w:val="true"/>
        </w:rPr>
        <w:footnoteReference w:id="680"/>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التبصرة فی أصول الفقه ص </w:t>
      </w:r>
      <w:r>
        <w:rPr>
          <w:rFonts w:eastAsia="IRNazanin" w:cs="IRNazanin"/>
          <w:color w:val="111111"/>
          <w:sz w:val="28"/>
          <w:szCs w:val="28"/>
          <w:lang w:bidi="fa-IR"/>
        </w:rPr>
        <w:t>437</w:t>
      </w:r>
      <w:r>
        <w:rPr>
          <w:rFonts w:ascii="IRNazanin" w:hAnsi="IRNazanin" w:eastAsia="IRNazanin"/>
          <w:color w:val="111111"/>
          <w:sz w:val="28"/>
          <w:sz w:val="28"/>
          <w:szCs w:val="28"/>
          <w:rtl w:val="true"/>
          <w:lang w:bidi="fa-IR"/>
        </w:rPr>
        <w:t xml:space="preserve">، المعتمد </w:t>
      </w:r>
      <w:r>
        <w:rPr>
          <w:rFonts w:eastAsia="IRNazanin" w:cs="IRNazanin"/>
          <w:color w:val="111111"/>
          <w:sz w:val="28"/>
          <w:szCs w:val="28"/>
          <w:lang w:bidi="fa-IR"/>
        </w:rPr>
        <w:t>235:2</w:t>
      </w:r>
      <w:r>
        <w:rPr>
          <w:rFonts w:ascii="IRNazanin" w:hAnsi="IRNazanin" w:eastAsia="IRNazanin"/>
          <w:color w:val="111111"/>
          <w:sz w:val="28"/>
          <w:sz w:val="28"/>
          <w:szCs w:val="28"/>
          <w:rtl w:val="true"/>
          <w:lang w:bidi="fa-IR"/>
        </w:rPr>
        <w:t xml:space="preserve">، الذریعة </w:t>
      </w:r>
      <w:r>
        <w:rPr>
          <w:rFonts w:eastAsia="IRNazanin" w:cs="IRNazanin"/>
          <w:color w:val="111111"/>
          <w:sz w:val="28"/>
          <w:szCs w:val="28"/>
          <w:lang w:bidi="fa-IR"/>
        </w:rPr>
        <w:t>294:1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کذلک ینبغی أن یکون قوله فیما ذکرنا</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فأمّا ما روی عنه علیه السّلام لیس الأمر فیه علی ما ظنّ بعضهم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أنّه یفید </w:t>
      </w:r>
    </w:p>
    <w:p>
      <w:pPr>
        <w:pStyle w:val="BookText"/>
        <w:rPr/>
      </w:pPr>
      <w:r>
        <w:rPr>
          <w:rFonts w:ascii="IRNazanin" w:hAnsi="IRNazanin" w:eastAsia="IRNazanin"/>
          <w:color w:val="111111"/>
          <w:sz w:val="28"/>
          <w:sz w:val="28"/>
          <w:szCs w:val="28"/>
          <w:rtl w:val="true"/>
          <w:lang w:bidi="fa-IR"/>
        </w:rPr>
        <w:t>العموم من جهة التّعلیل، لأنّه دلّ علی أنّ غرمه إنّما کان لأجل کونه زعیما فیکون عامّا فی الحکم، و إن لم یکن عامّا فی اللّفظ، لأنّا قد بیّنا أنّ ذلک یفید الاستغراق، و کذلک القول فی الأسماء المشتقّة الّتی دخل علیها الألف و اللاّم نحو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السّارِقُ وَ السّارِقَةُ   </w:t>
      </w:r>
      <w:r>
        <w:rPr>
          <w:rStyle w:val="FootnoteAnchor"/>
          <w:rtl w:val="true"/>
        </w:rPr>
        <w:footnoteReference w:id="681"/>
      </w:r>
    </w:p>
    <w:p>
      <w:pPr>
        <w:pStyle w:val="BookText"/>
        <w:rPr/>
      </w:pP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 اَلزّانِیَةُ وَ الزّانِی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کلّ ذلک یفید الاستغراق علی ما بیّناه لفظا و لم یفد ذلک تعلیلا علی ما ذهب إلیه قوم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إذا روی عنه علیه السّلام أنّه سها فسجد، بأن علم أنّ سجوده کان لأجل السّهو، کان ذلک جاریا مجری قوله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سها فلیسجد</w:t>
      </w:r>
      <w:r>
        <w:rPr>
          <w:rFonts w:eastAsia="IRNazanin" w:cs="IRNazanin"/>
          <w:color w:val="111111"/>
          <w:sz w:val="28"/>
          <w:szCs w:val="28"/>
          <w:rtl w:val="true"/>
          <w:lang w:bidi="fa-IR"/>
        </w:rPr>
        <w:t>»</w:t>
      </w:r>
      <w:r>
        <w:rPr>
          <w:rStyle w:val="FootnoteAnchor"/>
          <w:rtl w:val="true"/>
        </w:rPr>
        <w:footnoteReference w:id="682"/>
      </w:r>
      <w:r>
        <w:rPr>
          <w:rFonts w:ascii="Amiri" w:hAnsi="Amiri" w:eastAsia="Amiri" w:cs="Amiri"/>
          <w:color w:val="111111"/>
          <w:sz w:val="28"/>
          <w:sz w:val="28"/>
          <w:szCs w:val="28"/>
          <w:rtl w:val="true"/>
          <w:lang w:bidi="ar-SA"/>
        </w:rPr>
        <w:t>لما دلّ دلیل علی أنّ حکم غیره حکمه فی الشّرعیّات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یلحق بهذا الباب فحوی الخطاب و دلیل الخطاب فی أنّهما یفیدان العموم من جهة المعنی، و إن لم یفیدا ذلک أیضا، أ لا تری أنّ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تَقُلْ لَهُما أُفٍّ  </w:t>
      </w:r>
      <w:r>
        <w:rPr>
          <w:rStyle w:val="FootnoteAnchor"/>
          <w:rtl w:val="true"/>
        </w:rPr>
        <w:footnoteReference w:id="683"/>
      </w:r>
      <w:r>
        <w:rPr>
          <w:rFonts w:ascii="Amiri" w:hAnsi="Amiri" w:eastAsia="Amiri" w:cs="Amiri"/>
          <w:color w:val="111111"/>
          <w:sz w:val="28"/>
          <w:sz w:val="28"/>
          <w:szCs w:val="28"/>
          <w:rtl w:val="true"/>
          <w:lang w:bidi="ar-SA"/>
        </w:rPr>
        <w:t>یجری مجری قوله و لا تؤذهما؟ و کذلک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یُظْلَمُونَ فَتِیلاً  </w:t>
      </w:r>
      <w:r>
        <w:rPr>
          <w:rStyle w:val="FootnoteAnchor"/>
          <w:rtl w:val="true"/>
        </w:rPr>
        <w:footnoteReference w:id="684"/>
      </w:r>
      <w:r>
        <w:rPr>
          <w:rFonts w:ascii="IRNazanin" w:hAnsi="IRNazanin" w:eastAsia="IRNazanin"/>
          <w:color w:val="111111"/>
          <w:sz w:val="28"/>
          <w:sz w:val="28"/>
          <w:szCs w:val="28"/>
          <w:rtl w:val="true"/>
          <w:lang w:bidi="fa-IR"/>
        </w:rPr>
        <w:t xml:space="preserve">یفهم منه أنّهم لا یظلمون القناطیر، فهو و إن لم یفد ذلک لفظا، فقد أفاد ذلک معنی علی أبلغ الوجوه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کذلک إذا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سائمة الغنم زکاة</w:t>
      </w:r>
      <w:r>
        <w:rPr>
          <w:rFonts w:eastAsia="IRNazanin" w:cs="IRNazanin"/>
          <w:color w:val="111111"/>
          <w:sz w:val="28"/>
          <w:szCs w:val="28"/>
          <w:rtl w:val="true"/>
          <w:lang w:bidi="fa-IR"/>
        </w:rPr>
        <w:t>)</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تعلیق الحکم من تحلیل أو تحریم إذا علّقا</w:t>
      </w:r>
      <w:r>
        <w:rPr>
          <w:rStyle w:val="FootnoteAnchor"/>
          <w:rtl w:val="true"/>
        </w:rPr>
        <w:footnoteReference w:id="686"/>
      </w:r>
    </w:p>
    <w:p>
      <w:pPr>
        <w:pStyle w:val="BookText"/>
        <w:rPr/>
      </w:pPr>
      <w:r>
        <w:rPr>
          <w:rFonts w:ascii="Amiri" w:hAnsi="Amiri" w:eastAsia="Amiri" w:cs="Amiri"/>
          <w:color w:val="111111"/>
          <w:sz w:val="28"/>
          <w:sz w:val="28"/>
          <w:szCs w:val="28"/>
          <w:rtl w:val="true"/>
          <w:lang w:bidi="ar-SA"/>
        </w:rPr>
        <w:t>علّق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بالأعیان اقتضیا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العموم فی المعنی و إن لم یکن عامّا من جهة اللّفظ، فسنبیّن ما عندنا فی ذلک فیما بعد إن شاء اللّه</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هذه الجملة کافیة فی هذا الباب</w:t>
      </w:r>
      <w:r>
        <w:rPr>
          <w:rFonts w:eastAsia="IRNazanin" w:cs="IRNazanin"/>
          <w:color w:val="111111"/>
          <w:sz w:val="28"/>
          <w:szCs w:val="28"/>
          <w:rtl w:val="true"/>
          <w:lang w:bidi="fa-IR"/>
        </w:rPr>
        <w:t xml:space="preserve">. </w:t>
      </w:r>
      <w:bookmarkStart w:id="213" w:name="pg6519_49581"/>
    </w:p>
    <w:p>
      <w:pPr>
        <w:pStyle w:val="Heading4"/>
        <w:numPr>
          <w:ilvl w:val="3"/>
          <w:numId w:val="1"/>
        </w:numPr>
        <w:rPr/>
      </w:pPr>
      <w:bookmarkStart w:id="214" w:name="__RefHeading___Toc1757291_653776707"/>
      <w:bookmarkStart w:id="215" w:name="_Toc69"/>
      <w:bookmarkEnd w:id="213"/>
      <w:bookmarkEnd w:id="214"/>
      <w:r>
        <w:rPr>
          <w:rtl w:val="true"/>
        </w:rPr>
        <w:t xml:space="preserve">فصل </w:t>
      </w:r>
      <w:r>
        <w:rPr>
          <w:rtl w:val="true"/>
        </w:rPr>
        <w:t xml:space="preserve">- </w:t>
      </w:r>
      <w:r>
        <w:rPr/>
        <w:t>18</w:t>
      </w:r>
      <w:r>
        <w:rPr>
          <w:rtl w:val="true"/>
        </w:rPr>
        <w:t xml:space="preserve"> «</w:t>
      </w:r>
      <w:r>
        <w:rPr>
          <w:rtl w:val="true"/>
        </w:rPr>
        <w:t>فی ذکر غایة ما یخصّ العموم إلیها</w:t>
      </w:r>
      <w:r>
        <w:rPr>
          <w:rtl w:val="true"/>
        </w:rPr>
        <w:t>»</w:t>
      </w:r>
      <w:bookmarkEnd w:id="215"/>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یجوز تخصیص العموم إلی أن لا یبقی من اللّفظ إلاّ واحد، و لا فرق فی ذلک </w:t>
      </w:r>
    </w:p>
    <w:p>
      <w:pPr>
        <w:pStyle w:val="BookText"/>
        <w:rPr/>
      </w:pPr>
      <w:r>
        <w:rPr>
          <w:rFonts w:ascii="IRNazanin" w:hAnsi="IRNazanin" w:eastAsia="IRNazanin"/>
          <w:color w:val="111111"/>
          <w:sz w:val="28"/>
          <w:sz w:val="28"/>
          <w:szCs w:val="28"/>
          <w:rtl w:val="true"/>
          <w:lang w:bidi="fa-IR"/>
        </w:rPr>
        <w:t xml:space="preserve">بین ألفاظ الجموع و بین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ذلک إذا دلّ الدّلیل علیه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النّاس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یجوز أن یخصّ إلی أن تبقی ثلاثة، ثمّ لا یجوز دخول التّخصیص فیه نحو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فَاقْتُلُوا الْمُشْرِکِینَ  </w:t>
      </w:r>
      <w:r>
        <w:rPr>
          <w:rStyle w:val="FootnoteAnchor"/>
          <w:rtl w:val="true"/>
        </w:rPr>
        <w:footnoteReference w:id="687"/>
      </w:r>
    </w:p>
    <w:p>
      <w:pPr>
        <w:pStyle w:val="BookText"/>
        <w:rPr/>
      </w:pP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لا یجوز أن یرید به أقلّ من ثلاثة، و فصّل بین ذلک و بین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جاز تخصیص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یبقی منها واحد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الّذی یدلّ علی ما اخترناه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قد دللنا</w:t>
      </w:r>
      <w:r>
        <w:rPr>
          <w:rStyle w:val="FootnoteAnchor"/>
          <w:rtl w:val="true"/>
        </w:rPr>
        <w:footnoteReference w:id="688"/>
      </w:r>
      <w:r>
        <w:rPr>
          <w:rFonts w:ascii="IRNazanin" w:hAnsi="IRNazanin" w:eastAsia="IRNazanin"/>
          <w:color w:val="111111"/>
          <w:sz w:val="28"/>
          <w:sz w:val="28"/>
          <w:szCs w:val="28"/>
          <w:rtl w:val="true"/>
          <w:lang w:bidi="fa-IR"/>
        </w:rPr>
        <w:t xml:space="preserve">علی أنّ لفظ العموم متی استعمل فی غیر الاستغراق کان مجازا، و إذا کان مجازا فلا فرق بین استعماله فی الواحد و بین استعماله فیما هو أکثر منه، یبیّن ذلک أنّه لما جاز ذلک فی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تجویز ذلک فی ألفاظ الجمع مثله سواء، و قد أجاز أحدهما المخالف فینبغی أن یکون حکم الآخر مثله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 أنّ استعمال ذلک لأهل اللّغة ظاهر، لأنّهم استعملوا لفظ العموم فی الواحد، کما استعملوه فی الثلاثة و أکثر من ذلک، 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نَحْنُ نَزَّلْنَا الذِّکْرَ وَ إِنّا لَهُ لَحافِظُونَ  </w:t>
      </w:r>
      <w:r>
        <w:rPr>
          <w:rStyle w:val="FootnoteAnchor"/>
          <w:rtl w:val="true"/>
        </w:rPr>
        <w:footnoteReference w:id="689"/>
      </w:r>
      <w:r>
        <w:rPr>
          <w:rFonts w:ascii="IRNazanin" w:hAnsi="IRNazanin" w:eastAsia="IRNazanin"/>
          <w:color w:val="111111"/>
          <w:sz w:val="28"/>
          <w:sz w:val="28"/>
          <w:szCs w:val="28"/>
          <w:rtl w:val="true"/>
          <w:lang w:bidi="fa-IR"/>
        </w:rPr>
        <w:t>فأخبر عن نفسه بنون الجمع و بالواو و النّون، و هو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و ما أعنی سوی أنّی</w:t>
      </w:r>
    </w:p>
    <w:p>
      <w:pPr>
        <w:pStyle w:val="BookText"/>
        <w:rPr/>
      </w:pPr>
      <w:r>
        <w:rPr>
          <w:rStyle w:val="FootnoteAnchor"/>
          <w:rtl w:val="true"/>
        </w:rPr>
        <w:footnoteReference w:id="6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فعبّر عن نفسه بلفظ الجمع</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تجاوزوا ذلک إلی أن عبّروا بلفظ الألف عن الواحد، کما روی عن عمر أنّه </w:t>
      </w:r>
    </w:p>
    <w:p>
      <w:pPr>
        <w:pStyle w:val="BookText"/>
        <w:rPr/>
      </w:pPr>
      <w:r>
        <w:rPr>
          <w:rFonts w:ascii="IRNazanin" w:hAnsi="IRNazanin" w:eastAsia="IRNazanin"/>
          <w:color w:val="111111"/>
          <w:sz w:val="28"/>
          <w:sz w:val="28"/>
          <w:szCs w:val="28"/>
          <w:rtl w:val="true"/>
          <w:lang w:bidi="fa-IR"/>
        </w:rPr>
        <w:t xml:space="preserve">لما کتب إلی سعد بن أبی وقّاص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أنفذ إلیه القعقاع بن شور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ألف رجل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أنفذت إلیک ألفی رجل</w:t>
      </w:r>
      <w:r>
        <w:rPr>
          <w:rStyle w:val="FootnoteAnchor"/>
          <w:rtl w:val="true"/>
        </w:rPr>
        <w:footnoteReference w:id="691"/>
      </w:r>
    </w:p>
    <w:p>
      <w:pPr>
        <w:pStyle w:val="BookText"/>
        <w:rPr/>
      </w:pPr>
      <w:r>
        <w:rPr>
          <w:rFonts w:ascii="IRNazanin" w:hAnsi="IRNazanin" w:eastAsia="IRNazanin"/>
          <w:color w:val="111111"/>
          <w:sz w:val="28"/>
          <w:sz w:val="28"/>
          <w:szCs w:val="28"/>
          <w:rtl w:val="true"/>
          <w:lang w:bidi="fa-IR"/>
        </w:rPr>
        <w:t xml:space="preserve">المعتمد </w:t>
      </w:r>
      <w:r>
        <w:rPr>
          <w:rFonts w:eastAsia="IRNazanin" w:cs="IRNazanin"/>
          <w:color w:val="111111"/>
          <w:sz w:val="28"/>
          <w:szCs w:val="28"/>
          <w:lang w:bidi="fa-IR"/>
        </w:rPr>
        <w:t>237:1</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فعبّر عن القعقاع وحده بعبارة الألف لما اعتقد أنّه یسدّ مسدّ الألف فی الحرب، و هذا واضح</w:t>
      </w:r>
      <w:r>
        <w:rPr>
          <w:rFonts w:eastAsia="IRNazanin" w:cs="IRNazanin"/>
          <w:color w:val="111111"/>
          <w:sz w:val="28"/>
          <w:szCs w:val="28"/>
          <w:rtl w:val="true"/>
          <w:lang w:bidi="fa-IR"/>
        </w:rPr>
        <w:t>.</w:t>
      </w:r>
      <w:bookmarkStart w:id="216" w:name="pg6519_49584"/>
    </w:p>
    <w:p>
      <w:pPr>
        <w:pStyle w:val="Heading4"/>
        <w:numPr>
          <w:ilvl w:val="3"/>
          <w:numId w:val="1"/>
        </w:numPr>
        <w:rPr/>
      </w:pPr>
      <w:bookmarkStart w:id="217" w:name="__RefHeading___Toc1757293_653776707"/>
      <w:bookmarkStart w:id="218" w:name="_Toc70"/>
      <w:bookmarkEnd w:id="216"/>
      <w:bookmarkEnd w:id="217"/>
      <w:r>
        <w:rPr>
          <w:rtl w:val="true"/>
        </w:rPr>
        <w:t xml:space="preserve">فصل </w:t>
      </w:r>
      <w:r>
        <w:rPr>
          <w:rtl w:val="true"/>
        </w:rPr>
        <w:t xml:space="preserve">- </w:t>
      </w:r>
      <w:r>
        <w:rPr/>
        <w:t>19</w:t>
      </w:r>
      <w:r>
        <w:rPr>
          <w:rtl w:val="true"/>
        </w:rPr>
        <w:t xml:space="preserve"> «</w:t>
      </w:r>
      <w:r>
        <w:rPr>
          <w:rtl w:val="true"/>
        </w:rPr>
        <w:t>فی ذکر ما یخصّ فی الحقیقة، و ما یخصّ فی المعنی، و ما لا یجوز دخول التّخصیص فیه</w:t>
      </w:r>
      <w:r>
        <w:rPr>
          <w:rtl w:val="true"/>
        </w:rPr>
        <w:t>»</w:t>
      </w:r>
      <w:bookmarkEnd w:id="218"/>
    </w:p>
    <w:p>
      <w:pPr>
        <w:pStyle w:val="BookText"/>
        <w:rPr/>
      </w:pPr>
      <w:r>
        <w:rPr>
          <w:rFonts w:ascii="IRNazanin" w:hAnsi="IRNazanin" w:eastAsia="IRNazanin"/>
          <w:color w:val="111111"/>
          <w:sz w:val="28"/>
          <w:sz w:val="28"/>
          <w:szCs w:val="28"/>
          <w:rtl w:val="true"/>
          <w:lang w:bidi="fa-IR"/>
        </w:rPr>
        <w:t>الأدلّة علی ثلاثة أضرب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عامّ من جهة اللّفظ</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عامّ من جهة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لیس بعامّ لا لفظا و لا 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ما هو عام لفظا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فالتّخصیص یجوز أن یدخله بجمیع الأدلّة الّتی ذکرناها الّتی یخصّ بها العموم، و ذلک لا خلاف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هو عامّ من جهة المعنی فعلی ضربین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القیاس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فعندنا أنّه لیس بدلیل أصلا، و من قال إنّه دلیل و أجاز تخصیص العلّة جوّز تخصیصه، و من لم یجز تخصیص العلّة لم یجز ذلک</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فأمّا الاستدلال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فنحو دلیل الخطاب، و فحوی الخطاب، و نحو أن ینصّ النّبی صلّی اللّه علیه و آله و سلّم علی حکم فی عین ثمّ علم بالدّلیل أنّ حکم غیره حکمه، </w:t>
      </w:r>
    </w:p>
    <w:p>
      <w:pPr>
        <w:pStyle w:val="BookText"/>
        <w:rPr/>
      </w:pPr>
      <w:r>
        <w:rPr>
          <w:rFonts w:ascii="IRNazanin" w:hAnsi="IRNazanin" w:eastAsia="IRNazanin"/>
          <w:color w:val="111111"/>
          <w:sz w:val="28"/>
          <w:sz w:val="28"/>
          <w:szCs w:val="28"/>
          <w:rtl w:val="true"/>
          <w:lang w:bidi="fa-IR"/>
        </w:rPr>
        <w:t>فإنّ التّخصیص فی جمیع ذلک یجوز فی المعنی و إن لم یسمّ ذلک تخصیصا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استدلالنا بجواز وطء أمّ الولد، علی أنّ الملک باق، و إذا کان الملک باقیا وجب أن یتّبعه جمیع أحکامه إلاّ ما یخصّه الدّلیل، و غیر ذلک من المسائل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لا یدخله التّخصیص أصلا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لیس بعام لا لفظا و لا معنی، فنحو أن ینصّ علیه السّلام علی عین واحدة، أو یقدم علی فعل واحد و یخصّص ذلک العین بذلک الحکم، فإنّ معنی التّخصیص لا یسوغ فیه، و ذلک نحو تخصیصه علیه السّلام أبا بردة بجواز أضحیته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ما شاکله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ثبتت هذه الجملة، فمتی ورد عامّ لفظا جاز تخصیصه لفظا بالأدلّة الّتی قدّمناها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لیس بعامّ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المحتجّ به یحتجّ باللّفظ منع من التعلّق به، و إن احتجّ به فی المعنی جاز أن یعترض علیه بجمیع ما یخصّ به العموم، و إن لم یسمّ ذلک مخصّصا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کان خاصّا بعین واحدة لا یتعدّاه، فالتّخصیص فی المعنی و اللّفظ لا یصحّ فیه</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هذه جملة کافیة فی هذا الباب</w:t>
      </w:r>
      <w:r>
        <w:rPr>
          <w:rFonts w:eastAsia="IRNazanin" w:cs="IRNazanin"/>
          <w:color w:val="111111"/>
          <w:sz w:val="28"/>
          <w:szCs w:val="28"/>
          <w:rtl w:val="true"/>
          <w:lang w:bidi="fa-IR"/>
        </w:rPr>
        <w:t xml:space="preserve">. </w:t>
      </w:r>
      <w:bookmarkStart w:id="219" w:name="pg6519_49586"/>
    </w:p>
    <w:p>
      <w:pPr>
        <w:pStyle w:val="Heading4"/>
        <w:numPr>
          <w:ilvl w:val="3"/>
          <w:numId w:val="1"/>
        </w:numPr>
        <w:rPr/>
      </w:pPr>
      <w:bookmarkStart w:id="220" w:name="__RefHeading___Toc1757295_653776707"/>
      <w:bookmarkStart w:id="221" w:name="_Toc71"/>
      <w:bookmarkEnd w:id="219"/>
      <w:bookmarkEnd w:id="220"/>
      <w:r>
        <w:rPr>
          <w:rtl w:val="true"/>
        </w:rPr>
        <w:t xml:space="preserve">فصل </w:t>
      </w:r>
      <w:r>
        <w:rPr>
          <w:rtl w:val="true"/>
        </w:rPr>
        <w:t xml:space="preserve">- </w:t>
      </w:r>
      <w:r>
        <w:rPr/>
        <w:t>20</w:t>
      </w:r>
      <w:r>
        <w:rPr>
          <w:rtl w:val="true"/>
        </w:rPr>
        <w:t xml:space="preserve"> «</w:t>
      </w:r>
      <w:r>
        <w:rPr>
          <w:rtl w:val="true"/>
        </w:rPr>
        <w:t>فی الشّرط و الاستثناء إذا تعلّقا ببعض ما دخل تحت العموم، لا یجب أن یحکم أنّ ذلک هو المراد بالعموم لا غیر</w:t>
      </w:r>
      <w:r>
        <w:rPr>
          <w:rtl w:val="true"/>
        </w:rPr>
        <w:t>»</w:t>
      </w:r>
      <w:bookmarkEnd w:id="221"/>
    </w:p>
    <w:p>
      <w:pPr>
        <w:pStyle w:val="BookText"/>
        <w:rPr/>
      </w:pPr>
      <w:r>
        <w:rPr>
          <w:rFonts w:ascii="IRNazanin" w:hAnsi="IRNazanin" w:eastAsia="IRNazanin"/>
          <w:color w:val="111111"/>
          <w:sz w:val="28"/>
          <w:sz w:val="28"/>
          <w:szCs w:val="28"/>
          <w:rtl w:val="true"/>
          <w:lang w:bidi="fa-IR"/>
        </w:rPr>
        <w:t xml:space="preserve">إذا ورد لفظ عامّ و تعقّبه شرط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علم أنّه راجع إلی بعضه، لا یجب أن یحمل اللّفظ العام علی ما تعلّق به</w:t>
      </w:r>
      <w:r>
        <w:rPr>
          <w:rStyle w:val="FootnoteAnchor"/>
          <w:rtl w:val="true"/>
        </w:rPr>
        <w:footnoteReference w:id="692"/>
      </w:r>
    </w:p>
    <w:p>
      <w:pPr>
        <w:pStyle w:val="BookText"/>
        <w:rPr/>
      </w:pPr>
      <w:r>
        <w:rPr>
          <w:rFonts w:ascii="IRNazanin" w:hAnsi="IRNazanin" w:eastAsia="IRNazanin"/>
          <w:color w:val="111111"/>
          <w:sz w:val="28"/>
          <w:sz w:val="28"/>
          <w:szCs w:val="28"/>
          <w:rtl w:val="true"/>
          <w:lang w:bidi="fa-IR"/>
        </w:rPr>
        <w:t>علی ما تعلّق ذلک الشّرط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ذلک الشّرط، بل لا یمتنع أن یکون العام علی عمومه و إن ذکر بعده شرط یرجع إلی بعضه، و ذلک نحو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النَّبِیُّ إِذا طَلَّقْتُمُ النِّساءَ فَطَلِّقُوهُنَّ لِعِدَّتِهِنَّ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فإنّ ذلک عامّ فی الطّلاق و المطلّقات، ثمّ قال بعد ذلک</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لَعَلَّ اللّهَ یُحْدِثُ بَعْدَ ذلِکَ أَمْراً   </w:t>
      </w:r>
      <w:r>
        <w:rPr>
          <w:rStyle w:val="FootnoteAnchor"/>
          <w:rtl w:val="true"/>
        </w:rPr>
        <w:footnoteReference w:id="693"/>
      </w:r>
      <w:r>
        <w:rPr>
          <w:rFonts w:ascii="IRNazanin" w:hAnsi="IRNazanin" w:eastAsia="IRNazanin"/>
          <w:color w:val="111111"/>
          <w:sz w:val="28"/>
          <w:sz w:val="28"/>
          <w:szCs w:val="28"/>
          <w:rtl w:val="true"/>
          <w:lang w:bidi="fa-IR"/>
        </w:rPr>
        <w:t xml:space="preserve">، و ذلک یختصّ الرّجعی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لا یجب من ذلک </w:t>
      </w:r>
    </w:p>
    <w:p>
      <w:pPr>
        <w:pStyle w:val="BookText"/>
        <w:rPr/>
      </w:pPr>
      <w:r>
        <w:rPr>
          <w:rFonts w:ascii="IRNazanin" w:hAnsi="IRNazanin" w:eastAsia="IRNazanin"/>
          <w:color w:val="111111"/>
          <w:sz w:val="28"/>
          <w:sz w:val="28"/>
          <w:szCs w:val="28"/>
          <w:rtl w:val="true"/>
          <w:lang w:bidi="fa-IR"/>
        </w:rPr>
        <w:t>حمل أوّل الآیة علیه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مثل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جُناحَ عَلَیْکُمْ إِنْ طَلَّقْتُمُ النِّساءَ  </w:t>
      </w:r>
      <w:r>
        <w:rPr>
          <w:rStyle w:val="FootnoteAnchor"/>
          <w:rtl w:val="true"/>
        </w:rPr>
        <w:footnoteReference w:id="694"/>
      </w:r>
    </w:p>
    <w:p>
      <w:pPr>
        <w:pStyle w:val="BookText"/>
        <w:rPr/>
      </w:pP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ثمّ قال بعد ذلک إِلاّ أَنْ یَعْفُونَ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فکان أوّل الآیة عامّا فی جمیع النّساء، و إن کان جواز العفو مخصوصا بمن یملک أمره منهنّ و یصحّ عفوهنّ دون من لا یصحّ ذلک منه، فلا یجب تخصیص أوّل الآیة بهنّ بل کان عامّا فی سائر النّساء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کذلک إذا ذکرت جملة عامّة و عطف علیها جملة خاصّة، لا یجب من ذلک حمل الأدلّة علیها، بل یجب حمل الأولی علی عمومها، و الثانیة علی خصوصها و ذلک نحو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الْمُطَلَّقاتُ یَتَرَبَّصْنَ بِأَنْفُسِهِنَّ ثَلاثَةَ قُرُوءٍ  </w:t>
      </w:r>
      <w:r>
        <w:rPr>
          <w:rStyle w:val="FootnoteAnchor"/>
          <w:rtl w:val="true"/>
        </w:rPr>
        <w:footnoteReference w:id="695"/>
      </w:r>
      <w:r>
        <w:rPr>
          <w:rFonts w:ascii="Amiri" w:hAnsi="Amiri" w:eastAsia="Amiri" w:cs="Amiri"/>
          <w:color w:val="111111"/>
          <w:sz w:val="28"/>
          <w:sz w:val="28"/>
          <w:szCs w:val="28"/>
          <w:rtl w:val="true"/>
          <w:lang w:bidi="ar-SA"/>
        </w:rPr>
        <w:t>ثمّ قال بعد ذلک عاطفا علی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بُعُولَتُهُنَّ أَحَقُّ بِرَدِّهِنَّ   و ذلک یختصّ الرّجعیّات، و لا یجب من ذلک حمل أوّل الآیة علیه، بل کان عامّا فیهنّ و فی غیرهنّ ممّن لا یمکن مراجعتهنّ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 ذلک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اَللاّئِی یَئِسْنَ مِنَ الْمَحِیضِ مِنْ نِسائِکُمْ  </w:t>
      </w:r>
      <w:r>
        <w:rPr>
          <w:rStyle w:val="FootnoteAnchor"/>
          <w:rtl w:val="true"/>
        </w:rPr>
        <w:footnoteReference w:id="696"/>
      </w:r>
      <w:r>
        <w:rPr>
          <w:rFonts w:ascii="Amiri" w:hAnsi="Amiri" w:eastAsia="Amiri" w:cs="Amiri"/>
          <w:color w:val="111111"/>
          <w:sz w:val="28"/>
          <w:sz w:val="28"/>
          <w:szCs w:val="28"/>
          <w:rtl w:val="true"/>
          <w:lang w:bidi="ar-SA"/>
        </w:rPr>
        <w:t>کان ذلک عامّا فی جمیعهنّ،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أُولاتُ الْأَحْمالِ أَجَلُهُنَّ أَنْ یَضَعْنَ حَمْلَهُنَّ  ، و لا یجب من ذلک حمل أوّل الآیة علیهنّ، و لذلک نظائر کثیرة</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الّذی ینبغی أن یحصّل فی هذا الباب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إذا ورد لفظ عام ثمّ وصف </w:t>
      </w:r>
    </w:p>
    <w:p>
      <w:pPr>
        <w:pStyle w:val="BookText"/>
        <w:rPr/>
      </w:pPr>
      <w:r>
        <w:rPr>
          <w:rFonts w:ascii="IRNazanin" w:hAnsi="IRNazanin" w:eastAsia="IRNazanin"/>
          <w:color w:val="111111"/>
          <w:sz w:val="28"/>
          <w:sz w:val="28"/>
          <w:szCs w:val="28"/>
          <w:rtl w:val="true"/>
          <w:lang w:bidi="fa-IR"/>
        </w:rPr>
        <w:t>بصفة، أو شرط بشرط و علم أنّه لا یصحّ ذلک الشّرط و لا تلک الصّفة فی جمیع ما تناوله اللفظ العام، وجب حمل اللّفظ العام علیه إذا کان الشّرط و الصّفة متعلّقین بجمیع اللّفظ، فإن کان الشّرط و الصّفة متعلّقین ببعض ما تناوله اللّفظ العام لم یجب ذلک و کان حکمه ما قدّمناه فی أوّل الباب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إذا کان الکلام فی جملتین قد عطفت إحداهما علی الأخری، فینبغی أن ینظر فی الجملة الثّانیة، فلا یخلو أن یکون متناولة لمثل ما تناولته الجملة الأولی أولا یکون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کانت متناولة لمثل ما تناولته الأولی فلا یخلو أن یکون موافقة أو مخالفة، فإن کانت موافقة له فی الحکم، فإنّ ذلک یکون تأکیدا، و یجب حملها علی مثل ما حملت علیه الجملة 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کانت الجملة الثّانیة متناولة لمثل ما تناولته الأولی، و کانت مخالفة لها فی الحکم، فلا تعلّق لها بالجملة الأولی، و کانت کآیة أخری یجب حملهما علی ظاهرهما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کانت متناولة لمثل ما تناولته الأولی، و کانت مضادة</w:t>
      </w:r>
      <w:r>
        <w:rPr>
          <w:rStyle w:val="FootnoteAnchor"/>
          <w:rtl w:val="true"/>
        </w:rPr>
        <w:footnoteReference w:id="697"/>
      </w:r>
    </w:p>
    <w:p>
      <w:pPr>
        <w:pStyle w:val="BookText"/>
        <w:rPr/>
      </w:pPr>
      <w:r>
        <w:rPr>
          <w:rFonts w:ascii="IRNazanin" w:hAnsi="IRNazanin" w:eastAsia="IRNazanin"/>
          <w:color w:val="111111"/>
          <w:sz w:val="28"/>
          <w:sz w:val="28"/>
          <w:szCs w:val="28"/>
          <w:rtl w:val="true"/>
          <w:lang w:bidi="fa-IR"/>
        </w:rPr>
        <w:t>فی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متضادّة</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لها فی الحکم، فذلک لا یجوز وقوعه من الحکیم تعالی، لأنّه یؤدّی إلی التناقض و البداء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هما</w:t>
      </w:r>
    </w:p>
    <w:p>
      <w:pPr>
        <w:pStyle w:val="BookText"/>
        <w:rPr/>
      </w:pPr>
      <w:r>
        <w:rPr>
          <w:rFonts w:ascii="IRNazanin" w:hAnsi="IRNazanin" w:eastAsia="IRNazanin"/>
          <w:color w:val="111111"/>
          <w:sz w:val="28"/>
          <w:sz w:val="28"/>
          <w:szCs w:val="28"/>
          <w:rtl w:val="true"/>
          <w:lang w:bidi="fa-IR"/>
        </w:rPr>
        <w:t>منفیّان عنه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فنظیر الجملة المؤکّدة أن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اقتلوا المشرکین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یعطف علی ذلک فیقول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اقتلوا الکفّار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نظیر الجملة المخالفة أن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اقتلوا المشرکین، و خذوا غنائمهم، و اسبوا ذراریهم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ما یجری مجری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نظیر المتضادّة أن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اقتلوا المشرکین، و لا تقتلوا الکفّار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ذلک ینفی ما أثبتته الجملة الأولی، و ذلک لا یجوز علی الحکیم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کانت الجملة الثّانیة أخصّ من الجملة الأولی أو أعمّ منها، و إن کانت تقتضی مثل حکم الأوّلة، کانت تأکیدا أو ذکر التفخیم ما ذکر فی الأولی، و علی ذلک یحمل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کانَ عَدُوًّا لِلّهِ وَ مَلائِکَتِهِ وَ رُسُلِهِ وَ جِبْرِیلَ  </w:t>
      </w:r>
      <w:r>
        <w:rPr>
          <w:rStyle w:val="FootnoteAnchor"/>
          <w:rtl w:val="true"/>
        </w:rPr>
        <w:footnoteReference w:id="698"/>
      </w:r>
    </w:p>
    <w:p>
      <w:pPr>
        <w:pStyle w:val="BookText"/>
        <w:rPr/>
      </w:pP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 کذلک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فِیهِما فاکِهَةٌ وَ نَخْلٌ وَ رُمّانٌ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فإنّ ذلک إمّا أن نحمله علی التّأکید، أو علی تفخیم سائر ما أفرد بالذّکر</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عند من قال بدلیل الخطاب من أصحاب الشّافعی و غیرهم أنّ إفراد بعض ما تناوله لفظ العموم بالحکم یدلّ علی أنّه أراد بالعموم الخصوص،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علی هذا حمل </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جُناحَ عَلَیْکُمْ إِنْ طَلَّقْتُمُ النِّساءَ ما لَمْ تَمَسُّوهُنَّ أَوْ تَفْرِضُوا لَهُنَّ فَرِیضَةً وَ مَتِّعُوهُنَّ عَلَی الْمُوسِعِ قَدَرُهُ  </w:t>
      </w:r>
      <w:r>
        <w:rPr>
          <w:rStyle w:val="FootnoteAnchor"/>
          <w:rtl w:val="true"/>
        </w:rPr>
        <w:footnoteReference w:id="699"/>
      </w:r>
    </w:p>
    <w:p>
      <w:pPr>
        <w:pStyle w:val="BookText"/>
        <w:rPr/>
      </w:pP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علی أنّ المتعة إنّما یجب لغیر المدخول بها إذا لم یسمّ لها مهرا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خالفه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یجب المتعة لکلّ مطلقة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سنذکر ما عندنا فی دلیل</w:t>
      </w:r>
      <w:r>
        <w:rPr>
          <w:rStyle w:val="FootnoteAnchor"/>
          <w:rtl w:val="true"/>
        </w:rPr>
        <w:footnoteReference w:id="700"/>
      </w:r>
      <w:r>
        <w:rPr>
          <w:rFonts w:ascii="IRNazanin" w:hAnsi="IRNazanin" w:eastAsia="IRNazanin"/>
          <w:color w:val="111111"/>
          <w:sz w:val="28"/>
          <w:sz w:val="28"/>
          <w:szCs w:val="28"/>
          <w:rtl w:val="true"/>
          <w:lang w:bidi="fa-IR"/>
        </w:rPr>
        <w:t xml:space="preserve">الخطاب فیما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الأقرب علی مذهب من یقول بدلیل الخطاب</w:t>
      </w:r>
      <w:r>
        <w:rPr>
          <w:rFonts w:eastAsia="IRNazanin" w:cs="IRNazanin"/>
          <w:color w:val="111111"/>
          <w:sz w:val="28"/>
          <w:szCs w:val="28"/>
          <w:rtl w:val="true"/>
          <w:lang w:bidi="fa-IR"/>
        </w:rPr>
        <w:t>]</w:t>
      </w:r>
      <w:r>
        <w:rPr>
          <w:rStyle w:val="FootnoteAnchor"/>
          <w:rtl w:val="true"/>
        </w:rPr>
        <w:footnoteReference w:id="701"/>
      </w:r>
      <w:r>
        <w:rPr>
          <w:rFonts w:ascii="IRNazanin" w:hAnsi="IRNazanin" w:eastAsia="IRNazanin"/>
          <w:color w:val="111111"/>
          <w:sz w:val="28"/>
          <w:sz w:val="28"/>
          <w:szCs w:val="28"/>
          <w:rtl w:val="true"/>
          <w:lang w:bidi="fa-IR"/>
        </w:rPr>
        <w:t>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الآیة تصیر مجملة و تفتقر إلی البیان، لأنّه لیس بأن یقال أنّ العموم فی الأوّلی یمنع من دلیل الخطاب فی الثّانیة، بأولی من أن یقال أنّ دلیل الخطاب فی الثّانیة یمنع من حمل الأولی علی العموم، فإذا</w:t>
      </w:r>
      <w:r>
        <w:rPr>
          <w:rStyle w:val="FootnoteAnchor"/>
          <w:rtl w:val="true"/>
        </w:rPr>
        <w:footnoteReference w:id="702"/>
      </w:r>
      <w:r>
        <w:rPr>
          <w:rFonts w:ascii="IRNazanin" w:hAnsi="IRNazanin" w:eastAsia="IRNazanin"/>
          <w:color w:val="111111"/>
          <w:sz w:val="28"/>
          <w:sz w:val="28"/>
          <w:szCs w:val="28"/>
          <w:rtl w:val="true"/>
          <w:lang w:bidi="fa-IR"/>
        </w:rPr>
        <w:t>تساوی القولان وجب أن یوقف ذلک علی البیان، و یکون مجملا علی ما بیّناه</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إن کانت الجملة الثّانیة مخالفة للأولی فی الحکم، کانت کآیة أخری لا تعلّق </w:t>
      </w:r>
    </w:p>
    <w:p>
      <w:pPr>
        <w:pStyle w:val="BookText"/>
        <w:rPr/>
      </w:pPr>
      <w:r>
        <w:rPr>
          <w:rFonts w:ascii="IRNazanin" w:hAnsi="IRNazanin" w:eastAsia="IRNazanin"/>
          <w:color w:val="111111"/>
          <w:sz w:val="28"/>
          <w:sz w:val="28"/>
          <w:szCs w:val="28"/>
          <w:rtl w:val="true"/>
          <w:lang w:bidi="fa-IR"/>
        </w:rPr>
        <w:t>لها بالجملة الأولی، علی ما بیّناه فی الجملتین المتماثلتین فی العموم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کانت ضدّا للجملة الأولی، فإن کانت الجملة الأولی أعمّ و الثانیة أخصّ، و ذلک علی أنّه أراد بالجملة الأولی ما عدا ما ذکر فی الجملة 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کانت الجملة الثانیة أعمّ دلّ ذلک أنّه أراد بالثّانیة ما عدا ما ذکر فی الجملة 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نظیر الأوّل أن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اقتلوا المشرکین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یقول بعده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تقتلوا الیهود و النّصاری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ذلک یفید أنّه أراد بلفظ المشرکین ما عدا الیهود و النّصاری، و إلاّ کانت مناقضة أو بداء و ذلک لا یجوز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نظیر الثّانی أن یقول أوّلا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تقتلوا الیهود و النّصاری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یقول بعده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اقتلوا المشرکین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ذلک یدلّ علی أنّه أراد بلفظ المشرکین فی الثّانیة ما عدا ما ذکر فی الجملة الأولی، و لو لا ذلک لأدّی إلی ما قدّمناه و أبطلناه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لأحد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 حملتم الثّانیة علی أنّها ناسخة‌؟ لأنّ من شأن النّسخ أن یتأخّر عن حال الخطاب علی ما نبیّنه، و إنّما ذلک من أدلّة التّخصیص الّتی</w:t>
      </w:r>
      <w:r>
        <w:rPr>
          <w:rStyle w:val="FootnoteAnchor"/>
          <w:rtl w:val="true"/>
        </w:rPr>
        <w:footnoteReference w:id="703"/>
      </w:r>
    </w:p>
    <w:p>
      <w:pPr>
        <w:pStyle w:val="BookText"/>
        <w:rPr/>
      </w:pPr>
      <w:r>
        <w:rPr>
          <w:rFonts w:ascii="Amiri" w:hAnsi="Amiri" w:eastAsia="Amiri" w:cs="Amiri"/>
          <w:color w:val="111111"/>
          <w:sz w:val="28"/>
          <w:sz w:val="28"/>
          <w:szCs w:val="28"/>
          <w:rtl w:val="true"/>
          <w:lang w:bidi="ar-SA"/>
        </w:rPr>
        <w:t>الّذی</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یجب مقارنتها للخطاب علی ما تقدّم القول فیه، فعلی هذا ینبغی أن یجری کلّ ما یرد من هذا الکتاب</w:t>
      </w:r>
      <w:r>
        <w:rPr>
          <w:rFonts w:eastAsia="IRNazanin" w:cs="IRNazanin"/>
          <w:color w:val="111111"/>
          <w:sz w:val="28"/>
          <w:szCs w:val="28"/>
          <w:rtl w:val="true"/>
          <w:lang w:bidi="fa-IR"/>
        </w:rPr>
        <w:t>.</w:t>
      </w:r>
      <w:bookmarkStart w:id="222" w:name="pg6519_49592"/>
    </w:p>
    <w:p>
      <w:pPr>
        <w:pStyle w:val="Heading4"/>
        <w:numPr>
          <w:ilvl w:val="3"/>
          <w:numId w:val="1"/>
        </w:numPr>
        <w:rPr/>
      </w:pPr>
      <w:bookmarkStart w:id="223" w:name="__RefHeading___Toc1757297_653776707"/>
      <w:bookmarkStart w:id="224" w:name="_Toc72"/>
      <w:bookmarkEnd w:id="222"/>
      <w:bookmarkEnd w:id="223"/>
      <w:r>
        <w:rPr>
          <w:rtl w:val="true"/>
        </w:rPr>
        <w:t xml:space="preserve">فصل </w:t>
      </w:r>
      <w:r>
        <w:rPr>
          <w:rtl w:val="true"/>
        </w:rPr>
        <w:t>-</w:t>
      </w:r>
      <w:r>
        <w:rPr/>
        <w:t>21</w:t>
      </w:r>
      <w:r>
        <w:rPr>
          <w:rtl w:val="true"/>
        </w:rPr>
        <w:t xml:space="preserve"> «</w:t>
      </w:r>
      <w:r>
        <w:rPr>
          <w:rtl w:val="true"/>
        </w:rPr>
        <w:t>فی جواز تخصیص الأخبار، و أنّها تجری مجری الأوامر فی ذلک</w:t>
      </w:r>
      <w:r>
        <w:rPr>
          <w:rtl w:val="true"/>
        </w:rPr>
        <w:t>»</w:t>
      </w:r>
      <w:bookmarkEnd w:id="224"/>
    </w:p>
    <w:p>
      <w:pPr>
        <w:pStyle w:val="BookText"/>
        <w:rPr/>
      </w:pPr>
      <w:r>
        <w:rPr>
          <w:rFonts w:ascii="IRNazanin" w:hAnsi="IRNazanin" w:eastAsia="IRNazanin"/>
          <w:color w:val="111111"/>
          <w:sz w:val="28"/>
          <w:sz w:val="28"/>
          <w:szCs w:val="28"/>
          <w:rtl w:val="true"/>
          <w:lang w:bidi="fa-IR"/>
        </w:rPr>
        <w:t>الصّحیح أنّه یجوز تخصیص الأخبار سواء أ کان معناها معنی الأمر أو لم یکن کذلک، کما یجوز تخصیص الأوامر</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الفقهاء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ذلک لا یجوز، کما لا یجوز نسخ الأخبار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أکثر الفقهاء و المتکلّمین علی المذهب الأوّل، و الّذی یدلّ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التّخصیص هو ما دلّ علی مراد المخاطب بالعموم، و ذلک لا یمتنع فی الأخبار، کما لا یمتنع فی الأوامر، لأنّه لا یمتنع أن یرید المخاطب بالعموم، باللفظ العام بعض ما وضع له، کما لا یمتنع أن یأمر باللّفظ العام و یرید بعض ما تناوله، فالأمران سواء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فأمّا ثبوت ذلک، فأکثر من أن یحصی، نحو الأخبار المتضمّنة للوعید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فإنّها خاصّة و کذلک آیات الوعد عند بعضهم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عَلی کُلِّ شَیْءٍ قَدِیرٌ  </w:t>
      </w:r>
      <w:r>
        <w:rPr>
          <w:rStyle w:val="FootnoteAnchor"/>
          <w:rtl w:val="true"/>
        </w:rPr>
        <w:footnoteReference w:id="704"/>
      </w:r>
    </w:p>
    <w:p>
      <w:pPr>
        <w:pStyle w:val="BookText"/>
        <w:rPr/>
      </w:pP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علمنا أنّه لا یقدر علی ذات نفسه و لا مقدورات غیره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کذلک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أُوتِیَتْ مِنْ کُلِّ شَیْءٍ  </w:t>
      </w:r>
      <w:r>
        <w:rPr>
          <w:rStyle w:val="FootnoteAnchor"/>
          <w:rtl w:val="true"/>
        </w:rPr>
        <w:footnoteReference w:id="705"/>
      </w:r>
      <w:r>
        <w:rPr>
          <w:rFonts w:ascii="IRNazanin" w:hAnsi="IRNazanin" w:eastAsia="IRNazanin"/>
          <w:color w:val="111111"/>
          <w:sz w:val="28"/>
          <w:sz w:val="28"/>
          <w:szCs w:val="28"/>
          <w:rtl w:val="true"/>
          <w:lang w:bidi="fa-IR"/>
        </w:rPr>
        <w:t>و قد علمنا أنّه ما أوتیت أشیاء 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أکثر من أن یحصی</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أنّا قد بیّنا أنّ الأمر و النّهی فی معنی الخبر، فلا فرق بین أن یأمر بالشّیء فی أنّا نعلم وجوبه، و بین أن یخبرنا بأنّ له صفة الوجوب فی أنّا نعلم مثل ما علمناه بلفظ الأمر، و قد روی عن النّبی صلّی اللّه علیه و آله و سلّم أنّه امتنع من دخول بیت فیه تصاویر، و قال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الملائکة لا تدخل بیتا فیه تصاویر</w:t>
      </w:r>
      <w:r>
        <w:rPr>
          <w:rFonts w:eastAsia="IRNazanin" w:cs="IRNazanin"/>
          <w:color w:val="111111"/>
          <w:sz w:val="28"/>
          <w:szCs w:val="28"/>
          <w:rtl w:val="true"/>
          <w:lang w:bidi="fa-IR"/>
        </w:rPr>
        <w:t>)</w:t>
      </w:r>
      <w:r>
        <w:rPr>
          <w:rStyle w:val="FootnoteAnchor"/>
          <w:rtl w:val="true"/>
        </w:rPr>
        <w:footnoteReference w:id="706"/>
      </w:r>
    </w:p>
    <w:p>
      <w:pPr>
        <w:pStyle w:val="BookText"/>
        <w:rPr/>
      </w:pPr>
      <w:r>
        <w:rPr>
          <w:rFonts w:ascii="IRNazanin" w:hAnsi="IRNazanin" w:eastAsia="IRNazanin"/>
          <w:color w:val="111111"/>
          <w:sz w:val="28"/>
          <w:sz w:val="28"/>
          <w:szCs w:val="28"/>
          <w:rtl w:val="true"/>
          <w:lang w:bidi="fa-IR"/>
        </w:rPr>
        <w:t>ثمّ خصّ ذلک بأنّ دخل بیتا فیه تصاویر توطأ</w:t>
      </w:r>
      <w:r>
        <w:rPr>
          <w:rStyle w:val="FootnoteAnchor"/>
          <w:rtl w:val="true"/>
        </w:rPr>
        <w:footnoteReference w:id="707"/>
      </w:r>
    </w:p>
    <w:p>
      <w:pPr>
        <w:pStyle w:val="BookText"/>
        <w:rPr/>
      </w:pPr>
      <w:r>
        <w:rPr>
          <w:rFonts w:ascii="IRNazanin" w:hAnsi="IRNazanin" w:eastAsia="IRNazanin"/>
          <w:color w:val="111111"/>
          <w:sz w:val="28"/>
          <w:sz w:val="28"/>
          <w:szCs w:val="28"/>
          <w:rtl w:val="true"/>
          <w:lang w:bidi="fa-IR"/>
        </w:rPr>
        <w:t>وسائل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أبواب أحکام المساکین، حدیث رقم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حملهم ذلک علی النّسخ، فالصّحیح أنّ النّسخ یجوز أن یدخل فی الأخبار، و نحن نبیّن ذلک فی باب النّاسخ و المنسوخ، فبطل بذلک تعلّقهم به</w:t>
      </w:r>
      <w:r>
        <w:rPr>
          <w:rFonts w:eastAsia="IRNazanin" w:cs="IRNazanin"/>
          <w:color w:val="111111"/>
          <w:sz w:val="28"/>
          <w:szCs w:val="28"/>
          <w:rtl w:val="true"/>
          <w:lang w:bidi="fa-IR"/>
        </w:rPr>
        <w:t xml:space="preserve">. </w:t>
      </w:r>
      <w:bookmarkStart w:id="225" w:name="pg6519_49595"/>
    </w:p>
    <w:p>
      <w:pPr>
        <w:pStyle w:val="Heading4"/>
        <w:numPr>
          <w:ilvl w:val="3"/>
          <w:numId w:val="1"/>
        </w:numPr>
        <w:rPr/>
      </w:pPr>
      <w:bookmarkStart w:id="226" w:name="__RefHeading___Toc1757299_653776707"/>
      <w:bookmarkStart w:id="227" w:name="_Toc73"/>
      <w:bookmarkEnd w:id="225"/>
      <w:bookmarkEnd w:id="226"/>
      <w:r>
        <w:rPr>
          <w:rtl w:val="true"/>
        </w:rPr>
        <w:t xml:space="preserve">فصل </w:t>
      </w:r>
      <w:r>
        <w:rPr>
          <w:rtl w:val="true"/>
        </w:rPr>
        <w:t xml:space="preserve">- </w:t>
      </w:r>
      <w:r>
        <w:rPr/>
        <w:t>22</w:t>
      </w:r>
      <w:r>
        <w:rPr>
          <w:rtl w:val="true"/>
        </w:rPr>
        <w:t xml:space="preserve"> «</w:t>
      </w:r>
      <w:r>
        <w:rPr>
          <w:rtl w:val="true"/>
        </w:rPr>
        <w:t>فی ذکر بناء الخاصّ علی العام، و حکم العمومین إذا تعارضا</w:t>
      </w:r>
      <w:r>
        <w:rPr>
          <w:rtl w:val="true"/>
        </w:rPr>
        <w:t>»</w:t>
      </w:r>
      <w:bookmarkEnd w:id="227"/>
    </w:p>
    <w:p>
      <w:pPr>
        <w:pStyle w:val="BookText"/>
        <w:rPr/>
      </w:pPr>
      <w:r>
        <w:rPr>
          <w:rFonts w:ascii="IRNazanin" w:hAnsi="IRNazanin" w:eastAsia="IRNazanin"/>
          <w:color w:val="111111"/>
          <w:sz w:val="28"/>
          <w:sz w:val="28"/>
          <w:szCs w:val="28"/>
          <w:rtl w:val="true"/>
          <w:lang w:bidi="fa-IR"/>
        </w:rPr>
        <w:t>اعلم أنّه إذا ورد عامّ یتناول إثبات حکم، و ورد خاصّ یتناول نفی ذلک الحکم عن بعض ما تناوله العام، نظر فی تاریخهما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کان أحدهما سابقا للآخر، کان المتأخّر ناسخا و المتقدّم منسوخا، سواء کان المتقدّم عامّا فی أنّ الخاصّ الّذی یجیء بعده و یتأخر عنه یکون ناسخا له، لأنّ تأخیر بیان العموم لا یجوز عن حال الخطاب علی ما نبیّنه</w:t>
      </w:r>
      <w:r>
        <w:rPr>
          <w:rStyle w:val="FootnoteAnchor"/>
          <w:rtl w:val="true"/>
        </w:rPr>
        <w:footnoteReference w:id="708"/>
      </w:r>
    </w:p>
    <w:p>
      <w:pPr>
        <w:pStyle w:val="BookText"/>
        <w:rPr/>
      </w:pPr>
      <w:r>
        <w:rPr>
          <w:rFonts w:ascii="IRNazanin" w:hAnsi="IRNazanin" w:eastAsia="IRNazanin"/>
          <w:color w:val="111111"/>
          <w:sz w:val="28"/>
          <w:sz w:val="28"/>
          <w:szCs w:val="28"/>
          <w:rtl w:val="true"/>
          <w:lang w:bidi="fa-IR"/>
        </w:rPr>
        <w:t xml:space="preserve">انظر بیان المصنّف عن هذا الموضوع فی ص </w:t>
      </w:r>
      <w:r>
        <w:rPr>
          <w:rFonts w:eastAsia="IRNazanin" w:cs="IRNazanin"/>
          <w:color w:val="111111"/>
          <w:sz w:val="28"/>
          <w:szCs w:val="28"/>
          <w:lang w:bidi="fa-IR"/>
        </w:rPr>
        <w:t>170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فیما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لو کان المتقدّم خاصّا و المتأخّر عامّا، فإنّه یکون ناسخا، إلاّ أن یدلّ دلیل علی أنّه أرید به ما عدا ما تقدّمه من الخاصّ، و هذا لا خلاف فیه بین أهل العلم</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متی لم یعلم تاریخهما، فالصّحیح أنّه ینبغی أن یبنی العامّ علی الخاصّ و یجمع بینهما، و هو مذهب الشّافعی و أصحابه، و أهل الظّاهر، و بعض أصحاب أبی حنیفة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فی النّاس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عدم التاریخ، فالواجب أن یرجع فی الأخذ بأحدهما إلی دلیل و یجریهما مجری عامّین تعارضا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هو مذهب عیسی بن أبان، و أبی الحسن الکرخی</w:t>
      </w:r>
      <w:r>
        <w:rPr>
          <w:rStyle w:val="FootnoteAnchor"/>
          <w:rtl w:val="true"/>
        </w:rPr>
        <w:footnoteReference w:id="709"/>
      </w:r>
    </w:p>
    <w:p>
      <w:pPr>
        <w:pStyle w:val="BookText"/>
        <w:rPr/>
      </w:pPr>
      <w:r>
        <w:rPr>
          <w:rFonts w:ascii="IRNazanin" w:hAnsi="IRNazanin" w:eastAsia="IRNazanin"/>
          <w:color w:val="111111"/>
          <w:sz w:val="28"/>
          <w:sz w:val="28"/>
          <w:szCs w:val="28"/>
          <w:rtl w:val="true"/>
          <w:lang w:bidi="fa-IR"/>
        </w:rPr>
        <w:t xml:space="preserve">انظر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الذریعة</w:t>
      </w:r>
      <w:r>
        <w:rPr>
          <w:rFonts w:eastAsia="IRNazanin" w:cs="IRNazanin"/>
          <w:color w:val="111111"/>
          <w:sz w:val="28"/>
          <w:szCs w:val="28"/>
          <w:rtl w:val="true"/>
          <w:lang w:bidi="fa-IR"/>
        </w:rPr>
        <w:t xml:space="preserve">: </w:t>
      </w:r>
      <w:r>
        <w:rPr>
          <w:rFonts w:eastAsia="IRNazanin" w:cs="IRNazanin"/>
          <w:color w:val="111111"/>
          <w:sz w:val="28"/>
          <w:szCs w:val="28"/>
          <w:lang w:bidi="fa-IR"/>
        </w:rPr>
        <w:t>315:1</w:t>
      </w:r>
      <w:r>
        <w:rPr>
          <w:rFonts w:ascii="IRNazanin" w:hAnsi="IRNazanin" w:eastAsia="IRNazanin"/>
          <w:color w:val="111111"/>
          <w:sz w:val="28"/>
          <w:sz w:val="28"/>
          <w:szCs w:val="28"/>
          <w:rtl w:val="true"/>
          <w:lang w:bidi="fa-IR"/>
        </w:rPr>
        <w:t xml:space="preserve">، میزان الأصول </w:t>
      </w:r>
      <w:r>
        <w:rPr>
          <w:rFonts w:eastAsia="IRNazanin" w:cs="IRNazanin"/>
          <w:color w:val="111111"/>
          <w:sz w:val="28"/>
          <w:szCs w:val="28"/>
          <w:lang w:bidi="fa-IR"/>
        </w:rPr>
        <w:t>477:1</w:t>
      </w:r>
      <w:r>
        <w:rPr>
          <w:rFonts w:ascii="IRNazanin" w:hAnsi="IRNazanin" w:eastAsia="IRNazanin"/>
          <w:color w:val="111111"/>
          <w:sz w:val="28"/>
          <w:sz w:val="28"/>
          <w:szCs w:val="28"/>
          <w:rtl w:val="true"/>
          <w:lang w:bidi="fa-IR"/>
        </w:rPr>
        <w:t>، التبصرة</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المعتمد </w:t>
      </w:r>
      <w:r>
        <w:rPr>
          <w:rFonts w:eastAsia="IRNazanin" w:cs="IRNazanin"/>
          <w:color w:val="111111"/>
          <w:sz w:val="28"/>
          <w:szCs w:val="28"/>
          <w:lang w:bidi="fa-IR"/>
        </w:rPr>
        <w:t>262:1</w:t>
      </w:r>
      <w:r>
        <w:rPr>
          <w:rFonts w:eastAsia="IRNazanin" w:cs="IRNazanin"/>
          <w:color w:val="111111"/>
          <w:sz w:val="28"/>
          <w:szCs w:val="28"/>
          <w:rtl w:val="true"/>
          <w:lang w:bidi="fa-IR"/>
        </w:rPr>
        <w:t>-</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شرح اللّمع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نسب الشّیرازی هذا الرّأی لأبی عبد اللّه الحسین بن علی البصری الملقّب بالجعل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الّذی یدلّ علی صحّة المذهب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من حقّ من ثبتت حکمته أن لا یلغی کلامه إذا أمکن حمله علی وجه یفید، و إذا صحّ ذلک، فمتی أوجبنا استعمال العام لأدّی إلی إلغاء الخاصّ، و متی استعملنا الخاصّ لم یوجب إطراح العام، بل یوجب حمله علی ما یصحّ أن یریده الحکم، فوجب بهذه الجملة بناء العام علی الخاصّ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نظیر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روی عنه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الرّقة ربع العشر</w:t>
      </w:r>
      <w:r>
        <w:rPr>
          <w:rFonts w:eastAsia="IRNazanin" w:cs="IRNazanin"/>
          <w:color w:val="111111"/>
          <w:sz w:val="28"/>
          <w:szCs w:val="28"/>
          <w:rtl w:val="true"/>
          <w:lang w:bidi="fa-IR"/>
        </w:rPr>
        <w:t>»</w:t>
      </w:r>
      <w:r>
        <w:rPr>
          <w:rStyle w:val="FootnoteAnchor"/>
          <w:rtl w:val="true"/>
        </w:rPr>
        <w:footnoteReference w:id="710"/>
      </w:r>
      <w:r>
        <w:rPr>
          <w:rFonts w:ascii="IRNazanin" w:hAnsi="IRNazanin" w:eastAsia="IRNazanin"/>
          <w:color w:val="111111"/>
          <w:sz w:val="28"/>
          <w:sz w:val="28"/>
          <w:szCs w:val="28"/>
          <w:rtl w:val="true"/>
          <w:lang w:bidi="fa-IR"/>
        </w:rPr>
        <w:t>فکان هذا عاما فی قلیله و کثیرة،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فیما دون خمس أواق من الورق صدقة</w:t>
      </w:r>
      <w:r>
        <w:rPr>
          <w:rFonts w:eastAsia="IRNazanin" w:cs="IRNazanin"/>
          <w:color w:val="111111"/>
          <w:sz w:val="28"/>
          <w:szCs w:val="28"/>
          <w:rtl w:val="true"/>
          <w:lang w:bidi="fa-IR"/>
        </w:rPr>
        <w:t>»</w:t>
      </w:r>
      <w:r>
        <w:rPr>
          <w:rStyle w:val="FootnoteAnchor"/>
          <w:rtl w:val="true"/>
        </w:rPr>
        <w:footnoteReference w:id="711"/>
      </w:r>
      <w:r>
        <w:rPr>
          <w:rFonts w:ascii="IRNazanin" w:hAnsi="IRNazanin" w:eastAsia="IRNazanin"/>
          <w:color w:val="111111"/>
          <w:sz w:val="28"/>
          <w:sz w:val="28"/>
          <w:szCs w:val="28"/>
          <w:rtl w:val="true"/>
          <w:lang w:bidi="fa-IR"/>
        </w:rPr>
        <w:t>فأوجب هذا أنّ ما نقص عن خمسة أواق لیس فیه</w:t>
      </w:r>
      <w:r>
        <w:rPr>
          <w:rStyle w:val="FootnoteAnchor"/>
          <w:rtl w:val="true"/>
        </w:rPr>
        <w:footnoteReference w:id="712"/>
      </w:r>
      <w:r>
        <w:rPr>
          <w:rFonts w:ascii="Amiri" w:hAnsi="Amiri" w:eastAsia="Amiri" w:cs="Amiri"/>
          <w:color w:val="111111"/>
          <w:sz w:val="28"/>
          <w:sz w:val="28"/>
          <w:szCs w:val="28"/>
          <w:rtl w:val="true"/>
          <w:lang w:bidi="ar-SA"/>
        </w:rPr>
        <w:t>صدقة، و هو أخصّ من الأوّل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فلو عملنا بموجب الخبر الأوّل لاحتجنا إلی إسقاط الخبر الأخیر، و متی استعملنا الأخیر أمکننا استعمال الأوّل علی ما یطابقه</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هلاّ حکمتم فیهما بالتّعارض کالعمومین‌؟، لأنّ ما تناوله الخاصّ قد </w:t>
      </w:r>
    </w:p>
    <w:p>
      <w:pPr>
        <w:pStyle w:val="BookText"/>
        <w:rPr/>
      </w:pPr>
      <w:r>
        <w:rPr>
          <w:rFonts w:ascii="IRNazanin" w:hAnsi="IRNazanin" w:eastAsia="IRNazanin"/>
          <w:color w:val="111111"/>
          <w:sz w:val="28"/>
          <w:sz w:val="28"/>
          <w:szCs w:val="28"/>
          <w:rtl w:val="true"/>
          <w:lang w:bidi="fa-IR"/>
        </w:rPr>
        <w:t xml:space="preserve">تناوله الخبر العام، و إنّما زاد علیه العام بتناوله شیئا آخر لم یتناوله الخاصّ، فکان الزّائد علی ذلک فی حکم خبر آخر، و ما تناوله العامّ ممّا عارضه الخبر الخاصّ فی حکم خبر آخر، فوجب أن یعارض ذلک لما تناوله الخاصّ، و یقف العمل علی أحدهما علی الدّلیل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لا یجوز لأنّه یؤدّی إلی إبطال أحد الخبرین مع صحّة حمله علی وجه ممکن، و لیس کذلک حکم العمومین إذا تعارضا، لأنّه لا یمکن الجمع بینهما علی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تناوله العام فی حکم الخبرین، یتناول أحدهما مثل ما تناول الخبر الخاصّ، و الآخر یتناول ما زاد علی ذلک، و أنّه ینبغی أن یحکم بالتّعارض فیهما، فلیس بصحیح، لأنّ العام إذا کان جملة واحدة صحّ فیه من صرّفه إلی أنّ المراد بعضه ما لا یصحّ فیه إذا کان خبرین، لأنّه إذا کان</w:t>
      </w:r>
      <w:r>
        <w:rPr>
          <w:rStyle w:val="FootnoteAnchor"/>
          <w:rtl w:val="true"/>
        </w:rPr>
        <w:footnoteReference w:id="713"/>
      </w:r>
    </w:p>
    <w:p>
      <w:pPr>
        <w:pStyle w:val="BookText"/>
        <w:rPr/>
      </w:pPr>
      <w:r>
        <w:rPr>
          <w:rFonts w:ascii="IRNazanin" w:hAnsi="IRNazanin" w:eastAsia="IRNazanin"/>
          <w:color w:val="111111"/>
          <w:sz w:val="28"/>
          <w:sz w:val="28"/>
          <w:szCs w:val="28"/>
          <w:rtl w:val="true"/>
          <w:lang w:bidi="fa-IR"/>
        </w:rPr>
        <w:t>زیادة من النسخة 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خبرین فمتی قیل إنّ المراد ما تناوله أحدهما أدّی ذلک إلی إبطال ما تناوله الخبرین الّذین یتناولان ما تناوله العام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 حملتم أحدهما علی أنّه ناسخ للآخر؟، و تکونون قد استعملتم الخبرین علی وجه الحقیقة، و یکون ذلک أولی من بناء العام علی الخاصّ، لأنّ استعمال العام فی الخاصّ یکون مجازا</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یقال</w:t>
      </w:r>
      <w:r>
        <w:rPr>
          <w:rStyle w:val="FootnoteAnchor"/>
          <w:rtl w:val="true"/>
        </w:rPr>
        <w:footnoteReference w:id="7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یمکن حمل ذلک علی النّسخ إذا علمنا تاریخهما و إنّ أحدهما مقدّم و الآخر متأخّر، فیحمل ذلک علی النّسخ، فأمّا مع عدم التّاریخ فلا یمکن حمل ذلک فیه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یدلّ علی ذلک أیضا</w:t>
      </w:r>
      <w:r>
        <w:rPr>
          <w:rStyle w:val="FootnoteAnchor"/>
          <w:rtl w:val="true"/>
        </w:rPr>
        <w:footnoteReference w:id="715"/>
      </w:r>
    </w:p>
    <w:p>
      <w:pPr>
        <w:pStyle w:val="BookText"/>
        <w:rPr/>
      </w:pPr>
      <w:r>
        <w:rPr>
          <w:rFonts w:ascii="IRNazanin" w:hAnsi="IRNazanin" w:eastAsia="IRNazanin"/>
          <w:color w:val="111111"/>
          <w:sz w:val="28"/>
          <w:sz w:val="28"/>
          <w:szCs w:val="28"/>
          <w:rtl w:val="true"/>
          <w:lang w:bidi="fa-IR"/>
        </w:rPr>
        <w:t>أی علی صحّة المذهب الأوّل، و یمکن بعیدا أن یشار به إلی عدم إمکان الحمل علی النّسخ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علی مذهب الخصم لو ثبت بالقیاس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إخراج بعض ما یتناوله العام من عمومه، وجب أن یخرج منه و خصّ به العموم، فالخبر الخاصّ إذا أوجب إخراج بعض ما تناوله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العام بذلک أولی، لأنّ السّنّة أقوی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من القیاس عنده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 علی ذلک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العام و الخاصّ لو وردا معا لعلمنا أنّ المراد بالعامّ ما عدا ما تناوله الخاصّ، لأنّ ذلک دلیل التّخصیص، فإذا وردا مفترقین، و لا دلیل یدلّ علی تقدّم أحدهما و تأخّر الآخر، کانا فی حکم ما وردا فی وقت واحد و یجری مجری الغرقی فی أنّه و إن جاز تقدّم أحدهم للآخر، فمتی عدم التّاریخ فی ذلک حکم بأنّهم کانوا ماتوا فی حالة واحدة علی مذهب الخصم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استدلّ بعض من نصر ما اخترناه بأن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تناوله الخاصّ مقطوع به، و ما تناوله العام مشکوک فیه، فلا ینبغی أن یزال الیقین بالشّک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إنّما یمکن أن یعتمده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العموم لیس له صیغة تفید الاستغراق، فأمّا علی ما ثبت علیه من أنّ له صیغة تفید ذلک فلا یمکن، لأنّ ما تناوله العام عندنا مقطوع به</w:t>
      </w:r>
      <w:r>
        <w:rPr>
          <w:rStyle w:val="FootnoteAnchor"/>
          <w:rtl w:val="true"/>
        </w:rPr>
        <w:footnoteReference w:id="716"/>
      </w:r>
      <w:r>
        <w:rPr>
          <w:rFonts w:ascii="IRNazanin" w:hAnsi="IRNazanin" w:eastAsia="IRNazanin"/>
          <w:color w:val="111111"/>
          <w:sz w:val="28"/>
          <w:sz w:val="28"/>
          <w:szCs w:val="28"/>
          <w:rtl w:val="true"/>
          <w:lang w:bidi="fa-IR"/>
        </w:rPr>
        <w:t>مثل ما تناوله الخاصّ، فلا فرق بینهما علی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استدلّ بوجوه أخر تضعف</w:t>
      </w:r>
      <w:r>
        <w:rPr>
          <w:rStyle w:val="FootnoteAnchor"/>
          <w:rtl w:val="true"/>
        </w:rPr>
        <w:footnoteReference w:id="717"/>
      </w:r>
      <w:r>
        <w:rPr>
          <w:rFonts w:ascii="IRNazanin" w:hAnsi="IRNazanin" w:eastAsia="IRNazanin"/>
          <w:color w:val="111111"/>
          <w:sz w:val="28"/>
          <w:sz w:val="28"/>
          <w:szCs w:val="28"/>
          <w:rtl w:val="true"/>
          <w:lang w:bidi="fa-IR"/>
        </w:rPr>
        <w:t>، و ما ذکرناه أقوی ما یستدلّ به</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فأما المخالف لذلک، فإنّما عوّل فی ذلک علی أنّ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 تضمّنه العام فی حکم ما تضمّنه خبران أحدهما تضمّن ما تضمّنه الخاصّ، و الآخر تضمّن غیره فکان ما تضمّنه الخاصّ معارضا 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قد أوردنا فی دلیلنا ما هو جواب عنه فأغنی عن الإعادة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تعلّق کلّ فریق</w:t>
      </w:r>
      <w:r>
        <w:rPr>
          <w:rStyle w:val="FootnoteAnchor"/>
          <w:rtl w:val="true"/>
        </w:rPr>
        <w:footnoteReference w:id="718"/>
      </w:r>
    </w:p>
    <w:p>
      <w:pPr>
        <w:pStyle w:val="BookText"/>
        <w:rPr/>
      </w:pPr>
      <w:r>
        <w:rPr>
          <w:rFonts w:ascii="IRNazanin" w:hAnsi="IRNazanin" w:eastAsia="IRNazanin"/>
          <w:color w:val="111111"/>
          <w:sz w:val="28"/>
          <w:sz w:val="28"/>
          <w:szCs w:val="28"/>
          <w:rtl w:val="true"/>
          <w:lang w:bidi="fa-IR"/>
        </w:rPr>
        <w:t>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منهما لوجود مواضع من العام و الخاصّ بنی أحدهما علی الآخر، أو حکم فیهما بالتّعارض، لا یمکن أن یعوّل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علیه، لأنّ لمن یخالفه أن یقول إنّما حکمت بذلک لدلیل دلّ علیه، لو لا الدّلیل لما قلت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ینبغی أن یکون المعتمد ما قدّمناه من الأدلّة و فیه کفایة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فأمّا العمومان إذا تعارضا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یخلو من أن یکون طریق إثباتهما العلم أو لا یکون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کان طریق إثباتهما العلم، یصحّ وقوعهما من حکیم علی وجه، و لا یصحّ علی آخر، فما یصحّ وقوعه منه فوجوه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یقترن بهما التّاریخ، و أنّ أحدهما متقدّم و الآخر متأخّر، فیحکم بأنّ المتأخّر ناسخ و المتقدّم منسوخ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یمکن الجمع بینهما علی وجه من التّأویل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یکونا وردا مورد التّخییر</w:t>
      </w:r>
      <w:r>
        <w:rPr>
          <w:rStyle w:val="FootnoteAnchor"/>
          <w:rtl w:val="true"/>
        </w:rPr>
        <w:footnoteReference w:id="7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فهذه الوجوه الّتی یصحّ أن یقع العمومان المعلومان علیه من الحکیم</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متی خلا من ذلک بأن یعدم</w:t>
      </w:r>
      <w:r>
        <w:rPr>
          <w:rStyle w:val="FootnoteAnchor"/>
          <w:rtl w:val="true"/>
        </w:rPr>
        <w:footnoteReference w:id="720"/>
      </w:r>
      <w:r>
        <w:rPr>
          <w:rFonts w:ascii="IRNazanin" w:hAnsi="IRNazanin" w:eastAsia="IRNazanin"/>
          <w:color w:val="111111"/>
          <w:sz w:val="28"/>
          <w:sz w:val="28"/>
          <w:szCs w:val="28"/>
          <w:rtl w:val="true"/>
          <w:lang w:bidi="fa-IR"/>
        </w:rPr>
        <w:t xml:space="preserve">التّاریخ، و لا یصحّ الجمع بینهما لتضادّهما، علم أنّه لم یرد التّخییر، فإنّه لا یجوز وقوعهما من حکیم، لأنّه یؤدّی إلی أن یدلّ </w:t>
      </w:r>
    </w:p>
    <w:p>
      <w:pPr>
        <w:pStyle w:val="BookText"/>
        <w:rPr/>
      </w:pPr>
      <w:r>
        <w:rPr>
          <w:rFonts w:ascii="IRNazanin" w:hAnsi="IRNazanin" w:eastAsia="IRNazanin"/>
          <w:color w:val="111111"/>
          <w:sz w:val="28"/>
          <w:sz w:val="28"/>
          <w:szCs w:val="28"/>
          <w:rtl w:val="true"/>
          <w:lang w:bidi="fa-IR"/>
        </w:rPr>
        <w:t>الدّلیل علی خلاف ما هو دلیل علیه، و ذلک لا یجوز علی حال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فأمّا إذا عارض کلّ واحد من العمومین صاحبه من وجه، و لا یعارضه من وجه نحو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ما مَلَکَتْ أَیْمانُکُمْ  </w:t>
      </w:r>
      <w:r>
        <w:rPr>
          <w:rStyle w:val="FootnoteAnchor"/>
          <w:rtl w:val="true"/>
        </w:rPr>
        <w:footnoteReference w:id="721"/>
      </w:r>
    </w:p>
    <w:p>
      <w:pPr>
        <w:pStyle w:val="BookText"/>
        <w:rPr/>
      </w:pP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تَجْمَعُوا بَیْنَ الْأُخْتَیْنِ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لأنّ أحدهما یقتضی تحلیل الجمع بین الأختین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الآخر یقتضی حظره، و یصحّ أن یکون المراد بآیة الجمع ما عدا الممالیک، و یحتمل أن یراد بآیة الممالیک ما عدا الأختین، فقد استویا فی التّعارض و فی صحّة الاستعمال علی وجه واحد، فما هذه حاله وجب الرّجوع فی العلم بأحدهما إلی دلیل، و لذلک روی عن أمیر المؤمنین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أحلّتهما آیة و حرمتهما أخری، و أنا أنهی عنهما نفسی و ولدی</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فأخبر أنّ ظاهرهما یقتضی التّعارض و أنّه عمل بأحدهما لعلمه بذلک، و أنّ العمل به هو الواجب، و روی عن عثمان أنّه وقف فی ذلک و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أحلّتهما آیة و حرمتهما أخری</w:t>
      </w:r>
      <w:r>
        <w:rPr>
          <w:rFonts w:eastAsia="IRNazanin" w:cs="IRNazanin"/>
          <w:color w:val="111111"/>
          <w:sz w:val="28"/>
          <w:szCs w:val="28"/>
          <w:rtl w:val="true"/>
          <w:lang w:bidi="fa-IR"/>
        </w:rPr>
        <w:t>»</w:t>
      </w:r>
      <w:r>
        <w:rPr>
          <w:rStyle w:val="FootnoteAnchor"/>
          <w:rtl w:val="true"/>
        </w:rPr>
        <w:footnoteReference w:id="722"/>
      </w:r>
      <w:r>
        <w:rPr>
          <w:rFonts w:ascii="Amiri" w:hAnsi="Amiri" w:eastAsia="Amiri" w:cs="Amiri"/>
          <w:color w:val="111111"/>
          <w:sz w:val="28"/>
          <w:sz w:val="28"/>
          <w:szCs w:val="28"/>
          <w:rtl w:val="true"/>
          <w:lang w:bidi="ar-SA"/>
        </w:rPr>
        <w:t>و حکی أنّه رجّح تحریمهما</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فأمّا إذا کان طریق إثباتهما الآحاد، فإنّه یرجع فی العمل بأحدهما إلی التّرجیح، و قد قدّمنا</w:t>
      </w:r>
      <w:r>
        <w:rPr>
          <w:rStyle w:val="FootnoteAnchor"/>
          <w:rtl w:val="true"/>
        </w:rPr>
        <w:footnoteReference w:id="723"/>
      </w:r>
      <w:r>
        <w:rPr>
          <w:rFonts w:ascii="IRNazanin" w:hAnsi="IRNazanin" w:eastAsia="IRNazanin"/>
          <w:color w:val="111111"/>
          <w:sz w:val="28"/>
          <w:sz w:val="28"/>
          <w:szCs w:val="28"/>
          <w:rtl w:val="true"/>
          <w:lang w:bidi="fa-IR"/>
        </w:rPr>
        <w:t>ما یرجّح به أحد الخبرین علی الآخر بما یرجع إلی إسناده أو متنه، فأغنی عن الإعادة، مثال ذلک ما روی عن النبیّ صلّی اللّه علیه و آله و سلّم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نام </w:t>
      </w:r>
    </w:p>
    <w:p>
      <w:pPr>
        <w:pStyle w:val="BookText"/>
        <w:rPr/>
      </w:pPr>
      <w:r>
        <w:rPr>
          <w:rFonts w:ascii="IRNazanin" w:hAnsi="IRNazanin" w:eastAsia="IRNazanin"/>
          <w:color w:val="111111"/>
          <w:sz w:val="28"/>
          <w:sz w:val="28"/>
          <w:szCs w:val="28"/>
          <w:rtl w:val="true"/>
          <w:lang w:bidi="fa-IR"/>
        </w:rPr>
        <w:t>عن صلاة أو نسیها فلیصلّها إذا ذکرها</w:t>
      </w:r>
      <w:r>
        <w:rPr>
          <w:rFonts w:eastAsia="IRNazanin" w:cs="IRNazanin"/>
          <w:color w:val="111111"/>
          <w:sz w:val="28"/>
          <w:szCs w:val="28"/>
          <w:rtl w:val="true"/>
          <w:lang w:bidi="fa-IR"/>
        </w:rPr>
        <w:t>»</w:t>
      </w:r>
      <w:r>
        <w:rPr>
          <w:rStyle w:val="FootnoteAnchor"/>
          <w:rtl w:val="true"/>
        </w:rPr>
        <w:footnoteReference w:id="724"/>
      </w:r>
    </w:p>
    <w:p>
      <w:pPr>
        <w:pStyle w:val="BookText"/>
        <w:rPr/>
      </w:pPr>
      <w:r>
        <w:rPr>
          <w:rFonts w:ascii="IRNazanin" w:hAnsi="IRNazanin" w:eastAsia="IRNazanin"/>
          <w:color w:val="111111"/>
          <w:sz w:val="28"/>
          <w:sz w:val="28"/>
          <w:szCs w:val="28"/>
          <w:rtl w:val="true"/>
          <w:lang w:bidi="fa-IR"/>
        </w:rPr>
        <w:t xml:space="preserve">مجمع الزوائد </w:t>
      </w:r>
      <w:r>
        <w:rPr>
          <w:rFonts w:eastAsia="IRNazanin" w:cs="IRNazanin"/>
          <w:color w:val="111111"/>
          <w:sz w:val="28"/>
          <w:szCs w:val="28"/>
          <w:lang w:bidi="fa-IR"/>
        </w:rPr>
        <w:t>322:1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نحوه فی کنزل العمّال </w:t>
      </w:r>
      <w:r>
        <w:rPr>
          <w:rFonts w:eastAsia="IRNazanin" w:cs="IRNazanin"/>
          <w:color w:val="111111"/>
          <w:sz w:val="28"/>
          <w:szCs w:val="28"/>
          <w:lang w:bidi="fa-IR"/>
        </w:rPr>
        <w:t>20142:7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نهی عن الصّلاة فی الأوقات المخصوصة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کذلک روی عنه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بدل دینه فاقتلوه</w:t>
      </w:r>
      <w:r>
        <w:rPr>
          <w:rFonts w:eastAsia="IRNazanin" w:cs="IRNazanin"/>
          <w:color w:val="111111"/>
          <w:sz w:val="28"/>
          <w:szCs w:val="28"/>
          <w:rtl w:val="true"/>
          <w:lang w:bidi="fa-IR"/>
        </w:rPr>
        <w:t>»</w:t>
      </w:r>
      <w:r>
        <w:rPr>
          <w:rStyle w:val="FootnoteAnchor"/>
          <w:rtl w:val="true"/>
        </w:rPr>
        <w:footnoteReference w:id="725"/>
      </w:r>
      <w:r>
        <w:rPr>
          <w:rFonts w:ascii="IRNazanin" w:hAnsi="IRNazanin" w:eastAsia="IRNazanin"/>
          <w:color w:val="111111"/>
          <w:sz w:val="28"/>
          <w:sz w:val="28"/>
          <w:szCs w:val="28"/>
          <w:rtl w:val="true"/>
          <w:lang w:bidi="fa-IR"/>
        </w:rPr>
        <w:t>و کان ذلک عامّا فی الرّجال و النّساء و الصّبیان، ثمّ نهی عن قتل النّساء و الولدان</w:t>
      </w:r>
      <w:r>
        <w:rPr>
          <w:rStyle w:val="FootnoteAnchor"/>
          <w:rtl w:val="true"/>
        </w:rPr>
        <w:footnoteReference w:id="7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الطّریقة فی الکلام علی ذلک ما قدّمناه من الوقف و الرجوع فی العمل بأحدهما إلی دلیل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النّاس من رجّح</w:t>
      </w:r>
      <w:r>
        <w:rPr>
          <w:rStyle w:val="FootnoteAnchor"/>
          <w:rtl w:val="true"/>
        </w:rPr>
        <w:footnoteReference w:id="727"/>
      </w:r>
      <w:r>
        <w:rPr>
          <w:rFonts w:ascii="IRNazanin" w:hAnsi="IRNazanin" w:eastAsia="IRNazanin"/>
          <w:color w:val="111111"/>
          <w:sz w:val="28"/>
          <w:sz w:val="28"/>
          <w:szCs w:val="28"/>
          <w:rtl w:val="true"/>
          <w:lang w:bidi="fa-IR"/>
        </w:rPr>
        <w:t>العمل بأحد هذین الخبرین دون الآخر، بأنّه خرج علی سبب، فإذا عارضه الآخر وجب أن یقصر ذلک علی سببه و لا یعدّی ذلک، لأنّ الآخر یمنع منه</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لنا فی عین هذه المسألة نظر، و لیس ذلک بمانع ممّا قلناه لأنّ هذا مثال، و لو لم یرد هذا المثال لکان ما فرضناه صحیحا</w:t>
      </w:r>
      <w:r>
        <w:rPr>
          <w:rFonts w:eastAsia="IRNazanin" w:cs="IRNazanin"/>
          <w:color w:val="111111"/>
          <w:sz w:val="28"/>
          <w:szCs w:val="28"/>
          <w:rtl w:val="true"/>
          <w:lang w:bidi="fa-IR"/>
        </w:rPr>
        <w:t xml:space="preserve">. </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8" w:name="pg6519_49603"/>
      <w:bookmarkStart w:id="229" w:name="pg6519_49603"/>
      <w:bookmarkEnd w:id="229"/>
    </w:p>
    <w:p>
      <w:pPr>
        <w:pStyle w:val="Heading3"/>
        <w:numPr>
          <w:ilvl w:val="2"/>
          <w:numId w:val="1"/>
        </w:numPr>
        <w:rPr/>
      </w:pPr>
      <w:bookmarkStart w:id="230" w:name="pg6519_49603"/>
      <w:bookmarkStart w:id="231" w:name="__RefHeading___Toc1757301_653776707"/>
      <w:bookmarkStart w:id="232" w:name="_Toc74"/>
      <w:bookmarkEnd w:id="230"/>
      <w:bookmarkEnd w:id="231"/>
      <w:r>
        <w:rPr>
          <w:rtl w:val="true"/>
        </w:rPr>
        <w:t>الباب السّادس</w:t>
      </w:r>
      <w:r>
        <w:rPr>
          <w:rtl w:val="true"/>
        </w:rPr>
        <w:t xml:space="preserve">: </w:t>
      </w:r>
      <w:r>
        <w:rPr>
          <w:rtl w:val="true"/>
        </w:rPr>
        <w:t>الکلام فی البیان و المجمل</w:t>
      </w:r>
      <w:bookmarkEnd w:id="232"/>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33" w:name="__RefHeading___Toc1757303_653776707"/>
      <w:bookmarkStart w:id="234" w:name="_Toc75"/>
      <w:bookmarkEnd w:id="233"/>
      <w:r>
        <w:rPr>
          <w:rtl w:val="true"/>
        </w:rPr>
        <w:t>اشارة</w:t>
      </w:r>
      <w:bookmarkEnd w:id="234"/>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5" w:name="pg6519_49605"/>
      <w:bookmarkStart w:id="236" w:name="pg6519_49605"/>
      <w:bookmarkEnd w:id="236"/>
    </w:p>
    <w:p>
      <w:pPr>
        <w:pStyle w:val="Heading4"/>
        <w:numPr>
          <w:ilvl w:val="3"/>
          <w:numId w:val="1"/>
        </w:numPr>
        <w:rPr/>
      </w:pPr>
      <w:bookmarkStart w:id="237" w:name="pg6519_49605"/>
      <w:bookmarkStart w:id="238" w:name="__RefHeading___Toc1757305_653776707"/>
      <w:bookmarkStart w:id="239" w:name="_Toc76"/>
      <w:bookmarkEnd w:id="237"/>
      <w:bookmarkEnd w:id="238"/>
      <w:r>
        <w:rPr>
          <w:rtl w:val="true"/>
        </w:rPr>
        <w:t xml:space="preserve">فصل </w:t>
      </w:r>
      <w:r>
        <w:rPr>
          <w:rtl w:val="true"/>
        </w:rPr>
        <w:t xml:space="preserve">- </w:t>
      </w:r>
      <w:r>
        <w:rPr/>
        <w:t>1</w:t>
      </w:r>
      <w:r>
        <w:rPr>
          <w:rtl w:val="true"/>
        </w:rPr>
        <w:t xml:space="preserve"> «</w:t>
      </w:r>
      <w:r>
        <w:rPr>
          <w:rtl w:val="true"/>
        </w:rPr>
        <w:t>فی ذکر حقیقة البیان و المجمل، و ماهیّة النّص، و غیر ذلک</w:t>
      </w:r>
      <w:r>
        <w:rPr>
          <w:rtl w:val="true"/>
        </w:rPr>
        <w:t>»</w:t>
      </w:r>
      <w:bookmarkEnd w:id="239"/>
    </w:p>
    <w:p>
      <w:pPr>
        <w:pStyle w:val="BookText"/>
        <w:rPr/>
      </w:pPr>
      <w:r>
        <w:rPr>
          <w:rFonts w:ascii="IRNazanin" w:hAnsi="IRNazanin" w:eastAsia="IRNazanin"/>
          <w:color w:val="111111"/>
          <w:sz w:val="28"/>
          <w:sz w:val="28"/>
          <w:szCs w:val="28"/>
          <w:rtl w:val="true"/>
          <w:lang w:bidi="fa-IR"/>
        </w:rPr>
        <w:t xml:space="preserve">البیان عبارة عن الأدلّة الّتی تبیّن بها الأحکام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یدلّ کلام أبی علیّ، و أبی هاشم،</w:t>
      </w:r>
      <w:r>
        <w:rPr>
          <w:rStyle w:val="FootnoteAnchor"/>
          <w:rtl w:val="true"/>
        </w:rPr>
        <w:footnoteReference w:id="728"/>
      </w:r>
    </w:p>
    <w:p>
      <w:pPr>
        <w:pStyle w:val="BookText"/>
        <w:rPr/>
      </w:pPr>
      <w:r>
        <w:rPr>
          <w:rFonts w:ascii="IRNazanin" w:hAnsi="IRNazanin" w:eastAsia="IRNazanin"/>
          <w:color w:val="111111"/>
          <w:sz w:val="28"/>
          <w:sz w:val="28"/>
          <w:szCs w:val="28"/>
          <w:rtl w:val="true"/>
          <w:lang w:bidi="fa-IR"/>
        </w:rPr>
        <w:t xml:space="preserve">المعتمد </w:t>
      </w:r>
      <w:r>
        <w:rPr>
          <w:rFonts w:eastAsia="IRNazanin" w:cs="IRNazanin"/>
          <w:color w:val="111111"/>
          <w:sz w:val="28"/>
          <w:szCs w:val="28"/>
          <w:lang w:bidi="fa-IR"/>
        </w:rPr>
        <w:t>293:1</w:t>
      </w:r>
      <w:r>
        <w:rPr>
          <w:rFonts w:ascii="IRNazanin" w:hAnsi="IRNazanin" w:eastAsia="IRNazanin"/>
          <w:color w:val="111111"/>
          <w:sz w:val="28"/>
          <w:sz w:val="28"/>
          <w:szCs w:val="28"/>
          <w:rtl w:val="true"/>
          <w:lang w:bidi="fa-IR"/>
        </w:rPr>
        <w:t>، الذریعة</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 الأحکام </w:t>
      </w:r>
      <w:r>
        <w:rPr>
          <w:rFonts w:eastAsia="IRNazanin" w:cs="IRNazanin"/>
          <w:color w:val="111111"/>
          <w:sz w:val="28"/>
          <w:szCs w:val="28"/>
          <w:lang w:bidi="fa-IR"/>
        </w:rPr>
        <w:t>24:3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 إلیه ذهب أکثر المتکلّمین، و الفقهاء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یعبّر عنه بأنّه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کلّ ذلک یراد به معنی واحد</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ذهب أبو عبد اللّه البصری إلی أنّ البیان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هو العلم الحادث الّذی به یبیّن </w:t>
      </w:r>
    </w:p>
    <w:p>
      <w:pPr>
        <w:pStyle w:val="BookText"/>
        <w:rPr/>
      </w:pPr>
      <w:r>
        <w:rPr>
          <w:rFonts w:ascii="Amiri" w:hAnsi="Amiri" w:eastAsia="Amiri" w:cs="Amiri"/>
          <w:color w:val="111111"/>
          <w:sz w:val="28"/>
          <w:sz w:val="28"/>
          <w:szCs w:val="28"/>
          <w:rtl w:val="true"/>
          <w:lang w:bidi="ar-SA"/>
        </w:rPr>
        <w:t>الشّیء</w:t>
      </w:r>
      <w:r>
        <w:rPr>
          <w:rFonts w:eastAsia="Amiri" w:cs="Amiri" w:ascii="Amiri" w:hAnsi="Amiri"/>
          <w:color w:val="111111"/>
          <w:sz w:val="28"/>
          <w:szCs w:val="28"/>
          <w:rtl w:val="true"/>
          <w:lang w:bidi="ar-SA"/>
        </w:rPr>
        <w:t>»</w:t>
      </w:r>
      <w:r>
        <w:rPr>
          <w:rStyle w:val="FootnoteAnchor"/>
          <w:rtl w:val="true"/>
        </w:rPr>
        <w:footnoteReference w:id="729"/>
      </w:r>
    </w:p>
    <w:p>
      <w:pPr>
        <w:pStyle w:val="BookText"/>
        <w:rPr/>
      </w:pPr>
      <w:r>
        <w:rPr>
          <w:rFonts w:ascii="IRNazanin" w:hAnsi="IRNazanin" w:eastAsia="IRNazanin"/>
          <w:color w:val="111111"/>
          <w:sz w:val="28"/>
          <w:sz w:val="28"/>
          <w:szCs w:val="28"/>
          <w:rtl w:val="true"/>
          <w:lang w:bidi="fa-IR"/>
        </w:rPr>
        <w:t xml:space="preserve">المعتمد </w:t>
      </w:r>
      <w:r>
        <w:rPr>
          <w:rFonts w:eastAsia="IRNazanin" w:cs="IRNazanin"/>
          <w:color w:val="111111"/>
          <w:sz w:val="28"/>
          <w:szCs w:val="28"/>
          <w:lang w:bidi="fa-IR"/>
        </w:rPr>
        <w:t>294:1</w:t>
      </w:r>
      <w:r>
        <w:rPr>
          <w:rFonts w:eastAsia="IRNazanin" w:cs="IRNazanin"/>
          <w:color w:val="111111"/>
          <w:sz w:val="28"/>
          <w:szCs w:val="28"/>
          <w:rtl w:val="true"/>
          <w:lang w:bidi="fa-IR"/>
        </w:rPr>
        <w:t>-</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الذریعة </w:t>
      </w:r>
      <w:r>
        <w:rPr>
          <w:rFonts w:eastAsia="IRNazanin" w:cs="IRNazanin"/>
          <w:color w:val="111111"/>
          <w:sz w:val="28"/>
          <w:szCs w:val="28"/>
          <w:lang w:bidi="fa-IR"/>
        </w:rPr>
        <w:t>330:1</w:t>
      </w:r>
      <w:r>
        <w:rPr>
          <w:rFonts w:ascii="IRNazanin" w:hAnsi="IRNazanin" w:eastAsia="IRNazanin"/>
          <w:color w:val="111111"/>
          <w:sz w:val="28"/>
          <w:sz w:val="28"/>
          <w:szCs w:val="28"/>
          <w:rtl w:val="true"/>
          <w:lang w:bidi="fa-IR"/>
        </w:rPr>
        <w:t xml:space="preserve">، الأحکام </w:t>
      </w:r>
      <w:r>
        <w:rPr>
          <w:rFonts w:eastAsia="IRNazanin" w:cs="IRNazanin"/>
          <w:color w:val="111111"/>
          <w:sz w:val="28"/>
          <w:szCs w:val="28"/>
          <w:lang w:bidi="fa-IR"/>
        </w:rPr>
        <w:t>24:3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النّاس من جعل البیان 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الأدلّة من جهة القول و الکلام دون ما عدا ذلک من الأدلّة</w:t>
      </w:r>
      <w:r>
        <w:rPr>
          <w:rStyle w:val="FootnoteAnchor"/>
          <w:rtl w:val="true"/>
        </w:rPr>
        <w:footnoteReference w:id="7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ذهب الصّیرفی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البیان 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أخرج الشّیء من حدّ الإشکال إلی التجلّی</w:t>
      </w:r>
      <w:r>
        <w:rPr>
          <w:rFonts w:eastAsia="IRNazanin" w:cs="IRNazanin"/>
          <w:color w:val="111111"/>
          <w:sz w:val="28"/>
          <w:szCs w:val="28"/>
          <w:rtl w:val="true"/>
          <w:lang w:bidi="fa-IR"/>
        </w:rPr>
        <w:t>»</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الشّافعی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البیان اسم جامع لمعان متشعّبة</w:t>
      </w:r>
      <w:r>
        <w:rPr>
          <w:rStyle w:val="FootnoteAnchor"/>
          <w:rtl w:val="true"/>
        </w:rPr>
        <w:footnoteReference w:id="732"/>
      </w:r>
      <w:r>
        <w:rPr>
          <w:rFonts w:ascii="IRNazanin" w:hAnsi="IRNazanin" w:eastAsia="IRNazanin"/>
          <w:color w:val="111111"/>
          <w:sz w:val="28"/>
          <w:sz w:val="28"/>
          <w:szCs w:val="28"/>
          <w:rtl w:val="true"/>
          <w:lang w:bidi="fa-IR"/>
        </w:rPr>
        <w:t>الأصول متشعّبة الفروع، و أقلّ ما فیه أنّه بیان لمن نزل القرآن بلسانه</w:t>
      </w:r>
      <w:r>
        <w:rPr>
          <w:rStyle w:val="FootnoteAnchor"/>
          <w:rtl w:val="true"/>
        </w:rPr>
        <w:footnoteReference w:id="7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من فسر کلامه</w:t>
      </w:r>
      <w:r>
        <w:rPr>
          <w:rStyle w:val="FootnoteAnchor"/>
          <w:rtl w:val="true"/>
        </w:rPr>
        <w:footnoteReference w:id="7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غرض الشّافعی بهذا الکلام کان إلی ذکر ما هو بیان فی اللّغة الّتی نزل بها القرآن لا أن یعیّنه، و ذکر أقسام ذلک، و لذلک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متشعّب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أقل ما فیه أنّه ممّا یتبیّن به من نزل القرآن بلسانه المراد، و یبیّن بذلک أنّ فیه ما یکون فی باب الدّلالة علی المراد أقوی و أظهر من بعض، و إن کان جمیعه قد اشترک فیما ذکرناه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أقرب ما یحمل علیه کلامه</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الّذی یدلّ علی ما ذهبنا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أنّه عبارة عن الدّلالة علی اختلاف أقسامها، أنّ بالأدلّة یتوصّل إلی معرفة المدلول، و البیان هو الّذی یصحّ أن یبیّن به ما هو بیان له، </w:t>
      </w:r>
    </w:p>
    <w:p>
      <w:pPr>
        <w:pStyle w:val="BookText"/>
        <w:rPr/>
      </w:pPr>
      <w:r>
        <w:rPr>
          <w:rFonts w:ascii="IRNazanin" w:hAnsi="IRNazanin" w:eastAsia="IRNazanin"/>
          <w:color w:val="111111"/>
          <w:sz w:val="28"/>
          <w:sz w:val="28"/>
          <w:szCs w:val="28"/>
          <w:rtl w:val="true"/>
          <w:lang w:bidi="fa-IR"/>
        </w:rPr>
        <w:t xml:space="preserve">و لأجل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بیّن اللّه تعالی الأحکام، و المراد بذلک أنّه دلّ علیها بأن نصب علیها الأدلّة، فکان بذلک فی حکم المظهر لها، فکما یقال لما قد ظهر بان، فکذلک یقال للمدلول علیه قد بان، و یوصف الدّال بأنّه مبیّن یعلم بصحّة تصرّفها فی جمیع المواضع أنّ المراد به ما قلناه، و تجاوزوا ذلک إلی أن قالوا فی الأمارات الّتی تقتضی غلبة الظّن إنّه بیان، کما قالوا فیها إنّا أدلّة علی ضرب من المجاز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أنکرتم أن یکون البیان عبارة عن العلم الحادث الّذی یتبیّن به الحکم دون الأدلّة الّتی لا یتبیّن بها الحکم، و لأجل ذلک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یوصف اللّه تعالی بأنّه متبیّن لما لم یکن له علم حادث، و لا یقال فی الواحد منّا فیما یعلمه ضرورة أنّه متبیّن له لما لم یکن علمه حادثا، و إنّما یوصف بما یتجدّد له من العلوم الّتی تحدث حالا بعد حال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یجوز أن یکون البیان عبارة عن العمل، لأنّه لو کان کذلک لکان من فعل هذه العلوم یکون هو المبیّن، کما أنّ الدّال یکون من فعل الدّلالة، و نحن نعلم أنّا نصف اللّه تعالی بأنّه قد بیّن لنا الأحکام فهو مبیّن کما یقول إنّه دلّنا فهو دال، و یسمّی الرّسول صلّی اللّه علیه و آله و سلّم أیضا بذلک، 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لِتُبَیِّنَ لِلنّاسِ ما نُزِّلَ إِلَیْهِمْ  </w:t>
      </w:r>
      <w:r>
        <w:rPr>
          <w:rStyle w:val="FootnoteAnchor"/>
          <w:rtl w:val="true"/>
        </w:rPr>
        <w:footnoteReference w:id="735"/>
      </w:r>
    </w:p>
    <w:p>
      <w:pPr>
        <w:pStyle w:val="BookText"/>
        <w:rPr/>
      </w:pP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فجعله علیه السّلام المبیّن لنا الأحکام، و علی ما سأل السّائل کان یجب أن یکون نحن المبیّنین، لأنّ العلوم الحادثة فینا هی من فعلنا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لا یقوله أحد، فعلم بذلک أنّ الأولی ما قلناه</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التّبیّن فلا یقع إلاّ بالعلم علی ما ذکره السّائل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لأجل ذلک لم نصف اللّه </w:t>
      </w:r>
    </w:p>
    <w:p>
      <w:pPr>
        <w:pStyle w:val="BookText"/>
        <w:rPr/>
      </w:pPr>
      <w:r>
        <w:rPr>
          <w:rFonts w:ascii="Amiri" w:hAnsi="Amiri" w:eastAsia="Amiri" w:cs="Amiri"/>
          <w:color w:val="111111"/>
          <w:sz w:val="28"/>
          <w:sz w:val="28"/>
          <w:szCs w:val="28"/>
          <w:rtl w:val="true"/>
          <w:lang w:bidi="ar-SA"/>
        </w:rPr>
        <w:t>تعالی بأنّه متبیّن، و إن کان فی النّاس من ارتکب ذلک و لم یسلّم أنّ التّبیّن لا یقع إلاّ بالعلم الحادث، و حدّ العالم بأنّه مبیّن</w:t>
      </w:r>
      <w:r>
        <w:rPr>
          <w:rStyle w:val="FootnoteAnchor"/>
          <w:rtl w:val="true"/>
        </w:rPr>
        <w:footnoteReference w:id="736"/>
      </w:r>
    </w:p>
    <w:p>
      <w:pPr>
        <w:pStyle w:val="BookText"/>
        <w:rPr/>
      </w:pPr>
      <w:r>
        <w:rPr>
          <w:rFonts w:ascii="Amiri" w:hAnsi="Amiri" w:eastAsia="Amiri" w:cs="Amiri"/>
          <w:color w:val="111111"/>
          <w:sz w:val="28"/>
          <w:sz w:val="28"/>
          <w:szCs w:val="28"/>
          <w:rtl w:val="true"/>
          <w:lang w:bidi="ar-SA"/>
        </w:rPr>
        <w:t>متبیّن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للشیء علی ما هو به، و أجری ذلک علی اللّه تعالی و الواحد منّا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الأولی ما قلناه، و لا ینقض ذلک ما نصرناه من أنّ البیان عبارة عن الأدلّة، لأنّا جعلنا ذلک عبارة عمّا یمکن الاستدلال به لا ما یقع به التّبیّن، و ذلک حاصل فی الأدلّة، فینبغی أن یکون عبارة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أوردناه سؤالا هو شبهة أبی عبد اللّه من أنّ البیان عبارة عن العلم، و قد تکلّمنا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من حدّ البیان بأنّه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اخرج الشّیء من حدّ الإشکال إلی حدّ التجلّی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فقد حدّ البیان بعبارة هی أشکل منها، و ینبغی أن یحدّ الشّیء بما هو أظهر منه، علی أنّ ما ذکروه إنّما هو بعض البیان، لأنّ البیان قد یکون مبتدأ و إن لم یکن هناک مشکل یخرج به إلی التجلّی، فعلم بذلک أنّ الأولی ما اخترناه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المسألة الکلام فیها</w:t>
      </w:r>
      <w:r>
        <w:rPr>
          <w:rStyle w:val="FootnoteAnchor"/>
          <w:rtl w:val="true"/>
        </w:rPr>
        <w:footnoteReference w:id="737"/>
      </w:r>
      <w:r>
        <w:rPr>
          <w:rFonts w:ascii="IRNazanin" w:hAnsi="IRNazanin" w:eastAsia="IRNazanin"/>
          <w:color w:val="111111"/>
          <w:sz w:val="28"/>
          <w:sz w:val="28"/>
          <w:szCs w:val="28"/>
          <w:rtl w:val="true"/>
          <w:lang w:bidi="fa-IR"/>
        </w:rPr>
        <w:t>کلام فی عبارة فلا معنی للإطالة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المجمل فیستعمل علی ضربین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یتناول جملة من الأشیاء، و ذلک مثل العموم، و ألفاظ الجموع، و ما أشبههما، و یسمّی ذلک مجملا لأنّه یتناول جملة من المسمّیات</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الضّرب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أنبأ عن الشّیء علی جهة الجملة دون التفصیل، و لا یمکن أن یعلم المراد به علی التفصیل، نحو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مِنْ أَمْوالِهِمْ صَدَقَةً  </w:t>
      </w:r>
      <w:r>
        <w:rPr>
          <w:rStyle w:val="FootnoteAnchor"/>
          <w:rtl w:val="true"/>
        </w:rPr>
        <w:footnoteReference w:id="738"/>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فِی أَمْوالِهِمْ حَقٌّ مَعْلُومٌ  </w:t>
      </w:r>
      <w:r>
        <w:rPr>
          <w:rStyle w:val="FootnoteAnchor"/>
          <w:rtl w:val="true"/>
        </w:rPr>
        <w:footnoteReference w:id="739"/>
      </w:r>
    </w:p>
    <w:p>
      <w:pPr>
        <w:pStyle w:val="BookText"/>
        <w:rPr/>
      </w:pPr>
      <w:r>
        <w:rPr>
          <w:rFonts w:ascii="IRNazanin" w:hAnsi="IRNazanin" w:eastAsia="IRNazanin"/>
          <w:color w:val="111111"/>
          <w:sz w:val="28"/>
          <w:sz w:val="28"/>
          <w:szCs w:val="28"/>
          <w:rtl w:val="true"/>
          <w:lang w:bidi="fa-IR"/>
        </w:rPr>
        <w:t>المعارج</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آتُوا حَقَّهُ یَوْمَ حَصادِهِ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 ما أشبه ذلک ممّا سنبیّنه فیما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النّص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فهو کلّ خطاب یمکن أن یعرف المراد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حدّ الشّافعی النّص بأنّه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خطاب علم ما أرید به من الحکم کان مستقلاّ بنفسه، أو علم المراد به بغیره</w:t>
      </w:r>
      <w:r>
        <w:rPr>
          <w:rFonts w:eastAsia="IRNazanin" w:cs="IRNazanin"/>
          <w:color w:val="111111"/>
          <w:sz w:val="28"/>
          <w:szCs w:val="28"/>
          <w:rtl w:val="true"/>
          <w:lang w:bidi="fa-IR"/>
        </w:rPr>
        <w:t>»</w:t>
      </w:r>
      <w:r>
        <w:rPr>
          <w:rStyle w:val="FootnoteAnchor"/>
          <w:rtl w:val="true"/>
        </w:rPr>
        <w:footnoteReference w:id="740"/>
      </w:r>
      <w:r>
        <w:rPr>
          <w:rFonts w:ascii="Amiri" w:hAnsi="Amiri" w:eastAsia="Amiri" w:cs="Amiri"/>
          <w:color w:val="111111"/>
          <w:sz w:val="28"/>
          <w:sz w:val="28"/>
          <w:szCs w:val="28"/>
          <w:rtl w:val="true"/>
          <w:lang w:bidi="ar-SA"/>
        </w:rPr>
        <w:t>، و کان یسمّی المجمل نصّا</w:t>
      </w:r>
      <w:r>
        <w:rPr>
          <w:rStyle w:val="FootnoteAnchor"/>
          <w:rtl w:val="true"/>
        </w:rPr>
        <w:footnoteReference w:id="7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إلی ذلک ذهب أبو عبد اللّه البصریّ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الّذی یدلّ علی صحّة ما اخترناه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النّص إنّما یسمّی نصّا لأنّه یظهر المراد و یکشف عن الغرض تشبیها</w:t>
      </w:r>
      <w:r>
        <w:rPr>
          <w:rStyle w:val="FootnoteAnchor"/>
          <w:rtl w:val="true"/>
        </w:rPr>
        <w:footnoteReference w:id="742"/>
      </w:r>
      <w:r>
        <w:rPr>
          <w:rFonts w:ascii="Amiri" w:hAnsi="Amiri" w:eastAsia="Amiri" w:cs="Amiri"/>
          <w:color w:val="111111"/>
          <w:sz w:val="28"/>
          <w:sz w:val="28"/>
          <w:szCs w:val="28"/>
          <w:rtl w:val="true"/>
          <w:lang w:bidi="ar-SA"/>
        </w:rPr>
        <w:t>بالنّص</w:t>
      </w:r>
      <w:r>
        <w:rPr>
          <w:rStyle w:val="FootnoteAnchor"/>
          <w:rtl w:val="true"/>
        </w:rPr>
        <w:footnoteReference w:id="743"/>
      </w:r>
      <w:r>
        <w:rPr>
          <w:rFonts w:ascii="IRNazanin" w:hAnsi="IRNazanin" w:eastAsia="IRNazanin"/>
          <w:color w:val="111111"/>
          <w:sz w:val="28"/>
          <w:sz w:val="28"/>
          <w:szCs w:val="28"/>
          <w:rtl w:val="true"/>
          <w:lang w:bidi="fa-IR"/>
        </w:rPr>
        <w:t>المأخوذ من الرّفع نحو 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منصّة العروس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ظهرت، و نحو ما روی عن النبیّ صلّی اللّه علیه و آله و سلّم أنّه کان حین أفاض من عرفات إلی جمع یسیر علی هینته</w:t>
      </w:r>
      <w:r>
        <w:rPr>
          <w:rStyle w:val="FootnoteAnchor"/>
          <w:rtl w:val="true"/>
        </w:rPr>
        <w:footnoteReference w:id="744"/>
      </w:r>
    </w:p>
    <w:p>
      <w:pPr>
        <w:pStyle w:val="BookText"/>
        <w:rPr/>
      </w:pP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 xml:space="preserve">: </w:t>
      </w:r>
      <w:r>
        <w:rPr>
          <w:rFonts w:eastAsia="IRNazanin" w:cs="IRNazanin"/>
          <w:color w:val="111111"/>
          <w:sz w:val="28"/>
          <w:szCs w:val="28"/>
          <w:lang w:bidi="fa-IR"/>
        </w:rPr>
        <w:t>290:5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فإذا وجد فجوة نصّ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أنّه بلغ فیه الغایة، فعلم بذلک صحّة ما قلناه</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المفسّر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فهو ما یمکن معرفة المراد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هو موضوع فی الأصل لما له تفسیر، لکنّه لما کان ما له تفسیر یعلم بتفسیره مراده، و کان ما یعلم المراد به بنفسه بمنزلته سمّی مفسّرا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أمّا المحکم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فهو ما لا یحتمل إلاّ الوجه الواحد الّذی أرید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وصف محکما لأنّه قد أحکم فی باب الإبانة عن المراد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المتشابه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ما احتمل وجهین فصاعدا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فأمّا وصف القرآن بأنّه متشابه کلّه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نَزَّلَ أَحْسَنَ الْحَدِیثِ کِتاباً مُتَشابِهاً  </w:t>
      </w:r>
      <w:r>
        <w:rPr>
          <w:rStyle w:val="FootnoteAnchor"/>
          <w:rtl w:val="true"/>
        </w:rPr>
        <w:footnoteReference w:id="745"/>
      </w:r>
    </w:p>
    <w:p>
      <w:pPr>
        <w:pStyle w:val="BookText"/>
        <w:rPr/>
      </w:pPr>
      <w:r>
        <w:rPr>
          <w:rFonts w:ascii="IRNazanin" w:hAnsi="IRNazanin" w:eastAsia="IRNazanin"/>
          <w:color w:val="111111"/>
          <w:sz w:val="28"/>
          <w:sz w:val="28"/>
          <w:szCs w:val="28"/>
          <w:rtl w:val="true"/>
          <w:lang w:bidi="fa-IR"/>
        </w:rPr>
        <w:t>الزمر</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فالمراد به أنّه متماثل فی باب الدّلالة و الهدایة و الإعجاز، و قد وصفه اللّه تعالی بأنّه محکم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 کِتابٌ أُحْکِمَتْ آیاتُهُ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 المعنیّ بذلک أنّه أحکمه علی وجه لا یقع فیه تفاوت، و یحصل به الغرض المقصود، و لذلک وجب حمل المتشابه علی المحکم، و یجعل المحکم أصلا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وصف اللّه تعالی القرآن بأنّ بعضه محکم و بعضه متشابه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الَّذِی أَنْزَلَ عَلَیْکَ الْکِتابَ مِنْهُ آیاتٌ مُحْکَماتٌ هُنَّ أُمُّ الْکِتابِ وَ أُخَرُ مُتَشابِهاتٌ  </w:t>
      </w:r>
      <w:r>
        <w:rPr>
          <w:rStyle w:val="FootnoteAnchor"/>
          <w:rtl w:val="true"/>
        </w:rPr>
        <w:footnoteReference w:id="746"/>
      </w:r>
      <w:r>
        <w:rPr>
          <w:rFonts w:ascii="IRNazanin" w:hAnsi="IRNazanin" w:eastAsia="IRNazanin"/>
          <w:color w:val="111111"/>
          <w:sz w:val="28"/>
          <w:sz w:val="28"/>
          <w:szCs w:val="28"/>
          <w:rtl w:val="true"/>
          <w:lang w:bidi="fa-IR"/>
        </w:rPr>
        <w:t>و المعنیّ بذلک ما قدّمناه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الظّاهر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فهو ما یظهر المراد به للسّامع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فمن حیث ظهر مراده وصف هو بأنّه ظاهر</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بیّنا فیما تقدّم معنی العام، و الخاصّ، و الأمر، و النّهی، فأغنی عن الإعادة إن شاء اللّه تعالی</w:t>
      </w:r>
      <w:r>
        <w:rPr>
          <w:rFonts w:eastAsia="IRNazanin" w:cs="IRNazanin"/>
          <w:color w:val="111111"/>
          <w:sz w:val="28"/>
          <w:szCs w:val="28"/>
          <w:rtl w:val="true"/>
          <w:lang w:bidi="fa-IR"/>
        </w:rPr>
        <w:t xml:space="preserve">. </w:t>
      </w:r>
      <w:bookmarkStart w:id="240" w:name="pg6519_49611"/>
    </w:p>
    <w:p>
      <w:pPr>
        <w:pStyle w:val="Heading4"/>
        <w:numPr>
          <w:ilvl w:val="3"/>
          <w:numId w:val="1"/>
        </w:numPr>
        <w:rPr/>
      </w:pPr>
      <w:bookmarkStart w:id="241" w:name="__RefHeading___Toc1757307_653776707"/>
      <w:bookmarkStart w:id="242" w:name="_Toc77"/>
      <w:bookmarkEnd w:id="240"/>
      <w:bookmarkEnd w:id="241"/>
      <w:r>
        <w:rPr>
          <w:rtl w:val="true"/>
        </w:rPr>
        <w:t xml:space="preserve">فصل </w:t>
      </w:r>
      <w:r>
        <w:rPr>
          <w:rtl w:val="true"/>
        </w:rPr>
        <w:t xml:space="preserve">- </w:t>
      </w:r>
      <w:r>
        <w:rPr/>
        <w:t>2</w:t>
      </w:r>
      <w:r>
        <w:rPr>
          <w:rtl w:val="true"/>
        </w:rPr>
        <w:t xml:space="preserve"> «</w:t>
      </w:r>
      <w:r>
        <w:rPr>
          <w:rtl w:val="true"/>
        </w:rPr>
        <w:t>فی ذکر جملة ما یحتاج إلی البیان و ما لا یحتاج</w:t>
      </w:r>
      <w:r>
        <w:rPr>
          <w:rtl w:val="true"/>
        </w:rPr>
        <w:t>»</w:t>
      </w:r>
      <w:bookmarkEnd w:id="242"/>
    </w:p>
    <w:p>
      <w:pPr>
        <w:pStyle w:val="BookText"/>
        <w:rPr/>
      </w:pPr>
      <w:r>
        <w:rPr>
          <w:rFonts w:ascii="IRNazanin" w:hAnsi="IRNazanin" w:eastAsia="IRNazanin"/>
          <w:color w:val="111111"/>
          <w:sz w:val="28"/>
          <w:sz w:val="28"/>
          <w:szCs w:val="28"/>
          <w:rtl w:val="true"/>
          <w:lang w:bidi="fa-IR"/>
        </w:rPr>
        <w:t>الخطاب علی ضربین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یستقلّ بنفسه، و یمکن معرفة المراد به بظاهره، و إن لم یضف إلیه أمر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یستقلّ بنفسه، و لا یفهم المراد به بعینه، إلاّ أن یقترن به بیان یدلّ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ما یستقلّ بنفسه فعلی أربعة أقسام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وضع فی أصل اللّغة لما أرید به و کان صریحا فیه، سواء أ کان عامّا أو خاصّا، أمرا کان أو نهیا، فإنّ جمیع هذه الألفاظ یمکن معرفة المراد بظاهرها، فمتی خاطب الحکیم بها و أراد به ذلک أمکن أن یعلم مراده بها، و نظیر ذلک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تَقْتُلُوا النَّفْسَ الَّتِی حَرَّمَ اللّهُ إِلاّ بِالْحَقِّ  </w:t>
      </w:r>
      <w:r>
        <w:rPr>
          <w:rStyle w:val="FootnoteAnchor"/>
          <w:rtl w:val="true"/>
        </w:rPr>
        <w:footnoteReference w:id="747"/>
      </w:r>
    </w:p>
    <w:p>
      <w:pPr>
        <w:pStyle w:val="BookText"/>
        <w:rPr/>
      </w:pPr>
      <w:r>
        <w:rPr>
          <w:rFonts w:ascii="IRNazanin" w:hAnsi="IRNazanin" w:eastAsia="IRNazanin"/>
          <w:color w:val="111111"/>
          <w:sz w:val="28"/>
          <w:sz w:val="28"/>
          <w:szCs w:val="28"/>
          <w:rtl w:val="true"/>
          <w:lang w:bidi="fa-IR"/>
        </w:rPr>
        <w:t>الأنعام</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یَظْلِمُ رَبُّکَ أَحَداً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بِکُلِّ شَیْءٍ عَلِیمٌ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غیر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ثانیها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یفهم المراد بفحواه لا بصریحه، و ذلک نحو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تَقُلْ لَهُما أُفٍّ وَ لا تَنْهَرْهُما  </w:t>
      </w:r>
      <w:r>
        <w:rPr>
          <w:rStyle w:val="FootnoteAnchor"/>
          <w:rtl w:val="true"/>
        </w:rPr>
        <w:footnoteReference w:id="748"/>
      </w:r>
    </w:p>
    <w:p>
      <w:pPr>
        <w:pStyle w:val="BookText"/>
        <w:rPr/>
      </w:pPr>
      <w:r>
        <w:rPr>
          <w:rFonts w:ascii="IRNazanin" w:hAnsi="IRNazanin" w:eastAsia="IRNazanin"/>
          <w:color w:val="111111"/>
          <w:sz w:val="28"/>
          <w:sz w:val="28"/>
          <w:szCs w:val="28"/>
          <w:rtl w:val="true"/>
          <w:lang w:bidi="fa-IR"/>
        </w:rPr>
        <w:t>الإسراء</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فحواه یدلّ علی المنع من أذاهما علی کلّ وجه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کذلک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یُظْلَمُونَ فَتِیلاً  </w:t>
      </w:r>
      <w:r>
        <w:rPr>
          <w:rStyle w:val="FootnoteAnchor"/>
          <w:rtl w:val="true"/>
        </w:rPr>
        <w:footnoteReference w:id="749"/>
      </w:r>
      <w:r>
        <w:rPr>
          <w:rFonts w:ascii="IRNazanin" w:hAnsi="IRNazanin" w:eastAsia="IRNazanin"/>
          <w:color w:val="111111"/>
          <w:sz w:val="28"/>
          <w:sz w:val="28"/>
          <w:szCs w:val="28"/>
          <w:rtl w:val="true"/>
          <w:lang w:bidi="fa-IR"/>
        </w:rPr>
        <w:t>، لأنّه یقتضی فحواه نفی الظّلم لهم بذلک و ما زاد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الفقهاء من ألحق هذا الوجه بالقیاس، و زعم أنّ جمیع ذلک یفهم بضرب من الاعتبار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ذلک خطأ، لأنّ دلالة ما قدّمناه من الألفاظ علی ما قلناه أقوی من دلالة النّص، لأنّ السّامع لا یحتاج فی معرفة المراد به إلی تأمّل، فهو إذا کالأوّل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یکشف عمّا قلناه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تقل لهما أف و اضربهما، أو اقتلهما، أو اصفقهما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یعدّ بذلک مناقضا، و کذلک لو قال رجل لغیره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لا أعطیک حبّة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لکنّی أعطیک الدّراهم و أخلع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ذلک مناقضة ظاهرة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أنّ قائلا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فلانا یؤتمن علی قنطار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یخون</w:t>
      </w:r>
      <w:r>
        <w:rPr>
          <w:rStyle w:val="FootnoteAnchor"/>
          <w:rtl w:val="true"/>
        </w:rPr>
        <w:footnoteReference w:id="750"/>
      </w:r>
      <w:r>
        <w:rPr>
          <w:rFonts w:ascii="IRNazanin" w:hAnsi="IRNazanin" w:eastAsia="IRNazanin"/>
          <w:color w:val="111111"/>
          <w:sz w:val="28"/>
          <w:sz w:val="28"/>
          <w:szCs w:val="28"/>
          <w:rtl w:val="true"/>
          <w:lang w:bidi="fa-IR"/>
        </w:rPr>
        <w:t>فیما قدر دانق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ذلک مناقضة، فعلم بجمیع ذلک صحّة ما قلناه</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أنّه ربّما کان بعضه أخفی</w:t>
      </w:r>
      <w:r>
        <w:rPr>
          <w:rStyle w:val="FootnoteAnchor"/>
          <w:rtl w:val="true"/>
        </w:rPr>
        <w:footnoteReference w:id="751"/>
      </w:r>
      <w:r>
        <w:rPr>
          <w:rFonts w:ascii="Amiri" w:hAnsi="Amiri" w:eastAsia="Amiri" w:cs="Amiri"/>
          <w:color w:val="111111"/>
          <w:sz w:val="28"/>
          <w:sz w:val="28"/>
          <w:szCs w:val="28"/>
          <w:rtl w:val="true"/>
          <w:lang w:bidi="ar-SA"/>
        </w:rPr>
        <w:t>من بعض، و بعضه أظهر من بعض، حتّی یظنّ فیما لیس منه إنّه منه، و فیما هو منه أنّه لیس منه، و لأجل ذلک اعتقد أکثر الفقهاء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کانَ مِنْکُمْ مَرِیضاً أَوْ عَلی سَفَرٍ فَعِدَّةٌ مِنْ أَیّامٍ أُخَرَ  </w:t>
      </w:r>
      <w:r>
        <w:rPr>
          <w:rStyle w:val="FootnoteAnchor"/>
          <w:rtl w:val="true"/>
        </w:rPr>
        <w:footnoteReference w:id="752"/>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یعقل منه فأفطر فعدّة من أیّام أخر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هذا لیس بصحیح، لأنّ عندنا أنّ وجوب القضاء فی هذه الآیة یتعلّق بنفس السّفر و المرض المخصوصین و إن لم یفطر الإنسان فتقدیر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الإفطار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یحتاج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قال من الفقهاء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وجوب القضاء فی هذا الموضع متعلّق بالإفطار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فالمحصّلون منهم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ذلک طریقه الدّلیل، و لیس هو من باب فحوی الخطاب فی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 الحکم بصفة الشّیء، فإنّه یدلّ علی أنّ ما عداه بخلافه، علی ما ندلّ</w:t>
      </w:r>
      <w:r>
        <w:rPr>
          <w:rStyle w:val="FootnoteAnchor"/>
          <w:rtl w:val="true"/>
        </w:rPr>
        <w:footnoteReference w:id="753"/>
      </w:r>
    </w:p>
    <w:p>
      <w:pPr>
        <w:pStyle w:val="BookText"/>
        <w:rPr/>
      </w:pPr>
      <w:r>
        <w:rPr>
          <w:rFonts w:ascii="Amiri" w:hAnsi="Amiri" w:eastAsia="Amiri" w:cs="Amiri"/>
          <w:color w:val="111111"/>
          <w:sz w:val="28"/>
          <w:sz w:val="28"/>
          <w:szCs w:val="28"/>
          <w:rtl w:val="true"/>
          <w:lang w:bidi="ar-SA"/>
        </w:rPr>
        <w:t>یدلّ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علیه، و إن کان فیه 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رابعها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ذهب إلیه کثیر من الفقهاء و هو ما تدلّ فائدته علیه لا صریحه و لا فحواه و لا دلیله، و هو علی ضروب عندهم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یدلّ علیه تعلیله نحو قوله علیه السّلام فی الهرّ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إنّها من الطّوافین علیکم و الطّوافات</w:t>
      </w:r>
      <w:r>
        <w:rPr>
          <w:rFonts w:eastAsia="IRNazanin" w:cs="IRNazanin"/>
          <w:color w:val="111111"/>
          <w:sz w:val="28"/>
          <w:szCs w:val="28"/>
          <w:rtl w:val="true"/>
          <w:lang w:bidi="fa-IR"/>
        </w:rPr>
        <w:t>»</w:t>
      </w:r>
      <w:r>
        <w:rPr>
          <w:rStyle w:val="FootnoteAnchor"/>
          <w:rtl w:val="true"/>
        </w:rPr>
        <w:footnoteReference w:id="754"/>
      </w:r>
      <w:r>
        <w:rPr>
          <w:rFonts w:ascii="IRNazanin" w:hAnsi="IRNazanin" w:eastAsia="IRNazanin"/>
          <w:color w:val="111111"/>
          <w:sz w:val="28"/>
          <w:sz w:val="28"/>
          <w:szCs w:val="28"/>
          <w:rtl w:val="true"/>
          <w:lang w:bidi="fa-IR"/>
        </w:rPr>
        <w:t>لأنّ اللّفظ لا یتناول ما عدا الهرّ، و لا یعقل ذلک بفحواه و لا بدلیله، و إنّما یحکم ذلک بالتّعلیل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السّارِقُ وَ السّارِقَةُ  </w:t>
      </w:r>
      <w:r>
        <w:rPr>
          <w:rStyle w:val="FootnoteAnchor"/>
          <w:rtl w:val="true"/>
        </w:rPr>
        <w:footnoteReference w:id="755"/>
      </w:r>
      <w:r>
        <w:rPr>
          <w:rFonts w:ascii="Amiri" w:hAnsi="Amiri" w:eastAsia="Amiri" w:cs="Amiri"/>
          <w:color w:val="111111"/>
          <w:sz w:val="28"/>
          <w:sz w:val="28"/>
          <w:szCs w:val="28"/>
          <w:rtl w:val="true"/>
          <w:lang w:bidi="ar-SA"/>
        </w:rPr>
        <w:t xml:space="preserve">، و اَلزّانِیَةُ وَ الزّانِی  </w:t>
      </w:r>
      <w:r>
        <w:rPr>
          <w:rStyle w:val="FootnoteAnchor"/>
          <w:rtl w:val="true"/>
        </w:rPr>
        <w:footnoteReference w:id="756"/>
      </w:r>
      <w:r>
        <w:rPr>
          <w:rFonts w:ascii="IRNazanin" w:hAnsi="IRNazanin" w:eastAsia="IRNazanin"/>
          <w:color w:val="111111"/>
          <w:sz w:val="28"/>
          <w:sz w:val="28"/>
          <w:szCs w:val="28"/>
          <w:rtl w:val="true"/>
          <w:lang w:bidi="fa-IR"/>
        </w:rPr>
        <w:t>أنّه لمّا أفاد الزجر بالآیتین، أفاد أنّ القطع تعلّق بالسّرقة، و الجلد بالزّنا، فعلم ذلک فی جمیع السّرّاق و الزّناة، و هذا عند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الألف و اللاّم لا یستغرقان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من قال بذلک، فلا یحتاج إلی هذا التّمحّل بل یوجب ذلک بلفظ العموم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قدّمناه من أنّ الأمر بالشّیء یقتضی الأمر بما لم</w:t>
      </w:r>
      <w:r>
        <w:rPr>
          <w:rStyle w:val="FootnoteAnchor"/>
          <w:rtl w:val="true"/>
        </w:rPr>
        <w:footnoteReference w:id="757"/>
      </w:r>
      <w:r>
        <w:rPr>
          <w:rFonts w:ascii="Amiri" w:hAnsi="Amiri" w:eastAsia="Amiri" w:cs="Amiri"/>
          <w:color w:val="111111"/>
          <w:sz w:val="28"/>
          <w:sz w:val="28"/>
          <w:szCs w:val="28"/>
          <w:rtl w:val="true"/>
          <w:lang w:bidi="ar-SA"/>
        </w:rPr>
        <w:t>یتمّ إلاّ به، و أنّ فائدة القول یدلّ علی ذلک</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قلنا ما عندنا فی جمیع هذه الأمثلة بما</w:t>
      </w:r>
      <w:r>
        <w:rPr>
          <w:rStyle w:val="FootnoteAnchor"/>
          <w:rtl w:val="true"/>
        </w:rPr>
        <w:footnoteReference w:id="758"/>
      </w:r>
      <w:r>
        <w:rPr>
          <w:rFonts w:ascii="IRNazanin" w:hAnsi="IRNazanin" w:eastAsia="IRNazanin"/>
          <w:color w:val="111111"/>
          <w:sz w:val="28"/>
          <w:sz w:val="28"/>
          <w:szCs w:val="28"/>
          <w:rtl w:val="true"/>
          <w:lang w:bidi="fa-IR"/>
        </w:rPr>
        <w:t>أغنی عن الإعادة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فأمّا ما لا یستقلّ بنفسه فی إفادة المراد، و یحتاج إلی ما یقترن به من البیان فعلی ضربین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یحتاج إلی بیان ما لم یرد به ممّا یقتضی ظاهر کونه مرادا، و لا یحتاج إلی بیان ما أرید به، بل یعلم ذلک بظاهره، و ذلک نحو العام إذا علم أنّه دخله التّخصیص، فإنّه یحتاج فی معرفة ما اخرج منه إلی دلیل لا فیما أرید به، لأنّ ما أرید به علم ذلک باللّفظ المتناول له، و یحتاج أن یعلم ما لم یرد به منه، و ذلک نحو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السّارِقُ وَ السّارِقَةُ   </w:t>
      </w:r>
      <w:r>
        <w:rPr>
          <w:rStyle w:val="FootnoteAnchor"/>
          <w:rtl w:val="true"/>
        </w:rPr>
        <w:footnoteReference w:id="759"/>
      </w:r>
    </w:p>
    <w:p>
      <w:pPr>
        <w:pStyle w:val="BookText"/>
        <w:rPr/>
      </w:pP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 اَلزّانِیَةُ وَ الزّانِی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 فَاقْتُلُوا الْمُشْرِکِینَ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 إنّه لما علمنا أنّ فی السّراق من لا یجب قطعه مثل أن یکون سارقا من غیر حرز، أو سرق ما دون النّصاب، أو لم یکن عاقلا، أو کان هناک شبهة، و غیر ذلک من الشّرائط المراعاة فی ذلک احتیج إلی بیان من لا یقطع، لأن عمومه یقتضی أن یقطع کلّ سارق من حصلت فیه الصّفات الّتی ذکرناها، و من لم یحصل، فإذا دلّ الدّلیل علی أنّ من لم تکمل هذه الصفات فیه لا یجب قطعه، اخرج من ذلک و قطع الباقون بظاهر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القول فی آیة الزّنا، و الشّرک فالطریقة واحدة</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النّاس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ألحق هذا الباب بالمجمل الّذی یحتاج إلی بیان المراد منه </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یصحّ التّعلّق بظاهره، و سنبیّن ما عندنا فی ذلک فیما بعد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الضّرب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ما یحتاج إلی البیان فی معرفة ما أرید به، و هو علی ضروب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وضع فی أصل اللّغة لیدلّ علی المراد علی طریق</w:t>
      </w:r>
      <w:r>
        <w:rPr>
          <w:rStyle w:val="FootnoteAnchor"/>
          <w:rtl w:val="true"/>
        </w:rPr>
        <w:footnoteReference w:id="760"/>
      </w:r>
    </w:p>
    <w:p>
      <w:pPr>
        <w:pStyle w:val="BookText"/>
        <w:rPr/>
      </w:pPr>
      <w:r>
        <w:rPr>
          <w:rFonts w:ascii="IRNazanin" w:hAnsi="IRNazanin" w:eastAsia="IRNazanin"/>
          <w:color w:val="111111"/>
          <w:sz w:val="28"/>
          <w:sz w:val="28"/>
          <w:szCs w:val="28"/>
          <w:rtl w:val="true"/>
          <w:lang w:bidi="fa-IR"/>
        </w:rPr>
        <w:t>فی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الجملة دون التّفصیل، و ذلک نحو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یُعْطُوا الْجِزْیَةَ عَنْ یَدٍ وَ هُمْ صاغِرُونَ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 فِی أَمْوالِهِمْ حَقٌّ مَعْلُومٌ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آتُوا حَقَّهُ یَوْمَ حَصادِهِ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تَقْتُلُوا النَّفْسَ الَّتِی حَرَّمَ اللّهُ إِلاّ بِالْحَقِّ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 نحو قول النّبی صلّی اللّه علیه و آله و سلّم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عصموا منّی دماءهم و أموالهم إلاّ بحقّها</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ذلک من الأمثلة</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وضع فی اللغة محتملا لمعان نحو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قُتِلَ مَظْلُوماً فَقَدْ جَعَلْنا لِوَلِیِّهِ سُلْطاناً  </w:t>
      </w:r>
      <w:r>
        <w:rPr>
          <w:rStyle w:val="FootnoteAnchor"/>
          <w:rtl w:val="true"/>
        </w:rPr>
        <w:footnoteReference w:id="761"/>
      </w:r>
      <w:r>
        <w:rPr>
          <w:rFonts w:ascii="Amiri" w:hAnsi="Amiri" w:eastAsia="Amiri" w:cs="Amiri"/>
          <w:color w:val="111111"/>
          <w:sz w:val="28"/>
          <w:sz w:val="28"/>
          <w:szCs w:val="28"/>
          <w:rtl w:val="true"/>
          <w:lang w:bidi="ar-SA"/>
        </w:rPr>
        <w:t xml:space="preserve">لأنّ ذلک یحتمل، و کذلک قوله یَتَرَبَّصْنَ بِأَنْفُسِهِنَّ ثَلاثَةَ قُرُوءٍ  </w:t>
      </w:r>
      <w:r>
        <w:rPr>
          <w:rStyle w:val="FootnoteAnchor"/>
          <w:rtl w:val="true"/>
        </w:rPr>
        <w:footnoteReference w:id="762"/>
      </w:r>
      <w:r>
        <w:rPr>
          <w:rFonts w:ascii="IRNazanin" w:hAnsi="IRNazanin" w:eastAsia="IRNazanin"/>
          <w:color w:val="111111"/>
          <w:sz w:val="28"/>
          <w:sz w:val="28"/>
          <w:szCs w:val="28"/>
          <w:rtl w:val="true"/>
          <w:lang w:bidi="fa-IR"/>
        </w:rPr>
        <w:t>فإنّ ذلک یحتمل الحیض و الطّهر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الأسماء الشّرعیّة لأنّها أجمع تحتاج إلی بیان ما أرید به نحو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أَقِیمُوا الصَّلاةَ وَ آتُوا الزَّکاةَ   </w:t>
      </w:r>
      <w:r>
        <w:rPr>
          <w:rStyle w:val="FootnoteAnchor"/>
          <w:rtl w:val="true"/>
        </w:rPr>
        <w:footnoteReference w:id="763"/>
      </w:r>
    </w:p>
    <w:p>
      <w:pPr>
        <w:pStyle w:val="BookText"/>
        <w:rPr/>
      </w:pP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لأنّه قد علمنا بالدّلیل أنّه أراد غیر ما وضعت هذه الألفاظ فی اللّغة له، إلاّ أنّ ذلک علی ضربین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یراد به ما لم یوضع فی اللّغة له البتّة نحو الصّلاة، إلاّ أنّ ذلک علی ضربین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یراد به ما لم یوضع فی اللّغة له البتّة نحو الصّلاة، و الزکاة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أرید به بعض ما وضع له فی اللّغة، لکنّه جعل اسما فی الشّرع لما یقع منه علی وجه مخصوص، أو یبلغ حدّا مخصوصا، فصار کأنّه مستعمل فی غیر ما وضع له نحو الصّیام، و الوضوء، 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وضع فی اللّغة لینبئ عن المراد به لکنّه قد علم أنّه لم یرد به بعض ما تناوله من غیر تعیین لذلک البعض، فهذا لا یعلم المراد به لأنّه لا شیء یشار إلیه ممّا یتناوله إلاّ و یجوز أن یکون مخصوصا منه، و من ذلک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أُوتِیَتْ مِنْ کُلِّ شَیْءٍ  </w:t>
      </w:r>
      <w:r>
        <w:rPr>
          <w:rStyle w:val="FootnoteAnchor"/>
          <w:rtl w:val="true"/>
        </w:rPr>
        <w:footnoteReference w:id="764"/>
      </w:r>
      <w:r>
        <w:rPr>
          <w:rFonts w:ascii="IRNazanin" w:hAnsi="IRNazanin" w:eastAsia="IRNazanin"/>
          <w:color w:val="111111"/>
          <w:sz w:val="28"/>
          <w:sz w:val="28"/>
          <w:szCs w:val="28"/>
          <w:rtl w:val="true"/>
          <w:lang w:bidi="fa-IR"/>
        </w:rPr>
        <w:t>بأنّه لمّا علمنا أنّها لم تؤت أشیاء کثیرة علی طریق الجملة احتجنا فی معرفة ما أوتیت إلی دلیل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ألحق قوم بهذا الوجه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افْعَلُوا الْخَیْرَ  </w:t>
      </w:r>
      <w:r>
        <w:rPr>
          <w:rStyle w:val="FootnoteAnchor"/>
          <w:rtl w:val="true"/>
        </w:rPr>
        <w:footnoteReference w:id="765"/>
      </w:r>
      <w:r>
        <w:rPr>
          <w:rFonts w:ascii="IRNazanin" w:hAnsi="IRNazanin" w:eastAsia="IRNazanin"/>
          <w:color w:val="111111"/>
          <w:sz w:val="28"/>
          <w:sz w:val="28"/>
          <w:szCs w:val="28"/>
          <w:rtl w:val="true"/>
          <w:lang w:bidi="fa-IR"/>
        </w:rPr>
        <w:t>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إذا لم یصحّ أن یرید بذلک جمیع الخیر، لأنّ فیه ما لیس بواجب، فالواجب یحتاج إلی بیان، و یراد بالأمر النّدب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لیس بصحیح، لأنّ الخبر الّذی قد علم نفی وجوبه معلوم، و ذلک هو الّذی لم یرد، فأمّا ما عداه فمعلوم وجوب فعله بظاهر اللّفظ کما یقول فی سائر ألفاظ العموم الّذی یخصّ بعضها</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وضع فی اللّغة لیدلّ علی المراد بظاهره، إلاّ أنّه إذا تعقّبه شرط أو استثناء مجمل یرجع إلیه صار ما تقدّمه مجملا، و ذلک نحو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أُحِلَّ لَکُمْ </w:t>
      </w:r>
    </w:p>
    <w:p>
      <w:pPr>
        <w:pStyle w:val="BookText"/>
        <w:rPr/>
      </w:pPr>
      <w:r>
        <w:rPr>
          <w:rFonts w:ascii="Amiri" w:hAnsi="Amiri" w:eastAsia="Amiri" w:cs="Amiri"/>
          <w:color w:val="111111"/>
          <w:sz w:val="28"/>
          <w:sz w:val="28"/>
          <w:szCs w:val="28"/>
          <w:rtl w:val="true"/>
          <w:lang w:bidi="ar-SA"/>
        </w:rPr>
        <w:t xml:space="preserve">ما وَراءَ ذلِکُمْ   </w:t>
      </w:r>
      <w:r>
        <w:rPr>
          <w:rStyle w:val="FootnoteAnchor"/>
          <w:rtl w:val="true"/>
        </w:rPr>
        <w:footnoteReference w:id="766"/>
      </w:r>
    </w:p>
    <w:p>
      <w:pPr>
        <w:pStyle w:val="BookText"/>
        <w:rPr/>
      </w:pP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ذلک یقتضی إباحة کلّ ما وراء المحرّمات، فلمّا قال بعده مُحْصِنِینَ غَیْرَ مُسافِحِینَ   و کان مجملا افتقرت الآیة إلی بیان و صارت مجملة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 ذلک أیضا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أُحِلَّتْ لَکُمْ بَهِیمَةُ الْأَنْعامِ إِلاّ ما یُتْلی عَلَیْکُمْ  </w:t>
      </w:r>
      <w:r>
        <w:rPr>
          <w:rStyle w:val="FootnoteAnchor"/>
          <w:rtl w:val="true"/>
        </w:rPr>
        <w:footnoteReference w:id="767"/>
      </w:r>
      <w:r>
        <w:rPr>
          <w:rFonts w:ascii="IRNazanin" w:hAnsi="IRNazanin" w:eastAsia="IRNazanin"/>
          <w:color w:val="111111"/>
          <w:sz w:val="28"/>
          <w:sz w:val="28"/>
          <w:szCs w:val="28"/>
          <w:rtl w:val="true"/>
          <w:lang w:bidi="fa-IR"/>
        </w:rPr>
        <w:t>لأنّ ما یتلی لما کان مجملا فالأوّل بمنزلته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العام إذا ورد و اقتضی حکما، و المعلوم من حال ذلک الحکم أنّه لا یتمّ فعله إلاّ بشیء آخر، و ذلک الشّیء لا یعلم بالظّاهر، اقتضی ذلک إجمال العام، لأنّه لا یمکن الإقدام علی ذلک مع الجهل بما لا یتمّ إلاّ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فهذه جملة مقنعة فی ذکر ما یحتاج إلی بیان و ما لا یحتاج، لأنّ شرح ذلک طویل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الّذی لأجله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 یمکن أن یعلم المراد به بظاهره لا یحتاج إلی بیان، فهو أنّه لو احتاج إلی بیان لکان یحتاج إلیه فیما یقوم مقامه و یسدّ مسدّه، فإذا کان هو بنفسه مع أنّه قام مقامه لا یبیّن به المراد فکذلک بیانه، و فی ذلک إخراج بیانه أیضا من أن یستقلّ بنفسه، و إیجاب حاجته إلی بیان آخر، و ذلک یوجب إثبات ما لا یتناهی من البیان، و ذلک 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القسم الأخیر یحتاج إلی بیان، لأنّه لا یمکن معرفة المراد به، فکان ذلک فی حکم کلّ من لم یعرف حاله من الحاجة إلی بیانه لیتبیّن به المراد، و ذلک ظاهر</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اللّه الموفق للصواب</w:t>
      </w:r>
      <w:r>
        <w:rPr>
          <w:rStyle w:val="FootnoteAnchor"/>
          <w:rtl w:val="true"/>
        </w:rPr>
        <w:footnoteReference w:id="768"/>
      </w:r>
      <w:bookmarkStart w:id="243" w:name="pg6519_49618"/>
    </w:p>
    <w:p>
      <w:pPr>
        <w:pStyle w:val="Heading2"/>
        <w:numPr>
          <w:ilvl w:val="1"/>
          <w:numId w:val="1"/>
        </w:numPr>
        <w:rPr/>
      </w:pPr>
      <w:bookmarkStart w:id="244" w:name="__RefHeading___Toc1757309_653776707"/>
      <w:bookmarkStart w:id="245" w:name="_Toc78"/>
      <w:bookmarkEnd w:id="243"/>
      <w:bookmarkEnd w:id="244"/>
      <w:r>
        <w:rPr>
          <w:rtl w:val="true"/>
        </w:rPr>
        <w:t xml:space="preserve">المجلد </w:t>
      </w:r>
      <w:r>
        <w:rPr/>
        <w:t>2</w:t>
      </w:r>
      <w:bookmarkEnd w:id="245"/>
    </w:p>
    <w:p>
      <w:pPr>
        <w:pStyle w:val="Heading3"/>
        <w:numPr>
          <w:ilvl w:val="2"/>
          <w:numId w:val="1"/>
        </w:numPr>
        <w:rPr/>
      </w:pPr>
      <w:bookmarkStart w:id="246" w:name="__RefHeading___Toc1757311_653776707"/>
      <w:bookmarkStart w:id="247" w:name="_Toc79"/>
      <w:bookmarkEnd w:id="246"/>
      <w:r>
        <w:rPr>
          <w:rtl w:val="true"/>
        </w:rPr>
        <w:t>اشارة</w:t>
      </w:r>
      <w:bookmarkEnd w:id="247"/>
    </w:p>
    <w:p>
      <w:pPr>
        <w:pStyle w:val="BookText"/>
        <w:rPr/>
      </w:pPr>
      <w:r>
        <w:rPr>
          <w:rFonts w:ascii="IRNazanin" w:hAnsi="IRNazanin" w:eastAsia="IRNazanin"/>
          <w:color w:val="111111"/>
          <w:sz w:val="28"/>
          <w:sz w:val="28"/>
          <w:szCs w:val="28"/>
          <w:rtl w:val="true"/>
          <w:lang w:bidi="fa-IR"/>
        </w:rPr>
        <w:t>ال‍ع‍ده‌ ف‍ی‌ اص‍ول‌ ال‍ف‍ق‍ه‌</w:t>
      </w:r>
    </w:p>
    <w:p>
      <w:pPr>
        <w:pStyle w:val="BookText"/>
        <w:rPr/>
      </w:pPr>
      <w:r>
        <w:rPr>
          <w:rFonts w:ascii="IRNazanin" w:hAnsi="IRNazanin" w:eastAsia="IRNazanin"/>
          <w:color w:val="111111"/>
          <w:sz w:val="28"/>
          <w:sz w:val="28"/>
          <w:szCs w:val="28"/>
          <w:rtl w:val="true"/>
          <w:lang w:bidi="fa-IR"/>
        </w:rPr>
        <w:t>ت‍ال‍ی‍ف‌ اب‍ن‌ج‍ع‍ف‍ر م‍ح‍م‍دب‍ن‌ ح‍س‍ن‌ ال‍طوس‍ی‌</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ت‍ح‍ق‍ی‍ق‌ م‍ح‍م‍درض‍ا الان‍ص‍اری‌ ال‍ق‍م‍ی‌ </w:t>
      </w:r>
      <w:bookmarkStart w:id="248" w:name="pg6519_49619"/>
    </w:p>
    <w:p>
      <w:pPr>
        <w:pStyle w:val="BookText"/>
        <w:rPr/>
      </w:pPr>
      <w:bookmarkEnd w:id="248"/>
      <w:r>
        <w:rPr>
          <w:rFonts w:ascii="Amiri" w:hAnsi="Amiri" w:eastAsia="Amiri" w:cs="Amiri"/>
          <w:color w:val="111111"/>
          <w:sz w:val="28"/>
          <w:sz w:val="28"/>
          <w:szCs w:val="28"/>
          <w:rtl w:val="true"/>
          <w:lang w:bidi="ar-SA"/>
        </w:rPr>
        <w:t>بِسْمِ اللّهِ الرَّحْمنِ الرَّحِیمِ</w:t>
      </w:r>
    </w:p>
    <w:p>
      <w:pPr>
        <w:pStyle w:val="Heading3"/>
        <w:numPr>
          <w:ilvl w:val="2"/>
          <w:numId w:val="1"/>
        </w:numPr>
        <w:rPr/>
      </w:pPr>
      <w:bookmarkStart w:id="249" w:name="__RefHeading___Toc1757313_653776707"/>
      <w:bookmarkStart w:id="250" w:name="_Toc80"/>
      <w:bookmarkEnd w:id="249"/>
      <w:r>
        <w:rPr>
          <w:rtl w:val="true"/>
        </w:rPr>
        <w:t>تتمة الباب السادس</w:t>
      </w:r>
      <w:r>
        <w:rPr>
          <w:rtl w:val="true"/>
        </w:rPr>
        <w:t xml:space="preserve">: </w:t>
      </w:r>
      <w:r>
        <w:rPr>
          <w:rtl w:val="true"/>
        </w:rPr>
        <w:t>الکلام فی البیان و الجمل</w:t>
      </w:r>
      <w:bookmarkEnd w:id="250"/>
    </w:p>
    <w:p>
      <w:pPr>
        <w:pStyle w:val="Heading4"/>
        <w:numPr>
          <w:ilvl w:val="3"/>
          <w:numId w:val="1"/>
        </w:numPr>
        <w:rPr/>
      </w:pPr>
      <w:bookmarkStart w:id="251" w:name="__RefHeading___Toc1757315_653776707"/>
      <w:bookmarkStart w:id="252" w:name="_Toc81"/>
      <w:bookmarkEnd w:id="251"/>
      <w:r>
        <w:rPr>
          <w:rtl w:val="true"/>
        </w:rPr>
        <w:t>فصل</w:t>
      </w:r>
      <w:r>
        <w:rPr>
          <w:rtl w:val="true"/>
        </w:rPr>
        <w:t>-</w:t>
      </w:r>
      <w:r>
        <w:rPr/>
        <w:t>3</w:t>
      </w:r>
      <w:r>
        <w:rPr>
          <w:rtl w:val="true"/>
        </w:rPr>
        <w:t>: «</w:t>
      </w:r>
      <w:r>
        <w:rPr>
          <w:rtl w:val="true"/>
        </w:rPr>
        <w:t>فی ذکر الوجوه الّتی تحتاج الأشیاء فیها إلی بیان،و ما به یقع البیان</w:t>
      </w:r>
      <w:r>
        <w:rPr>
          <w:rtl w:val="true"/>
        </w:rPr>
        <w:t>»</w:t>
      </w:r>
      <w:bookmarkEnd w:id="252"/>
    </w:p>
    <w:p>
      <w:pPr>
        <w:pStyle w:val="BookText"/>
        <w:rPr/>
      </w:pPr>
      <w:r>
        <w:rPr>
          <w:rFonts w:ascii="IRNazanin" w:hAnsi="IRNazanin" w:eastAsia="IRNazanin"/>
          <w:color w:val="111111"/>
          <w:sz w:val="28"/>
          <w:sz w:val="28"/>
          <w:szCs w:val="28"/>
          <w:rtl w:val="true"/>
          <w:lang w:bidi="fa-IR"/>
        </w:rPr>
        <w:t>إذا کان البیان عبارة عن الدّلالة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قدّمنا القول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فکلّ وجه لا یعلم کون الشّیء علیه ضرورة،فإنّه یحتاج إلی بیان،کما أنّ ذلک یحتاج إلی دلالة،و سواء کان عقلیّا أو شرعیّا</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فأمّا ما علم کون الشّیء علیه ضرورة،فإنّه یستغنی بحصول العلم فیه عن بیان ذلک،و کذلک ما یعلم بالدّلالة إذا حصل العلم بالمعلوم،فإنّه یستغنی بحصول العلم به عن بیان ثان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فإذا ثبت هذه الجملة،فالعقلیّات کلّما لا یعلم منها ضرورة،و </w:t>
      </w:r>
      <w:r>
        <w:rPr>
          <w:rStyle w:val="FootnoteAnchor"/>
          <w:rtl w:val="true"/>
        </w:rPr>
        <w:footnoteReference w:id="769"/>
      </w:r>
      <w:r>
        <w:rPr>
          <w:rFonts w:ascii="IRNazanin" w:hAnsi="IRNazanin" w:eastAsia="IRNazanin"/>
          <w:color w:val="111111"/>
          <w:sz w:val="28"/>
          <w:sz w:val="28"/>
          <w:szCs w:val="28"/>
          <w:rtl w:val="true"/>
          <w:lang w:bidi="fa-IR"/>
        </w:rPr>
        <w:t>ما یجری مجری الضّرورة،فلا بدّ من بیان،کما لا بدّ فیه من دلالة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الشّرعیّات بأجمعها تحتاج إلی بیان،کما تحتاج بأجمعها إلی دلالة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إذا أردنا بالبیان الدّلالة،و متی أردنا بالبیان ما یرجع إلی الخطاب،و الفرق بین ما یحتاج إلی بیان و ما لا یحتاج،فقد قدّمنا القول فی ذلک،و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ما یحتاج من ذلک إلی بیان علی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یحتاج فی تخصیصه إذا کان عامّا و علم فی الجملة أنّه مخصوص،فإنّه یحتاج فی تعیین ما خصّ به إلی 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یحتاج إلی بیان النّسخ إذا کان ممّا ینسخ،لأنّه إذا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افعلوا کذا إلی وقت ما ینسخ عنکم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وقت النّسخ یحتاج إلی 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یحتاج إلی بیان أوصافه و شروطه إذا کانت له أوصاف و شروط،کما قلناه فی الأسماء الشّرعیّة من الصلاة و الزّکاة 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یحتاج الفعل أیضا إلی بیان،کما یحتاج القول إلیه إذا لم ینبئ بنفسه عن المراد،علی ما سنبیّنه إن شاء اللّه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فأمّا ما به یبیّن الشّیء فأشیاء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الکتابة،و ذلک نحو ما کتب النبیّ علیه و آله السّلام </w:t>
      </w:r>
      <w:r>
        <w:rPr>
          <w:rStyle w:val="FootnoteAnchor"/>
          <w:rtl w:val="true"/>
        </w:rPr>
        <w:footnoteReference w:id="770"/>
      </w:r>
      <w:r>
        <w:rPr>
          <w:rFonts w:ascii="IRNazanin" w:hAnsi="IRNazanin" w:eastAsia="IRNazanin"/>
          <w:color w:val="111111"/>
          <w:sz w:val="28"/>
          <w:sz w:val="28"/>
          <w:szCs w:val="28"/>
          <w:rtl w:val="true"/>
          <w:lang w:bidi="fa-IR"/>
        </w:rPr>
        <w:t>إلی عمّاله بالأحکام الّتی بیّنها لهم و لمن بعدهم،من کتب الصّدقات،و الدّیات،و غیرها من الأحکام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 و الکلام،و قد بیّن النّبی صلّی اللّه علیه و آله و سلّم الشّریعة أکثرها بذلک</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الأفعال،و ذلک نحو ما روی عن النبیّ علیه و آله السّلام </w:t>
      </w:r>
      <w:r>
        <w:rPr>
          <w:rStyle w:val="FootnoteAnchor"/>
          <w:rtl w:val="true"/>
        </w:rPr>
        <w:footnoteReference w:id="771"/>
      </w:r>
      <w:r>
        <w:rPr>
          <w:rFonts w:ascii="Amiri" w:hAnsi="Amiri" w:eastAsia="Amiri" w:cs="Amiri"/>
          <w:color w:val="111111"/>
          <w:sz w:val="28"/>
          <w:sz w:val="28"/>
          <w:szCs w:val="28"/>
          <w:rtl w:val="true"/>
          <w:lang w:bidi="ar-SA"/>
        </w:rPr>
        <w:t xml:space="preserve">أنّه صلّی </w:t>
      </w:r>
    </w:p>
    <w:p>
      <w:pPr>
        <w:pStyle w:val="BookText"/>
        <w:rPr/>
      </w:pPr>
      <w:r>
        <w:rPr>
          <w:rFonts w:ascii="IRNazanin" w:hAnsi="IRNazanin" w:eastAsia="IRNazanin"/>
          <w:color w:val="111111"/>
          <w:sz w:val="28"/>
          <w:sz w:val="28"/>
          <w:szCs w:val="28"/>
          <w:rtl w:val="true"/>
          <w:lang w:bidi="fa-IR"/>
        </w:rPr>
        <w:t>و حجّ،و توضّأ،قال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 کما رأیتمونی أصلی</w:t>
      </w:r>
      <w:r>
        <w:rPr>
          <w:rFonts w:eastAsia="IRNazanin" w:cs="IRNazanin"/>
          <w:color w:val="111111"/>
          <w:sz w:val="28"/>
          <w:szCs w:val="28"/>
          <w:rtl w:val="true"/>
          <w:lang w:bidi="fa-IR"/>
        </w:rPr>
        <w:t xml:space="preserve">» </w:t>
      </w:r>
      <w:r>
        <w:rPr>
          <w:rStyle w:val="FootnoteAnchor"/>
          <w:rtl w:val="true"/>
        </w:rPr>
        <w:footnoteReference w:id="772"/>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خذوا عنّی مناسک دینکم</w:t>
      </w:r>
      <w:r>
        <w:rPr>
          <w:rFonts w:eastAsia="IRNazanin" w:cs="IRNazanin"/>
          <w:color w:val="111111"/>
          <w:sz w:val="28"/>
          <w:szCs w:val="28"/>
          <w:rtl w:val="true"/>
          <w:lang w:bidi="fa-IR"/>
        </w:rPr>
        <w:t xml:space="preserve">» </w:t>
      </w:r>
      <w:r>
        <w:rPr>
          <w:rStyle w:val="FootnoteAnchor"/>
          <w:rtl w:val="true"/>
        </w:rPr>
        <w:footnoteReference w:id="773"/>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وضوء لا یقبل اللّه الصّلاة إلاّ به</w:t>
      </w:r>
      <w:r>
        <w:rPr>
          <w:rFonts w:eastAsia="IRNazanin" w:cs="IRNazanin"/>
          <w:color w:val="111111"/>
          <w:sz w:val="28"/>
          <w:szCs w:val="28"/>
          <w:rtl w:val="true"/>
          <w:lang w:bidi="fa-IR"/>
        </w:rPr>
        <w:t xml:space="preserve">» </w:t>
      </w:r>
      <w:r>
        <w:rPr>
          <w:rStyle w:val="FootnoteAnchor"/>
          <w:rtl w:val="true"/>
        </w:rPr>
        <w:footnoteReference w:id="774"/>
      </w:r>
      <w:r>
        <w:rPr>
          <w:rFonts w:ascii="IRNazanin" w:hAnsi="IRNazanin" w:eastAsia="IRNazanin"/>
          <w:color w:val="111111"/>
          <w:sz w:val="28"/>
          <w:sz w:val="28"/>
          <w:szCs w:val="28"/>
          <w:rtl w:val="true"/>
          <w:lang w:bidi="fa-IR"/>
        </w:rPr>
        <w:t>فأحال جمیع ذلک علی أفعاله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الإشارة،و ذلک نحو ما بیّن النّبی علیه و آله السّلام </w:t>
      </w:r>
      <w:r>
        <w:rPr>
          <w:rStyle w:val="FootnoteAnchor"/>
          <w:rtl w:val="true"/>
        </w:rPr>
        <w:footnoteReference w:id="775"/>
      </w:r>
      <w:r>
        <w:rPr>
          <w:rFonts w:ascii="IRNazanin" w:hAnsi="IRNazanin" w:eastAsia="IRNazanin"/>
          <w:color w:val="111111"/>
          <w:sz w:val="28"/>
          <w:sz w:val="28"/>
          <w:szCs w:val="28"/>
          <w:rtl w:val="true"/>
          <w:lang w:bidi="fa-IR"/>
        </w:rPr>
        <w:t>الشّهر بأصابعه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الشّهر هکذا و هکذا و هکذا بأصابعه العشرة کلّها</w:t>
      </w:r>
      <w:r>
        <w:rPr>
          <w:rFonts w:eastAsia="IRNazanin" w:cs="IRNazanin"/>
          <w:color w:val="111111"/>
          <w:sz w:val="28"/>
          <w:szCs w:val="28"/>
          <w:rtl w:val="true"/>
          <w:lang w:bidi="fa-IR"/>
        </w:rPr>
        <w:t xml:space="preserve">» </w:t>
      </w:r>
      <w:r>
        <w:rPr>
          <w:rStyle w:val="FootnoteAnchor"/>
          <w:rtl w:val="true"/>
        </w:rPr>
        <w:footnoteReference w:id="776"/>
      </w:r>
      <w:r>
        <w:rPr>
          <w:rFonts w:ascii="IRNazanin" w:hAnsi="IRNazanin" w:eastAsia="IRNazanin"/>
          <w:color w:val="111111"/>
          <w:sz w:val="28"/>
          <w:sz w:val="28"/>
          <w:szCs w:val="28"/>
          <w:rtl w:val="true"/>
          <w:lang w:bidi="fa-IR"/>
        </w:rPr>
        <w:t>و أراد بها أنّ الشّهر یکون ثلاثین یوما،ثمّ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الشّهر هکذا و هکذا و هکذا و قبض إبهامه فی الثالثة</w:t>
      </w:r>
      <w:r>
        <w:rPr>
          <w:rFonts w:eastAsia="IRNazanin" w:cs="IRNazanin"/>
          <w:color w:val="111111"/>
          <w:sz w:val="28"/>
          <w:szCs w:val="28"/>
          <w:rtl w:val="true"/>
          <w:lang w:bidi="fa-IR"/>
        </w:rPr>
        <w:t xml:space="preserve">» </w:t>
      </w:r>
      <w:r>
        <w:rPr>
          <w:rStyle w:val="FootnoteAnchor"/>
          <w:rtl w:val="true"/>
        </w:rPr>
        <w:footnoteReference w:id="777"/>
      </w:r>
      <w:r>
        <w:rPr>
          <w:rStyle w:val="FootnoteAnchor"/>
          <w:rtl w:val="true"/>
        </w:rPr>
        <w:footnoteReference w:id="778"/>
      </w:r>
      <w:r>
        <w:rPr>
          <w:rFonts w:ascii="IRNazanin" w:hAnsi="IRNazanin" w:eastAsia="IRNazanin"/>
          <w:color w:val="111111"/>
          <w:sz w:val="28"/>
          <w:sz w:val="28"/>
          <w:szCs w:val="28"/>
          <w:rtl w:val="true"/>
          <w:lang w:bidi="fa-IR"/>
        </w:rPr>
        <w:t>فبیّن أنّه قد یکون تسعة و عشرین یوما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ألحق بذلک من خالفنا فی القیاس و الاجتهاد أنّه قد بیّن أحکاما کثیرة بالتّنبیه علی طریقة القیاس علی ما یذهبون إلیه،و ذلک عندنا 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بیان اللّه تعالی فقد یکون بالکتابة و بالقول،لأنّه تعالی کتب فی اللّوح المحفوظ،و بیّن ذلک للملائکة،و بیّن بخطابه،و ما أنزل علی النبیّ علیه و آله السلام </w:t>
      </w:r>
      <w:r>
        <w:rPr>
          <w:rStyle w:val="FootnoteAnchor"/>
          <w:rtl w:val="true"/>
        </w:rPr>
        <w:footnoteReference w:id="779"/>
      </w:r>
      <w:r>
        <w:rPr>
          <w:rFonts w:ascii="IRNazanin" w:hAnsi="IRNazanin" w:eastAsia="IRNazanin"/>
          <w:color w:val="111111"/>
          <w:sz w:val="28"/>
          <w:sz w:val="28"/>
          <w:szCs w:val="28"/>
          <w:rtl w:val="true"/>
          <w:lang w:bidi="fa-IR"/>
        </w:rPr>
        <w:t>من القرآن لنا المراد،و بیّن أیضا بأن دلّنا علی التّأسّی بالنبی صلّی اللّه علیه و آله و سلّم بفعله</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فأمّا </w:t>
      </w:r>
      <w:r>
        <w:rPr>
          <w:rStyle w:val="FootnoteAnchor"/>
          <w:rtl w:val="true"/>
        </w:rPr>
        <w:footnoteReference w:id="780"/>
      </w:r>
      <w:r>
        <w:rPr>
          <w:rFonts w:ascii="IRNazanin" w:hAnsi="IRNazanin" w:eastAsia="IRNazanin"/>
          <w:color w:val="111111"/>
          <w:sz w:val="28"/>
          <w:sz w:val="28"/>
          <w:szCs w:val="28"/>
          <w:rtl w:val="true"/>
          <w:lang w:bidi="fa-IR"/>
        </w:rPr>
        <w:t xml:space="preserve">الإشارة،فلا یجوز علیه تعالی،لأنّها لا تکون إلاّ بالآلات،و اللّه تعالی لیس بذی آلة،إلاّ أنّه من حیث أوجب علینا الاقتداء بالنبیّ علیه و آله السّلام،و قد </w:t>
      </w:r>
    </w:p>
    <w:p>
      <w:pPr>
        <w:pStyle w:val="BookText"/>
        <w:rPr/>
      </w:pPr>
      <w:r>
        <w:rPr>
          <w:rFonts w:ascii="IRNazanin" w:hAnsi="IRNazanin" w:eastAsia="IRNazanin"/>
          <w:color w:val="111111"/>
          <w:sz w:val="28"/>
          <w:sz w:val="28"/>
          <w:szCs w:val="28"/>
          <w:rtl w:val="true"/>
          <w:lang w:bidi="fa-IR"/>
        </w:rPr>
        <w:t xml:space="preserve">بیّن علیه و آله السّلام بالإشارة،لجاز </w:t>
      </w:r>
      <w:r>
        <w:rPr>
          <w:rStyle w:val="FootnoteAnchor"/>
          <w:rtl w:val="true"/>
        </w:rPr>
        <w:footnoteReference w:id="781"/>
      </w:r>
      <w:r>
        <w:rPr>
          <w:rFonts w:ascii="IRNazanin" w:hAnsi="IRNazanin" w:eastAsia="IRNazanin"/>
          <w:color w:val="111111"/>
          <w:sz w:val="28"/>
          <w:sz w:val="28"/>
          <w:szCs w:val="28"/>
          <w:rtl w:val="true"/>
          <w:lang w:bidi="fa-IR"/>
        </w:rPr>
        <w:t>أن یضاف ذلک إلی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أنّ أفعال الجوارح لا تجوز أیضا علیه،و قد أضفنا إلیه تعالی </w:t>
      </w:r>
      <w:r>
        <w:rPr>
          <w:rStyle w:val="FootnoteAnchor"/>
          <w:rtl w:val="true"/>
        </w:rPr>
        <w:footnoteReference w:id="782"/>
      </w:r>
      <w:r>
        <w:rPr>
          <w:rFonts w:ascii="Amiri" w:hAnsi="Amiri" w:eastAsia="Amiri" w:cs="Amiri"/>
          <w:color w:val="111111"/>
          <w:sz w:val="28"/>
          <w:sz w:val="28"/>
          <w:szCs w:val="28"/>
          <w:rtl w:val="true"/>
          <w:lang w:bidi="ar-SA"/>
        </w:rPr>
        <w:t xml:space="preserve">ما بیّنه النبیّ علیه السّلام </w:t>
      </w:r>
      <w:r>
        <w:rPr>
          <w:rStyle w:val="FootnoteAnchor"/>
          <w:rtl w:val="true"/>
        </w:rPr>
        <w:footnoteReference w:id="783"/>
      </w:r>
      <w:r>
        <w:rPr>
          <w:rFonts w:ascii="IRNazanin" w:hAnsi="IRNazanin" w:eastAsia="IRNazanin"/>
          <w:color w:val="111111"/>
          <w:sz w:val="28"/>
          <w:sz w:val="28"/>
          <w:szCs w:val="28"/>
          <w:rtl w:val="true"/>
          <w:lang w:bidi="fa-IR"/>
        </w:rPr>
        <w:t>بأفعاله من حیث أوجب علینا الاقتداء به فکذلک القول فی الإشارة</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هذه جملة کافیة فی هذا الباب</w:t>
      </w:r>
      <w:r>
        <w:rPr>
          <w:rFonts w:eastAsia="IRNazanin" w:cs="IRNazanin"/>
          <w:color w:val="111111"/>
          <w:sz w:val="28"/>
          <w:szCs w:val="28"/>
          <w:rtl w:val="true"/>
          <w:lang w:bidi="fa-IR"/>
        </w:rPr>
        <w:t xml:space="preserve">. </w:t>
      </w:r>
      <w:bookmarkStart w:id="253" w:name="pg6519_49623"/>
    </w:p>
    <w:p>
      <w:pPr>
        <w:pStyle w:val="Heading4"/>
        <w:numPr>
          <w:ilvl w:val="3"/>
          <w:numId w:val="1"/>
        </w:numPr>
        <w:rPr/>
      </w:pPr>
      <w:bookmarkStart w:id="254" w:name="__RefHeading___Toc1757317_653776707"/>
      <w:bookmarkStart w:id="255" w:name="_Toc82"/>
      <w:bookmarkEnd w:id="253"/>
      <w:bookmarkEnd w:id="254"/>
      <w:r>
        <w:rPr>
          <w:rtl w:val="true"/>
        </w:rPr>
        <w:t>فصل</w:t>
      </w:r>
      <w:r>
        <w:rPr>
          <w:rtl w:val="true"/>
        </w:rPr>
        <w:t>-</w:t>
      </w:r>
      <w:r>
        <w:rPr/>
        <w:t>4</w:t>
      </w:r>
      <w:r>
        <w:rPr>
          <w:rtl w:val="true"/>
        </w:rPr>
        <w:t>: «</w:t>
      </w:r>
      <w:r>
        <w:rPr>
          <w:rtl w:val="true"/>
        </w:rPr>
        <w:t>فی ذکر جملة ما یحتاج إلی بیان،و ما لا یحتاج من الأفعال</w:t>
      </w:r>
      <w:r>
        <w:rPr>
          <w:rtl w:val="true"/>
        </w:rPr>
        <w:t>»</w:t>
      </w:r>
      <w:bookmarkEnd w:id="255"/>
    </w:p>
    <w:p>
      <w:pPr>
        <w:pStyle w:val="BookText"/>
        <w:rPr/>
      </w:pPr>
      <w:r>
        <w:rPr>
          <w:rFonts w:ascii="IRNazanin" w:hAnsi="IRNazanin" w:eastAsia="IRNazanin"/>
          <w:color w:val="111111"/>
          <w:sz w:val="28"/>
          <w:sz w:val="28"/>
          <w:szCs w:val="28"/>
          <w:rtl w:val="true"/>
          <w:lang w:bidi="fa-IR"/>
        </w:rPr>
        <w:t>الفعل علی ضربین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ضرب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یقع علی وجه،من وجوب،أو ندب،أو إباحة،و یعلم وقوعه علی ذلک الوجه،فما یکون کذلک لا یحتاج إلی بیان لیعلم به الوجه الّذی وقع علیه،لأنّ ذلک قد حصل العلم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الضرب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یعلم مجرّد الفعل و لا یعلم الوجه الّذی وقع علیه،و یجوز فیه وقوعه واجبا،و ندبا،و مباحا علی حدّ واحد،فما یکون کذلک یحتاج إلی بیان یعلم به الوجه الّذی وقع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جری الفعل فی هذا الباب مجری القول،لأنّ القول لمّا انقسم إلی قسمین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أنبأ عن المراد بظاهره و صریحه استغنی بذلک عن بیان المراد،و القسم الآخر لم ینبئ عن المراد علی التّعیین،احتاج فی العمل بتعیینه إلی بیان،فساوی القول الفعل من هذا الوجه علی ما بیّناه</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نحن و إن ذهبنا إلی أنّ الأفعال کلّها لا بدّ من أن یعرف المراد بها،و یعرف علی أیّ وجه وقعت علیه بدلیل،فذلک لا یمنع من أن یکون حالها ما وصفناه،کما أنّ الأقوال کلّها قد علم أنّها تحتاج فی معرفة ما وضعت له،و أنّ الحکیم مرید بها ذلک </w:t>
      </w:r>
    </w:p>
    <w:p>
      <w:pPr>
        <w:pStyle w:val="BookText"/>
        <w:rPr/>
      </w:pPr>
      <w:r>
        <w:rPr>
          <w:rFonts w:ascii="IRNazanin" w:hAnsi="IRNazanin" w:eastAsia="IRNazanin"/>
          <w:color w:val="111111"/>
          <w:sz w:val="28"/>
          <w:sz w:val="28"/>
          <w:szCs w:val="28"/>
          <w:rtl w:val="true"/>
          <w:lang w:bidi="fa-IR"/>
        </w:rPr>
        <w:t xml:space="preserve">إلی الدّلیل،و مع ذلک انقسمت إلی القسمین اللّذین ذکرناهما،فکذلک الفعل </w:t>
      </w:r>
      <w:r>
        <w:rPr>
          <w:rStyle w:val="FootnoteAnchor"/>
          <w:rtl w:val="true"/>
        </w:rPr>
        <w:footnoteReference w:id="784"/>
      </w:r>
      <w:r>
        <w:rPr>
          <w:rFonts w:ascii="IRNazanin" w:hAnsi="IRNazanin" w:eastAsia="IRNazanin"/>
          <w:color w:val="111111"/>
          <w:sz w:val="28"/>
          <w:sz w:val="28"/>
          <w:szCs w:val="28"/>
          <w:rtl w:val="true"/>
          <w:lang w:bidi="fa-IR"/>
        </w:rPr>
        <w:t>علی ما بیّناه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ثبت ذلک،و کان فی أفعال النّبی صلّی اللّه علیه و آله و سلّم ما ینبئ بظاهره عن الوجه الّذی وقع علیه،فینبغی أن یستغنی ذلک عن البیان،و ما کان فیه من أفعاله لا ینبئ بظاهره عن الوجه الّذی وقع علیه،احتاج إلی 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نظیر القسم الأوّل أنّه إذا روی أنّه صلّی اللّه علیه و آله و سلّم صلّی صلاة بأذان و إقامة جماعة،علم بذلک أنّها واجبة،لأنّ ذلک من شعار کون الصلاة واجبة دون کونها نفلا،فما یجری هذا المجری ممّا وضع فی الشّرع لشیء مخصوص فلا یقع علی غیر ذلک الوجه،فإنّه لا یحتاج إلی 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 ذلک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شوهد النّبی علیه السّلام </w:t>
      </w:r>
      <w:r>
        <w:rPr>
          <w:rStyle w:val="FootnoteAnchor"/>
          <w:rtl w:val="true"/>
        </w:rPr>
        <w:footnoteReference w:id="785"/>
      </w:r>
      <w:r>
        <w:rPr>
          <w:rFonts w:ascii="IRNazanin" w:hAnsi="IRNazanin" w:eastAsia="IRNazanin"/>
          <w:color w:val="111111"/>
          <w:sz w:val="28"/>
          <w:sz w:val="28"/>
          <w:szCs w:val="28"/>
          <w:rtl w:val="true"/>
          <w:lang w:bidi="fa-IR"/>
        </w:rPr>
        <w:t>فعل فعلا فی الصلاة علی طریق العمد،علم بذلک أنّ ذلک الفعل من الصلاة،و لذلک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لمّا شوهد رکع رکوعین و أکثر من ذلک فی رکعة واحدة فی صلاة الکسوف علم أنّ ذلک من حکم هذه الصلاة،و نظائر ذلک 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ما یقع من أفعاله علیه السّلام علی وجه الإجمال،و لا یعلم الوجه الّذی وقع علیه،فنحو أن یری علیه السّلام </w:t>
      </w:r>
      <w:r>
        <w:rPr>
          <w:rStyle w:val="FootnoteAnchor"/>
          <w:rtl w:val="true"/>
        </w:rPr>
        <w:footnoteReference w:id="786"/>
      </w:r>
      <w:r>
        <w:rPr>
          <w:rFonts w:ascii="IRNazanin" w:hAnsi="IRNazanin" w:eastAsia="IRNazanin"/>
          <w:color w:val="111111"/>
          <w:sz w:val="28"/>
          <w:sz w:val="28"/>
          <w:szCs w:val="28"/>
          <w:rtl w:val="true"/>
          <w:lang w:bidi="fa-IR"/>
        </w:rPr>
        <w:t xml:space="preserve">یصلّی منفردا لنفسه </w:t>
      </w:r>
      <w:r>
        <w:rPr>
          <w:rStyle w:val="FootnoteAnchor"/>
          <w:rtl w:val="true"/>
        </w:rPr>
        <w:footnoteReference w:id="787"/>
      </w:r>
      <w:r>
        <w:rPr>
          <w:rFonts w:ascii="IRNazanin" w:hAnsi="IRNazanin" w:eastAsia="IRNazanin"/>
          <w:color w:val="111111"/>
          <w:sz w:val="28"/>
          <w:sz w:val="28"/>
          <w:szCs w:val="28"/>
          <w:rtl w:val="true"/>
          <w:lang w:bidi="fa-IR"/>
        </w:rPr>
        <w:t>،فإنّه یجوز أن تکون تلک الصّلاة واجبة،و یجوز أن تکون ندبا،فیقف العلم بوجهها علی البیان</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کذلک إذا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توضّأ و مسح علی رأسه </w:t>
      </w:r>
      <w:r>
        <w:rPr>
          <w:rStyle w:val="FootnoteAnchor"/>
          <w:rtl w:val="true"/>
        </w:rPr>
        <w:footnoteReference w:id="788"/>
      </w:r>
      <w:r>
        <w:rPr>
          <w:rFonts w:ascii="IRNazanin" w:hAnsi="IRNazanin" w:eastAsia="IRNazanin"/>
          <w:color w:val="111111"/>
          <w:sz w:val="28"/>
          <w:sz w:val="28"/>
          <w:szCs w:val="28"/>
          <w:rtl w:val="true"/>
          <w:lang w:bidi="fa-IR"/>
        </w:rPr>
        <w:t>،احتمل أنّه فعل ذلک ببقیّة النّداوة،و احتمل أن یکون بماء جدید،فإذا قیل أنّه فعل ذلک ببقیّة النّداوة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ما </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نذهب إلیه </w:t>
      </w:r>
      <w:r>
        <w:rPr>
          <w:rStyle w:val="FootnoteAnchor"/>
          <w:rtl w:val="true"/>
        </w:rPr>
        <w:footnoteReference w:id="7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بماء جدید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یذهب إلیه المخالف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ذلک بیانا له، فینبغی أن یجری ما یرد من الأفعال علی القسمین اللّذین ذکرناهما،فلیس یخرج عنهما شیء من الأفعال</w:t>
      </w:r>
      <w:r>
        <w:rPr>
          <w:rFonts w:eastAsia="IRNazanin" w:cs="IRNazanin"/>
          <w:color w:val="111111"/>
          <w:sz w:val="28"/>
          <w:szCs w:val="28"/>
          <w:rtl w:val="true"/>
          <w:lang w:bidi="fa-IR"/>
        </w:rPr>
        <w:t xml:space="preserve">. </w:t>
      </w:r>
      <w:bookmarkStart w:id="256" w:name="pg6519_49626"/>
    </w:p>
    <w:p>
      <w:pPr>
        <w:pStyle w:val="Heading4"/>
        <w:numPr>
          <w:ilvl w:val="3"/>
          <w:numId w:val="1"/>
        </w:numPr>
        <w:rPr/>
      </w:pPr>
      <w:bookmarkStart w:id="257" w:name="__RefHeading___Toc1757319_653776707"/>
      <w:bookmarkStart w:id="258" w:name="_Toc83"/>
      <w:bookmarkEnd w:id="256"/>
      <w:bookmarkEnd w:id="257"/>
      <w:r>
        <w:rPr>
          <w:rtl w:val="true"/>
        </w:rPr>
        <w:t>فصل</w:t>
      </w:r>
      <w:r>
        <w:rPr>
          <w:rtl w:val="true"/>
        </w:rPr>
        <w:t>-</w:t>
      </w:r>
      <w:r>
        <w:rPr/>
        <w:t>5</w:t>
      </w:r>
      <w:r>
        <w:rPr>
          <w:rtl w:val="true"/>
        </w:rPr>
        <w:t>: «</w:t>
      </w:r>
      <w:r>
        <w:rPr>
          <w:rtl w:val="true"/>
        </w:rPr>
        <w:t>فی أنّ تخصیص العموم لا یمنع من التّعلّق بظاهره</w:t>
      </w:r>
      <w:r>
        <w:rPr>
          <w:rtl w:val="true"/>
        </w:rPr>
        <w:t>»</w:t>
      </w:r>
      <w:bookmarkEnd w:id="25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اختلف العلماء فی العموم إذا خصّ</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فذهب عیسی بن أبان البصریّ إلی أنّه متی دخله التّخصیص</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صار مجملا فاحتاج إلی بیان،و لا یصحّ التّعلّق بظاهره </w:t>
      </w:r>
      <w:r>
        <w:rPr>
          <w:rStyle w:val="FootnoteAnchor"/>
          <w:rtl w:val="true"/>
        </w:rPr>
        <w:footnoteReference w:id="79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 ذهب الشّافعی و أصحابه،و بعض أصحاب أبی حنیفة إلی أنّه یصحّ التّعلّق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خصّ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کلّ حال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ذهب أبو الحسن الکرخیّ إلی أنّه إذا خصّ بالاستثناء،أو بکلام متّصل صحّ التّعلّق به،و إذا خصّ بدلیل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یصحّ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حکی عبد الجبّار بن أحمد </w:t>
      </w:r>
      <w:r>
        <w:rPr>
          <w:rStyle w:val="FootnoteAnchor"/>
          <w:rtl w:val="true"/>
        </w:rPr>
        <w:footnoteReference w:id="791"/>
      </w:r>
      <w:r>
        <w:rPr>
          <w:rFonts w:ascii="IRNazanin" w:hAnsi="IRNazanin" w:eastAsia="IRNazanin"/>
          <w:color w:val="111111"/>
          <w:sz w:val="28"/>
          <w:sz w:val="28"/>
          <w:szCs w:val="28"/>
          <w:rtl w:val="true"/>
          <w:lang w:bidi="fa-IR"/>
        </w:rPr>
        <w:t>عن أبی عبد اللّه البصریّ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یحتاج أن ینظر فی ذلک،فإن کان الحکم الّذی تناوله العموم یحتاج إلی شروط أو أوصاف لا ینبئ اللّفظ عنها جری فی الحاجة إلی بیان مجری قول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أَقِیمُوا الصَّلاةَ   </w:t>
      </w:r>
      <w:r>
        <w:rPr>
          <w:rStyle w:val="FootnoteAnchor"/>
          <w:rtl w:val="true"/>
        </w:rPr>
        <w:footnoteReference w:id="792"/>
      </w:r>
      <w:r>
        <w:rPr>
          <w:rFonts w:ascii="IRNazanin" w:hAnsi="IRNazanin" w:eastAsia="IRNazanin"/>
          <w:color w:val="111111"/>
          <w:sz w:val="28"/>
          <w:sz w:val="28"/>
          <w:szCs w:val="28"/>
          <w:rtl w:val="true"/>
          <w:lang w:bidi="fa-IR"/>
        </w:rPr>
        <w:t>لأنّه یساویه فی أنّ المراد بها لا یصحّ أن یعرف بالظّاهر</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فصل بین ألاّ یعلم ما لا یتمّ قطع السّارق إلاّ به من الأوصاف بالظّاهر، و بین ألاّ یعلم الصّلاة بالظّاهر،لأنّ الجهل بما یتمّ الحکم إلاّ به کالجهل بنفس الحکم، فالحاجة إلی العلم بأحدهما کالحاجة إلی العلم بالآخر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عام خصّ و أمکن تنفیذ الحکم من غیر شرط و وصف فیما عدا ما خصّ منه،جری فی صحّة التّعلّق به مجری العموم إذا اتّصل به الاستثناء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 من کتب أبی علیّ و أبی هاشم جمیعا صحّة التّعلیق بعموم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السّارِقُ وَ السّارِقَةُ    </w:t>
      </w:r>
      <w:r>
        <w:rPr>
          <w:rStyle w:val="FootnoteAnchor"/>
          <w:rtl w:val="true"/>
        </w:rPr>
        <w:footnoteReference w:id="793"/>
      </w:r>
      <w:r>
        <w:rPr>
          <w:rFonts w:ascii="IRNazanin" w:hAnsi="IRNazanin" w:eastAsia="IRNazanin"/>
          <w:color w:val="111111"/>
          <w:sz w:val="28"/>
          <w:sz w:val="28"/>
          <w:szCs w:val="28"/>
          <w:rtl w:val="true"/>
          <w:lang w:bidi="fa-IR"/>
        </w:rPr>
        <w:t>و ما شاکله،و قد صرّحا بأنّ التّخصیص و إن أحوج إلی شروط لا ینبئ الظّاهر عنها،أنّه لا یمتنع من التّعلّق بالظّاهر،و علی ذلک بیّنا الکلام فی الوعید لأنّهما استدلا به،و إن کان العاصی الّذی تعلّق الوعید به یحتاج إلی شروط عندهما</w:t>
      </w:r>
      <w:r>
        <w:rPr>
          <w:rFonts w:eastAsia="IRNazanin" w:cs="IRNazanin"/>
          <w:color w:val="111111"/>
          <w:sz w:val="28"/>
          <w:szCs w:val="28"/>
          <w:rtl w:val="true"/>
          <w:lang w:bidi="fa-IR"/>
        </w:rPr>
        <w:t xml:space="preserve">» </w:t>
      </w:r>
      <w:r>
        <w:rPr>
          <w:rStyle w:val="FootnoteAnchor"/>
          <w:rtl w:val="true"/>
        </w:rPr>
        <w:footnoteReference w:id="7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هذه الألفاظ بعینها حکیناها عنه علی ما ذکره فی 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العمد</w:t>
      </w:r>
      <w:r>
        <w:rPr>
          <w:rFonts w:eastAsia="IRNazanin" w:cs="IRNazanin"/>
          <w:color w:val="111111"/>
          <w:sz w:val="28"/>
          <w:szCs w:val="28"/>
          <w:rtl w:val="true"/>
          <w:lang w:bidi="fa-IR"/>
        </w:rPr>
        <w:t xml:space="preserve">» </w:t>
      </w:r>
      <w:r>
        <w:rPr>
          <w:rStyle w:val="FootnoteAnchor"/>
          <w:rtl w:val="true"/>
        </w:rPr>
        <w:footnoteReference w:id="7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الّذی أذهب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العموم إذا خصّ صحّ التّعلّق بظاهره،سواء خصّ بالاستثناء أو بکلام متّصل،أو منفصل،أو دلیل و علی کلّ حال،إلاّ أنّه یحتاج أن ینظر فی ألفاظ العموم الّذی یتعلّق الحکم بها،فإن کانت متی استعملناها علی ظاهرها و عمومها نفّذنا الحکم فیما أرید منّا و فیما لم یرد،یحتاج إلی أن یبیّن لنا ما لم یرد منّا لنخصّه من جملة ما تناوله اللّفظ،فأمّا ما أرید منّا فقد علمنا بالظّاهر و ذلک نحو قوله</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السّارِقُ وَ السّارِقَةُ   </w:t>
      </w:r>
      <w:r>
        <w:rPr>
          <w:rStyle w:val="FootnoteAnchor"/>
          <w:rtl w:val="true"/>
        </w:rPr>
        <w:footnoteReference w:id="796"/>
      </w:r>
      <w:r>
        <w:rPr>
          <w:rFonts w:ascii="Amiri" w:hAnsi="Amiri" w:eastAsia="Amiri" w:cs="Amiri"/>
          <w:color w:val="111111"/>
          <w:sz w:val="28"/>
          <w:sz w:val="28"/>
          <w:szCs w:val="28"/>
          <w:rtl w:val="true"/>
          <w:lang w:bidi="ar-SA"/>
        </w:rPr>
        <w:t xml:space="preserve">،و فَاقْتُلُوا الْمُشْرِکِینَ  </w:t>
      </w:r>
      <w:r>
        <w:rPr>
          <w:rStyle w:val="FootnoteAnchor"/>
          <w:rtl w:val="true"/>
        </w:rPr>
        <w:footnoteReference w:id="797"/>
      </w:r>
      <w:r>
        <w:rPr>
          <w:rFonts w:ascii="IRNazanin" w:hAnsi="IRNazanin" w:eastAsia="IRNazanin"/>
          <w:color w:val="111111"/>
          <w:sz w:val="28"/>
          <w:sz w:val="28"/>
          <w:szCs w:val="28"/>
          <w:rtl w:val="true"/>
          <w:lang w:bidi="fa-IR"/>
        </w:rPr>
        <w:t>و ما یجری مجری ذلک،لأنّا لو خلّینا و ظاهر ذلک لقطعنا من یستحقّ القطع و من لا یستحقّ القطع إذا کان سارقا،لکن لمّا کان فی جملة السّراق من لا یجب قطعه و هو من لا یکون عاقلا و یسرق من غیر حرز،أو سرق ما دون النّصاب،أو کانت هناک شبهة و غیر ذلک من الصّفات و الشّروط المراعاة فی ذلک،احتاج أن یبیّن لنا من لا یجب قطعه،فإذا بیّن ذلک بقی الباقی علی عمومه و شموله،و علمنا حینئذ أنّه یستحقّ القطع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فَاقْتُلُوا </w:t>
      </w:r>
    </w:p>
    <w:p>
      <w:pPr>
        <w:pStyle w:val="BookText"/>
        <w:rPr/>
      </w:pPr>
      <w:r>
        <w:rPr>
          <w:rFonts w:ascii="Amiri" w:hAnsi="Amiri" w:eastAsia="Amiri" w:cs="Amiri"/>
          <w:color w:val="111111"/>
          <w:sz w:val="28"/>
          <w:sz w:val="28"/>
          <w:szCs w:val="28"/>
          <w:rtl w:val="true"/>
          <w:lang w:bidi="ar-SA"/>
        </w:rPr>
        <w:t xml:space="preserve">اَلْمُشْرِکِینَ    </w:t>
      </w:r>
      <w:r>
        <w:rPr>
          <w:rStyle w:val="FootnoteAnchor"/>
          <w:rtl w:val="true"/>
        </w:rPr>
        <w:footnoteReference w:id="798"/>
      </w:r>
      <w:r>
        <w:rPr>
          <w:rFonts w:ascii="IRNazanin" w:hAnsi="IRNazanin" w:eastAsia="IRNazanin"/>
          <w:color w:val="111111"/>
          <w:sz w:val="28"/>
          <w:sz w:val="28"/>
          <w:szCs w:val="28"/>
          <w:rtl w:val="true"/>
          <w:lang w:bidi="fa-IR"/>
        </w:rPr>
        <w:t>و ما جری مجراه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ألفاظ العموم متی خلّینا و ظاهرها لم یمکننا أن نستعملها فیما أرید منّا علی وجه،کان ذلک مجملا و احتاج إلی بیان ما أرید منّا،و ذلک نحو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أَقِیمُوا الصَّلاةَ   </w:t>
      </w:r>
      <w:r>
        <w:rPr>
          <w:rStyle w:val="FootnoteAnchor"/>
          <w:rtl w:val="true"/>
        </w:rPr>
        <w:footnoteReference w:id="799"/>
      </w:r>
      <w:r>
        <w:rPr>
          <w:rFonts w:ascii="IRNazanin" w:hAnsi="IRNazanin" w:eastAsia="IRNazanin"/>
          <w:color w:val="111111"/>
          <w:sz w:val="28"/>
          <w:sz w:val="28"/>
          <w:szCs w:val="28"/>
          <w:rtl w:val="true"/>
          <w:lang w:bidi="fa-IR"/>
        </w:rPr>
        <w:t>،لأنّا لو خلّینا و ظاهر الآیة لم یمکننا أن نستعملها فیما أرید منّا علی وجه،فوقف ذلک علی البیان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یدلّ علی صحّة ما اخترناه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الخطاب إذا ورد و کان الحکم متعلّقا باسم معقول فی اللّغة،وجب حمله علیه و لا ینتظر به أمر آخر،إلاّ أن یدلّ دلیل علی أنّه لم یرد ما وضع له فی اللّغة،و لو لا ذلک لما صحّ التّعلّق بشیء من الخطاب،لأنّه یجوز أن یراد بکلّ خطاب غیر ما وضع له،و لا مخلص من ذلک إلاّ بأن یقال لو أرید به غیر ما وضع له لیبیّن،و ذلک بعینه موجود فی ألفاظ العموم،و لا یلزمنا مثل ذلک فی قوله أَقِیمُوا الصَّلاةَ   </w:t>
      </w:r>
      <w:r>
        <w:rPr>
          <w:rStyle w:val="FootnoteAnchor"/>
          <w:rtl w:val="true"/>
        </w:rPr>
        <w:footnoteReference w:id="800"/>
      </w:r>
      <w:r>
        <w:rPr>
          <w:rFonts w:ascii="IRNazanin" w:hAnsi="IRNazanin" w:eastAsia="IRNazanin"/>
          <w:color w:val="111111"/>
          <w:sz w:val="28"/>
          <w:sz w:val="28"/>
          <w:szCs w:val="28"/>
          <w:rtl w:val="true"/>
          <w:lang w:bidi="fa-IR"/>
        </w:rPr>
        <w:t>لأنّا قد علمنا أنّه لم یرد بذلک ما وضع له فی اللّغة،فلذلک وقف علی البیان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یبیّن أیضا ما ذکرناه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ما خصّ بالاستثناء إنّما یصحّ التّعلّق به لما قدّمناه من أنّ ما عدا الاستثناء یمکن أن یعلم به،و إن کان الاستثناء قد صیّره مجازا علی ما دللنا علیه فیما مضی،فیجب مثل ذلک فی کلّ عموم خصّ بدلیل و إن کان منفصلا</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یدلّ علی ذلک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لو کان من شرط صحّته التّعلّق بألفاظ العموم أن لا یکون قد خصّت،أو أن لا یحتاج إلی معرفة أوصاف لا ینبئ الظّاهر عنها،أدّی إلی ألاّ یصحّ التّعلّق بشیء من ألفاظ العموم،لأنّه لیس هاهنا شیء من ألفاظ العموم إلاّ و هو إمّا مخصوص،و إمّا أن یحتاج إلی أوصاف لا ینبئ الظّاهر عنها،و ذلک یؤدّی </w:t>
      </w:r>
    </w:p>
    <w:p>
      <w:pPr>
        <w:pStyle w:val="BookText"/>
        <w:rPr/>
      </w:pPr>
      <w:r>
        <w:rPr>
          <w:rFonts w:ascii="Amiri" w:hAnsi="Amiri" w:eastAsia="Amiri" w:cs="Amiri"/>
          <w:color w:val="111111"/>
          <w:sz w:val="28"/>
          <w:sz w:val="28"/>
          <w:szCs w:val="28"/>
          <w:rtl w:val="true"/>
          <w:lang w:bidi="ar-SA"/>
        </w:rPr>
        <w:t>إلی بطلان ما تعلّقت الصّحابة و من بعدهم به،أ لا تری أنّ أمیر المؤمنین علیه السّلام تعلّق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تَجْمَعُوا بَیْنَ الْأُخْتَیْنِ   </w:t>
      </w:r>
      <w:r>
        <w:rPr>
          <w:rStyle w:val="FootnoteAnchor"/>
          <w:rtl w:val="true"/>
        </w:rPr>
        <w:footnoteReference w:id="801"/>
      </w:r>
      <w:r>
        <w:rPr>
          <w:rFonts w:ascii="Amiri" w:hAnsi="Amiri" w:eastAsia="Amiri" w:cs="Amiri"/>
          <w:color w:val="111111"/>
          <w:sz w:val="28"/>
          <w:sz w:val="28"/>
          <w:szCs w:val="28"/>
          <w:rtl w:val="true"/>
          <w:lang w:bidi="ar-SA"/>
        </w:rPr>
        <w:t>فی تحریم الجمع بین المملوکتین، و کذلک تعلّق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ما مَلَکَتْ أَیْمانُکُمْ  </w:t>
      </w:r>
      <w:r>
        <w:rPr>
          <w:rStyle w:val="FootnoteAnchor"/>
          <w:rtl w:val="true"/>
        </w:rPr>
        <w:footnoteReference w:id="802"/>
      </w:r>
      <w:r>
        <w:rPr>
          <w:rFonts w:ascii="IRNazanin" w:hAnsi="IRNazanin" w:eastAsia="IRNazanin"/>
          <w:color w:val="111111"/>
          <w:sz w:val="28"/>
          <w:sz w:val="28"/>
          <w:szCs w:val="28"/>
          <w:rtl w:val="true"/>
          <w:lang w:bidi="fa-IR"/>
        </w:rPr>
        <w:t>،و من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أحلّتهما آیة و حرّمتهما أخری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کذلک حکی عن عثمان </w:t>
      </w:r>
      <w:r>
        <w:rPr>
          <w:rStyle w:val="FootnoteAnchor"/>
          <w:rtl w:val="true"/>
        </w:rPr>
        <w:footnoteReference w:id="8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تعلّق ابن عبّاس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أُمَّهاتُکُمُ اللاّتِی أَرْضَعْنَکُمْ وَ أَخَواتُکُمْ مِنَ الرَّضاعَةِ  </w:t>
      </w:r>
      <w:r>
        <w:rPr>
          <w:rStyle w:val="FootnoteAnchor"/>
          <w:rtl w:val="true"/>
        </w:rPr>
        <w:footnoteReference w:id="804"/>
      </w:r>
      <w:r>
        <w:rPr>
          <w:rFonts w:ascii="IRNazanin" w:hAnsi="IRNazanin" w:eastAsia="IRNazanin"/>
          <w:color w:val="111111"/>
          <w:sz w:val="28"/>
          <w:sz w:val="28"/>
          <w:szCs w:val="28"/>
          <w:rtl w:val="true"/>
          <w:lang w:bidi="fa-IR"/>
        </w:rPr>
        <w:t>حتّی ردّ خبر ابن الزّبیر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لأجله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قضاء اللّه أولی من قضاء ابن الزّبیر</w:t>
      </w:r>
      <w:r>
        <w:rPr>
          <w:rFonts w:eastAsia="IRNazanin" w:cs="IRNazanin"/>
          <w:color w:val="111111"/>
          <w:sz w:val="28"/>
          <w:szCs w:val="28"/>
          <w:rtl w:val="true"/>
          <w:lang w:bidi="fa-IR"/>
        </w:rPr>
        <w:t xml:space="preserve">» </w:t>
      </w:r>
      <w:r>
        <w:rPr>
          <w:rStyle w:val="FootnoteAnchor"/>
          <w:rtl w:val="true"/>
        </w:rPr>
        <w:footnoteReference w:id="805"/>
      </w:r>
      <w:r>
        <w:rPr>
          <w:rFonts w:ascii="IRNazanin" w:hAnsi="IRNazanin" w:eastAsia="IRNazanin"/>
          <w:color w:val="111111"/>
          <w:sz w:val="28"/>
          <w:sz w:val="28"/>
          <w:szCs w:val="28"/>
          <w:rtl w:val="true"/>
          <w:lang w:bidi="fa-IR"/>
        </w:rPr>
        <w:t>و غیر ذلک ممّا لا یحصی کثرة</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کان جمیع ذلک یحتاج إلی بیان أوصاف لا ینبئ الظّاهر عنها،و قد جعل مجازا بدخول التّخصیص فیه،فعلم بذلک أنّ صحّة التّعلّق بألفاظ العموم صحیح و إن کان مخصوصا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أمّا من نصر خلاف ما ذهبنا إلیه،فقد حکی عبد الجبّار </w:t>
      </w:r>
      <w:r>
        <w:rPr>
          <w:rStyle w:val="FootnoteAnchor"/>
          <w:rtl w:val="true"/>
        </w:rPr>
        <w:footnoteReference w:id="806"/>
      </w:r>
      <w:r>
        <w:rPr>
          <w:rFonts w:ascii="Amiri" w:hAnsi="Amiri" w:eastAsia="Amiri" w:cs="Amiri"/>
          <w:color w:val="111111"/>
          <w:sz w:val="28"/>
          <w:sz w:val="28"/>
          <w:szCs w:val="28"/>
          <w:rtl w:val="true"/>
          <w:lang w:bidi="ar-SA"/>
        </w:rPr>
        <w:t>عن أبی عبد اللّه البصریّ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ربّما جمع بین 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اَلسّارِقُ وَ السّارِقَةُ  </w:t>
      </w:r>
      <w:r>
        <w:rPr>
          <w:rStyle w:val="FootnoteAnchor"/>
          <w:rtl w:val="true"/>
        </w:rPr>
        <w:footnoteReference w:id="807"/>
      </w:r>
      <w:r>
        <w:rPr>
          <w:rFonts w:ascii="Amiri" w:hAnsi="Amiri" w:eastAsia="Amiri" w:cs="Amiri"/>
          <w:color w:val="111111"/>
          <w:sz w:val="28"/>
          <w:sz w:val="28"/>
          <w:szCs w:val="28"/>
          <w:rtl w:val="true"/>
          <w:lang w:bidi="ar-SA"/>
        </w:rPr>
        <w:t>،و بین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فَاقْتُلُوا الْمُشْرِکِینَ  </w:t>
      </w:r>
      <w:r>
        <w:rPr>
          <w:rStyle w:val="FootnoteAnchor"/>
          <w:rtl w:val="true"/>
        </w:rPr>
        <w:footnoteReference w:id="808"/>
      </w:r>
      <w:r>
        <w:rPr>
          <w:rFonts w:ascii="Amiri" w:hAnsi="Amiri" w:eastAsia="Amiri" w:cs="Amiri"/>
          <w:color w:val="111111"/>
          <w:sz w:val="28"/>
          <w:sz w:val="28"/>
          <w:szCs w:val="28"/>
          <w:rtl w:val="true"/>
          <w:lang w:bidi="ar-SA"/>
        </w:rPr>
        <w:t>،و قول النّبی 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الجار أحقّ بصقبه</w:t>
      </w:r>
      <w:r>
        <w:rPr>
          <w:rFonts w:eastAsia="Amiri" w:cs="Amiri" w:ascii="Amiri" w:hAnsi="Amiri"/>
          <w:color w:val="111111"/>
          <w:sz w:val="28"/>
          <w:szCs w:val="28"/>
          <w:rtl w:val="true"/>
          <w:lang w:bidi="ar-SA"/>
        </w:rPr>
        <w:t xml:space="preserve">» </w:t>
      </w:r>
      <w:r>
        <w:rPr>
          <w:rStyle w:val="FootnoteAnchor"/>
          <w:rtl w:val="true"/>
        </w:rPr>
        <w:footnoteReference w:id="8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فیما سقت السّماء العشر</w:t>
      </w:r>
      <w:r>
        <w:rPr>
          <w:rFonts w:eastAsia="IRNazanin" w:cs="IRNazanin"/>
          <w:color w:val="111111"/>
          <w:sz w:val="28"/>
          <w:szCs w:val="28"/>
          <w:rtl w:val="true"/>
          <w:lang w:bidi="fa-IR"/>
        </w:rPr>
        <w:t xml:space="preserve">» </w:t>
      </w:r>
      <w:r>
        <w:rPr>
          <w:rStyle w:val="FootnoteAnchor"/>
          <w:rtl w:val="true"/>
        </w:rPr>
        <w:footnoteReference w:id="810"/>
      </w:r>
      <w:r>
        <w:rPr>
          <w:rFonts w:ascii="IRNazanin" w:hAnsi="IRNazanin" w:eastAsia="IRNazanin"/>
          <w:color w:val="111111"/>
          <w:sz w:val="28"/>
          <w:sz w:val="28"/>
          <w:szCs w:val="28"/>
          <w:rtl w:val="true"/>
          <w:lang w:bidi="fa-IR"/>
        </w:rPr>
        <w:t>فی امتناع التّعلّق بظاهرها مرّة،و ربّما فرّق بینهما أخری، و یقول عند الفصل بینهما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العشر متعلّقٌ بما سقته السّماء،و الّذی یحتاج إلی بیانه صفة الأرض لا صفته،فهو کالحاجة إلی بیان صفة المخاطب فی أنّه لا یمنع من التّعلّق بالظّاهر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أمّا اَلسّارِقُ وَ السّارِقَةُ  </w:t>
      </w:r>
      <w:r>
        <w:rPr>
          <w:rStyle w:val="FootnoteAnchor"/>
          <w:rtl w:val="true"/>
        </w:rPr>
        <w:footnoteReference w:id="811"/>
      </w:r>
      <w:r>
        <w:rPr>
          <w:rFonts w:ascii="IRNazanin" w:hAnsi="IRNazanin" w:eastAsia="IRNazanin"/>
          <w:color w:val="111111"/>
          <w:sz w:val="28"/>
          <w:sz w:val="28"/>
          <w:szCs w:val="28"/>
          <w:rtl w:val="true"/>
          <w:lang w:bidi="fa-IR"/>
        </w:rPr>
        <w:t>،فالحاجة إنّما هی إلی بیان صفته،فهو کالحاجة الّتی یتعلّق القطع بها من اعتبار القدر و غیر ذلک،فلذلک امتنع التّعلّق بالظّاهر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الصّفة المتعلّق بها فی الشّرک هی فی إسقاط قتله لا فی إثبات قتله، و الصّفة المعلّق بها فی السّارق هی فی إثبات قتله،فلذلک افترقا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یقول فی الجمیع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التّعلّق بظاهره لا یمکن،و إنّ الواجب ألاّ یعترض علی الأصول بالفروع،بل یجب بناؤها علیه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ألفاظه بعینها ذکرناها</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قلنا فی هذه الأمثلة ما عندنا و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أنّ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اَلسّارِقُ وَ السّارِقَةُ  </w:t>
      </w:r>
      <w:r>
        <w:rPr>
          <w:rStyle w:val="FootnoteAnchor"/>
          <w:rtl w:val="true"/>
        </w:rPr>
        <w:footnoteReference w:id="812"/>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فَاقْتُلُوا الْمُشْرِکِینَ   </w:t>
      </w:r>
      <w:r>
        <w:rPr>
          <w:rStyle w:val="FootnoteAnchor"/>
          <w:rtl w:val="true"/>
        </w:rPr>
        <w:footnoteReference w:id="813"/>
      </w:r>
      <w:r>
        <w:rPr>
          <w:rFonts w:ascii="IRNazanin" w:hAnsi="IRNazanin" w:eastAsia="IRNazanin"/>
          <w:color w:val="111111"/>
          <w:sz w:val="28"/>
          <w:sz w:val="28"/>
          <w:szCs w:val="28"/>
          <w:rtl w:val="true"/>
          <w:lang w:bidi="fa-IR"/>
        </w:rPr>
        <w:t>،أنّ القطع یتعلّق بنفس السّرقة،و إنّما یحتاج إلی بیان مراعاة الصّفات و الشروط فیمن لا یجب ذلک،و جری ذلک مجری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اقتلُوا المُشرکینَ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القتل یتعلّق بالشّرک،و إنّما یحتاج أن یبیّن صفة من لا یجب قتله من أهل الکتاب و غیرهم من النّساء و الصّبیان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الجار أحقّ بصقبه</w:t>
      </w:r>
      <w:r>
        <w:rPr>
          <w:rFonts w:eastAsia="IRNazanin" w:cs="IRNazanin"/>
          <w:color w:val="111111"/>
          <w:sz w:val="28"/>
          <w:szCs w:val="28"/>
          <w:rtl w:val="true"/>
          <w:lang w:bidi="fa-IR"/>
        </w:rPr>
        <w:t xml:space="preserve">» </w:t>
      </w:r>
      <w:r>
        <w:rPr>
          <w:rStyle w:val="FootnoteAnchor"/>
          <w:rtl w:val="true"/>
        </w:rPr>
        <w:footnoteReference w:id="8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فالأولی فیه أیضا أن یحمل علی عمومه فی کلّ شیء إلاّ ما یخرجه الدّلیل،و ذلک یجری مجری ألفاظ العموم،و کذلک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فیما سقت السّماء العشر</w:t>
      </w:r>
      <w:r>
        <w:rPr>
          <w:rFonts w:eastAsia="IRNazanin" w:cs="IRNazanin"/>
          <w:color w:val="111111"/>
          <w:sz w:val="28"/>
          <w:szCs w:val="28"/>
          <w:rtl w:val="true"/>
          <w:lang w:bidi="fa-IR"/>
        </w:rPr>
        <w:t xml:space="preserve">» </w:t>
      </w:r>
      <w:r>
        <w:rPr>
          <w:rStyle w:val="FootnoteAnchor"/>
          <w:rtl w:val="true"/>
        </w:rPr>
        <w:footnoteReference w:id="815"/>
      </w:r>
      <w:r>
        <w:rPr>
          <w:rFonts w:ascii="IRNazanin" w:hAnsi="IRNazanin" w:eastAsia="IRNazanin"/>
          <w:color w:val="111111"/>
          <w:sz w:val="28"/>
          <w:sz w:val="28"/>
          <w:szCs w:val="28"/>
          <w:rtl w:val="true"/>
          <w:lang w:bidi="fa-IR"/>
        </w:rPr>
        <w:t>عام فی جمیع ذلک،فإن دلّ الدّلیل علی وجوب اعتبار صفات فی الأرض،قلنا به و خصّصناه منه و بقّینا الباقی علی عمومه</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کلّما یرد من هذه الأمثلة یجری هذا المجری،و الطّریقة واحدة فی الکلام علیه</w:t>
      </w:r>
      <w:r>
        <w:rPr>
          <w:rFonts w:eastAsia="IRNazanin" w:cs="IRNazanin"/>
          <w:color w:val="111111"/>
          <w:sz w:val="28"/>
          <w:szCs w:val="28"/>
          <w:rtl w:val="true"/>
          <w:lang w:bidi="fa-IR"/>
        </w:rPr>
        <w:t xml:space="preserve">. </w:t>
      </w:r>
      <w:bookmarkStart w:id="259" w:name="pg6519_49633"/>
    </w:p>
    <w:p>
      <w:pPr>
        <w:pStyle w:val="Heading4"/>
        <w:numPr>
          <w:ilvl w:val="3"/>
          <w:numId w:val="1"/>
        </w:numPr>
        <w:rPr/>
      </w:pPr>
      <w:bookmarkStart w:id="260" w:name="__RefHeading___Toc1757321_653776707"/>
      <w:bookmarkStart w:id="261" w:name="_Toc84"/>
      <w:bookmarkEnd w:id="259"/>
      <w:bookmarkEnd w:id="260"/>
      <w:r>
        <w:rPr>
          <w:rtl w:val="true"/>
        </w:rPr>
        <w:t>فصل</w:t>
      </w:r>
      <w:r>
        <w:rPr>
          <w:rtl w:val="true"/>
        </w:rPr>
        <w:t>-</w:t>
      </w:r>
      <w:r>
        <w:rPr/>
        <w:t>6</w:t>
      </w:r>
      <w:r>
        <w:rPr>
          <w:rtl w:val="true"/>
        </w:rPr>
        <w:t>: «</w:t>
      </w:r>
      <w:r>
        <w:rPr>
          <w:rtl w:val="true"/>
        </w:rPr>
        <w:t>فی ذکر وقوع البیان بالأفعال</w:t>
      </w:r>
      <w:r>
        <w:rPr>
          <w:rtl w:val="true"/>
        </w:rPr>
        <w:t>»</w:t>
      </w:r>
      <w:bookmarkEnd w:id="261"/>
    </w:p>
    <w:p>
      <w:pPr>
        <w:pStyle w:val="BookText"/>
        <w:rPr/>
      </w:pPr>
      <w:r>
        <w:rPr>
          <w:rFonts w:ascii="IRNazanin" w:hAnsi="IRNazanin" w:eastAsia="IRNazanin"/>
          <w:color w:val="111111"/>
          <w:sz w:val="28"/>
          <w:sz w:val="28"/>
          <w:szCs w:val="28"/>
          <w:rtl w:val="true"/>
          <w:lang w:bidi="fa-IR"/>
        </w:rPr>
        <w:t>ذهب الفقهاء بأسرهم،و المتکلّمون إلی أنّ البیان یقع بالفعل کما یقع بالقول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بعض المتأخّرین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البیان لا یقع بالفعل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الّذی یدلّ علی صحّة مذهب الأوّل أشیاء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إذا کان الفعل ممّا یقع به التّبیین کما یقع بالقول،فینبغی أن یجوز وقوعه،أ لا تری أنّه لا فرق بین 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 صلاة أوجبها اللّه علیکم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یبیّن صفتها و کیفیّتها بالقول،و بین أن یقوم فیصلّی،فی أنّه یقع فی الحالین التّبیین علی حدّ واحد</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التّبیین یقع بالفعل آکد ممّا یقع بالقول،لکان ذلک سائغا </w:t>
      </w:r>
      <w:r>
        <w:rPr>
          <w:rStyle w:val="FootnoteAnchor"/>
          <w:rtl w:val="true"/>
        </w:rPr>
        <w:footnoteReference w:id="816"/>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لأجل ذلک رجعت الصّحابة فی بیان صفة الوضوء إلی کیفیّة فعل النّبی </w:t>
      </w:r>
      <w:r>
        <w:rPr>
          <w:rStyle w:val="FootnoteAnchor"/>
          <w:rtl w:val="true"/>
        </w:rPr>
        <w:footnoteReference w:id="817"/>
      </w:r>
      <w:r>
        <w:rPr>
          <w:rFonts w:ascii="IRNazanin" w:hAnsi="IRNazanin" w:eastAsia="IRNazanin"/>
          <w:color w:val="111111"/>
          <w:sz w:val="28"/>
          <w:sz w:val="28"/>
          <w:szCs w:val="28"/>
          <w:rtl w:val="true"/>
          <w:lang w:bidi="fa-IR"/>
        </w:rPr>
        <w:t>صلّی اللّه علیه و آله و سلّم فمن دفع وقوع البیان بالأفعال کان مبعدا،فلا فرق بین قوله فی ذلک،و بین من دفع ثبوت الأحکام بالأفعال،و فی ذلک خروج عن 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لیس من حقّ بیان الکلام أن یکون متّصلا به أو فی حکم المتّصل به، و لا یصحّ فی الفعل مع الوقف،فکیف یصحّ أن یکون بیانا له؟ قیل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نسلّم أنّ من حقّ البیان أن یکون متّصلا بالکلام علی کلّ حال،بل یجوز عندنا أن یتأخّر البیان عن حال الخطاب إذا لم یکن الوقت وقت الحاجة علی ما نبیّنه </w:t>
      </w:r>
      <w:r>
        <w:rPr>
          <w:rStyle w:val="FootnoteAnchor"/>
          <w:rtl w:val="true"/>
        </w:rPr>
        <w:footnoteReference w:id="818"/>
      </w:r>
      <w:r>
        <w:rPr>
          <w:rFonts w:ascii="IRNazanin" w:hAnsi="IRNazanin" w:eastAsia="IRNazanin"/>
          <w:color w:val="111111"/>
          <w:sz w:val="28"/>
          <w:sz w:val="28"/>
          <w:szCs w:val="28"/>
          <w:rtl w:val="true"/>
          <w:lang w:bidi="fa-IR"/>
        </w:rPr>
        <w:t>،فعلی هذا یصحّ أن یتأخّر البیان و یقع بالفعل،و متی فرضنا أنّ الوقت وقت الحاجة،فذلک أیضا لا یمنع من وقوع البیان بالفعل،أ لا تری أنّه لا فرق بین 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 إذا زالت الشّمس صلاة أوجبها اللّه علیکم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زالت الشّمس بیّنها و بیّن کیفیّتها و صفاتها،و بین أن یقوم عند الزّوال فیصلّی صلاة،فإنّا نعلم به بیان تلک الصّلاة بفعله کما نعلم بقوله لو بیّنها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یلزم من حیث کان الفعل لا یقع إلاّ فی زمان ممتدّ أن یمنع ذلک من وقوع البیان به کما یمنع ذلک فی القول،لأنّ البیان بالقول أیضا ممتدّ الزّمان فیه کما یقع بالقول الّذی لا یمتدّ الزّمان فیه من وجیز الکلام،فلیس امتداد أحدهما إلاّ کامتداد الآخر،و إن کان أحدهما أکثر و الآخر أقلّ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یعلم تعلّق الفعل بالمبیّن حتّی یعلم أنّه بیان له؟،مع تجویز أن یکون ذلک الفعل وقع ابتداء لا بیانا لمّا 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هذا ارتفاع التّبیّن به</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خاطب بالمجمل،و لم یکن الوقت وقت الحاجة،جاز أن یقول النّبی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أبیّن صفة ما أو أجبت علیکم بالفعل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،فإذا جاء </w:t>
      </w:r>
    </w:p>
    <w:p>
      <w:pPr>
        <w:pStyle w:val="BookText"/>
        <w:rPr/>
      </w:pPr>
      <w:r>
        <w:rPr>
          <w:rFonts w:ascii="IRNazanin" w:hAnsi="IRNazanin" w:eastAsia="IRNazanin"/>
          <w:color w:val="111111"/>
          <w:sz w:val="28"/>
          <w:sz w:val="28"/>
          <w:szCs w:val="28"/>
          <w:rtl w:val="true"/>
          <w:lang w:bidi="fa-IR"/>
        </w:rPr>
        <w:t>وقت الحاجة فعل فعلا یمکن أن یکون بیانا له،فإنّا نعلم بذلک بیان ما خاطبنا به أوّلا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الوقت وقت الحاجة،ففعل عقیب الخطاب فعلا یمکن أن یکون بیانا له،فإنّا نعلم به المراد،و نعلم أنّه متعلّق به،لأنّه لو لم یکن متعلّقا به لکان قد أخلی خطابه من بیان مع الحاجة إلیه،و ذلک لا یصحّ،و لهذا قلنا إنّه لا فرق بین أن 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 صلاة السّاعة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یتبعها بالقول،و بین أن یقوم فیصلّی عقیب هذا القول صلاة، فإنّا نعلم تلک الصّلاة بیانا لما قدّم القول فیه،و لا فرق بین الموضعین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قلتم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لا یمتنع أن یقول 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خاطبتکم بالمجمل و فعلت بعده فعلا فاعلموا أنّه بیان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عدتم إلی أنّ البیان حصل بالقول دون 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الأمر علی ذلک،بل البیان لا یقع إلاّ بالفعل فی الموضع الّذی ذکروه،و إنّما یعلم بقوله تعلّق فعله بالقول المجمل،و أمّا بیان صفته فإنّه یحصل بالفعل دون القول علی ما بیّناه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 علی ذلک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رجوع المسلمین بأجمعهم فی عهد الصّحابة و من بعدهم فی بیان صفة الصّلاة،و الحجّ،و الطّهارة،إلی أفعال النّبی علیه السّلام </w:t>
      </w:r>
      <w:r>
        <w:rPr>
          <w:rStyle w:val="FootnoteAnchor"/>
          <w:rtl w:val="true"/>
        </w:rPr>
        <w:footnoteReference w:id="819"/>
      </w:r>
      <w:r>
        <w:rPr>
          <w:rFonts w:ascii="Amiri" w:hAnsi="Amiri" w:eastAsia="Amiri" w:cs="Amiri"/>
          <w:color w:val="111111"/>
          <w:sz w:val="28"/>
          <w:sz w:val="28"/>
          <w:szCs w:val="28"/>
          <w:rtl w:val="true"/>
          <w:lang w:bidi="ar-SA"/>
        </w:rPr>
        <w:t>و تبیّنوا بذلک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أَقِیمُوا الصَّلاةَ  </w:t>
      </w:r>
      <w:r>
        <w:rPr>
          <w:rStyle w:val="FootnoteAnchor"/>
          <w:rtl w:val="true"/>
        </w:rPr>
        <w:footnoteReference w:id="820"/>
      </w:r>
      <w:r>
        <w:rPr>
          <w:rFonts w:ascii="Amiri" w:hAnsi="Amiri" w:eastAsia="Amiri" w:cs="Amiri"/>
          <w:color w:val="111111"/>
          <w:sz w:val="28"/>
          <w:sz w:val="28"/>
          <w:szCs w:val="28"/>
          <w:rtl w:val="true"/>
          <w:lang w:bidi="ar-SA"/>
        </w:rPr>
        <w:t xml:space="preserve">و لِلّهِ عَلَی النّاسِ حِجُّ الْبَیْتِ   </w:t>
      </w:r>
      <w:r>
        <w:rPr>
          <w:rStyle w:val="FootnoteAnchor"/>
          <w:rtl w:val="true"/>
        </w:rPr>
        <w:footnoteReference w:id="821"/>
      </w:r>
      <w:r>
        <w:rPr>
          <w:rFonts w:ascii="IRNazanin" w:hAnsi="IRNazanin" w:eastAsia="IRNazanin"/>
          <w:color w:val="111111"/>
          <w:sz w:val="28"/>
          <w:sz w:val="28"/>
          <w:szCs w:val="28"/>
          <w:rtl w:val="true"/>
          <w:lang w:bidi="fa-IR"/>
        </w:rPr>
        <w:t>، فلو لا أنّهم علموا أنّ ذلک یقع به البیان،و إلاّ لم یجز الرّجوع إلیه</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یدلّ أیضا علی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روی عن النبیّ صلّی اللّه علیه و آله و سلّم أنّه قال لأصحابه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 کما رأیتمونی أصلی</w:t>
      </w:r>
      <w:r>
        <w:rPr>
          <w:rFonts w:eastAsia="IRNazanin" w:cs="IRNazanin"/>
          <w:color w:val="111111"/>
          <w:sz w:val="28"/>
          <w:szCs w:val="28"/>
          <w:rtl w:val="true"/>
          <w:lang w:bidi="fa-IR"/>
        </w:rPr>
        <w:t xml:space="preserve">» </w:t>
      </w:r>
      <w:r>
        <w:rPr>
          <w:rStyle w:val="FootnoteAnchor"/>
          <w:rtl w:val="true"/>
        </w:rPr>
        <w:footnoteReference w:id="822"/>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خذوا عنّی مناسککم</w:t>
      </w:r>
      <w:r>
        <w:rPr>
          <w:rFonts w:eastAsia="IRNazanin" w:cs="IRNazanin"/>
          <w:color w:val="111111"/>
          <w:sz w:val="28"/>
          <w:szCs w:val="28"/>
          <w:rtl w:val="true"/>
          <w:lang w:bidi="fa-IR"/>
        </w:rPr>
        <w:t xml:space="preserve">» </w:t>
      </w:r>
      <w:r>
        <w:rPr>
          <w:rStyle w:val="FootnoteAnchor"/>
          <w:rtl w:val="true"/>
        </w:rPr>
        <w:footnoteReference w:id="823"/>
      </w:r>
      <w:r>
        <w:rPr>
          <w:rFonts w:ascii="IRNazanin" w:hAnsi="IRNazanin" w:eastAsia="IRNazanin"/>
          <w:color w:val="111111"/>
          <w:sz w:val="28"/>
          <w:sz w:val="28"/>
          <w:szCs w:val="28"/>
          <w:rtl w:val="true"/>
          <w:lang w:bidi="fa-IR"/>
        </w:rPr>
        <w:t xml:space="preserve">فأحالهم فی بیان </w:t>
      </w:r>
    </w:p>
    <w:p>
      <w:pPr>
        <w:pStyle w:val="BookText"/>
        <w:rPr/>
      </w:pPr>
      <w:r>
        <w:rPr>
          <w:rFonts w:ascii="IRNazanin" w:hAnsi="IRNazanin" w:eastAsia="IRNazanin"/>
          <w:color w:val="111111"/>
          <w:sz w:val="28"/>
          <w:sz w:val="28"/>
          <w:szCs w:val="28"/>
          <w:rtl w:val="true"/>
          <w:lang w:bidi="fa-IR"/>
        </w:rPr>
        <w:t>ذلک علی أفعاله،فلو لا أنّ البیان واقع بها و إلاّ لم یجز أن یحیلهم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یبیّن الفعل بالفعل،کما یبیّن به القول،نحو أن یقنت النبیّ علیه السّلام فی الفجر و غیره من الصّلوات </w:t>
      </w:r>
      <w:r>
        <w:rPr>
          <w:rStyle w:val="FootnoteAnchor"/>
          <w:rtl w:val="true"/>
        </w:rPr>
        <w:footnoteReference w:id="824"/>
      </w:r>
      <w:r>
        <w:rPr>
          <w:rFonts w:ascii="IRNazanin" w:hAnsi="IRNazanin" w:eastAsia="IRNazanin"/>
          <w:color w:val="111111"/>
          <w:sz w:val="28"/>
          <w:sz w:val="28"/>
          <w:szCs w:val="28"/>
          <w:rtl w:val="true"/>
          <w:lang w:bidi="fa-IR"/>
        </w:rPr>
        <w:t xml:space="preserve">،ثمّ نراه یترکه فی تلک الصلاة،فیعلم بذلک أنّه لم یکن واجبا،لأنّه لو کان واجبا لما ترکه علی حال،و نحو جلسته إلی الرّکعة الثّانیة تارة و ترکه لها أخری </w:t>
      </w:r>
      <w:r>
        <w:rPr>
          <w:rStyle w:val="FootnoteAnchor"/>
          <w:rtl w:val="true"/>
        </w:rPr>
        <w:footnoteReference w:id="825"/>
      </w:r>
      <w:r>
        <w:rPr>
          <w:rFonts w:ascii="Amiri" w:hAnsi="Amiri" w:eastAsia="Amiri" w:cs="Amiri"/>
          <w:color w:val="111111"/>
          <w:sz w:val="28"/>
          <w:sz w:val="28"/>
          <w:szCs w:val="28"/>
          <w:rtl w:val="true"/>
          <w:lang w:bidi="ar-SA"/>
        </w:rPr>
        <w:t>،فإنّ ذلک یدلّ علی أنّها لم تکن واجبة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یدلّ ترکه للشّیء علی حالة له أخری،نحو أن یترک الصّلاة فی وقت مخصوص،فإنّ ذلک یدلّ علی أنّها لیست بواجبة،فإن کان قد تقدّم دلیل یدلّ علی وجوبها فی ذلک الوقت،فإنّ ترکه لها فی ذلک الوقت یدلّ علی أنّها قد نسخت أو خصّت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متی حدثت حادثة و لم یبیّن الحکم فیها،فإنّ ذلک یدلّ علی أنّها باقیة علی حکم العقل،لأنّه لو کان لها حکم شرعیّ لبیّنه أو نبّه علیه،فإذا </w:t>
      </w:r>
      <w:r>
        <w:rPr>
          <w:rStyle w:val="FootnoteAnchor"/>
          <w:rtl w:val="true"/>
        </w:rPr>
        <w:footnoteReference w:id="826"/>
      </w:r>
      <w:r>
        <w:rPr>
          <w:rFonts w:ascii="IRNazanin" w:hAnsi="IRNazanin" w:eastAsia="IRNazanin"/>
          <w:color w:val="111111"/>
          <w:sz w:val="28"/>
          <w:sz w:val="28"/>
          <w:szCs w:val="28"/>
          <w:rtl w:val="true"/>
          <w:lang w:bidi="fa-IR"/>
        </w:rPr>
        <w:t>ترک النکیر علی من أقدم بحضرته علی فعل و لم یتقدّم منه بیان لقبحه،دلّ علی أنّه لیس بقبیح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هذه الوجوه تعتبر أفعاله صلّی اللّه علیه و آله و سلّم لا بأعیان المسائل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متی حصل قول و فعل یمکن أن یکون کلّ واحد منهما بیانا للمجمل وجب العمل بالقول،لأنّه إنّما نلتجئ إلی الفعل و نجعله بیانا للمجمل عند الضّرورة،فأمّا مع وجود البیان بالقول فلا حاجة بنا إلی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البیان من حقّه أن یکون فی حقّ المبیّن،فإن کان المبیّن واجبا کان بیانه واجبا،و إن کان ندبا کان بیانه ندبا،و إن کان مباحا کان بیانه مباحا،و لأجل ذلک نقول</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أفعاله صلّی اللّه علیه و آله و سلّم إذا کانت بیانا لجملة واجبة کانت واجبة،و إذا کانت بیانا لجملة مندوب إلیها کانت کذلک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المجمل علی ضروب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یکون لازما لجمیع المکلّفین،فما هذا حکمه یجب أن یکون بیانه فی حکمه فی الظّهور،و ذلک مثل الصّلاة و الطّهارة و ما أشبههما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یختصّ بفرضه الأئمّة علیهم السّلام فینبغی أن یکون للأئمّة طریق إلی العلم بها،و لا یجب ذلک فی 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یختصّ بالعلماء،فینبغی أن یکون لهم طریق إلی معرفته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أجاز من خالفنا،وقوع البیان بخبر الواحد و القیاس،کما أجازوا العمل بهما </w:t>
      </w:r>
      <w:r>
        <w:rPr>
          <w:rStyle w:val="FootnoteAnchor"/>
          <w:rtl w:val="true"/>
        </w:rPr>
        <w:footnoteReference w:id="8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عندنا أنّ ذلک غیر جائز علی ما بیّنا القول فیه </w:t>
      </w:r>
      <w:r>
        <w:rPr>
          <w:rStyle w:val="FootnoteAnchor"/>
          <w:rtl w:val="true"/>
        </w:rPr>
        <w:footnoteReference w:id="8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فأمّا علی المذهب الّذی اخترناه </w:t>
      </w:r>
      <w:r>
        <w:rPr>
          <w:rStyle w:val="FootnoteAnchor"/>
          <w:rtl w:val="true"/>
        </w:rPr>
        <w:footnoteReference w:id="829"/>
      </w:r>
      <w:r>
        <w:rPr>
          <w:rFonts w:ascii="IRNazanin" w:hAnsi="IRNazanin" w:eastAsia="IRNazanin"/>
          <w:color w:val="111111"/>
          <w:sz w:val="28"/>
          <w:sz w:val="28"/>
          <w:szCs w:val="28"/>
          <w:rtl w:val="true"/>
          <w:lang w:bidi="fa-IR"/>
        </w:rPr>
        <w:t>من العمل بالأخبار الّتی تنقلها الطّائفة المحقّة،فإنّه لا یمتنع العمل بها فی بیان المجمل،و لذلک رجعت الطّائفة فی کثیر من أحکام الصلاة،و الوضوء،و أحکام الزّکاة،و الصّوم،و الحجّ إلی الأخبار الّتی رووها و دوّنوها فی کتبهم و أصولهم</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قال من أصحابنا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یجوز العمل بها إلاّ إذا کانت معلومة،ینبغی 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یقع بها البیان أصلا،و هذا خلاف ما علیه عمل الطّائفة علی ما بیّناه </w:t>
      </w:r>
      <w:r>
        <w:rPr>
          <w:rStyle w:val="FootnoteAnchor"/>
          <w:rtl w:val="true"/>
        </w:rPr>
        <w:footnoteReference w:id="830"/>
      </w:r>
      <w:r>
        <w:rPr>
          <w:rFonts w:ascii="IRNazanin" w:hAnsi="IRNazanin" w:eastAsia="IRNazanin"/>
          <w:color w:val="111111"/>
          <w:sz w:val="28"/>
          <w:sz w:val="28"/>
          <w:szCs w:val="28"/>
          <w:rtl w:val="true"/>
          <w:lang w:bidi="fa-IR"/>
        </w:rPr>
        <w:t>و هذه جملة کافیة فی هذا الباب</w:t>
      </w:r>
      <w:r>
        <w:rPr>
          <w:rFonts w:eastAsia="IRNazanin" w:cs="IRNazanin"/>
          <w:color w:val="111111"/>
          <w:sz w:val="28"/>
          <w:szCs w:val="28"/>
          <w:rtl w:val="true"/>
          <w:lang w:bidi="fa-IR"/>
        </w:rPr>
        <w:t xml:space="preserve">. </w:t>
      </w:r>
      <w:bookmarkStart w:id="262" w:name="pg6519_49638"/>
    </w:p>
    <w:p>
      <w:pPr>
        <w:pStyle w:val="Heading4"/>
        <w:numPr>
          <w:ilvl w:val="3"/>
          <w:numId w:val="1"/>
        </w:numPr>
        <w:rPr/>
      </w:pPr>
      <w:bookmarkStart w:id="263" w:name="__RefHeading___Toc1757323_653776707"/>
      <w:bookmarkStart w:id="264" w:name="_Toc85"/>
      <w:bookmarkEnd w:id="262"/>
      <w:bookmarkEnd w:id="263"/>
      <w:r>
        <w:rPr>
          <w:rtl w:val="true"/>
        </w:rPr>
        <w:t>فصل</w:t>
      </w:r>
      <w:r>
        <w:rPr>
          <w:rtl w:val="true"/>
        </w:rPr>
        <w:t>-</w:t>
      </w:r>
      <w:r>
        <w:rPr/>
        <w:t>7</w:t>
      </w:r>
      <w:r>
        <w:rPr>
          <w:rtl w:val="true"/>
        </w:rPr>
        <w:t>: «</w:t>
      </w:r>
      <w:r>
        <w:rPr>
          <w:rtl w:val="true"/>
        </w:rPr>
        <w:t>فی ما الحق بالمجمل و لیس منه،و ما أخرج منه و هو داخل فیه</w:t>
      </w:r>
      <w:r>
        <w:rPr>
          <w:rtl w:val="true"/>
        </w:rPr>
        <w:t>»</w:t>
      </w:r>
      <w:bookmarkEnd w:id="264"/>
    </w:p>
    <w:p>
      <w:pPr>
        <w:pStyle w:val="BookText"/>
        <w:rPr/>
      </w:pPr>
      <w:r>
        <w:rPr>
          <w:rFonts w:ascii="Amiri" w:hAnsi="Amiri" w:eastAsia="Amiri" w:cs="Amiri"/>
          <w:color w:val="111111"/>
          <w:sz w:val="28"/>
          <w:sz w:val="28"/>
          <w:szCs w:val="28"/>
          <w:rtl w:val="true"/>
          <w:lang w:bidi="ar-SA"/>
        </w:rPr>
        <w:t>ذهب أبو عبد اللّه البصریّ و حکاه أبو الحسن الکرخیّ إلی أنّ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حُرِّمَتْ عَلَیْکُمْ أُمَّهاتُکُمْ   </w:t>
      </w:r>
      <w:r>
        <w:rPr>
          <w:rStyle w:val="FootnoteAnchor"/>
          <w:rtl w:val="true"/>
        </w:rPr>
        <w:footnoteReference w:id="831"/>
      </w:r>
      <w:r>
        <w:rPr>
          <w:rFonts w:ascii="Amiri" w:hAnsi="Amiri" w:eastAsia="Amiri" w:cs="Amiri"/>
          <w:color w:val="111111"/>
          <w:sz w:val="28"/>
          <w:sz w:val="28"/>
          <w:szCs w:val="28"/>
          <w:rtl w:val="true"/>
          <w:lang w:bidi="ar-SA"/>
        </w:rPr>
        <w:t>الآیة،و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حُرِّمَتْ عَلَیْکُمُ الْمَیْتَةُ  </w:t>
      </w:r>
      <w:r>
        <w:rPr>
          <w:rStyle w:val="FootnoteAnchor"/>
          <w:rtl w:val="true"/>
        </w:rPr>
        <w:footnoteReference w:id="832"/>
      </w:r>
      <w:r>
        <w:rPr>
          <w:rFonts w:ascii="IRNazanin" w:hAnsi="IRNazanin" w:eastAsia="IRNazanin"/>
          <w:color w:val="111111"/>
          <w:sz w:val="28"/>
          <w:sz w:val="28"/>
          <w:szCs w:val="28"/>
          <w:rtl w:val="true"/>
          <w:lang w:bidi="fa-IR"/>
        </w:rPr>
        <w:t xml:space="preserve">و ما أشبههما من الآیات الّتی علّق التّحریم فیها بالأعیان مجمل </w:t>
      </w:r>
      <w:r>
        <w:rPr>
          <w:rStyle w:val="FootnoteAnchor"/>
          <w:rtl w:val="true"/>
        </w:rPr>
        <w:footnoteReference w:id="8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ذهب أبو علیّ و أبو هاشم إلی أنّ ذلک مفهوم من ظاهره و لیس بمجمل </w:t>
      </w:r>
      <w:r>
        <w:rPr>
          <w:rStyle w:val="FootnoteAnchor"/>
          <w:rtl w:val="true"/>
        </w:rPr>
        <w:footnoteReference w:id="834"/>
      </w:r>
      <w:r>
        <w:rPr>
          <w:rFonts w:ascii="IRNazanin" w:hAnsi="IRNazanin" w:eastAsia="IRNazanin"/>
          <w:color w:val="111111"/>
          <w:sz w:val="28"/>
          <w:sz w:val="28"/>
          <w:szCs w:val="28"/>
          <w:rtl w:val="true"/>
          <w:lang w:bidi="fa-IR"/>
        </w:rPr>
        <w:t>، و إن کان أبو هاشم ربّما ذکر أنّ ذلک مجاز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الصّحیح هو القول الأخیر</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شبهة من ذهب إلی القول الأوّل هی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ما یعلّق التّحریم به من الأفعال فی الأعیان إذا لم یکن مذکورا فی الظّاهر لم یجز التّعلّق بظاهره،فإنّ ذلک یکون </w:t>
      </w:r>
    </w:p>
    <w:p>
      <w:pPr>
        <w:pStyle w:val="BookText"/>
        <w:rPr/>
      </w:pPr>
      <w:r>
        <w:rPr>
          <w:rFonts w:ascii="Amiri" w:hAnsi="Amiri" w:eastAsia="Amiri" w:cs="Amiri"/>
          <w:color w:val="111111"/>
          <w:sz w:val="28"/>
          <w:sz w:val="28"/>
          <w:szCs w:val="28"/>
          <w:rtl w:val="true"/>
          <w:lang w:bidi="ar-SA"/>
        </w:rPr>
        <w:t>مجازا،و جری مجری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سْئَلِ الْقَرْیَةَ   </w:t>
      </w:r>
      <w:r>
        <w:rPr>
          <w:rStyle w:val="FootnoteAnchor"/>
          <w:rtl w:val="true"/>
        </w:rPr>
        <w:footnoteReference w:id="835"/>
      </w:r>
      <w:r>
        <w:rPr>
          <w:rFonts w:ascii="IRNazanin" w:hAnsi="IRNazanin" w:eastAsia="IRNazanin"/>
          <w:color w:val="111111"/>
          <w:sz w:val="28"/>
          <w:sz w:val="28"/>
          <w:szCs w:val="28"/>
          <w:rtl w:val="true"/>
          <w:lang w:bidi="fa-IR"/>
        </w:rPr>
        <w:t>و أراد أهلها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هذا الّذی ذکروه غیر صحیح و لا شبهة فیه،و ذلک أنّ التّحلیل و التّحریم و إن استحال تعلّقهما بالأعیان من حیث کانت موجودة کائنة لا یصحّ وقوعها،و لا هی فی مقدورنا فیصحّ أن نتعبّد بها،فإنّما ینصرف إلی الفعل الّذی یصحّ أن یقع منا،فقد صار بعرف الشّرع یستعمل فی الأعیان و یراد بها الأفعال فیها،و قد بیّنا فیما مضی </w:t>
      </w:r>
      <w:r>
        <w:rPr>
          <w:rStyle w:val="FootnoteAnchor"/>
          <w:rtl w:val="true"/>
        </w:rPr>
        <w:footnoteReference w:id="836"/>
      </w:r>
      <w:r>
        <w:rPr>
          <w:rFonts w:ascii="Amiri" w:hAnsi="Amiri" w:eastAsia="Amiri" w:cs="Amiri"/>
          <w:color w:val="111111"/>
          <w:sz w:val="28"/>
          <w:sz w:val="28"/>
          <w:szCs w:val="28"/>
          <w:rtl w:val="true"/>
          <w:lang w:bidi="ar-SA"/>
        </w:rPr>
        <w:t>أنّ الاسم إذا انتقل عن أصل الوضع إلی عرف الشّرع وجب حمله علی ما یقتضیه عرف الشّرع،لأنّ ذلک صار حقیقة فیه،أ لا تری إنّه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حُرِّمَتْ عَلَیْکُمْ أُمَّهاتُکُمْ  </w:t>
      </w:r>
      <w:r>
        <w:rPr>
          <w:rStyle w:val="FootnoteAnchor"/>
          <w:rtl w:val="true"/>
        </w:rPr>
        <w:footnoteReference w:id="837"/>
      </w:r>
      <w:r>
        <w:rPr>
          <w:rFonts w:ascii="IRNazanin" w:hAnsi="IRNazanin" w:eastAsia="IRNazanin"/>
          <w:color w:val="111111"/>
          <w:sz w:val="28"/>
          <w:sz w:val="28"/>
          <w:szCs w:val="28"/>
          <w:rtl w:val="true"/>
          <w:lang w:bidi="fa-IR"/>
        </w:rPr>
        <w:t>لا یسبق إلی فهم أحد تحریم الذّوات،و إنّما یفهم من ذلک تحریم الوطء و العقد لا غیر،و لا فرق بین من دفع ذلک و بین من دفع أن تکون لفظة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الغائط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منتقلا عمّا وضع له فی اللّغة،و یتوصّل بذلک أنّ قول القائل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أتیت الغائط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ینبئ عن الحدث المخصوص،و المعلوم خلاف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ثبت ذلک صار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علّق بالعین فهم منه تحریم الفعل فیها، فصار کفحوی الخطاب الّذی یدلّ علی الشّیء و إن لم یتناوله لفظا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فرق بین من دفع الاستدلال بظاهر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حُرِّمَتْ عَلَیْکُمُ الْمَیْتَةُ  </w:t>
      </w:r>
      <w:r>
        <w:rPr>
          <w:rStyle w:val="FootnoteAnchor"/>
          <w:rtl w:val="true"/>
        </w:rPr>
        <w:footnoteReference w:id="838"/>
      </w:r>
      <w:r>
        <w:rPr>
          <w:rFonts w:ascii="Amiri" w:hAnsi="Amiri" w:eastAsia="Amiri" w:cs="Amiri"/>
          <w:color w:val="111111"/>
          <w:sz w:val="28"/>
          <w:sz w:val="28"/>
          <w:szCs w:val="28"/>
          <w:rtl w:val="true"/>
          <w:lang w:bidi="ar-SA"/>
        </w:rPr>
        <w:t>علی تحریم الفعل فیها،و بین من دفع الاستدلال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تَقُلْ لَهُما أُفٍّ وَ لا تَنْهَرْهُما  </w:t>
      </w:r>
      <w:r>
        <w:rPr>
          <w:rStyle w:val="FootnoteAnchor"/>
          <w:rtl w:val="true"/>
        </w:rPr>
        <w:footnoteReference w:id="839"/>
      </w:r>
      <w:r>
        <w:rPr>
          <w:rFonts w:ascii="IRNazanin" w:hAnsi="IRNazanin" w:eastAsia="IRNazanin"/>
          <w:color w:val="111111"/>
          <w:sz w:val="28"/>
          <w:sz w:val="28"/>
          <w:szCs w:val="28"/>
          <w:rtl w:val="true"/>
          <w:lang w:bidi="fa-IR"/>
        </w:rPr>
        <w:t>علی تحریم ضربهما و شتمهما</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لیس لهم أن یقولوا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کان أمره علی ما ذهبتم إلیه لما اختلفت فائدة مفهوم ذلک،أ لا تری أنّ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حُرِّمَتْ عَلَیْکُمْ أُمَّهاتُکُمْ  </w:t>
      </w:r>
      <w:r>
        <w:rPr>
          <w:rStyle w:val="FootnoteAnchor"/>
          <w:rtl w:val="true"/>
        </w:rPr>
        <w:footnoteReference w:id="840"/>
      </w:r>
      <w:r>
        <w:rPr>
          <w:rFonts w:ascii="IRNazanin" w:hAnsi="IRNazanin" w:eastAsia="IRNazanin"/>
          <w:color w:val="111111"/>
          <w:sz w:val="28"/>
          <w:sz w:val="28"/>
          <w:szCs w:val="28"/>
          <w:rtl w:val="true"/>
          <w:lang w:bidi="fa-IR"/>
        </w:rPr>
        <w:t xml:space="preserve">،التّحریم تناول هاهنا العقد </w:t>
      </w:r>
    </w:p>
    <w:p>
      <w:pPr>
        <w:pStyle w:val="BookText"/>
        <w:rPr/>
      </w:pPr>
      <w:r>
        <w:rPr>
          <w:rFonts w:ascii="Amiri" w:hAnsi="Amiri" w:eastAsia="Amiri" w:cs="Amiri"/>
          <w:color w:val="111111"/>
          <w:sz w:val="28"/>
          <w:sz w:val="28"/>
          <w:szCs w:val="28"/>
          <w:rtl w:val="true"/>
          <w:lang w:bidi="ar-SA"/>
        </w:rPr>
        <w:t>و الوطء،و لیس کذلک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حُرِّمَتْ عَلَیْکُمُ الْمَیْتَةُ   </w:t>
      </w:r>
      <w:r>
        <w:rPr>
          <w:rStyle w:val="FootnoteAnchor"/>
          <w:rtl w:val="true"/>
        </w:rPr>
        <w:footnoteReference w:id="841"/>
      </w:r>
      <w:r>
        <w:rPr>
          <w:rFonts w:ascii="IRNazanin" w:hAnsi="IRNazanin" w:eastAsia="IRNazanin"/>
          <w:color w:val="111111"/>
          <w:sz w:val="28"/>
          <w:sz w:val="28"/>
          <w:szCs w:val="28"/>
          <w:rtl w:val="true"/>
          <w:lang w:bidi="fa-IR"/>
        </w:rPr>
        <w:t>،بل المراد هاهنا غیر المراد هناک،و ذلک أنّه لا یمتنع أن یتعارف استعمال التّحریم المعلّق بالعین فی أعیان مختلفة بحسب ما جرت العادة بفعلها فی الأعیان،و یتعارف عن تحریم الأمّهات الاستمتاع،و من تحریم المیتة الأکل،لأنّ اللّفظة الواحدة لا یمتنع أن یختلف المعقول بها بحسب اختلاف ما تعلّق به،أ لا تری أنّ النّظر بالعین لا یعقل منه ما یعقل من النّظر بالقلب،فلمّا جاز أن یختلف المعقول من النّظر بحسب اختلاف ما تعلّق به من العین و القلب،فکذلک القول فی التّحریم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لأحد 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المحرّم من الأمّهات غیر المحرّم من المیتة، علم أنّ اللّفظ لا یفید،إذ لو أفاده لاتّفق ما یفیده فی الموضعین،أو یکون ذلک مجازا علی ما مرّ فی کلام أبی هاشم،و ذلک أنّ الّذی یقال فی ذلک أنّه مجاز فی اللّغة و إن کان حقیقة فی العرف،کما تقول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الغائط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أشبههما</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ذهب قوم ممّن تکلّم فی أصول الفقه إلی أنّ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هُمْ لِفُرُوجِهِمْ حافِظُونَ  </w:t>
      </w:r>
      <w:r>
        <w:rPr>
          <w:rStyle w:val="FootnoteAnchor"/>
          <w:rtl w:val="true"/>
        </w:rPr>
        <w:footnoteReference w:id="842"/>
      </w:r>
      <w:r>
        <w:rPr>
          <w:rFonts w:ascii="Amiri" w:hAnsi="Amiri" w:eastAsia="Amiri" w:cs="Amiri"/>
          <w:color w:val="111111"/>
          <w:sz w:val="28"/>
          <w:sz w:val="28"/>
          <w:szCs w:val="28"/>
          <w:rtl w:val="true"/>
          <w:lang w:bidi="ar-SA"/>
        </w:rPr>
        <w:t>الآیة،و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یَکْنِزُونَ الذَّهَبَ وَ الْفِضَّةَ  </w:t>
      </w:r>
      <w:r>
        <w:rPr>
          <w:rStyle w:val="FootnoteAnchor"/>
          <w:rtl w:val="true"/>
        </w:rPr>
        <w:footnoteReference w:id="843"/>
      </w:r>
      <w:r>
        <w:rPr>
          <w:rFonts w:ascii="IRNazanin" w:hAnsi="IRNazanin" w:eastAsia="IRNazanin"/>
          <w:color w:val="111111"/>
          <w:sz w:val="28"/>
          <w:sz w:val="28"/>
          <w:szCs w:val="28"/>
          <w:rtl w:val="true"/>
          <w:lang w:bidi="fa-IR"/>
        </w:rPr>
        <w:t xml:space="preserve">الآیة، و غیر ذلک من الآیات الّتی ذکر فیها المدح أو </w:t>
      </w:r>
      <w:r>
        <w:rPr>
          <w:rStyle w:val="FootnoteAnchor"/>
          <w:rtl w:val="true"/>
        </w:rPr>
        <w:footnoteReference w:id="844"/>
      </w:r>
      <w:r>
        <w:rPr>
          <w:rFonts w:ascii="IRNazanin" w:hAnsi="IRNazanin" w:eastAsia="IRNazanin"/>
          <w:color w:val="111111"/>
          <w:sz w:val="28"/>
          <w:sz w:val="28"/>
          <w:szCs w:val="28"/>
          <w:rtl w:val="true"/>
          <w:lang w:bidi="fa-IR"/>
        </w:rPr>
        <w:t>الذّم مجمل،و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القصد بها تعلیق الذّم بالفعل المذکور فیها أو المدح لا بیان الحکم بها و تفصیله،فالتّعلّق بها فی الحکم و فی شروطه لا یصحّ</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ذهب أکثر من تکلّم فی أصول الفقه إلی خلاف ذلک،و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ذلک عموم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یدلّ علی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القصد إلی الوعید و الذمّ لا یمنع من القصد إلی الحکم و بیانه،فکیف یصحّ أن یتعلّق فی بطلان التّعلّق به بما ذکروه من أنّ القصد به الوعید،و لا فرق بین من قال ذلک،و بین 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الآیة إذا قصد بها الزّجر لا یصحّ أن یبیّن الحکم بها،فیتوصّل بذلک إلی إبطال التّعلّق بآیة السّرقة و الزّنا 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بعید من الصّواب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أیضا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ذکر الذّم علی الحکم المذکور یؤکّد وجوبه و یقوّی ثبوت ما ذکر من أوصافه،فکیف یقال إنّه یخرج الآیة من صحّة التّعلّق بها؟ و ذهب 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أنّ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امْسَحُوا بِرُؤُسِکُمْ   </w:t>
      </w:r>
      <w:r>
        <w:rPr>
          <w:rStyle w:val="FootnoteAnchor"/>
          <w:rtl w:val="true"/>
        </w:rPr>
        <w:footnoteReference w:id="845"/>
      </w:r>
      <w:r>
        <w:rPr>
          <w:rFonts w:ascii="IRNazanin" w:hAnsi="IRNazanin" w:eastAsia="IRNazanin"/>
          <w:color w:val="111111"/>
          <w:sz w:val="28"/>
          <w:sz w:val="28"/>
          <w:szCs w:val="28"/>
          <w:rtl w:val="true"/>
          <w:lang w:bidi="fa-IR"/>
        </w:rPr>
        <w:t>مجمل،و جعلوا بیانه فعل النبیّ صلّی اللّه علیه و آله و سلّم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امتنع آخرون من ذلک و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الباء تفید إلصاق المسح بالرّأس من غیر أن </w:t>
      </w:r>
    </w:p>
    <w:p>
      <w:pPr>
        <w:pStyle w:val="BookText"/>
        <w:rPr/>
      </w:pPr>
      <w:r>
        <w:rPr>
          <w:rFonts w:ascii="IRNazanin" w:hAnsi="IRNazanin" w:eastAsia="IRNazanin"/>
          <w:color w:val="111111"/>
          <w:sz w:val="28"/>
          <w:sz w:val="28"/>
          <w:szCs w:val="28"/>
          <w:rtl w:val="true"/>
          <w:lang w:bidi="fa-IR"/>
        </w:rPr>
        <w:t xml:space="preserve">یقتضی مقدارا من المسح،فمن مسح بشیء من رأسه فقد أدّی ما یوجبه الظّاهر،و لا حاجة به إلی البیان </w:t>
      </w:r>
      <w:r>
        <w:rPr>
          <w:rStyle w:val="FootnoteAnchor"/>
          <w:rtl w:val="true"/>
        </w:rPr>
        <w:footnoteReference w:id="8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الّذی نقوله فی هذه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الباء تفید عندنا التّبعیض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بیّناه فیما مضی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أنّها إنّما تدخل للإلصاق إذا کان الفعل لا یتعدّی إلی المفعول به بنفسه، فیحتاج إلی إدخال الباء لیلصق الفعل به،فأمّا إذا کان الفعل ممّا یتعدّی بنفسه فلا یجوز أن یکون دخولها لذلک،فإذا ثبت ذلک فقوله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امْسَحُوا بِرُؤُسِکُمْ   </w:t>
      </w:r>
      <w:r>
        <w:rPr>
          <w:rStyle w:val="FootnoteAnchor"/>
          <w:rtl w:val="true"/>
        </w:rPr>
        <w:footnoteReference w:id="847"/>
      </w:r>
      <w:r>
        <w:rPr>
          <w:rFonts w:ascii="IRNazanin" w:hAnsi="IRNazanin" w:eastAsia="IRNazanin"/>
          <w:color w:val="111111"/>
          <w:sz w:val="28"/>
          <w:sz w:val="28"/>
          <w:szCs w:val="28"/>
          <w:rtl w:val="true"/>
          <w:lang w:bidi="fa-IR"/>
        </w:rPr>
        <w:t>یتعدّی بنفسه،لأنّه یحسن 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امْسَحُوا رءوسکُمْ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فیجب أن یکون دخولها لفائدة أخری و هی التّبعیض،إلاّ أنّ ذلک البعض لمّا لم یکن معیّنا،کان مخیّرا بین أیّ بعض شاء،فإن علم بدلیل أنّه أرید منه موضوع معیّن لا یجوز غیره،وقف ذلک علی البیان،و صارت الآیة مجملة من هذا الوجه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النّاس من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فَاقْطَعُوا أَیْدِیَهُما  </w:t>
      </w:r>
      <w:r>
        <w:rPr>
          <w:rStyle w:val="FootnoteAnchor"/>
          <w:rtl w:val="true"/>
        </w:rPr>
        <w:footnoteReference w:id="848"/>
      </w:r>
      <w:r>
        <w:rPr>
          <w:rFonts w:ascii="IRNazanin" w:hAnsi="IRNazanin" w:eastAsia="IRNazanin"/>
          <w:color w:val="111111"/>
          <w:sz w:val="28"/>
          <w:sz w:val="28"/>
          <w:szCs w:val="28"/>
          <w:rtl w:val="true"/>
          <w:lang w:bidi="fa-IR"/>
        </w:rPr>
        <w:t xml:space="preserve">یقتضی قطع الید إلی المنکب،لأنّ ذلک یسمّی یدا </w:t>
      </w:r>
      <w:r>
        <w:rPr>
          <w:rStyle w:val="FootnoteAnchor"/>
          <w:rtl w:val="true"/>
        </w:rPr>
        <w:footnoteReference w:id="8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آخرون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 مجمل لاحتماله له و لغیره </w:t>
      </w:r>
      <w:r>
        <w:rPr>
          <w:rStyle w:val="FootnoteAnchor"/>
          <w:rtl w:val="true"/>
        </w:rPr>
        <w:footnoteReference w:id="850"/>
      </w:r>
      <w:r>
        <w:rPr>
          <w:rFonts w:eastAsia="Times New Roman" w:cs="Times New Roman" w:ascii="Times New Roman" w:hAnsi="Times New Roman"/>
          <w:color w:val="111111"/>
          <w:sz w:val="28"/>
          <w:szCs w:val="28"/>
          <w:rtl w:val="true"/>
          <w:lang w:val="en-US" w:bidi="en-US"/>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آخرون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لیس بمجمل،لأنّ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الحقیقة تتناول جملة العضو فیجب حمله علیها،و لو کانت تقع علی العضو إلی المنکب و الزّند جمیعا لوجب حمله علی أقلّ ما یتناوله،إلاّ أن یدلّ الدّلالة علی خلافه،فادّعاء الإجمال فیه لا </w:t>
      </w:r>
    </w:p>
    <w:p>
      <w:pPr>
        <w:pStyle w:val="BookText"/>
        <w:rPr/>
      </w:pPr>
      <w:r>
        <w:rPr>
          <w:rFonts w:ascii="Amiri" w:hAnsi="Amiri" w:eastAsia="Amiri" w:cs="Amiri"/>
          <w:color w:val="111111"/>
          <w:sz w:val="28"/>
          <w:sz w:val="28"/>
          <w:szCs w:val="28"/>
          <w:rtl w:val="true"/>
          <w:lang w:bidi="ar-SA"/>
        </w:rPr>
        <w:t xml:space="preserve">یصحّ </w:t>
      </w:r>
      <w:r>
        <w:rPr>
          <w:rStyle w:val="FootnoteAnchor"/>
          <w:rtl w:val="true"/>
        </w:rPr>
        <w:footnoteReference w:id="8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الوجه الآخر أقرب إلی الصّواب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ذهب 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قول القائل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أعط فلانا دراهم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مجمل،لأنّه یمکن أن یراد به أکثر من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آخرون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غلط،لأنّ تجویز ذلک لا یمنع من أن یکون ظاهره یقتضی ما قلناه،فسبیل هذا القائل کسبیل 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لفظ الخاصّ مجمل،لجواز أن یراد به العام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الوجه أقرب إلی الصّواب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ذهب 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قوله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الرّقة ربع العشر</w:t>
      </w:r>
      <w:r>
        <w:rPr>
          <w:rFonts w:eastAsia="IRNazanin" w:cs="IRNazanin"/>
          <w:color w:val="111111"/>
          <w:sz w:val="28"/>
          <w:szCs w:val="28"/>
          <w:rtl w:val="true"/>
          <w:lang w:bidi="fa-IR"/>
        </w:rPr>
        <w:t xml:space="preserve">» </w:t>
      </w:r>
      <w:r>
        <w:rPr>
          <w:rStyle w:val="FootnoteAnchor"/>
          <w:rtl w:val="true"/>
        </w:rPr>
        <w:footnoteReference w:id="852"/>
      </w:r>
      <w:r>
        <w:rPr>
          <w:rFonts w:ascii="IRNazanin" w:hAnsi="IRNazanin" w:eastAsia="IRNazanin"/>
          <w:color w:val="111111"/>
          <w:sz w:val="28"/>
          <w:sz w:val="28"/>
          <w:szCs w:val="28"/>
          <w:rtl w:val="true"/>
          <w:lang w:bidi="fa-IR"/>
        </w:rPr>
        <w:t xml:space="preserve">إنّما یدلّ علی وجوب ربع العشر فی هذا الجنس،و یحتاج إلی بیان القدر الّذی یؤخذ منه ذلک </w:t>
      </w:r>
      <w:r>
        <w:rPr>
          <w:rStyle w:val="FootnoteAnchor"/>
          <w:rtl w:val="true"/>
        </w:rPr>
        <w:footnoteReference w:id="8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آخرون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ذلک لیس بمجمل،لأنّ ظاهره یقتضی ربع العشر فی الجنس کلّه،فلا معنی للتّوقّف فی ذلک،فلو لا قوله علیه السّلام </w:t>
      </w:r>
      <w:r>
        <w:rPr>
          <w:rStyle w:val="FootnoteAnchor"/>
          <w:rtl w:val="true"/>
        </w:rPr>
        <w:footnoteReference w:id="8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فیما دون خمس أواق صدقة</w:t>
      </w:r>
      <w:r>
        <w:rPr>
          <w:rFonts w:eastAsia="IRNazanin" w:cs="IRNazanin"/>
          <w:color w:val="111111"/>
          <w:sz w:val="28"/>
          <w:szCs w:val="28"/>
          <w:rtl w:val="true"/>
          <w:lang w:bidi="fa-IR"/>
        </w:rPr>
        <w:t xml:space="preserve">» </w:t>
      </w:r>
      <w:r>
        <w:rPr>
          <w:rStyle w:val="FootnoteAnchor"/>
          <w:rtl w:val="true"/>
        </w:rPr>
        <w:footnoteReference w:id="855"/>
      </w:r>
      <w:r>
        <w:rPr>
          <w:rFonts w:ascii="IRNazanin" w:hAnsi="IRNazanin" w:eastAsia="IRNazanin"/>
          <w:color w:val="111111"/>
          <w:sz w:val="28"/>
          <w:sz w:val="28"/>
          <w:szCs w:val="28"/>
          <w:rtl w:val="true"/>
          <w:lang w:bidi="fa-IR"/>
        </w:rPr>
        <w:t xml:space="preserve">مخصّصا به ذلک العموم،لکان یجب حمله علی ظاهره </w:t>
      </w:r>
      <w:r>
        <w:rPr>
          <w:rStyle w:val="FootnoteAnchor"/>
          <w:rtl w:val="true"/>
        </w:rPr>
        <w:footnoteReference w:id="856"/>
      </w:r>
      <w:r>
        <w:rPr>
          <w:rFonts w:ascii="IRNazanin" w:hAnsi="IRNazanin" w:eastAsia="IRNazanin"/>
          <w:color w:val="111111"/>
          <w:sz w:val="28"/>
          <w:sz w:val="28"/>
          <w:szCs w:val="28"/>
          <w:rtl w:val="true"/>
          <w:lang w:bidi="fa-IR"/>
        </w:rPr>
        <w:t>،و هذا هو الصّحیح دون الأوّل</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ذهب 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ما روی عنه صلّی اللّه علیه و آله و سلّم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صلاة إلاّ </w:t>
      </w:r>
    </w:p>
    <w:p>
      <w:pPr>
        <w:pStyle w:val="BookText"/>
        <w:rPr/>
      </w:pPr>
      <w:r>
        <w:rPr>
          <w:rFonts w:ascii="IRNazanin" w:hAnsi="IRNazanin" w:eastAsia="IRNazanin"/>
          <w:color w:val="111111"/>
          <w:sz w:val="28"/>
          <w:sz w:val="28"/>
          <w:szCs w:val="28"/>
          <w:rtl w:val="true"/>
          <w:lang w:bidi="fa-IR"/>
        </w:rPr>
        <w:t>بفاتحة الکتاب</w:t>
      </w:r>
      <w:r>
        <w:rPr>
          <w:rFonts w:eastAsia="IRNazanin" w:cs="IRNazanin"/>
          <w:color w:val="111111"/>
          <w:sz w:val="28"/>
          <w:szCs w:val="28"/>
          <w:rtl w:val="true"/>
          <w:lang w:bidi="fa-IR"/>
        </w:rPr>
        <w:t xml:space="preserve">» </w:t>
      </w:r>
      <w:r>
        <w:rPr>
          <w:rStyle w:val="FootnoteAnchor"/>
          <w:rtl w:val="true"/>
        </w:rPr>
        <w:footnoteReference w:id="857"/>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صلاة إلاّ بطهور</w:t>
      </w:r>
      <w:r>
        <w:rPr>
          <w:rFonts w:eastAsia="Amiri" w:cs="Amiri" w:ascii="Amiri" w:hAnsi="Amiri"/>
          <w:color w:val="111111"/>
          <w:sz w:val="28"/>
          <w:szCs w:val="28"/>
          <w:rtl w:val="true"/>
          <w:lang w:bidi="ar-SA"/>
        </w:rPr>
        <w:t xml:space="preserve">» </w:t>
      </w:r>
      <w:r>
        <w:rPr>
          <w:rStyle w:val="FootnoteAnchor"/>
          <w:rtl w:val="true"/>
        </w:rPr>
        <w:footnoteReference w:id="858"/>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نکاح إلاّ بولیّ</w:t>
      </w:r>
      <w:r>
        <w:rPr>
          <w:rFonts w:eastAsia="Amiri" w:cs="Amiri" w:ascii="Amiri" w:hAnsi="Amiri"/>
          <w:color w:val="111111"/>
          <w:sz w:val="28"/>
          <w:szCs w:val="28"/>
          <w:rtl w:val="true"/>
          <w:lang w:bidi="ar-SA"/>
        </w:rPr>
        <w:t xml:space="preserve">» </w:t>
      </w:r>
      <w:r>
        <w:rPr>
          <w:rStyle w:val="FootnoteAnchor"/>
          <w:rtl w:val="true"/>
        </w:rPr>
        <w:footnoteReference w:id="859"/>
      </w:r>
      <w:r>
        <w:rPr>
          <w:rFonts w:ascii="IRNazanin" w:hAnsi="IRNazanin" w:eastAsia="IRNazanin"/>
          <w:color w:val="111111"/>
          <w:sz w:val="28"/>
          <w:sz w:val="28"/>
          <w:szCs w:val="28"/>
          <w:rtl w:val="true"/>
          <w:lang w:bidi="fa-IR"/>
        </w:rPr>
        <w:t>،مجمل،و قالوا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حرف النّفی لا یصحّ أن یکون داخلا علی الفعل مع صحّة وقوعه عاریا من هذه الشّروط،فیجب أن یکون داخلا علی الحکم،و الحکم قد یکون للأجزاء،و قد یکون للتّمام و الفضل،لأنّه قد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صلاة کاملة إلاّ بفاتحة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صلاة لجار المسجد إلاّ فی مسجده</w:t>
      </w:r>
      <w:r>
        <w:rPr>
          <w:rFonts w:eastAsia="IRNazanin" w:cs="IRNazanin"/>
          <w:color w:val="111111"/>
          <w:sz w:val="28"/>
          <w:szCs w:val="28"/>
          <w:rtl w:val="true"/>
          <w:lang w:bidi="fa-IR"/>
        </w:rPr>
        <w:t xml:space="preserve">) </w:t>
      </w:r>
      <w:r>
        <w:rPr>
          <w:rStyle w:val="FootnoteAnchor"/>
          <w:rtl w:val="true"/>
        </w:rPr>
        <w:footnoteReference w:id="860"/>
      </w:r>
      <w:r>
        <w:rPr>
          <w:rFonts w:ascii="IRNazanin" w:hAnsi="IRNazanin" w:eastAsia="IRNazanin"/>
          <w:color w:val="111111"/>
          <w:sz w:val="28"/>
          <w:sz w:val="28"/>
          <w:szCs w:val="28"/>
          <w:rtl w:val="true"/>
          <w:lang w:bidi="fa-IR"/>
        </w:rPr>
        <w:t>و أراد بذلک ما قلناه من نفی الفضل،و لم یرد نفی الأجزاء بالاتّفاق،و یمکن أن یرید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صلاة مجزیة إلاّ بفاتحة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لم یکن فی اللّفظ تصریح بأحدهما وجب أن تکون الآیة مجملة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یصحّ حمله علی المعنیین معا،لأنّ نفی التّمام و الفضل یقتضی حصول الإجزاء،و نفی الإجزاء یقتضی أنّه لم یحصل ذلک،و ذلک ینافی أن یراد بعبارة واحدة </w:t>
      </w:r>
      <w:r>
        <w:rPr>
          <w:rStyle w:val="FootnoteAnchor"/>
          <w:rtl w:val="true"/>
        </w:rPr>
        <w:footnoteReference w:id="8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ذهب عبد الجبّار بن أحمد </w:t>
      </w:r>
      <w:r>
        <w:rPr>
          <w:rStyle w:val="FootnoteAnchor"/>
          <w:rtl w:val="true"/>
        </w:rPr>
        <w:footnoteReference w:id="862"/>
      </w:r>
      <w:r>
        <w:rPr>
          <w:rFonts w:ascii="IRNazanin" w:hAnsi="IRNazanin" w:eastAsia="IRNazanin"/>
          <w:color w:val="111111"/>
          <w:sz w:val="28"/>
          <w:sz w:val="28"/>
          <w:szCs w:val="28"/>
          <w:rtl w:val="true"/>
          <w:lang w:bidi="fa-IR"/>
        </w:rPr>
        <w:t>إلی أنّ ذلک لیس بمجمل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حرف النّفی یدخل فی الفعل الشّرعی،و ما یقع منه مع عدم الشّرط المذکور لا یکون شرعیّا فکأنّه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صلاة شرعیّة إلاّ بطهور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وقعت من غیر طهور لم تکن شرعیّة، فحرف النّفی قد استعمل فی الحقیقة فیما دخل فیه</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لکن ما ذکرناه إنّما یصحّ إذا دخل حرف النّفی فی الفعل الشّرعی،فأمّا إذا حصل فیما عداه فیجب أن ینظر فیه،فإن دخل علی الحکم فی الحقیقة قضی بنفیه </w:t>
      </w:r>
    </w:p>
    <w:p>
      <w:pPr>
        <w:pStyle w:val="BookText"/>
        <w:rPr/>
      </w:pPr>
      <w:r>
        <w:rPr>
          <w:rFonts w:ascii="IRNazanin" w:hAnsi="IRNazanin" w:eastAsia="IRNazanin"/>
          <w:color w:val="111111"/>
          <w:sz w:val="28"/>
          <w:sz w:val="28"/>
          <w:szCs w:val="28"/>
          <w:rtl w:val="true"/>
          <w:lang w:bidi="fa-IR"/>
        </w:rPr>
        <w:t>إذا لم یحصل الشّرط المذکور و إن دخل علی الفعل،و المعلوم من حاله أنّه یقع فعلا صحیحا مع عدم الشّرط،فیجب أن یکون مجملا علی ما ذکروه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کذلک لا یصحّ التّعلّق بظاهر قوله 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الأعمال بالنیّات</w:t>
      </w:r>
      <w:r>
        <w:rPr>
          <w:rFonts w:eastAsia="Amiri" w:cs="Amiri" w:ascii="Amiri" w:hAnsi="Amiri"/>
          <w:color w:val="111111"/>
          <w:sz w:val="28"/>
          <w:szCs w:val="28"/>
          <w:rtl w:val="true"/>
          <w:lang w:bidi="ar-SA"/>
        </w:rPr>
        <w:t xml:space="preserve">» </w:t>
      </w:r>
      <w:r>
        <w:rPr>
          <w:rStyle w:val="FootnoteAnchor"/>
          <w:rtl w:val="true"/>
        </w:rPr>
        <w:footnoteReference w:id="863"/>
      </w:r>
      <w:r>
        <w:rPr>
          <w:rFonts w:ascii="IRNazanin" w:hAnsi="IRNazanin" w:eastAsia="IRNazanin"/>
          <w:color w:val="111111"/>
          <w:sz w:val="28"/>
          <w:sz w:val="28"/>
          <w:szCs w:val="28"/>
          <w:rtl w:val="true"/>
          <w:lang w:bidi="fa-IR"/>
        </w:rPr>
        <w:t>لأنّه إذا دخل حرف الشّرط علی الفعل الّذی یصحّ وقوعه و إن خلا منه، فیجب أن یسند إلی غیره إذا احتجّ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ألفاظه بعینها ذکرها فی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العمد</w:t>
      </w:r>
      <w:r>
        <w:rPr>
          <w:rFonts w:eastAsia="IRNazanin" w:cs="IRNazanin"/>
          <w:color w:val="111111"/>
          <w:sz w:val="28"/>
          <w:szCs w:val="28"/>
          <w:rtl w:val="true"/>
          <w:lang w:bidi="fa-IR"/>
        </w:rPr>
        <w:t xml:space="preserve">» </w:t>
      </w:r>
      <w:r>
        <w:rPr>
          <w:rStyle w:val="FootnoteAnchor"/>
          <w:rtl w:val="true"/>
        </w:rPr>
        <w:footnoteReference w:id="864"/>
      </w:r>
      <w:r>
        <w:rPr>
          <w:rFonts w:ascii="IRNazanin" w:hAnsi="IRNazanin" w:eastAsia="IRNazanin"/>
          <w:color w:val="111111"/>
          <w:sz w:val="28"/>
          <w:sz w:val="28"/>
          <w:szCs w:val="28"/>
          <w:rtl w:val="true"/>
          <w:lang w:bidi="fa-IR"/>
        </w:rPr>
        <w:t>و هی قریبة إلی الصواب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فأمّا ما الحق بالعموم و هو من المجمل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فنحو ما یتعلّق به أصحاب الشّافعی بقوله تعالی أَقِیمُوا الصَّلاةَ   </w:t>
      </w:r>
      <w:r>
        <w:rPr>
          <w:rStyle w:val="FootnoteAnchor"/>
          <w:rtl w:val="true"/>
        </w:rPr>
        <w:footnoteReference w:id="865"/>
      </w:r>
      <w:r>
        <w:rPr>
          <w:rFonts w:ascii="IRNazanin" w:hAnsi="IRNazanin" w:eastAsia="IRNazanin"/>
          <w:color w:val="111111"/>
          <w:sz w:val="28"/>
          <w:sz w:val="28"/>
          <w:szCs w:val="28"/>
          <w:rtl w:val="true"/>
          <w:lang w:bidi="fa-IR"/>
        </w:rPr>
        <w:t>فی وجوب الصّلاة علی النّبی صلّی اللّه علیه و آله و سلّم فی التّشهد الأخیر،و تقول إنّ ذلک دعاء،و إنّ هذه اللّفظة حقیقة فیه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بعید من الصّواب،لأنّ لفظة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 کانت موضوعة للدّعاء فی </w:t>
      </w:r>
    </w:p>
    <w:p>
      <w:pPr>
        <w:pStyle w:val="BookText"/>
        <w:rPr/>
      </w:pPr>
      <w:r>
        <w:rPr>
          <w:rFonts w:ascii="IRNazanin" w:hAnsi="IRNazanin" w:eastAsia="IRNazanin"/>
          <w:color w:val="111111"/>
          <w:sz w:val="28"/>
          <w:sz w:val="28"/>
          <w:szCs w:val="28"/>
          <w:rtl w:val="true"/>
          <w:lang w:bidi="fa-IR"/>
        </w:rPr>
        <w:t>أصل اللّغة،فقد صارت بعرف الشّرع موضوعة لأفعال مخصوصة،فالتّعلّق بذلک فیما وضعت فی أصل اللّغة لا یصحّ لما قدّمنا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ذلک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حملهم قوله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رعف فی صلاته فلیتوضّأ</w:t>
      </w:r>
      <w:r>
        <w:rPr>
          <w:rFonts w:eastAsia="IRNazanin" w:cs="IRNazanin"/>
          <w:color w:val="111111"/>
          <w:sz w:val="28"/>
          <w:szCs w:val="28"/>
          <w:rtl w:val="true"/>
          <w:lang w:bidi="fa-IR"/>
        </w:rPr>
        <w:t xml:space="preserve">» </w:t>
      </w:r>
      <w:r>
        <w:rPr>
          <w:rStyle w:val="FootnoteAnchor"/>
          <w:rtl w:val="true"/>
        </w:rPr>
        <w:footnoteReference w:id="866"/>
      </w:r>
      <w:r>
        <w:rPr>
          <w:rFonts w:ascii="IRNazanin" w:hAnsi="IRNazanin" w:eastAsia="IRNazanin"/>
          <w:color w:val="111111"/>
          <w:sz w:val="28"/>
          <w:sz w:val="28"/>
          <w:szCs w:val="28"/>
          <w:rtl w:val="true"/>
          <w:lang w:bidi="fa-IR"/>
        </w:rPr>
        <w:t>علی غسل الید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أیضا لا یصحّ،لأنّ الوضوء صار بعرف الشّرع عبارة عن غسل أعضاء مخصوصة و مسحها،و إنّما یمکن حمل اللّفظ علی غسل العضو إذا علم بدلیل أنّ الرّعاف لا ینقض الوضوء،فحینئذ یصرف عن ظاهره و یحمل علی موجب اللّغة،کما تصرف ألفاظ کثیرة عن حقیقتها إلی ضرب من المجاز لقیام دلیل علی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ذلک تعلّقهم بقوله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تَیَمَّمُوا الْخَبِیثَ مِنْهُ تُنْفِقُونَ  </w:t>
      </w:r>
      <w:r>
        <w:rPr>
          <w:rStyle w:val="FootnoteAnchor"/>
          <w:rtl w:val="true"/>
        </w:rPr>
        <w:footnoteReference w:id="867"/>
      </w:r>
      <w:r>
        <w:rPr>
          <w:rFonts w:ascii="IRNazanin" w:hAnsi="IRNazanin" w:eastAsia="IRNazanin"/>
          <w:color w:val="111111"/>
          <w:sz w:val="28"/>
          <w:sz w:val="28"/>
          <w:szCs w:val="28"/>
          <w:rtl w:val="true"/>
          <w:lang w:bidi="fa-IR"/>
        </w:rPr>
        <w:t xml:space="preserve">فی أنّ الرّقبة الکافرة لا تجزی فی الظّهار،و ینبغی أن تکون مؤمنة،لأنّ الکافرة خبیثة </w:t>
      </w:r>
      <w:r>
        <w:rPr>
          <w:rStyle w:val="FootnoteAnchor"/>
          <w:rtl w:val="true"/>
        </w:rPr>
        <w:footnoteReference w:id="8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أیضا لا یصحّ،لأنّ المعنیّ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تَیَمَّمُوا الْخَبِیثَ  أی لا تقصدوا إلی الإنفاق من الخبیث،فالقصد متعلّق بالإنفاق،و العتق لیس من الإنفاق فی شیء، یبیّن ذلک أنّ قوله بعد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تُنْفِقُونَ   کون المنفق منه </w:t>
      </w:r>
      <w:r>
        <w:rPr>
          <w:rStyle w:val="FootnoteAnchor"/>
          <w:rtl w:val="true"/>
        </w:rPr>
        <w:footnoteReference w:id="869"/>
      </w:r>
      <w:r>
        <w:rPr>
          <w:rFonts w:ascii="Amiri" w:hAnsi="Amiri" w:eastAsia="Amiri" w:cs="Amiri"/>
          <w:color w:val="111111"/>
          <w:sz w:val="28"/>
          <w:sz w:val="28"/>
          <w:szCs w:val="28"/>
          <w:rtl w:val="true"/>
          <w:lang w:bidi="ar-SA"/>
        </w:rPr>
        <w:t>من بعض ما وصفه بأنّه خبیث،و ذلک لا یتأتّی فی العتق،و کذلک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لَسْتُمْ بِآخِذِیهِ إِلاّ أَنْ تُغْمِضُوا فِیهِ   </w:t>
      </w:r>
      <w:r>
        <w:rPr>
          <w:rStyle w:val="FootnoteAnchor"/>
          <w:rtl w:val="true"/>
        </w:rPr>
        <w:footnoteReference w:id="870"/>
      </w:r>
      <w:r>
        <w:rPr>
          <w:rFonts w:ascii="IRNazanin" w:hAnsi="IRNazanin" w:eastAsia="IRNazanin"/>
          <w:color w:val="111111"/>
          <w:sz w:val="28"/>
          <w:sz w:val="28"/>
          <w:szCs w:val="28"/>
          <w:rtl w:val="true"/>
          <w:lang w:bidi="fa-IR"/>
        </w:rPr>
        <w:t>إشارة إلی ما تقدّم ذکره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کلّ ذلک لا یصحّ فی العتق،فالتعلّق به لا یصحّ</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ذلک تعلّقهم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یَسْتَوِی أَصْحابُ النّارِ وَ أَصْحابُ الْجَنَّةِ  </w:t>
      </w:r>
      <w:r>
        <w:rPr>
          <w:rStyle w:val="FootnoteAnchor"/>
          <w:rtl w:val="true"/>
        </w:rPr>
        <w:footnoteReference w:id="871"/>
      </w:r>
      <w:r>
        <w:rPr>
          <w:rFonts w:ascii="IRNazanin" w:hAnsi="IRNazanin" w:eastAsia="IRNazanin"/>
          <w:color w:val="111111"/>
          <w:sz w:val="28"/>
          <w:sz w:val="28"/>
          <w:szCs w:val="28"/>
          <w:rtl w:val="true"/>
          <w:lang w:bidi="fa-IR"/>
        </w:rPr>
        <w:t xml:space="preserve">فی أنّ المؤمن لا یقتل بکافر،لأنّ نفی الاستواء إذا أطلق فیما قد ثبت بالدّلیل أنّه متماثل </w:t>
      </w:r>
    </w:p>
    <w:p>
      <w:pPr>
        <w:pStyle w:val="BookText"/>
        <w:rPr/>
      </w:pPr>
      <w:r>
        <w:rPr>
          <w:rFonts w:ascii="IRNazanin" w:hAnsi="IRNazanin" w:eastAsia="IRNazanin"/>
          <w:color w:val="111111"/>
          <w:sz w:val="28"/>
          <w:sz w:val="28"/>
          <w:szCs w:val="28"/>
          <w:rtl w:val="true"/>
          <w:lang w:bidi="fa-IR"/>
        </w:rPr>
        <w:t xml:space="preserve">فی الذّات إنّما یعنی به فی بعض أوصافه،فهو إذا مجمل </w:t>
      </w:r>
      <w:r>
        <w:rPr>
          <w:rStyle w:val="FootnoteAnchor"/>
          <w:rtl w:val="true"/>
        </w:rPr>
        <w:footnoteReference w:id="8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متی عقّب الکلام بشیء فرّق بینهما فیه،وجب حمل أوّله علیه،و قد ذکر فی آخر الآیة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أَصْحابُ الْجَنَّةِ هُمُ الْفائِزُونَ  </w:t>
      </w:r>
      <w:r>
        <w:rPr>
          <w:rStyle w:val="FootnoteAnchor"/>
          <w:rtl w:val="true"/>
        </w:rPr>
        <w:footnoteReference w:id="873"/>
      </w:r>
      <w:r>
        <w:rPr>
          <w:rFonts w:ascii="IRNazanin" w:hAnsi="IRNazanin" w:eastAsia="IRNazanin"/>
          <w:color w:val="111111"/>
          <w:sz w:val="28"/>
          <w:sz w:val="28"/>
          <w:szCs w:val="28"/>
          <w:rtl w:val="true"/>
          <w:lang w:bidi="fa-IR"/>
        </w:rPr>
        <w:t>فینبغی أن یکون المراد نفی الاستواء فی الفوز فی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ذلک اعتراض من اعترض علی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یقتل مؤمن بکافر</w:t>
      </w:r>
      <w:r>
        <w:rPr>
          <w:rFonts w:eastAsia="IRNazanin" w:cs="IRNazanin"/>
          <w:color w:val="111111"/>
          <w:sz w:val="28"/>
          <w:szCs w:val="28"/>
          <w:rtl w:val="true"/>
          <w:lang w:bidi="fa-IR"/>
        </w:rPr>
        <w:t xml:space="preserve">» </w:t>
      </w:r>
      <w:r>
        <w:rPr>
          <w:rStyle w:val="FootnoteAnchor"/>
          <w:rtl w:val="true"/>
        </w:rPr>
        <w:footnoteReference w:id="874"/>
      </w:r>
      <w:r>
        <w:rPr>
          <w:rFonts w:ascii="IRNazanin" w:hAnsi="IRNazanin" w:eastAsia="IRNazanin"/>
          <w:color w:val="111111"/>
          <w:sz w:val="28"/>
          <w:sz w:val="28"/>
          <w:szCs w:val="28"/>
          <w:rtl w:val="true"/>
          <w:lang w:bidi="fa-IR"/>
        </w:rPr>
        <w:t>و حمل ذلک علی الکافر الحربی لما عطف علیه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ذو عهد فی عهده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فجعل هذا المعطوف علیه مؤثّرا فی التّعلّق بما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لا یصحّ،لأنّ الجملة الأولی لا یمتنع حملها علی ظاهرها و إن خصّ بعضها بالذّکر فی الثّانی،و أکثر ما فی ذلک أن یکون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ذو عهد فی عهده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فجعل هذا المعطوف علیه مؤثرا فی التّعلّق بما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لا یصحّ،لأنّ الجملة الأولی لا یمتنع حملها علی ظاهرها و إن خصّ بعضها بالذّکر فی الثّانی،و أکثر ما فی ذلک أن یکون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ذو عهد فی عهده یقتل بکافر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لو قال ذلک لم </w:t>
      </w:r>
      <w:r>
        <w:rPr>
          <w:rStyle w:val="FootnoteAnchor"/>
          <w:rtl w:val="true"/>
        </w:rPr>
        <w:footnoteReference w:id="875"/>
      </w:r>
      <w:r>
        <w:rPr>
          <w:rFonts w:ascii="IRNazanin" w:hAnsi="IRNazanin" w:eastAsia="IRNazanin"/>
          <w:color w:val="111111"/>
          <w:sz w:val="28"/>
          <w:sz w:val="28"/>
          <w:szCs w:val="28"/>
          <w:rtl w:val="true"/>
          <w:lang w:bidi="fa-IR"/>
        </w:rPr>
        <w:t>یمتنع دخول جمیع الکفّار تحت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یقتل مؤمن بکافر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قال قائل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یقتل عربیّ بعجمیّ،و لا البالغ من العجم بالأطفال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یوجب تخصیص الکلام الأوّل</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فأمّا التّعلّق بقوله 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عن أمّتی الخطأ و النّسیان</w:t>
      </w:r>
      <w:r>
        <w:rPr>
          <w:rFonts w:eastAsia="Amiri" w:cs="Amiri" w:ascii="Amiri" w:hAnsi="Amiri"/>
          <w:color w:val="111111"/>
          <w:sz w:val="28"/>
          <w:szCs w:val="28"/>
          <w:rtl w:val="true"/>
          <w:lang w:bidi="ar-SA"/>
        </w:rPr>
        <w:t xml:space="preserve">» </w:t>
      </w:r>
      <w:r>
        <w:rPr>
          <w:rStyle w:val="FootnoteAnchor"/>
          <w:rtl w:val="true"/>
        </w:rPr>
        <w:footnoteReference w:id="876"/>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فلا یصحّ،لأنّ المرفوع غیر مذکور،و لا جرت العادة باستعمال هذه اللّفظة فی حکم خطأ مخصوص،و إنّما یمکن التّعلّق به بأن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یصحّ أن یکون نفس الخطأ و النّسیان مرفوعا،و ذلک محال مع وقوعه،أو یکون المرفوع العقاب و الثّواب،و ذلک معلوم عقلا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 الکلام علی رفع أحکام الدّین،لأنّ قول النّبی صلّی اللّه علیه و آله إذا أمکن حمله علی ما یستفاد من جهته،کان أولی من حمله علی ما قد علم بالعقل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الجملة تنبّه علی ما عداها،فینبغی أن یتأمّل لیقاس علیها غیرها</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جملة القول فی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ما یتعلّق به من الخطاب إنّما یصحّ التّعلّق به إن کان اللّفظ فی أصل الوضع یفید ما یتعلّق به فیه،أو فحواه،أو دلیله،أو یعلم </w:t>
      </w:r>
      <w:r>
        <w:rPr>
          <w:rStyle w:val="FootnoteAnchor"/>
          <w:rtl w:val="true"/>
        </w:rPr>
        <w:footnoteReference w:id="877"/>
      </w:r>
      <w:r>
        <w:rPr>
          <w:rFonts w:ascii="IRNazanin" w:hAnsi="IRNazanin" w:eastAsia="IRNazanin"/>
          <w:color w:val="111111"/>
          <w:sz w:val="28"/>
          <w:sz w:val="28"/>
          <w:szCs w:val="28"/>
          <w:rtl w:val="true"/>
          <w:lang w:bidi="fa-IR"/>
        </w:rPr>
        <w:t xml:space="preserve">من حال المخاطب أنّه لا یخاطب بمثله إلاّ و یرید ذلک به،و إلاّ خرج خطابه من أن یکون مفیدا،أو یفید بالعرف ما استعمل فیه،أو بالشّرع،فمتی خرج من هذه الوجوه لم یصحّ التّعلّق به،و إنّما یختلف حال الخطاب و مواقعة،فربّما لطف </w:t>
      </w:r>
      <w:r>
        <w:rPr>
          <w:rStyle w:val="FootnoteAnchor"/>
          <w:rtl w:val="true"/>
        </w:rPr>
        <w:footnoteReference w:id="878"/>
      </w:r>
      <w:r>
        <w:rPr>
          <w:rFonts w:ascii="IRNazanin" w:hAnsi="IRNazanin" w:eastAsia="IRNazanin"/>
          <w:color w:val="111111"/>
          <w:sz w:val="28"/>
          <w:sz w:val="28"/>
          <w:szCs w:val="28"/>
          <w:rtl w:val="true"/>
          <w:lang w:bidi="fa-IR"/>
        </w:rPr>
        <w:t>الوجه الّذی لأجله لا یصحّ التّعلّق به،و ربّما ظهر،فالواجب للسّامع أن یجتهد فی البحث عنه، فإنّه لن یعدم الوقوف علی ذلک إذا کان قد ضبط الأصول فی هذا الباب</w:t>
      </w:r>
      <w:r>
        <w:rPr>
          <w:rFonts w:eastAsia="IRNazanin" w:cs="IRNazanin"/>
          <w:color w:val="111111"/>
          <w:sz w:val="28"/>
          <w:szCs w:val="28"/>
          <w:rtl w:val="true"/>
          <w:lang w:bidi="fa-IR"/>
        </w:rPr>
        <w:t xml:space="preserve">. </w:t>
      </w:r>
      <w:bookmarkStart w:id="265" w:name="pg6519_49649"/>
    </w:p>
    <w:p>
      <w:pPr>
        <w:pStyle w:val="Heading4"/>
        <w:numPr>
          <w:ilvl w:val="3"/>
          <w:numId w:val="1"/>
        </w:numPr>
        <w:rPr/>
      </w:pPr>
      <w:bookmarkStart w:id="266" w:name="__RefHeading___Toc1757325_653776707"/>
      <w:bookmarkStart w:id="267" w:name="_Toc86"/>
      <w:bookmarkEnd w:id="265"/>
      <w:bookmarkEnd w:id="266"/>
      <w:r>
        <w:rPr>
          <w:rtl w:val="true"/>
        </w:rPr>
        <w:t>فصل</w:t>
      </w:r>
      <w:r>
        <w:rPr>
          <w:rtl w:val="true"/>
        </w:rPr>
        <w:t>-</w:t>
      </w:r>
      <w:r>
        <w:rPr/>
        <w:t>8</w:t>
      </w:r>
      <w:r>
        <w:rPr>
          <w:rtl w:val="true"/>
        </w:rPr>
        <w:t>: «</w:t>
      </w:r>
      <w:r>
        <w:rPr>
          <w:rtl w:val="true"/>
        </w:rPr>
        <w:t>فی ذکر جواز تأخیر التّبلیغ ،و المنع من جواز تأخیر البیان عن وقت الحاجة</w:t>
      </w:r>
      <w:r>
        <w:rPr>
          <w:rtl w:val="true"/>
        </w:rPr>
        <w:t>»</w:t>
      </w:r>
      <w:bookmarkEnd w:id="26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ذکر جواز تأخیر التّبلیغ ،و المنع من جواز تأخیر البیان عن وقت الحاجة</w:t>
      </w:r>
      <w:r>
        <w:rPr>
          <w:rFonts w:eastAsia="IRNazanin" w:cs="IRNazanin"/>
          <w:color w:val="111111"/>
          <w:sz w:val="28"/>
          <w:szCs w:val="28"/>
          <w:rtl w:val="true"/>
          <w:lang w:bidi="fa-IR"/>
        </w:rPr>
        <w:t>»</w:t>
      </w:r>
      <w:r>
        <w:rPr>
          <w:rStyle w:val="FootnoteAnchor"/>
          <w:rtl w:val="true"/>
        </w:rPr>
        <w:footnoteReference w:id="879"/>
      </w:r>
    </w:p>
    <w:p>
      <w:pPr>
        <w:pStyle w:val="BookText"/>
        <w:rPr/>
      </w:pPr>
      <w:r>
        <w:rPr>
          <w:rFonts w:ascii="IRNazanin" w:hAnsi="IRNazanin" w:eastAsia="IRNazanin"/>
          <w:color w:val="111111"/>
          <w:sz w:val="28"/>
          <w:sz w:val="28"/>
          <w:szCs w:val="28"/>
          <w:rtl w:val="true"/>
          <w:lang w:bidi="fa-IR"/>
        </w:rPr>
        <w:t>ذهب کثیر من النّاس إلی أنّ تأخیر التّبلیغ لا یجوز،ثمّ افترقوا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حمله علی تأخیر البیان </w:t>
      </w:r>
      <w:r>
        <w:rPr>
          <w:rStyle w:val="FootnoteAnchor"/>
          <w:rtl w:val="true"/>
        </w:rPr>
        <w:footnoteReference w:id="8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تعلّق فی ذلک بقوله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الرَّسُولُ بَلِّغْ ما أُنْزِلَ إِلَیْکَ مِنْ رَبِّکَ  </w:t>
      </w:r>
      <w:r>
        <w:rPr>
          <w:rStyle w:val="FootnoteAnchor"/>
          <w:rtl w:val="true"/>
        </w:rPr>
        <w:footnoteReference w:id="881"/>
      </w:r>
      <w:r>
        <w:rPr>
          <w:rFonts w:ascii="IRNazanin" w:hAnsi="IRNazanin" w:eastAsia="IRNazanin"/>
          <w:color w:val="111111"/>
          <w:sz w:val="28"/>
          <w:sz w:val="28"/>
          <w:szCs w:val="28"/>
          <w:rtl w:val="true"/>
          <w:lang w:bidi="fa-IR"/>
        </w:rPr>
        <w:t xml:space="preserve">،و قالوا أمره علی الفور </w:t>
      </w:r>
      <w:r>
        <w:rPr>
          <w:rStyle w:val="FootnoteAnchor"/>
          <w:rtl w:val="true"/>
        </w:rPr>
        <w:footnoteReference w:id="8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ذهب أکثر المحصّلین إلی أنّ ذلک یجوز </w:t>
      </w:r>
      <w:r>
        <w:rPr>
          <w:rStyle w:val="FootnoteAnchor"/>
          <w:rtl w:val="true"/>
        </w:rPr>
        <w:footnoteReference w:id="883"/>
      </w:r>
      <w:r>
        <w:rPr>
          <w:rFonts w:ascii="IRNazanin" w:hAnsi="IRNazanin" w:eastAsia="IRNazanin"/>
          <w:color w:val="111111"/>
          <w:sz w:val="28"/>
          <w:sz w:val="28"/>
          <w:szCs w:val="28"/>
          <w:rtl w:val="true"/>
          <w:lang w:bidi="fa-IR"/>
        </w:rPr>
        <w:t>،و هو الصّحیح</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الّذی یدلّ علی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إنّما یجب أن یؤدّی بحسب ما یتعبّد به من تقدیم أو تأخیر،فإن تعبّد بالتّبلیغ عاجلا وجب علیه ذلک،و إن تعبّد آجلا کان مثل ذلک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فأمّا تعلّقهم فی المنع من ذلک بحمله علی قبح تأخیر البیان،فعندنا أنّ تأخیر البیان یجوز عن وقت الخطاب،و إنّما لا یجوز عن وقت الحاجة،و کذلک نقول فی التّبلیغ،فسقط بذلک ما قالوه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منع من ذلک فی تأخیر البیان فرّق بینهما بأن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إنّما قبح تأخیر البیان لشیء یرجع إلی حال الخطاب،و إلی أن لا یستفاد به شیء،و ذلک وجه قبح </w:t>
      </w:r>
      <w:r>
        <w:rPr>
          <w:rStyle w:val="FootnoteAnchor"/>
          <w:rtl w:val="true"/>
        </w:rPr>
        <w:footnoteReference w:id="8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فأمّا تأخیر التّبلیغ فلیس کذلک،لأنّه إذا لم یبلّغ لا یخاطب أصلا،فکیف یکون ذلک قبیحا؟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جاز أن یؤخّر اللّه تعالی خطاب المکلّف إلی الوقت الّذی یعلم مصلحته فیه،فکذلک الرّسول صلّی اللّه علیه و آله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فأمّا تعلّقهم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 ما أُنْزِلَ إِلَیْکَ  </w:t>
      </w:r>
      <w:r>
        <w:rPr>
          <w:rStyle w:val="FootnoteAnchor"/>
          <w:rtl w:val="true"/>
        </w:rPr>
        <w:footnoteReference w:id="885"/>
      </w:r>
      <w:r>
        <w:rPr>
          <w:rFonts w:ascii="IRNazanin" w:hAnsi="IRNazanin" w:eastAsia="IRNazanin"/>
          <w:color w:val="111111"/>
          <w:sz w:val="28"/>
          <w:sz w:val="28"/>
          <w:szCs w:val="28"/>
          <w:rtl w:val="true"/>
          <w:lang w:bidi="fa-IR"/>
        </w:rPr>
        <w:t xml:space="preserve">،فإنّما یقتضی وجوب التّبلیغ علی الوجه الّذی أمر به،و لیس فی ذلک منع من جواز التّأخیر </w:t>
      </w:r>
      <w:r>
        <w:rPr>
          <w:rStyle w:val="FootnoteAnchor"/>
          <w:rtl w:val="true"/>
        </w:rPr>
        <w:footnoteReference w:id="8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تأخیر البیان عن وقت الحاجة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فلا خلاف أنّه لا یجوز </w:t>
      </w:r>
      <w:r>
        <w:rPr>
          <w:rStyle w:val="FootnoteAnchor"/>
          <w:rtl w:val="true"/>
        </w:rPr>
        <w:footnoteReference w:id="887"/>
      </w:r>
      <w:r>
        <w:rPr>
          <w:rFonts w:ascii="IRNazanin" w:hAnsi="IRNazanin" w:eastAsia="IRNazanin"/>
          <w:color w:val="111111"/>
          <w:sz w:val="28"/>
          <w:sz w:val="28"/>
          <w:szCs w:val="28"/>
          <w:rtl w:val="true"/>
          <w:lang w:bidi="fa-IR"/>
        </w:rPr>
        <w:t>،و الوجه فی ذلک،أنّ تأخیره عن وقت الحاجة یجری مجری تکلیف ما لا یطاق،لأنّه یتعذّر علیه فعل ما کلّف،و ذلک یمنع من صحّة الأداء،لأنّ الأداء لا یصحّ إلاّ بعد أن یعرف المکلّف ما کلّف،أو یتمکّن من معرفته،أو معرفة ما یجب علیه من سببه،و یصحّ أداؤه معه</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تأخیر التبیّن عن وقت الحاجة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فجائز،لأنّ المکلّف یجوز أن یخطأ فلا یتبیّن و لا یوجب ذلک قبح الخطاب،لأنّه لم یؤت فی ذلک من قبل المکلّف،و إنّما أتی من قبل نفسه،و ذلک لا یقبح التّکلیف</w:t>
      </w:r>
      <w:r>
        <w:rPr>
          <w:rFonts w:eastAsia="IRNazanin" w:cs="IRNazanin"/>
          <w:color w:val="111111"/>
          <w:sz w:val="28"/>
          <w:szCs w:val="28"/>
          <w:rtl w:val="true"/>
          <w:lang w:bidi="fa-IR"/>
        </w:rPr>
        <w:t xml:space="preserve">. </w:t>
      </w:r>
      <w:bookmarkStart w:id="268" w:name="pg6519_49651"/>
    </w:p>
    <w:p>
      <w:pPr>
        <w:pStyle w:val="Heading4"/>
        <w:numPr>
          <w:ilvl w:val="3"/>
          <w:numId w:val="1"/>
        </w:numPr>
        <w:rPr/>
      </w:pPr>
      <w:bookmarkStart w:id="269" w:name="__RefHeading___Toc1757327_653776707"/>
      <w:bookmarkStart w:id="270" w:name="_Toc87"/>
      <w:bookmarkEnd w:id="268"/>
      <w:bookmarkEnd w:id="269"/>
      <w:r>
        <w:rPr>
          <w:rtl w:val="true"/>
        </w:rPr>
        <w:t>فصل</w:t>
      </w:r>
      <w:r>
        <w:rPr>
          <w:rtl w:val="true"/>
        </w:rPr>
        <w:t>-</w:t>
      </w:r>
      <w:r>
        <w:rPr/>
        <w:t>9</w:t>
      </w:r>
      <w:r>
        <w:rPr>
          <w:rtl w:val="true"/>
        </w:rPr>
        <w:t>: «</w:t>
      </w:r>
      <w:r>
        <w:rPr>
          <w:rtl w:val="true"/>
        </w:rPr>
        <w:t>فی ذکر جواز تأخیر البیان عن وقت الخطاب،و ذکر الخلاف فیه</w:t>
      </w:r>
      <w:r>
        <w:rPr>
          <w:rtl w:val="true"/>
        </w:rPr>
        <w:t>»</w:t>
      </w:r>
      <w:bookmarkEnd w:id="27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ذکر جواز تأخیر البیان عن وقت الخطاب،و ذکر الخلاف فیه</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ذهب أبو علیّ،و أبو هاشم،و من تبعهما من المتکلّمین،و أهل الظّاهر إلی أنّ </w:t>
      </w:r>
    </w:p>
    <w:p>
      <w:pPr>
        <w:pStyle w:val="BookText"/>
        <w:rPr/>
      </w:pPr>
      <w:r>
        <w:rPr>
          <w:rFonts w:ascii="IRNazanin" w:hAnsi="IRNazanin" w:eastAsia="IRNazanin"/>
          <w:color w:val="111111"/>
          <w:sz w:val="28"/>
          <w:sz w:val="28"/>
          <w:szCs w:val="28"/>
          <w:rtl w:val="true"/>
          <w:lang w:bidi="fa-IR"/>
        </w:rPr>
        <w:t xml:space="preserve">تأخیر البیان عن حال الخطاب لا یجوز،لا فی العموم و لا فی المجمل </w:t>
      </w:r>
      <w:r>
        <w:rPr>
          <w:rStyle w:val="FootnoteAnchor"/>
          <w:rtl w:val="true"/>
        </w:rPr>
        <w:footnoteReference w:id="8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کثیر من أصحاب الشّافعی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تأخیر بیان المجمل یجوز،و امتنع من تأخیر البیان فی العموم و سائر ما ینبئ ظاهره عن المراد به،و هو قول أبی الحسن، و کان أبو عبد اللّه حکی عنه جواز تأخیر البیان فی المجمل،و خرّج علی قوله الامتناع من تأخیر بیان العموم </w:t>
      </w:r>
      <w:r>
        <w:rPr>
          <w:rStyle w:val="FootnoteAnchor"/>
          <w:rtl w:val="true"/>
        </w:rPr>
        <w:footnoteReference w:id="8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الّذی أذهب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لا یجوز تأخیر بیان العموم،و یجوز تأخیر بیان المجمل، و هو الّذی اختاره سیّدنا المرتضی،و إلیه کان یذهب شیخنا أبو عبد اللّه رحمهما اللّه </w:t>
      </w:r>
      <w:r>
        <w:rPr>
          <w:rStyle w:val="FootnoteAnchor"/>
          <w:rtl w:val="true"/>
        </w:rPr>
        <w:footnoteReference w:id="8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الّذی یدلّ علی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العقلاء یستحسنون خطاب بعضهم لبعض بالمجمل،و إن لم یبیّنوا المراد به فی الحال،أ لا تری أنّ القائل یقول لغلامه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یوم الجمعة ادخل السّوق،و اشتر الثّیاب،و الفاکهة،و غیر ذلک من الحوائج ما أثبته لک فی رقعة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یکتب الرّقعة فی الحال،و کذلک یقول بعض الرّؤساء لوکیل له</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اخرج إلی القریة الفلانیة أو البلد الفلانی و تولّ العمل بها،و اعمل فی جبایة الأموال، و استخراج الحقوق ما أکتب لک به تذکرة،و أثبتها 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یکون ذلک حسنا،و إن لم یکتب التّذکرة فی الحال،و یکون الغرض بجمیع ذلک أن یعزم المخاطب و ینطوی علی امتثال جمیع ما یأمره به و یبیّنه فیما بعد،و إذا کان ذلک حسنا فی الشّاهد وجب </w:t>
      </w:r>
    </w:p>
    <w:p>
      <w:pPr>
        <w:pStyle w:val="BookText"/>
        <w:rPr/>
      </w:pPr>
      <w:r>
        <w:rPr>
          <w:rFonts w:ascii="IRNazanin" w:hAnsi="IRNazanin" w:eastAsia="IRNazanin"/>
          <w:color w:val="111111"/>
          <w:sz w:val="28"/>
          <w:sz w:val="28"/>
          <w:szCs w:val="28"/>
          <w:rtl w:val="true"/>
          <w:lang w:bidi="fa-IR"/>
        </w:rPr>
        <w:t>أن یکون حسنا فی کلّ خطاب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جاز أن یخاطب بالمجمل و لا یبیّن المراد فی الحال،لجاز من العربیّ أن یخاطب غیره بالزّنجیة و إن لم یفهم منه شیئا أصلا </w:t>
      </w:r>
      <w:r>
        <w:rPr>
          <w:rStyle w:val="FootnoteAnchor"/>
          <w:rtl w:val="true"/>
        </w:rPr>
        <w:footnoteReference w:id="8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قلتم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المخاطب بالزّنجیّة لا یفهم منه شیئا أصلا،و المجمل یستفاد منه أمر ما و هو أنّه مأمور،أ لا تری أنّه إذا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مِنْ أَمْوالِهِمْ صَدَقَةً  </w:t>
      </w:r>
      <w:r>
        <w:rPr>
          <w:rStyle w:val="FootnoteAnchor"/>
          <w:rtl w:val="true"/>
        </w:rPr>
        <w:footnoteReference w:id="892"/>
      </w:r>
      <w:r>
        <w:rPr>
          <w:rFonts w:ascii="Amiri" w:hAnsi="Amiri" w:eastAsia="Amiri" w:cs="Amiri"/>
          <w:color w:val="111111"/>
          <w:sz w:val="28"/>
          <w:sz w:val="28"/>
          <w:szCs w:val="28"/>
          <w:rtl w:val="true"/>
          <w:lang w:bidi="ar-SA"/>
        </w:rPr>
        <w:t xml:space="preserve">، وَ أَقِیمُوا الصَّلاةَ  </w:t>
      </w:r>
      <w:r>
        <w:rPr>
          <w:rStyle w:val="FootnoteAnchor"/>
          <w:rtl w:val="true"/>
        </w:rPr>
        <w:footnoteReference w:id="893"/>
      </w:r>
      <w:r>
        <w:rPr>
          <w:rFonts w:ascii="IRNazanin" w:hAnsi="IRNazanin" w:eastAsia="IRNazanin"/>
          <w:color w:val="111111"/>
          <w:sz w:val="28"/>
          <w:sz w:val="28"/>
          <w:szCs w:val="28"/>
          <w:rtl w:val="true"/>
          <w:lang w:bidi="fa-IR"/>
        </w:rPr>
        <w:t>،و غیر ذلک،فالمخاطب یستفید أنّه مأمور بأخذ صدقة من ماله و إن جهل مبلغه و وقف ذلک علی البیان،و هو مکلّف بالعزیمة علی ذلک و الانطواء علیه حتّی یبیّن له،و کذلک فی الصّلاة یعلم أنّه مکلّف بفعل هو صلاة و عبادة،إلاّ أنّه لا یعرف کیفیّة هذه العبادة،فهو منتظر بیانها،و الخطاب بالزّنجیّة بخلاف هذا کلّه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 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یمکن أنّه جمیع ما أخرجتموه فی المجمل أن یکون فی الزّنجیّة،لأنّ الحکیم إذا خاطب بالزّنجیّة للعربیّ فلا بدّ أن یقطع المخاطب علی أنّه قد قصد بخطابه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بالزّنجیّة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أمره أو نهیه أو إخباره،و یجب علیه أن یعزم علی فعل ما یبیّن له أنّه أمره،به و الکفّ عمّا لعلّه یبیّن له أنّه نهاه عنه،و یوطّن نفسه علی ذلک و تتعلّق مصلحته به،فأیّ فرق بین الأمرین؟ فإن فرّقتم بین الأمرین بأن الفائدة بالزّنجیّة أقل أو أشدّ إجمالا،جاز أن یقال لا اعتبار فی حسن الخطاب بکثرة الفائدة،لأنّه یحسن من الخطاب ما یخرجه من کونه عبثا،و قلیل الفائدة ککثیرها</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 عن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من المعلوم قبح خطاب العربی بالزّنجیّة کما ذکرتم، کما أنّ من المعلوم الّذی لا یختلف العقلاء فیه حسن الخطاب بالمجمل فی الموضع الّذی ذکرناه،و إذا ثبت حسن ما ذکرنا و قبح ما ذکروه،احتجنا أن ننظر فی ذلک و نعلّل </w:t>
      </w:r>
    </w:p>
    <w:p>
      <w:pPr>
        <w:pStyle w:val="BookText"/>
        <w:rPr/>
      </w:pPr>
      <w:r>
        <w:rPr>
          <w:rFonts w:ascii="IRNazanin" w:hAnsi="IRNazanin" w:eastAsia="IRNazanin"/>
          <w:color w:val="111111"/>
          <w:sz w:val="28"/>
          <w:sz w:val="28"/>
          <w:szCs w:val="28"/>
          <w:rtl w:val="true"/>
          <w:lang w:bidi="fa-IR"/>
        </w:rPr>
        <w:t>لم حسن ما ذکرناه،و لم قبح ما قالوه؟فلا نعلّل قبح ما قالوه بعلّة توجد فی حسن ما ذکرناه،لأنّ ذلک یؤدّی إلی اجتماع وجه الحسن و القبح فی شیء واحد،و ذلک لا یجوز،و لا نعلّل أیضا حسن ما ذکرناه بعلّة توجد فیما استقبحوه لمثل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قلنا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لأنّا متی علّلنا قبح الخطاب بالزّنجیّة،بأنّا لا نفهم بها مراد المخاطب،وجدنا ذلک فیما علمنا حسنه ضرورة من خطاب الملک لخلیفته، و الواحد منّا لغلامه،لأنّ خلیفة الملک و وکیل أحدنا لا یعرف من خطابه المجمل الّذی حکیناه مراده الّذی أحاله فی تفصیله علی البیان،و إن علّلنا قبحه بأنّه ممّا لا فائدة فیه،فقد بیّنا أنّه یمکن أن یدّعی فیه فائدة و أنّه لا یعدو أحد أقسام الکلام المعهود،و لا بدّ أن یکون مریدا إذا کان حکیما لبعضها،و إن علّلنا حسن الأمثلة الّتی علمنا حسنها بأنّه یفید فائدة ما أو ممّا یتعلّق بالمخاطب به مصلحة،بأن یعتقد و یعزم علی الامتثال عند البیان،و یوطّن نفسه علی ذلک،فهذا کلّه قائم فی الخطاب بالزّنجیّة،فلا بدّ من التّعلیل بما لا یقتضی قبح ما علمنا حسنه،و لا حسن ما علمنا قبحه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تعلیل قبح الخطاب بالزّنجیّة بأنّه غیر مفهوم منه نوع الخطاب،و لا أیّ ضرب هو من ضروبه،أ لا تری أنّه لا یفصّل المخاطب بین کونه أمرا،أو نهیا أو خبرا، أو استخبارا،أو عرضا،أو یمینا،و فی المجمل یفصّل بین هذه الأنواع و الضّروب، و إنّما یلتبس علیه تفصیل ما تعلّق الأمر به ممّا هو واقف علی البیان،فهذه علّة صحیحة فی قبح الخطاب بالزّنجیّة لا نجدها فیما علمنا حسنه من الأمثلة،و لا فی المجمل الّذی یجری فی الحسن مجراه</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شئت أن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العلّة فی قبح الخطاب بالزّنجیّة أنّ المخاطب لا یستفید منه فائدة معیّنة مفصّلة،و لا بدّ فی کلّ خطاب من أن یستفاد منه فائدة مفصّلة،و إن جاز أن یقترن بذلک فائدة أخری مجملة،و الخطاب المجمل مستفاد منه فائدة معیّنة </w:t>
      </w:r>
    </w:p>
    <w:p>
      <w:pPr>
        <w:pStyle w:val="BookText"/>
        <w:rPr/>
      </w:pPr>
      <w:r>
        <w:rPr>
          <w:rFonts w:ascii="Amiri" w:hAnsi="Amiri" w:eastAsia="Amiri" w:cs="Amiri"/>
          <w:color w:val="111111"/>
          <w:sz w:val="28"/>
          <w:sz w:val="28"/>
          <w:szCs w:val="28"/>
          <w:rtl w:val="true"/>
          <w:lang w:bidi="ar-SA"/>
        </w:rPr>
        <w:t>مفصّلة و إن استفاد أخری مجملة،لأنّه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أَقِیمُوا الصَّلاةَ   </w:t>
      </w:r>
      <w:r>
        <w:rPr>
          <w:rStyle w:val="FootnoteAnchor"/>
          <w:rtl w:val="true"/>
        </w:rPr>
        <w:footnoteReference w:id="894"/>
      </w:r>
      <w:r>
        <w:rPr>
          <w:rFonts w:ascii="Amiri" w:hAnsi="Amiri" w:eastAsia="Amiri" w:cs="Amiri"/>
          <w:color w:val="111111"/>
          <w:sz w:val="28"/>
          <w:sz w:val="28"/>
          <w:szCs w:val="28"/>
          <w:rtl w:val="true"/>
          <w:lang w:bidi="ar-SA"/>
        </w:rPr>
        <w:t xml:space="preserve">و خُذْ مِنْ أَمْوالِهِمْ صَدَقَةً  </w:t>
      </w:r>
      <w:r>
        <w:rPr>
          <w:rStyle w:val="FootnoteAnchor"/>
          <w:rtl w:val="true"/>
        </w:rPr>
        <w:footnoteReference w:id="895"/>
      </w:r>
      <w:r>
        <w:rPr>
          <w:rFonts w:ascii="IRNazanin" w:hAnsi="IRNazanin" w:eastAsia="IRNazanin"/>
          <w:color w:val="111111"/>
          <w:sz w:val="28"/>
          <w:sz w:val="28"/>
          <w:szCs w:val="28"/>
          <w:rtl w:val="true"/>
          <w:lang w:bidi="fa-IR"/>
        </w:rPr>
        <w:t>فقد استفاد المخاطب أنّه مأمور و قطع علی ذلک،و أنّه مأمور بعبادة هی صلاة أو صدقة،و إن شکّ فی کیفیّتها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یقال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توجبون أن یعلم المخاطب فائدة جمیع ما یخاطب به قبل زمان الحاجة،و مراد المخاطب علی جهة التفصیل،و إنّکم تجوّزون تأخیر بیان مدّة الفعل المأمور به عن وقت الخطاب،و لا توجبون ذلک و هو من فوائد الخطاب و مراد المخاطب،لأنّه إذا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فظاهر هذا القول عندکم یتناول کلّ صلاة و کلّ زمان بلا حصر،فإذا أراد بذلک مدّة معیّنة و إلی غایة منقطعة،و أخّر بیانه فی حال الخطاب،فقد أراد فی حال الخطاب ما لم یبیّنه و یفصّله،و هذا من هذا الوجه نظیر المجمل و مثل الخطاب بالزّنجیّة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یجب أن یبیّن فی حالة الخطاب کلّ مراد له بالخطاب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أصبتم،فاقبلوا فی الخطاب بالمجمل مثل ذلک،لأنّ الخطاب بالمجمل یستفاد منه فائدة معیّنة مفصّلة،و إن لم یستفد علی سبیل التّفصیل جمیع فوائده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حاجة إلی بیان مدّة النّسخ و غایة العبادة الّتی تخرج بالبلوغ إلیها من أن تکون مصلحة،لأنّ ذلک بیان لما لا یجب أن یفعله،و هو غیر محتاج إلی بیان ما لا یجب علیه أن یفعله،و إنّما یحتاج فی هذه الحال إلی بیان صفة ما یفعله،و کلّف الإتیان به</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خروج منکم عن السّنن </w:t>
      </w:r>
      <w:r>
        <w:rPr>
          <w:rStyle w:val="FootnoteAnchor"/>
          <w:rtl w:val="true"/>
        </w:rPr>
        <w:footnoteReference w:id="896"/>
      </w:r>
      <w:r>
        <w:rPr>
          <w:rFonts w:ascii="IRNazanin" w:hAnsi="IRNazanin" w:eastAsia="IRNazanin"/>
          <w:color w:val="111111"/>
          <w:sz w:val="28"/>
          <w:sz w:val="28"/>
          <w:szCs w:val="28"/>
          <w:rtl w:val="true"/>
          <w:lang w:bidi="fa-IR"/>
        </w:rPr>
        <w:t xml:space="preserve">الّذی کنّا فیه،لأنّکم أوجبتم البیان للمراد کلّه فی حال الخطاب لأمر یتعلّق بحسن الخطاب،فأوجبتم قبحه متی لم یعلم المخاطب فوائده کلّها علی التّفصیل،فلمّا ألزمناکم بیان مدّة النّسخ عدلتم إلی شیء </w:t>
      </w:r>
    </w:p>
    <w:p>
      <w:pPr>
        <w:pStyle w:val="BookText"/>
        <w:rPr/>
      </w:pPr>
      <w:r>
        <w:rPr>
          <w:rFonts w:ascii="IRNazanin" w:hAnsi="IRNazanin" w:eastAsia="IRNazanin"/>
          <w:color w:val="111111"/>
          <w:sz w:val="28"/>
          <w:sz w:val="28"/>
          <w:szCs w:val="28"/>
          <w:rtl w:val="true"/>
          <w:lang w:bidi="fa-IR"/>
        </w:rPr>
        <w:t>آخر 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غیر 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نقض لعلّتکم،و هدم لاعتمادکم،لأنّکم توجبون بیان فوائد الخطاب و مراد المخاطب،لأنّه یتعلّق بحسن الخطاب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أجزتم تأخیر بیان بعض فوائده،نقضتم اعتلالکم علی کلّ حال و عدنا إلی أنّکم قد أجزتم حسن ما هو نظیر للمجمل الّذی أخبرنا حسنه،لأنا لم نجز إلاّ تأخیر بیان بعض فوائد الخطاب، و نراکم أبدا تذکرون فی کتبکم أنّ قبح تأخیر البیان لم یکن لشیء یتعلّق بإزاحة علّة المکلّف فی الفعل و إنّما هو راجع إلی وقوع الخطاب علی وجه یقتضی القبح،و هذا ینقض قولکم الآن أنّه لا یحتاج فی فعل ما کلّف إلی معرفة غایة المصلحة،و یحتاج فی الفعل إلی العلم بصفته،لأنّ هذه منکم مراعاة لما به یتمکّن من إیقاع 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یجب أن یعلم أنّ فقد القدرة أو الآلة الّتی لا یقع الفعل إلاّ بها أقوی و أشدّ تأثیرا فی تعذّر الفعل من فقد العلم بصفته،و أنتم تجیزون خطاب من لا یقدر علی الفعل و لا یتمکّن منه فی حال الخطاب إذا کان ممّن یقدر فی حال الحاجة،فأجیزوا تأخیر بیان صفة الفعل فی حال الخطاب،و لا حاجة به فی هذه الحال إلی العلم بصفته،کما لا حاجة به إلی القدرة علیه و التّمکّن بآلات و غیرها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إنّکم لیس تخلون من أن توجبوا بیان صفة الفعل المأمور به حال الخطاب لأمر یتعلّق بإزاحة العلّة فی الفعل،أو لأمر یرجع إلی حسن الخطاب،و أنّ فوائده و مراد المخاطب به إذا لم یعلم تفصیلا فی وقت الخطاب قبح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کان الأوّل،لزم علیه أن یکون فی حال الخطاب قادرا متمکّنا،و لیس توجبون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الثّانی،فغایة الفعل من مراد المخاطب و مقصوده من الخطاب،و مع ذلک فلم یبیّنها فی حال الخطاب،و إذا جاز أن لا یبیّن بعض المقصود و لا یکون الخطاب قبیحا،جاز فی المجمل مثل ذلک بعینه</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ممّا یمکن أن یستدلّ به علی جواز تأخیر بیان المجمل عن وقت الخطاب و یورد علی المخالف علی سبیل المعارضة و الإلزام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لا خلاف بیننا و بینهم فی أنّه قد یجوز أن یخاطب بالمجمل و إن لم یقرنه بالبیان،بل یحیله فی معرفة البیان علی </w:t>
      </w:r>
    </w:p>
    <w:p>
      <w:pPr>
        <w:pStyle w:val="BookText"/>
        <w:rPr/>
      </w:pPr>
      <w:r>
        <w:rPr>
          <w:rFonts w:ascii="IRNazanin" w:hAnsi="IRNazanin" w:eastAsia="IRNazanin"/>
          <w:color w:val="111111"/>
          <w:sz w:val="28"/>
          <w:sz w:val="28"/>
          <w:szCs w:val="28"/>
          <w:rtl w:val="true"/>
          <w:lang w:bidi="fa-IR"/>
        </w:rPr>
        <w:t xml:space="preserve">الرّسول علیه السلام ،و الرّجوع فی تفصیل ذلک إلیه،و إذا جاز أن یخاطبنا </w:t>
      </w:r>
      <w:r>
        <w:rPr>
          <w:rStyle w:val="FootnoteAnchor"/>
          <w:rtl w:val="true"/>
        </w:rPr>
        <w:footnoteReference w:id="897"/>
      </w:r>
      <w:r>
        <w:rPr>
          <w:rFonts w:ascii="IRNazanin" w:hAnsi="IRNazanin" w:eastAsia="IRNazanin"/>
          <w:color w:val="111111"/>
          <w:sz w:val="28"/>
          <w:sz w:val="28"/>
          <w:szCs w:val="28"/>
          <w:rtl w:val="true"/>
          <w:lang w:bidi="fa-IR"/>
        </w:rPr>
        <w:t>بما لا یفهم تعویلا علی أنّا نعرف المراد من جهة غیره،و إلاّ جاز أن یخاطبنا بذلک و یعوّل بنا علی الرّجوع إلیه فی معرفة البیان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فرّقوا بین الأمرین بأن یقولوا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البیان عند الرّسول صلّی اللّه علیه و آله و سلّم و خاطبنا بالمجمل،فنحن متمکّنون من العلم بالمراد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إذا خاطبنا بالمجمل،و عوّل بنا علی مسألتنا </w:t>
      </w:r>
      <w:r>
        <w:rPr>
          <w:rStyle w:val="FootnoteAnchor"/>
          <w:rtl w:val="true"/>
        </w:rPr>
        <w:footnoteReference w:id="898"/>
      </w:r>
      <w:r>
        <w:rPr>
          <w:rFonts w:ascii="IRNazanin" w:hAnsi="IRNazanin" w:eastAsia="IRNazanin"/>
          <w:color w:val="111111"/>
          <w:sz w:val="28"/>
          <w:sz w:val="28"/>
          <w:szCs w:val="28"/>
          <w:rtl w:val="true"/>
          <w:lang w:bidi="fa-IR"/>
        </w:rPr>
        <w:t>عن بیانه و الرّجوع إلیه فی تفصیله،فنحن أیضا متمکّنون من العلم بالمراد،و لا فرق بین الأمرین و قد استویا فی أنّ البیان لم یقترن بالخطاب،و إنّما التّعویل فیه علی الرّجوع إلی مترجم و مبیّن، فأیّ فرق بین أن یکون ذلک المبیّن هو اللّه تعالی أو رسوله؟ فإن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ذکرتموه یقتضی أن یکون ذلک عبثا،لأنّه طوّل زمان المعرفة بغیر فائدة،و قد کان قادرا بدلا من أن یخاطبه بالمجمل ثمّ یلزمه سؤال عن معناه فیبیّن له،أن یبتدئ ببیان ذلک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فالآن کان ما ذکرتموه و أجزتموه أیضا عبثا،لأنّه کان قادرا علی أن یخاطبه مقترنا بالبیان و لا یکلّفه الرّجوع إلی الرّسول علیه السلام و معرفة المراد،لأنّه تطویل للبیان و طریق المعرفة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التّطویل یمکن أن یتعلّق به مصلحة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 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أنکرتم مثل ذلک؟ و ممّا یضیّق علیهم الکلام،أنّهم یجیزون أن یخاطب بالمجمل و یکون بیانه فی الأصول،و یکلّف المخاطب الرّجوع إلی الأصول فیعرف المراد</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قیل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الّذی یجب أن یعتقد هذا المخاطب إلی أن یرجع إلی الأصول فیعرف المراد؟ </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أن یتوقّف عن اعتقاد التّفصیل،و یعتقد علی الجملة أنّه یمتثل ما یبیّن له،و هذا تطرق علیهم ما قاله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تأخیر بیان المجمل،من وجوب اعتقاد الجملة دون التّفصیل و انتظار البیان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 فرق بین أن یکلّف زمانا قصیرا من غیر فهم المراد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سبیل التّفصیل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الاعتقاد الّذی ذکروه و یحسن ذلک،و بین أن یکلّف زمانا طویلا مثل ذلک؟ فإذا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البیان فی الأصول فهو یتمکّن من معرفته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و لیس هذا المخاطب إلی أن یتأمّل الأصول،و یقف علی البیان مکلّف الاعتقاد المجمل الّذی ذکرتموه علی وجه حسن؟و لا بدّ من زمان مقصور لا یمکنه معرفة المراد فیه،لأنّ تأمّل الأصول و الرّجوع إلیها حتّی یعلم حصول البیان فیها أو خلوّها منه،لا بدّ فیه من زمان قصر أو طال،و إذا جاز أن یخاطب بما لا یتمکّن من معرفة المراد به فی قصیر الزّمان جاز فی طویله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أنّا قد ألزمناهم إذا قالوا إنّه متمکّن من المراد به بالرّجوع إلی الرّسول صلّی اللّه علیه و آله و سلّم أو بتأمّل الأصول،أن یجوز و أن یکون متمکّنا من ذلک بالرّجوع إلیه تعالی،و لا فرق بین الأمرین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ذلک،فإذا کان الخطاب یحسن بالمجمل و فی الأصول بیانه متی تأمّل، و کذلک إذا عوّل به علی بیان الرّسول صلّی اللّه علیه و آله و سلّم یحسن أیضا،فأیّ فرق بین ذلک و بین خطاب العربی بالزّنجیّة؟أو لیس الموضعان متساویین فی أنّ المراد فی حال الخطاب غیر مفهوم؟ فإن قلتم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الفرق بینهما أنّ الخطاب بالزّنجیّة لا طریق إلی العلم بالمراد به، و هاهنا إلی العلم بالمراد طریق،أمّا بالنّظر فی الأصول و معرفة البیان منها،أو بالرّجوع إلی بیان الرّسول</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قلنا 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فأجیزوا أن یخاطبه بالزّنجیّة و یعوّل به علی سؤال من یعرف الزّنجیّة فی تفسیر ذلک و بیان الغرض فیه،أو یعوّل به علی أن یتعلّم لغة الزّنج،فذلک ممکن له و سهل علیه،کما یخاطبه من المجمل بما لا یفهم المراد به و عوّل به علی تصفّح </w:t>
      </w:r>
    </w:p>
    <w:p>
      <w:pPr>
        <w:pStyle w:val="BookText"/>
        <w:rPr/>
      </w:pPr>
      <w:r>
        <w:rPr>
          <w:rFonts w:ascii="IRNazanin" w:hAnsi="IRNazanin" w:eastAsia="IRNazanin"/>
          <w:color w:val="111111"/>
          <w:sz w:val="28"/>
          <w:sz w:val="28"/>
          <w:szCs w:val="28"/>
          <w:rtl w:val="true"/>
          <w:lang w:bidi="fa-IR"/>
        </w:rPr>
        <w:t>الأصول و النّظر فیها حتّی یعثر علی البیان،فإن کان ما قلتموه تمکینا من العلم،فالّذی ألزمناکم أیضا تمکین،و لا شبهة علی عاقل فی قبح الخطاب بالزّنجیّة لما ذکرنا حاله، و هو نظیر ما ذهبوا إلی جوازه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ممّا یدلّ أیضا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جواز تأخیر البیان عن وقت الخطاب إلی وقت الحاجة،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یَأْمُرُکُمْ أَنْ تَذْبَحُوا بَقَرَةً قالُوا أَ تَتَّخِذُنا هُزُواً قالَ أَعُوذُ بِاللّهِ أَنْ أَکُونَ مِنَ الْجاهِلِینَ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ادْعُ لَنا رَبَّکَ یُبَیِّنْ لَنا ما هِیَ قالَ إِنَّهُ یَقُولُ إِنَّها بَقَرَةٌ لا فارِضٌ وَ لا بِکْرٌ عَوانٌ بَیْنَ ذلِکَ فَافْعَلُوا ما تُؤْمَرُونَ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ادْعُ لَنا رَبَّکَ یُبَیِّنْ لَنا ما لَوْنُها قالَ إِنَّهُ یَقُولُ إِنَّها بَقَرَةٌ صَفْراءُ فاقِعٌ لَوْنُها تَسُرُّ النّاظِرِینَ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ادْعُ لَنا رَبَّکَ یُبَیِّنْ لَنا ما هِیَ إِنَّ الْبَقَرَ تَشابَهَ عَلَیْنا وَ إِنّا إِنْ شاءَ اللّهُ لَمُهْتَدُونَ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إِنَّهُ یَقُولُ إِنَّها بَقَرَةٌ لا ذَلُولٌ تُثِیرُ الْأَرْضَ وَ لا تَسْقِی الْحَرْثَ مُسَلَّمَةٌ لا شِیَةَ فِیها قالُوا الْآنَ جِئْتَ بِالْحَقِّ فَذَبَحُوها وَ ما کادُوا یَفْعَلُونَ   </w:t>
      </w:r>
      <w:r>
        <w:rPr>
          <w:rStyle w:val="FootnoteAnchor"/>
          <w:rtl w:val="true"/>
        </w:rPr>
        <w:footnoteReference w:id="8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وجه الدّلالة من الآیة </w:t>
      </w:r>
      <w:r>
        <w:rPr>
          <w:rStyle w:val="FootnoteAnchor"/>
          <w:rtl w:val="true"/>
        </w:rPr>
        <w:footnoteReference w:id="9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تعالی أمرهم بذبح بقرة هذه الصّفات کلّها لها </w:t>
      </w:r>
      <w:r>
        <w:rPr>
          <w:rStyle w:val="FootnoteAnchor"/>
          <w:rtl w:val="true"/>
        </w:rPr>
        <w:footnoteReference w:id="901"/>
      </w:r>
      <w:r>
        <w:rPr>
          <w:rFonts w:ascii="IRNazanin" w:hAnsi="IRNazanin" w:eastAsia="IRNazanin"/>
          <w:color w:val="111111"/>
          <w:sz w:val="28"/>
          <w:sz w:val="28"/>
          <w:szCs w:val="28"/>
          <w:rtl w:val="true"/>
          <w:lang w:bidi="fa-IR"/>
        </w:rPr>
        <w:t xml:space="preserve">،و لم یبیّن ذلک فی أوّل الخطاب حتّی سألوا عنه،و راجعوا فیه،و استفهموه، فبیّن لهم المراد شیئا بعد شیء،و هذا یدلّ علی جواز تأخیر البیان </w:t>
      </w:r>
      <w:r>
        <w:rPr>
          <w:rStyle w:val="FootnoteAnchor"/>
          <w:rtl w:val="true"/>
        </w:rPr>
        <w:footnoteReference w:id="902"/>
      </w:r>
      <w:r>
        <w:rPr>
          <w:rFonts w:eastAsia="Times New Roman" w:cs="Times New Roman" w:ascii="Times New Roman" w:hAnsi="Times New Roman"/>
          <w:color w:val="111111"/>
          <w:sz w:val="28"/>
          <w:szCs w:val="28"/>
          <w:rtl w:val="true"/>
          <w:lang w:val="en-US" w:bidi="en-US"/>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قالوا </w:t>
      </w:r>
      <w:r>
        <w:rPr>
          <w:rStyle w:val="FootnoteAnchor"/>
          <w:rtl w:val="true"/>
        </w:rPr>
        <w:footnoteReference w:id="9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زعمتم أنّ الصّفات المذکورة کلّها فی البقرة الأولی الّتی أمروا فی الخطاب الأوّل بذبحها؟و ما أنکرتم أن یکونوا أمروا فی الخطاب الأوّل بذبح بقرة من عرض البقر من غیر اشتراط هذه الصّفات؟فلو </w:t>
      </w:r>
      <w:r>
        <w:rPr>
          <w:rStyle w:val="FootnoteAnchor"/>
          <w:rtl w:val="true"/>
        </w:rPr>
        <w:footnoteReference w:id="904"/>
      </w:r>
      <w:r>
        <w:rPr>
          <w:rFonts w:ascii="IRNazanin" w:hAnsi="IRNazanin" w:eastAsia="IRNazanin"/>
          <w:color w:val="111111"/>
          <w:sz w:val="28"/>
          <w:sz w:val="28"/>
          <w:szCs w:val="28"/>
          <w:rtl w:val="true"/>
          <w:lang w:bidi="fa-IR"/>
        </w:rPr>
        <w:t xml:space="preserve">ذبحوا بقرة من غیر أن تکون </w:t>
      </w:r>
    </w:p>
    <w:p>
      <w:pPr>
        <w:pStyle w:val="BookText"/>
        <w:rPr/>
      </w:pPr>
      <w:r>
        <w:rPr>
          <w:rFonts w:ascii="IRNazanin" w:hAnsi="IRNazanin" w:eastAsia="IRNazanin"/>
          <w:color w:val="111111"/>
          <w:sz w:val="28"/>
          <w:sz w:val="28"/>
          <w:szCs w:val="28"/>
          <w:rtl w:val="true"/>
          <w:lang w:bidi="fa-IR"/>
        </w:rPr>
        <w:t xml:space="preserve">بهذه الصّفات المذکورة فیما بعد،لکانوا قد فعلوا الواجب،فلمّا راجعوا </w:t>
      </w:r>
      <w:r>
        <w:rPr>
          <w:rStyle w:val="FootnoteAnchor"/>
          <w:rtl w:val="true"/>
        </w:rPr>
        <w:footnoteReference w:id="905"/>
      </w:r>
      <w:r>
        <w:rPr>
          <w:rFonts w:ascii="IRNazanin" w:hAnsi="IRNazanin" w:eastAsia="IRNazanin"/>
          <w:color w:val="111111"/>
          <w:sz w:val="28"/>
          <w:sz w:val="28"/>
          <w:szCs w:val="28"/>
          <w:rtl w:val="true"/>
          <w:lang w:bidi="fa-IR"/>
        </w:rPr>
        <w:t xml:space="preserve">تغیّرت المصلحة،فأمروا بذبح بقرة غیر فارض و لا بکر من غیر مراعاة الصّفات الباقیة،فلمّا توقّفوا أیضا تغیّرت المصلحة فی تکلیفهم،فأمروا بذبح بقرة صفراء فاقع لونها،فلمّا توقّفوا تغیّرت المصلحة،فأمروا بذبح بقرة لها الصّفات الأخیرة المذکورة </w:t>
      </w:r>
      <w:r>
        <w:rPr>
          <w:rStyle w:val="FootnoteAnchor"/>
          <w:rtl w:val="true"/>
        </w:rPr>
        <w:footnoteReference w:id="906"/>
      </w:r>
      <w:r>
        <w:rPr>
          <w:rFonts w:ascii="IRNazanin" w:hAnsi="IRNazanin" w:eastAsia="IRNazanin"/>
          <w:color w:val="111111"/>
          <w:sz w:val="28"/>
          <w:sz w:val="28"/>
          <w:szCs w:val="28"/>
          <w:rtl w:val="true"/>
          <w:lang w:bidi="fa-IR"/>
        </w:rPr>
        <w:t>،و إنّما یکون ذلک حجّة فی تأخیر البیان لو صحّ لکم أنّ الصّفات الواردات کلّها للبقرة الأولی،و ما أنکرتم أن یکون الأمر بخلاف ذلک؟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تأویل </w:t>
      </w:r>
      <w:r>
        <w:rPr>
          <w:rStyle w:val="FootnoteAnchor"/>
          <w:rtl w:val="true"/>
        </w:rPr>
        <w:footnoteReference w:id="907"/>
      </w:r>
      <w:r>
        <w:rPr>
          <w:rFonts w:ascii="Amiri" w:hAnsi="Amiri" w:eastAsia="Amiri" w:cs="Amiri"/>
          <w:color w:val="111111"/>
          <w:sz w:val="28"/>
          <w:sz w:val="28"/>
          <w:szCs w:val="28"/>
          <w:rtl w:val="true"/>
          <w:lang w:bidi="ar-SA"/>
        </w:rPr>
        <w:t>من لا یعرف حکم اللّغة العربیّة و ما جرت به عادة أهلها فی خطابهم و کنایاتهم،لأنّ الکنایة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 لَنا رَبَّکَ یُبَیِّنْ لَنا ما هِیَ   لا یجوز عند محصّل </w:t>
      </w:r>
      <w:r>
        <w:rPr>
          <w:rStyle w:val="FootnoteAnchor"/>
          <w:rtl w:val="true"/>
        </w:rPr>
        <w:footnoteReference w:id="908"/>
      </w:r>
      <w:r>
        <w:rPr>
          <w:rFonts w:ascii="IRNazanin" w:hAnsi="IRNazanin" w:eastAsia="IRNazanin"/>
          <w:color w:val="111111"/>
          <w:sz w:val="28"/>
          <w:sz w:val="28"/>
          <w:szCs w:val="28"/>
          <w:rtl w:val="true"/>
          <w:lang w:bidi="fa-IR"/>
        </w:rPr>
        <w:t xml:space="preserve">أن یکون کنایة إلاّ عن البقرة الّتی تقدّم ذکرها و أمروا </w:t>
      </w:r>
      <w:r>
        <w:rPr>
          <w:rStyle w:val="FootnoteAnchor"/>
          <w:rtl w:val="true"/>
        </w:rPr>
        <w:footnoteReference w:id="909"/>
      </w:r>
      <w:r>
        <w:rPr>
          <w:rFonts w:ascii="IRNazanin" w:hAnsi="IRNazanin" w:eastAsia="IRNazanin"/>
          <w:color w:val="111111"/>
          <w:sz w:val="28"/>
          <w:sz w:val="28"/>
          <w:szCs w:val="28"/>
          <w:rtl w:val="true"/>
          <w:lang w:bidi="fa-IR"/>
        </w:rPr>
        <w:t>بذبحها، و لم یجز فی الکلام ما یجوز أن تکون هذه الکنایة کنایة عنه إلاّ البقرة،و</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یجری ذلک مجری قول أحدنا لغلامه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أعطنی تفّاحة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فیقول غلامه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هی بیّنها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یصرف أحد من العقلاء هذه الکنایة إلاّ إلی التفّاحة المأمور بإعطائها إیّاه</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تعالی بعد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یَقُولُ إِنَّها بَقَرَةٌ لا فارِضٌ وَ لا بِکْرٌ عَوانٌ بَیْنَ ذلِکَ   ،و قد علمنا أنّ الهاء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یَقُولُ   هی کنایة عنه تعالی،لأنّه لم یتقدّم ما یجوز ردّ هذه الکنایة إلیه إلاّ اسمه تعالی،فکذلک یجب أن یکون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کنایة عن البقرة المتقدّم ذکرها،و إلاّ فما الفرق بین الأمرین؟ </w:t>
      </w:r>
    </w:p>
    <w:p>
      <w:pPr>
        <w:pStyle w:val="BookText"/>
        <w:rPr/>
      </w:pPr>
      <w:r>
        <w:rPr>
          <w:rFonts w:ascii="Amiri" w:hAnsi="Amiri" w:eastAsia="Amiri" w:cs="Amiri"/>
          <w:color w:val="111111"/>
          <w:sz w:val="28"/>
          <w:sz w:val="28"/>
          <w:szCs w:val="28"/>
          <w:rtl w:val="true"/>
          <w:lang w:bidi="ar-SA"/>
        </w:rPr>
        <w:t>و کذلک الکلام فی الکنایة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لَوْنُها   ،و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بَقَرَةٌ صَفْراءُ فاقِعٌ لَوْنُها   ،و الکنایة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هِیَ إِنَّ الْبَقَرَ تَشابَهَ عَلَیْنا   ،ثمّ الکنایة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یَقُولُ إِنَّها بَقَرَةٌ لا ذَلُولٌ تُثِیرُ الْأَرْضَ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لا یجوز أن تکون الکنایة فی قوله تعالی إِنَّها   فی المواضع کلّها عن القصّة و الحال،لأنّ الکنایة فی إِنَّها   لا بدّ من أن یتعلّق بما تعلّقت به الکنایة فی قوله هِیَ   ،و لا شبهة فی أنّ المراد بلفظ هِیَ   البقرة الّتی أمروا بذبحها فیجب أن یکون کنایة الجواب یعود إلی ما کنّی عنه بالهاء فی السّؤال،و لو جاز تعلیق إِنَّها   بالقصّة و الشّأن جاز تعلیق ما هِیَ   بذلک،و جاز أیضا أن تکون الکنایة فی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إِنَّهُ یَقُولُ   عن غیر اللّه تعالی و یکون عن الحال </w:t>
      </w:r>
      <w:r>
        <w:rPr>
          <w:rStyle w:val="FootnoteAnchor"/>
          <w:rtl w:val="true"/>
        </w:rPr>
        <w:footnoteReference w:id="910"/>
      </w:r>
      <w:r>
        <w:rPr>
          <w:rFonts w:ascii="Amiri" w:hAnsi="Amiri" w:eastAsia="Amiri" w:cs="Amiri"/>
          <w:color w:val="111111"/>
          <w:sz w:val="28"/>
          <w:sz w:val="28"/>
          <w:szCs w:val="28"/>
          <w:rtl w:val="true"/>
          <w:lang w:bidi="ar-SA"/>
        </w:rPr>
        <w:t>و القصّة کما قالوا فی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زید منطلق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کنّوا عن الشّأن و القصّة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کیف یکون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کذا و کذا کنایة عن غیر ما کنّی عنه بما هی،و بما لونها،أ و لیس ذلک یوجب أن یکون جوابا عن غیر ما سئل عنه </w:t>
      </w:r>
      <w:r>
        <w:rPr>
          <w:rStyle w:val="FootnoteAnchor"/>
          <w:rtl w:val="true"/>
        </w:rPr>
        <w:footnoteReference w:id="911"/>
      </w:r>
      <w:r>
        <w:rPr>
          <w:rFonts w:ascii="IRNazanin" w:hAnsi="IRNazanin" w:eastAsia="IRNazanin"/>
          <w:color w:val="111111"/>
          <w:sz w:val="28"/>
          <w:sz w:val="28"/>
          <w:szCs w:val="28"/>
          <w:rtl w:val="true"/>
          <w:lang w:bidi="fa-IR"/>
        </w:rPr>
        <w:t>؟،لأنّهم سألوا عن صفات البقرة الّتی تقدّم ذکرها،و أمرهم بذبحها،فأجیبوا عن غیر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سواء جعلوا الهاء فی إِنَّها   عن الشّأن و القصّة،أو عن البقرة الّتی أمروا ثانیا و ثالثا بذبحها، فکیف یجوز أن یسألوا عن صفة ما تقدّم أمره لهم بذبحه،فیترک ذلک جانبا و یذکر صفة ما لم یتقدّم الأمر بذبحه؟و إنّما أمروا أمرا مستأنفا به</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کان الأمر علی ما قالوه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أنّه تکلیف بعد تکلیف،لکان الواجب لما 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هِیَ   و إنّما عنوا البقرة الّتی أمروا ابتداء بذبحها،أن یقول لهم أیّ بقرة شئتم؟ و علی أیّ صفة کانت؟و ما أمرتکم بذبح بقرة لها صفة معیّنة،و الآن تغیّرت مصلحتکم فاذبحوا الآن بقرة من </w:t>
      </w:r>
      <w:r>
        <w:rPr>
          <w:rStyle w:val="FootnoteAnchor"/>
          <w:rtl w:val="true"/>
        </w:rPr>
        <w:footnoteReference w:id="912"/>
      </w:r>
      <w:r>
        <w:rPr>
          <w:rFonts w:ascii="IRNazanin" w:hAnsi="IRNazanin" w:eastAsia="IRNazanin"/>
          <w:color w:val="111111"/>
          <w:sz w:val="28"/>
          <w:sz w:val="28"/>
          <w:szCs w:val="28"/>
          <w:rtl w:val="true"/>
          <w:lang w:bidi="fa-IR"/>
        </w:rPr>
        <w:t>صفتها کذا و کذا،فإذا 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لَوْنُها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لون </w:t>
      </w:r>
    </w:p>
    <w:p>
      <w:pPr>
        <w:pStyle w:val="BookText"/>
        <w:rPr/>
      </w:pPr>
      <w:r>
        <w:rPr>
          <w:rFonts w:ascii="IRNazanin" w:hAnsi="IRNazanin" w:eastAsia="IRNazanin"/>
          <w:color w:val="111111"/>
          <w:sz w:val="28"/>
          <w:sz w:val="28"/>
          <w:szCs w:val="28"/>
          <w:rtl w:val="true"/>
          <w:lang w:bidi="fa-IR"/>
        </w:rPr>
        <w:t>شئتم و ما أردت لونا بعینه،و الآن قد تغیّرت المصلحة،و الّذی تؤمرون به الآن بقرة صفراء،و لمّا قالوا فی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هِیَ إِنَّ الْبَقَرَ تَشابَهَ عَلَیْنا   ؟أن یقول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المأمور به بقرة صفراء علی صفة کانت بعد ذلک،و قد تغیّرت المصلحة،فاذبحوا بقرة لا ذلول تثیر الأرض،إلی آخر الصّفات،فلمّا عدل عن ذلک إلی نعت بعد آخر دلّ علی أنّه کلّها نعوت للبقرة </w:t>
      </w:r>
      <w:r>
        <w:rPr>
          <w:rStyle w:val="FootnoteAnchor"/>
          <w:rtl w:val="true"/>
        </w:rPr>
        <w:footnoteReference w:id="913"/>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أنّه لو جاز صرف الهاء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إلی الشّأن و القصّة،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المفسّرون کلّهم قد أجمعوا علی خلاف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فإنّهم کلّهم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 کنایة عن البقرة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المتقدّم ذکرها</w:t>
      </w:r>
      <w:r>
        <w:rPr>
          <w:rFonts w:eastAsia="IRNazanin" w:cs="IRNazanin"/>
          <w:color w:val="111111"/>
          <w:sz w:val="28"/>
          <w:szCs w:val="28"/>
          <w:rtl w:val="true"/>
          <w:lang w:bidi="fa-IR"/>
        </w:rPr>
        <w:t xml:space="preserve">) </w:t>
      </w:r>
      <w:r>
        <w:rPr>
          <w:rStyle w:val="FootnoteAnchor"/>
          <w:rtl w:val="true"/>
        </w:rPr>
        <w:footnoteReference w:id="914"/>
      </w:r>
      <w:r>
        <w:rPr>
          <w:rFonts w:ascii="Amiri" w:hAnsi="Amiri" w:eastAsia="Amiri" w:cs="Amiri"/>
          <w:color w:val="111111"/>
          <w:sz w:val="28"/>
          <w:sz w:val="28"/>
          <w:szCs w:val="28"/>
          <w:rtl w:val="true"/>
          <w:lang w:bidi="ar-SA"/>
        </w:rPr>
        <w:t xml:space="preserve">،و قالت المعتزلة بالأسر </w:t>
      </w:r>
      <w:r>
        <w:rPr>
          <w:rStyle w:val="FootnoteAnchor"/>
          <w:rtl w:val="true"/>
        </w:rPr>
        <w:footnoteReference w:id="915"/>
      </w:r>
      <w:r>
        <w:rPr>
          <w:rFonts w:ascii="IRNazanin" w:hAnsi="IRNazanin" w:eastAsia="IRNazanin"/>
          <w:color w:val="111111"/>
          <w:sz w:val="28"/>
          <w:sz w:val="28"/>
          <w:szCs w:val="28"/>
          <w:rtl w:val="true"/>
          <w:lang w:bidi="fa-IR"/>
        </w:rPr>
        <w:t>إنّه کنایة عن البقرة الّتی تعلّق التّکلیف المستقبل بذبحها،و لم یقل أحد إنّها للقصّة و الحال،لکان ذلک یفسد من وجه آخر، و هو أنّه إذا تقدّم ما یجوز أن یکون هذه الکنایة راجعة إلیه متعلّقة به،و لم یجز للقصّة و الحال ذکر،فالأولی أن تکون متعلّقة بما ذکر،و تقدّم الأخبار عنه دون ما لا ذکر لها فی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إنّما استحسنوا </w:t>
      </w:r>
      <w:r>
        <w:rPr>
          <w:rStyle w:val="FootnoteAnchor"/>
          <w:rtl w:val="true"/>
        </w:rPr>
        <w:footnoteReference w:id="916"/>
      </w:r>
      <w:r>
        <w:rPr>
          <w:rFonts w:ascii="IRNazanin" w:hAnsi="IRNazanin" w:eastAsia="IRNazanin"/>
          <w:color w:val="111111"/>
          <w:sz w:val="28"/>
          <w:sz w:val="28"/>
          <w:szCs w:val="28"/>
          <w:rtl w:val="true"/>
          <w:lang w:bidi="fa-IR"/>
        </w:rPr>
        <w:t>الکنایة عن الحال و القصّة فی بعض المواضع،بحیث تدعو الضّرورة إلیه،و لا یقع اشتباه،و لا یحصل التباس</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بعد،فإنّما یجوز إضمار القصّة و الشّأن بحیث یکون الکلام مع </w:t>
      </w:r>
      <w:r>
        <w:rPr>
          <w:rStyle w:val="FootnoteAnchor"/>
          <w:rtl w:val="true"/>
        </w:rPr>
        <w:footnoteReference w:id="917"/>
      </w:r>
      <w:r>
        <w:rPr>
          <w:rFonts w:ascii="IRNazanin" w:hAnsi="IRNazanin" w:eastAsia="IRNazanin"/>
          <w:color w:val="111111"/>
          <w:sz w:val="28"/>
          <w:sz w:val="28"/>
          <w:szCs w:val="28"/>
          <w:rtl w:val="true"/>
          <w:lang w:bidi="fa-IR"/>
        </w:rPr>
        <w:t>تعلّق الکنایة بما تعلّقت به مفیدا مفهوما،لأنّ القائل إذا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زید منطلق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قائمة 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فتعلّقت الکنایة بالحال و القصّة،أفاد ما ورد من </w:t>
      </w:r>
      <w:r>
        <w:rPr>
          <w:rStyle w:val="FootnoteAnchor"/>
          <w:rtl w:val="true"/>
        </w:rPr>
        <w:footnoteReference w:id="918"/>
      </w:r>
      <w:r>
        <w:rPr>
          <w:rFonts w:ascii="IRNazanin" w:hAnsi="IRNazanin" w:eastAsia="IRNazanin"/>
          <w:color w:val="111111"/>
          <w:sz w:val="28"/>
          <w:sz w:val="28"/>
          <w:szCs w:val="28"/>
          <w:rtl w:val="true"/>
          <w:lang w:bidi="fa-IR"/>
        </w:rPr>
        <w:t>الکلام،و صار کأنّه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زید </w:t>
      </w:r>
    </w:p>
    <w:p>
      <w:pPr>
        <w:pStyle w:val="BookText"/>
        <w:rPr/>
      </w:pPr>
      <w:r>
        <w:rPr>
          <w:rFonts w:ascii="IRNazanin" w:hAnsi="IRNazanin" w:eastAsia="IRNazanin"/>
          <w:color w:val="111111"/>
          <w:sz w:val="28"/>
          <w:sz w:val="28"/>
          <w:szCs w:val="28"/>
          <w:rtl w:val="true"/>
          <w:lang w:bidi="fa-IR"/>
        </w:rPr>
        <w:t>منطلق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قائمة 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الآیات بخلاف هذا الموضع،لأنّا متی جعلنا الکنایة فی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إِنَّها بَقَرَةٌ لا فارِضٌ   و إِنَّها بَقَرَةٌ صَفْراءُ   ،و إِنَّها بَقَرَةٌ لا ذَلُولٌ تُثِیرُ الْأَرْضَ   متعلّقة بالحال و القصّة،بقی معناه فی الکلام ما لا فائدة فیه و لا یستقلّ بنفسه،لأنّه لا فائدة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بَقَرَةٌ صَفْراءُ   و بَقَرَةٌ لا فارِضٌ وَ لا بِکْرٌ   ،و لا بدّ من ضمّ کلام إلیه حتّی یستقلّ و یفید،فإن ضممنا إلی بَقَرَةٌ لا فارِضٌ   أو بَقَرَةٌ صَفْراءُ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الّتی أمرتم بذبحها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أفاد لعمری،فبطل صرف الکنایة إلی غیر البقرة،و وجب أن تصرف الکنایة إلی البقرة حتّی لا یحتاج أن یحذف خبر المبتدأ،و الاکتفاء بما فی الکلام أولی من تأویل یقتضی العدول إلی غیره،و حذف شیء لیس موجودا فی الکلام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ممّا یدلّ علی صحّة ما اخترناه </w:t>
      </w:r>
      <w:r>
        <w:rPr>
          <w:rStyle w:val="FootnoteAnchor"/>
          <w:rtl w:val="true"/>
        </w:rPr>
        <w:footnoteReference w:id="9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جمیع المفسّرین للقرآن أطبقوا علی أنّ الصفات المذکورات کلّها للبقرة </w:t>
      </w:r>
      <w:r>
        <w:rPr>
          <w:rStyle w:val="FootnoteAnchor"/>
          <w:rtl w:val="true"/>
        </w:rPr>
        <w:footnoteReference w:id="920"/>
      </w:r>
      <w:r>
        <w:rPr>
          <w:rFonts w:ascii="IRNazanin" w:hAnsi="IRNazanin" w:eastAsia="IRNazanin"/>
          <w:color w:val="111111"/>
          <w:sz w:val="28"/>
          <w:sz w:val="28"/>
          <w:szCs w:val="28"/>
          <w:rtl w:val="true"/>
          <w:lang w:bidi="fa-IR"/>
        </w:rPr>
        <w:t xml:space="preserve">،أعوز اجتماعها للقوم حتّی توصّلوا إلی ابتیاع بقرة لها هذه الصفات کلّها بملء جلدها ذهبا،و لو کان الأمر علی ما قال </w:t>
      </w:r>
      <w:r>
        <w:rPr>
          <w:rStyle w:val="FootnoteAnchor"/>
          <w:rtl w:val="true"/>
        </w:rPr>
        <w:footnoteReference w:id="921"/>
      </w:r>
      <w:r>
        <w:rPr>
          <w:rFonts w:ascii="IRNazanin" w:hAnsi="IRNazanin" w:eastAsia="IRNazanin"/>
          <w:color w:val="111111"/>
          <w:sz w:val="28"/>
          <w:sz w:val="28"/>
          <w:szCs w:val="28"/>
          <w:rtl w:val="true"/>
          <w:lang w:bidi="fa-IR"/>
        </w:rPr>
        <w:t xml:space="preserve">المخالفون لوجب أن لا یعتبروا </w:t>
      </w:r>
      <w:r>
        <w:rPr>
          <w:rStyle w:val="FootnoteAnchor"/>
          <w:rtl w:val="true"/>
        </w:rPr>
        <w:footnoteReference w:id="922"/>
      </w:r>
      <w:r>
        <w:rPr>
          <w:rFonts w:ascii="IRNazanin" w:hAnsi="IRNazanin" w:eastAsia="IRNazanin"/>
          <w:color w:val="111111"/>
          <w:sz w:val="28"/>
          <w:sz w:val="28"/>
          <w:szCs w:val="28"/>
          <w:rtl w:val="true"/>
          <w:lang w:bidi="fa-IR"/>
        </w:rPr>
        <w:t xml:space="preserve">فیما یبتاعونه </w:t>
      </w:r>
      <w:r>
        <w:rPr>
          <w:rStyle w:val="FootnoteAnchor"/>
          <w:rtl w:val="true"/>
        </w:rPr>
        <w:footnoteReference w:id="923"/>
      </w:r>
      <w:r>
        <w:rPr>
          <w:rFonts w:ascii="IRNazanin" w:hAnsi="IRNazanin" w:eastAsia="IRNazanin"/>
          <w:color w:val="111111"/>
          <w:sz w:val="28"/>
          <w:sz w:val="28"/>
          <w:szCs w:val="28"/>
          <w:rtl w:val="true"/>
          <w:lang w:bidi="fa-IR"/>
        </w:rPr>
        <w:t xml:space="preserve">إلاّ الصّفات الأخیرة دون ما تقدّمها،و یلغی ذکر الصّفراء،و الّتی لیست بفارض و لا بکر،و أجمعوا علی أنّ الصّفات کلّها معتبرة و علم </w:t>
      </w:r>
      <w:r>
        <w:rPr>
          <w:rStyle w:val="FootnoteAnchor"/>
          <w:rtl w:val="true"/>
        </w:rPr>
        <w:footnoteReference w:id="924"/>
      </w:r>
      <w:r>
        <w:rPr>
          <w:rFonts w:ascii="Amiri" w:hAnsi="Amiri" w:eastAsia="Amiri" w:cs="Amiri"/>
          <w:color w:val="111111"/>
          <w:sz w:val="28"/>
          <w:sz w:val="28"/>
          <w:szCs w:val="28"/>
          <w:rtl w:val="true"/>
          <w:lang w:bidi="ar-SA"/>
        </w:rPr>
        <w:t xml:space="preserve">أنّ البیان تأخّر،و أنّ الصّفات کلّها للأولی </w:t>
      </w:r>
      <w:r>
        <w:rPr>
          <w:rStyle w:val="FootnoteAnchor"/>
          <w:rtl w:val="true"/>
        </w:rPr>
        <w:footnoteReference w:id="925"/>
      </w:r>
      <w:r>
        <w:rPr>
          <w:rFonts w:ascii="IRNazanin" w:hAnsi="IRNazanin" w:eastAsia="IRNazanin"/>
          <w:color w:val="111111"/>
          <w:sz w:val="28"/>
          <w:sz w:val="28"/>
          <w:szCs w:val="28"/>
          <w:rtl w:val="true"/>
          <w:lang w:bidi="fa-IR"/>
        </w:rPr>
        <w:t>المأمور بذبحها</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فلم عنّفوا علی تأخیرهم امتثال الأمر الأوّل؟،و عندکم أنّ بیان </w:t>
      </w:r>
      <w:r>
        <w:rPr>
          <w:rStyle w:val="FootnoteAnchor"/>
          <w:rtl w:val="true"/>
        </w:rPr>
        <w:footnoteReference w:id="926"/>
      </w:r>
    </w:p>
    <w:p>
      <w:pPr>
        <w:pStyle w:val="BookText"/>
        <w:rPr/>
      </w:pPr>
      <w:r>
        <w:rPr>
          <w:rFonts w:ascii="Amiri" w:hAnsi="Amiri" w:eastAsia="Amiri" w:cs="Amiri"/>
          <w:color w:val="111111"/>
          <w:sz w:val="28"/>
          <w:sz w:val="28"/>
          <w:szCs w:val="28"/>
          <w:rtl w:val="true"/>
          <w:lang w:bidi="ar-SA"/>
        </w:rPr>
        <w:t>المراد بالأمر الأوّل تأخّر،فلم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فَذَبَحُوها وَ ما کادُوا یَفْعَلُونَ   </w:t>
      </w:r>
      <w:r>
        <w:rPr>
          <w:rStyle w:val="FootnoteAnchor"/>
          <w:rtl w:val="true"/>
        </w:rPr>
        <w:footnoteReference w:id="927"/>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عنّفوا بتأخیر امتثال الأمر الأوّل،و لیس فی القرآن ما یشهد بذلک أو یدلّ علیه،بل کان البیان یأتی شیئا بعد شیء کلّما طلبوه و استخرجوه،من غیر تعنیف و لا قول یدلّ علی أنّهم بذلک عصاة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فأمّا قوله فی آخر القصّة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کادُوا یَفْعَلُونَ   فإنّما یدلّ علی انّهم کادوا یفرّطون فی آخر القصّة و عند تکامل البیان،و لا یدلّ علی أنّهم فرّطوا فی أوّل القصّة، و یجوز أن یکون ذبحوا بعد تثاقل،ثمّ فعلوا ما أمروا به،و هذا کلّه واضح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هذان دلیلان ذکرهما سیّدنا المرتضی </w:t>
      </w:r>
      <w:r>
        <w:rPr>
          <w:rStyle w:val="FootnoteAnchor"/>
          <w:rtl w:val="true"/>
        </w:rPr>
        <w:footnoteReference w:id="928"/>
      </w:r>
      <w:r>
        <w:rPr>
          <w:rFonts w:ascii="IRNazanin" w:hAnsi="IRNazanin" w:eastAsia="IRNazanin"/>
          <w:color w:val="111111"/>
          <w:sz w:val="28"/>
          <w:sz w:val="28"/>
          <w:szCs w:val="28"/>
          <w:rtl w:val="true"/>
          <w:lang w:bidi="fa-IR"/>
        </w:rPr>
        <w:t>رحمه اللّه أوردتهما بألفاظه،لأنّه لا مزید علیهما،و فیهما کفایة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استدلّ قوم علی صحّة هذا المذهب بأن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لیس فی العقل ما یمنع من صحّة ذلک و لا فی الشّرع؟فینبغی أن یکون ذلک جائزا،فمتی توزّعوا فی ذلک و أشاروا إلی شیء فیما یدّعونه أنّه وجه قبح کلّموهم بما مضی فی تضاعیف الکلام ممّا یمکن أن یکون جوابا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استدلّوا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روی أنّ سائلا سأل النبی علیه السّلام عن مواقیت الصّلاة فأخّر بیانها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اعترض المخالف علی ذلک بأن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أحاله علی بیان متقدّم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فمتی قیل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ینقل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یکفی أن یکون ذلک جائزا</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الدّلیل لا یمکن الاعتماد علیه،لأنّ الخبر خبر واحد،و هذه مسألة طریقها العلم،فکیف یمکن الاستدلال علی صحّتها بخبر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استدلّوا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رووا من أنّ أهل الیمن سألوا معاذا عن وقص البقر فلم یعرفه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المخالف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ذلک ممّا قد بیّن،لأنّه بقی علی ما کان علیه من قبل فی إسقاط الزّکاة عنه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أیضا نظیر الأوّل فی أنّه خبر واحد لا یمکن الاعتماد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نظائر ذلک لا یمکن الاعتماد علی شیء</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منها،فالمعتمد فی هذا الباب الدّلیلان الأولان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فامّا </w:t>
      </w:r>
      <w:r>
        <w:rPr>
          <w:rStyle w:val="FootnoteAnchor"/>
          <w:rtl w:val="true"/>
        </w:rPr>
        <w:footnoteReference w:id="929"/>
      </w:r>
      <w:r>
        <w:rPr>
          <w:rFonts w:ascii="IRNazanin" w:hAnsi="IRNazanin" w:eastAsia="IRNazanin"/>
          <w:color w:val="111111"/>
          <w:sz w:val="28"/>
          <w:sz w:val="28"/>
          <w:szCs w:val="28"/>
          <w:rtl w:val="true"/>
          <w:lang w:bidi="fa-IR"/>
        </w:rPr>
        <w:t>الّذی یدلّ علی أنّ تأخیر بیان العموم لا یجوز عن حال الخطاب فهو</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إنّا قد دللنا علی أنّ العموم له صیغة تختصّ به </w:t>
      </w:r>
      <w:r>
        <w:rPr>
          <w:rStyle w:val="FootnoteAnchor"/>
          <w:rtl w:val="true"/>
        </w:rPr>
        <w:footnoteReference w:id="930"/>
      </w:r>
      <w:r>
        <w:rPr>
          <w:rFonts w:ascii="IRNazanin" w:hAnsi="IRNazanin" w:eastAsia="IRNazanin"/>
          <w:color w:val="111111"/>
          <w:sz w:val="28"/>
          <w:sz w:val="28"/>
          <w:szCs w:val="28"/>
          <w:rtl w:val="true"/>
          <w:lang w:bidi="fa-IR"/>
        </w:rPr>
        <w:t xml:space="preserve">و له ظاهر،فمتی خاطب الحکیم به ینبغی أن یحمل علی ظاهره،لأنّه لو أراد غیر ظاهره،أو أراد بعضه لبیّنه، و إلاّ کان قد دلّ علی الشّیء بخلاف ما هو به،و ذلک لا یجوز،کما لا یجوز تصدیق الکذّاب و إظهار المعجز علی یده،و لو جاز ذلک لجاز أن یخاطب بألفاظ خاصة و لا </w:t>
      </w:r>
    </w:p>
    <w:p>
      <w:pPr>
        <w:pStyle w:val="BookText"/>
        <w:rPr/>
      </w:pPr>
      <w:r>
        <w:rPr>
          <w:rFonts w:ascii="IRNazanin" w:hAnsi="IRNazanin" w:eastAsia="IRNazanin"/>
          <w:color w:val="111111"/>
          <w:sz w:val="28"/>
          <w:sz w:val="28"/>
          <w:szCs w:val="28"/>
          <w:rtl w:val="true"/>
          <w:lang w:bidi="fa-IR"/>
        </w:rPr>
        <w:t>یرید حقیقتها و لا ظاهرها،و یرید بها ضربا من المجاز و لا یبیّن،و ذلک یؤدّی إلی أن لا نستفید بالخطاب شیئا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لفظ العموم مشترک،فهو یجوّز تأخیر بیان المراد به،لأنّه یکون مجملا عنده،و قد بیّنا نحن خلاف ذلک </w:t>
      </w:r>
      <w:r>
        <w:rPr>
          <w:rStyle w:val="FootnoteAnchor"/>
          <w:rtl w:val="true"/>
        </w:rPr>
        <w:footnoteReference w:id="931"/>
      </w:r>
      <w:r>
        <w:rPr>
          <w:rFonts w:eastAsia="Times New Roman" w:cs="Times New Roman" w:ascii="Times New Roman" w:hAnsi="Times New Roman"/>
          <w:color w:val="111111"/>
          <w:sz w:val="28"/>
          <w:szCs w:val="28"/>
          <w:rtl w:val="true"/>
          <w:lang w:val="en-US" w:bidi="en-US"/>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هذه جملة کافیة فی هذا الباب إن شاء اللّه تعالی</w:t>
      </w:r>
      <w:r>
        <w:rPr>
          <w:rFonts w:eastAsia="IRNazanin" w:cs="IRNazanin"/>
          <w:color w:val="111111"/>
          <w:sz w:val="28"/>
          <w:szCs w:val="28"/>
          <w:rtl w:val="true"/>
          <w:lang w:bidi="fa-IR"/>
        </w:rPr>
        <w:t xml:space="preserve">. </w:t>
      </w:r>
      <w:bookmarkStart w:id="271" w:name="pg6519_49667"/>
    </w:p>
    <w:p>
      <w:pPr>
        <w:pStyle w:val="Heading4"/>
        <w:numPr>
          <w:ilvl w:val="3"/>
          <w:numId w:val="1"/>
        </w:numPr>
        <w:rPr/>
      </w:pPr>
      <w:bookmarkStart w:id="272" w:name="__RefHeading___Toc1757329_653776707"/>
      <w:bookmarkStart w:id="273" w:name="_Toc88"/>
      <w:bookmarkEnd w:id="271"/>
      <w:bookmarkEnd w:id="272"/>
      <w:r>
        <w:rPr>
          <w:rtl w:val="true"/>
        </w:rPr>
        <w:t>فصل</w:t>
      </w:r>
      <w:r>
        <w:rPr>
          <w:rtl w:val="true"/>
        </w:rPr>
        <w:t>-</w:t>
      </w:r>
      <w:r>
        <w:rPr/>
        <w:t>10</w:t>
      </w:r>
      <w:r>
        <w:rPr>
          <w:rtl w:val="true"/>
        </w:rPr>
        <w:t>:«</w:t>
      </w:r>
      <w:r>
        <w:rPr>
          <w:rtl w:val="true"/>
        </w:rPr>
        <w:t>فی أنّ المخاطب بالعامّ هل یجوز أن یسمعه و إن لم یسمع الخاصّ،أو لا یجوز؟</w:t>
      </w:r>
      <w:r>
        <w:rPr>
          <w:rtl w:val="true"/>
        </w:rPr>
        <w:t>»</w:t>
      </w:r>
      <w:bookmarkEnd w:id="273"/>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اعلم أنّه یجوز أن یسمع المخاطب العام دون الخاصّ،و یلزمه طلب الخاصّ و البحث عنه فی الأصول،فإن وجده حمل العام علیه،و إلاّ اعتقد ظاهره،و هو مذهب النظّام،و أحد قولی أبی هاشم،و هو الّذی یدلّ علیه قول الشّافعی و غیره من الفقهاء </w:t>
      </w:r>
      <w:r>
        <w:rPr>
          <w:rStyle w:val="FootnoteAnchor"/>
          <w:rtl w:val="true"/>
        </w:rPr>
        <w:footnoteReference w:id="93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 کان أبو علیّ یقول </w:t>
      </w:r>
      <w:r>
        <w:rPr>
          <w:rStyle w:val="FootnoteAnchor"/>
          <w:rtl w:val="true"/>
        </w:rPr>
        <w:footnoteReference w:id="9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تخصیص الخطاب إذا لم یکن بدلیل،و لا کان المخاطب به قد عرفه،فإنّه لا یجوز أن یسمع العام و لا یسمع الخاصّ،بل یصرفه </w:t>
      </w:r>
      <w:r>
        <w:rPr>
          <w:rStyle w:val="FootnoteAnchor"/>
          <w:rtl w:val="true"/>
        </w:rPr>
        <w:footnoteReference w:id="934"/>
      </w:r>
      <w:r>
        <w:rPr>
          <w:rFonts w:ascii="IRNazanin" w:hAnsi="IRNazanin" w:eastAsia="IRNazanin"/>
          <w:color w:val="111111"/>
          <w:sz w:val="28"/>
          <w:sz w:val="28"/>
          <w:szCs w:val="28"/>
          <w:rtl w:val="true"/>
          <w:lang w:bidi="fa-IR"/>
        </w:rPr>
        <w:t>عن سماع العام بضرب من الصّرف،و إذا أسمعه،أسمع معه الخاصّ،و کان یعتلّ لذلک بأن 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خطابه إیّاه بالعامّ یبیح له اعتقاد ما لا یقتضیه ظاهره و ذلک جهل،و لا یجوز من الحکیم أن یبیح الجهل،فیجب أن لا یحسن دون أن لا یسمعه الخاصّ، و کان یقول إنّ ذلک بمنزلة خطاب العربی بالزّنجیّة،لأنّ المراد به لا یصحّ أن یعلم فی 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قال بهذا أبو هاشم أیضا،و کان یقول فی اسماع النّاسخ دون المنسوخ مثل ما ذکرناه أیضا </w:t>
      </w:r>
      <w:r>
        <w:rPr>
          <w:rStyle w:val="FootnoteAnchor"/>
          <w:rtl w:val="true"/>
        </w:rPr>
        <w:footnoteReference w:id="9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الّذی یدلّ علی صحّة المذهب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قد اتّفقنا علی أنّه یجوز أن یخاطب بالعامّ و إن کان مخصوصا بدلیل العقل،و إن لم یستدلّ المخاطب علی خصوصه،بل یلزمه البحث عنه،و إنّما حسن ذلک لأنّه متمکّن من معرفة ذلک،فیجب أن یحسن أیضا أن یخاطب به،و إذا کان له تخصیص فی الأصول لم یسمع،لما کان متمکّنا من معرفته بالنّظر فی الأصول</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ذکرناه قد أسقط سائر ما قدّمناه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إذا جاز عند من خالف أن یخاطب بالعموم،و إن لم یستدلّ علی خصوصه بالعقل،و لم یوجب ذلک إباحة الجهل، و الإجراء مجری خطاب العربیّ بالزّنجیّة،فکذلک لا یلزمنا و إن جوّزنا ما قدّمناه</w:t>
      </w:r>
      <w:r>
        <w:rPr>
          <w:rFonts w:eastAsia="IRNazanin" w:cs="IRNazanin"/>
          <w:color w:val="111111"/>
          <w:sz w:val="28"/>
          <w:szCs w:val="28"/>
          <w:rtl w:val="true"/>
          <w:lang w:bidi="fa-IR"/>
        </w:rPr>
        <w:t xml:space="preserve">. </w:t>
      </w:r>
      <w:bookmarkStart w:id="274" w:name="pg6519_49669"/>
    </w:p>
    <w:p>
      <w:pPr>
        <w:pStyle w:val="Heading4"/>
        <w:numPr>
          <w:ilvl w:val="3"/>
          <w:numId w:val="1"/>
        </w:numPr>
        <w:rPr/>
      </w:pPr>
      <w:bookmarkStart w:id="275" w:name="__RefHeading___Toc1757331_653776707"/>
      <w:bookmarkStart w:id="276" w:name="_Toc89"/>
      <w:bookmarkEnd w:id="274"/>
      <w:bookmarkEnd w:id="275"/>
      <w:r>
        <w:rPr>
          <w:rtl w:val="true"/>
        </w:rPr>
        <w:t>فصل</w:t>
      </w:r>
      <w:r>
        <w:rPr>
          <w:rtl w:val="true"/>
        </w:rPr>
        <w:t>-</w:t>
      </w:r>
      <w:r>
        <w:rPr/>
        <w:t>11</w:t>
      </w:r>
      <w:r>
        <w:rPr>
          <w:rtl w:val="true"/>
        </w:rPr>
        <w:t>:«</w:t>
      </w:r>
      <w:r>
        <w:rPr>
          <w:rtl w:val="true"/>
        </w:rPr>
        <w:t>فی القول فی دلیل الخطاب،و اختلاف النّاس فیه</w:t>
      </w:r>
      <w:r>
        <w:rPr>
          <w:rtl w:val="true"/>
        </w:rPr>
        <w:t>»</w:t>
      </w:r>
      <w:bookmarkEnd w:id="276"/>
    </w:p>
    <w:p>
      <w:pPr>
        <w:pStyle w:val="BookText"/>
        <w:rPr/>
      </w:pPr>
      <w:r>
        <w:rPr>
          <w:rFonts w:ascii="IRNazanin" w:hAnsi="IRNazanin" w:eastAsia="IRNazanin"/>
          <w:color w:val="111111"/>
          <w:sz w:val="28"/>
          <w:sz w:val="28"/>
          <w:szCs w:val="28"/>
          <w:rtl w:val="true"/>
          <w:lang w:bidi="fa-IR"/>
        </w:rPr>
        <w:t>اختلف أهل العلم فی أنّ الحکم إذا علّق بصفة الشّیء هل یدلّ علی أنّ حاله مع انتفاء ذلک الوصف بخلاف حاله مع وجوده،أم لا یدلّ،بل یحتاج إلی بیان و دلیل سواه؟ فذهب الشّافعی و أکثر أصحابه إلی أنّ الحکم إذا علّق فی الموصوف بصفة دلّ علی انتفاء ذلک الحکم إذا زالت تلک الصّفة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،قاله فی مسائل کثیرة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تجاوز بعضهم 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الحکم إذا علّق بعین دلّ علی أنّ غیره </w:t>
      </w:r>
    </w:p>
    <w:p>
      <w:pPr>
        <w:pStyle w:val="BookText"/>
        <w:rPr/>
      </w:pPr>
      <w:r>
        <w:rPr>
          <w:rFonts w:ascii="IRNazanin" w:hAnsi="IRNazanin" w:eastAsia="IRNazanin"/>
          <w:color w:val="111111"/>
          <w:sz w:val="28"/>
          <w:sz w:val="28"/>
          <w:szCs w:val="28"/>
          <w:rtl w:val="true"/>
          <w:lang w:bidi="fa-IR"/>
        </w:rPr>
        <w:t xml:space="preserve">بخلافه </w:t>
      </w:r>
      <w:r>
        <w:rPr>
          <w:rStyle w:val="FootnoteAnchor"/>
          <w:rtl w:val="true"/>
        </w:rPr>
        <w:footnoteReference w:id="9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منهم 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لا یدلّ علی أنّ ما عداه بخلافه،و هو الّذی نصره أبو عبد اللّه البصریّ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حکاه عن أبی الحسن،و هو قول أبی العبّاس بن سریج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تبعه من أصحاب الشّافعی،کأبی بکر الفارسیّ</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أبی بکر القفّال</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غیرهما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ذکر أبو 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الحکم إذا علّق بصفة إنّما یدلّ علی ما یتناوله لفظه إذا تجرّد،و قد تحصل فیه قرائن أو أسباب یدلّ معها علی أنّ ما عداه بخلافه،نحو قوله </w:t>
      </w:r>
    </w:p>
    <w:p>
      <w:pPr>
        <w:pStyle w:val="BookText"/>
        <w:rPr/>
      </w:pPr>
      <w:r>
        <w:rPr>
          <w:rFonts w:ascii="Amiri" w:hAnsi="Amiri" w:eastAsia="Amiri" w:cs="Amiri"/>
          <w:color w:val="111111"/>
          <w:sz w:val="28"/>
          <w:sz w:val="28"/>
          <w:szCs w:val="28"/>
          <w:rtl w:val="true"/>
          <w:lang w:bidi="ar-SA"/>
        </w:rPr>
        <w:t>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جاءَکُمْ فاسِقٌ بِنَبَإٍ فَتَبَیَّنُوا   </w:t>
      </w:r>
      <w:r>
        <w:rPr>
          <w:rStyle w:val="FootnoteAnchor"/>
          <w:rtl w:val="true"/>
        </w:rPr>
        <w:footnoteReference w:id="937"/>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أَشْهِدُوا ذَوَیْ عَدْلٍ مِنْکُمْ  </w:t>
      </w:r>
      <w:r>
        <w:rPr>
          <w:rStyle w:val="FootnoteAnchor"/>
          <w:rtl w:val="true"/>
        </w:rPr>
        <w:footnoteReference w:id="938"/>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تَجِدُوا ماءً فَتَیَمَّمُوا  </w:t>
      </w:r>
      <w:r>
        <w:rPr>
          <w:rStyle w:val="FootnoteAnchor"/>
          <w:rtl w:val="true"/>
        </w:rPr>
        <w:footnoteReference w:id="939"/>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کُنَّ أُولاتِ حَمْلٍ فَأَنْفِقُوا عَلَیْهِنَّ حَتّی یَضَعْنَ حَمْلَهُنَّ  </w:t>
      </w:r>
      <w:r>
        <w:rPr>
          <w:rStyle w:val="FootnoteAnchor"/>
          <w:rtl w:val="true"/>
        </w:rPr>
        <w:footnoteReference w:id="940"/>
      </w:r>
      <w:r>
        <w:rPr>
          <w:rFonts w:ascii="Amiri" w:hAnsi="Amiri" w:eastAsia="Amiri" w:cs="Amiri"/>
          <w:color w:val="111111"/>
          <w:sz w:val="28"/>
          <w:sz w:val="28"/>
          <w:szCs w:val="28"/>
          <w:rtl w:val="true"/>
          <w:lang w:bidi="ar-SA"/>
        </w:rPr>
        <w:t>،و قوله صلّی اللّه علیه و آله و سلّم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سائمة الغنم زکاة</w:t>
      </w:r>
      <w:r>
        <w:rPr>
          <w:rFonts w:eastAsia="IRNazanin" w:cs="IRNazanin"/>
          <w:color w:val="111111"/>
          <w:sz w:val="28"/>
          <w:szCs w:val="28"/>
          <w:rtl w:val="true"/>
          <w:lang w:bidi="fa-IR"/>
        </w:rPr>
        <w:t xml:space="preserve">» </w:t>
      </w:r>
      <w:r>
        <w:rPr>
          <w:rStyle w:val="FootnoteAnchor"/>
          <w:rtl w:val="true"/>
        </w:rPr>
        <w:footnoteReference w:id="9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یقتضی ذلک أنّ حکم ما عداه مثل حکمه،نحو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قَتَلَهُ مِنْکُمْ مُتَعَمِّداً  </w:t>
      </w:r>
      <w:r>
        <w:rPr>
          <w:rStyle w:val="FootnoteAnchor"/>
          <w:rtl w:val="true"/>
        </w:rPr>
        <w:footnoteReference w:id="942"/>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تعالی فَلا تَقُلْ لَهُما أُفٍّ  </w:t>
      </w:r>
      <w:r>
        <w:rPr>
          <w:rStyle w:val="FootnoteAnchor"/>
          <w:rtl w:val="true"/>
        </w:rPr>
        <w:footnoteReference w:id="943"/>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تَظْلِمُوا فِیهِنَّ أَنْفُسَکُمْ  </w:t>
      </w:r>
      <w:r>
        <w:rPr>
          <w:rStyle w:val="FootnoteAnchor"/>
          <w:rtl w:val="true"/>
        </w:rPr>
        <w:footnoteReference w:id="944"/>
      </w:r>
      <w:r>
        <w:rPr>
          <w:rFonts w:ascii="IRNazanin" w:hAnsi="IRNazanin" w:eastAsia="IRNazanin"/>
          <w:color w:val="111111"/>
          <w:sz w:val="28"/>
          <w:sz w:val="28"/>
          <w:szCs w:val="28"/>
          <w:rtl w:val="true"/>
          <w:lang w:bidi="fa-IR"/>
        </w:rPr>
        <w:t xml:space="preserve">،و هذا تصریح منه بأنّ القول إذا تجرّد لم یقتض نفیا و لا إثباتا فیما عدا المذکور،و أنّ بالقرائن یعلم تارة النّفی،و یعلم تارة الإیجاب </w:t>
      </w:r>
      <w:r>
        <w:rPr>
          <w:rStyle w:val="FootnoteAnchor"/>
          <w:rtl w:val="true"/>
        </w:rPr>
        <w:footnoteReference w:id="9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قد أضاف ابن سریج </w:t>
      </w:r>
      <w:r>
        <w:rPr>
          <w:rStyle w:val="FootnoteAnchor"/>
          <w:rtl w:val="true"/>
        </w:rPr>
        <w:footnoteReference w:id="946"/>
      </w:r>
      <w:r>
        <w:rPr>
          <w:rFonts w:ascii="IRNazanin" w:hAnsi="IRNazanin" w:eastAsia="IRNazanin"/>
          <w:color w:val="111111"/>
          <w:sz w:val="28"/>
          <w:sz w:val="28"/>
          <w:szCs w:val="28"/>
          <w:rtl w:val="true"/>
          <w:lang w:bidi="fa-IR"/>
        </w:rPr>
        <w:t xml:space="preserve">هذا القول إلی الشّافعی و تأوّل کلامه المقتضی لخلافه و بناه علیه،و أکثر أصحاب الشّافعی و جلّهم و جمهورهم علی المذهب الأوّل </w:t>
      </w:r>
      <w:r>
        <w:rPr>
          <w:rStyle w:val="FootnoteAnchor"/>
          <w:rtl w:val="true"/>
        </w:rPr>
        <w:footnoteReference w:id="947"/>
      </w:r>
      <w:r>
        <w:rPr>
          <w:rFonts w:eastAsia="Times New Roman" w:cs="Times New Roman" w:ascii="Times New Roman" w:hAnsi="Times New Roman"/>
          <w:color w:val="111111"/>
          <w:sz w:val="28"/>
          <w:szCs w:val="28"/>
          <w:rtl w:val="true"/>
          <w:lang w:val="en-US" w:bidi="en-US"/>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المذهب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الأخیر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الّذی اختاره سیّدنا المرتضی </w:t>
      </w:r>
      <w:r>
        <w:rPr>
          <w:rStyle w:val="FootnoteAnchor"/>
          <w:rtl w:val="true"/>
        </w:rPr>
        <w:footnoteReference w:id="948"/>
      </w:r>
      <w:r>
        <w:rPr>
          <w:rFonts w:ascii="IRNazanin" w:hAnsi="IRNazanin" w:eastAsia="IRNazanin"/>
          <w:color w:val="111111"/>
          <w:sz w:val="28"/>
          <w:sz w:val="28"/>
          <w:szCs w:val="28"/>
          <w:rtl w:val="true"/>
          <w:lang w:bidi="fa-IR"/>
        </w:rPr>
        <w:t xml:space="preserve">،رحمه اللّه، </w:t>
      </w:r>
    </w:p>
    <w:p>
      <w:pPr>
        <w:pStyle w:val="BookText"/>
        <w:rPr/>
      </w:pPr>
      <w:r>
        <w:rPr>
          <w:rFonts w:ascii="IRNazanin" w:hAnsi="IRNazanin" w:eastAsia="IRNazanin"/>
          <w:color w:val="111111"/>
          <w:sz w:val="28"/>
          <w:sz w:val="28"/>
          <w:szCs w:val="28"/>
          <w:rtl w:val="true"/>
          <w:lang w:bidi="fa-IR"/>
        </w:rPr>
        <w:t xml:space="preserve">و إلیه ذهب أبو علیّ،و أبو هاشم،و أکثر المتکلّمین </w:t>
      </w:r>
      <w:r>
        <w:rPr>
          <w:rStyle w:val="FootnoteAnchor"/>
          <w:rtl w:val="true"/>
        </w:rPr>
        <w:footnoteReference w:id="949"/>
      </w:r>
      <w:r>
        <w:rPr>
          <w:rFonts w:ascii="IRNazanin" w:hAnsi="IRNazanin" w:eastAsia="IRNazanin"/>
          <w:color w:val="111111"/>
          <w:sz w:val="28"/>
          <w:sz w:val="28"/>
          <w:szCs w:val="28"/>
          <w:rtl w:val="true"/>
          <w:lang w:bidi="fa-IR"/>
        </w:rPr>
        <w:t>،و کان شیخنا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یذهب إلی المذهب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أقوی ما نصر به مذهب من منع من ذلک،ما ذکره سیّدنا المرتضی رحمه اللّه فی مسألة له أنا أحکیها علی ما وجهها،قال </w:t>
      </w:r>
      <w:r>
        <w:rPr>
          <w:rStyle w:val="FootnoteAnchor"/>
          <w:rtl w:val="true"/>
        </w:rPr>
        <w:footnoteReference w:id="9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ثبت أنّ تعلیق الحکم بالاسم اللّقب لا یدلّ علی أنّ ما عداه بخلافه،و قد ثبت أنّ الصّفة کالاسم فی الإبانة و التمیّز،و إذا ثبت هذان الأمران صحّ ما نذهب إلیه</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الّذی یدلّ علی الأمر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تعلیق الحکم بالاسم لو دلّ علی أنّ ما عداه بخلافه،لوجب أن یکون قول القائل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و طویل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السّکر حلو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مجازا معدولا به عن الحقیقة،لأنّه قد یشارک زیدا و عمراً فی القیام و الطّول و غیرهما،و یشارک السّکّر فی الحلاوة غیره،و یجب أیضا أن لا یمکن أن یتکلّم بهذه الألفاظ علی سبیل الحقیقة،و معلوم ضرورة </w:t>
      </w:r>
      <w:r>
        <w:rPr>
          <w:rStyle w:val="FootnoteAnchor"/>
          <w:rtl w:val="true"/>
        </w:rPr>
        <w:footnoteReference w:id="951"/>
      </w:r>
      <w:r>
        <w:rPr>
          <w:rFonts w:ascii="Amiri" w:hAnsi="Amiri" w:eastAsia="Amiri" w:cs="Amiri"/>
          <w:color w:val="111111"/>
          <w:sz w:val="28"/>
          <w:sz w:val="28"/>
          <w:szCs w:val="28"/>
          <w:rtl w:val="true"/>
          <w:lang w:bidi="ar-SA"/>
        </w:rPr>
        <w:t xml:space="preserve">من مذهب أهل اللّغة أنّ </w:t>
      </w:r>
      <w:r>
        <w:rPr>
          <w:rStyle w:val="FootnoteAnchor"/>
          <w:rtl w:val="true"/>
        </w:rPr>
        <w:footnoteReference w:id="952"/>
      </w:r>
      <w:r>
        <w:rPr>
          <w:rFonts w:ascii="IRNazanin" w:hAnsi="IRNazanin" w:eastAsia="IRNazanin"/>
          <w:color w:val="111111"/>
          <w:sz w:val="28"/>
          <w:sz w:val="28"/>
          <w:szCs w:val="28"/>
          <w:rtl w:val="true"/>
          <w:lang w:bidi="fa-IR"/>
        </w:rPr>
        <w:t xml:space="preserve">هذه الألفاظ حقیقة و أنّها ممّا لا یجب أن یکون مجازا،و یلزم علی هذا المذهب أن یکون أکثر الکلام مجازا،لأنّ الإنسان إذا أضاف إلی نفسه فعلا من قیام،أو قعود،أو أکل،أو تصرّف </w:t>
      </w:r>
      <w:r>
        <w:rPr>
          <w:rStyle w:val="FootnoteAnchor"/>
          <w:rtl w:val="true"/>
        </w:rPr>
        <w:footnoteReference w:id="953"/>
      </w:r>
      <w:r>
        <w:rPr>
          <w:rFonts w:ascii="IRNazanin" w:hAnsi="IRNazanin" w:eastAsia="IRNazanin"/>
          <w:color w:val="111111"/>
          <w:sz w:val="28"/>
          <w:sz w:val="28"/>
          <w:szCs w:val="28"/>
          <w:rtl w:val="true"/>
          <w:lang w:bidi="fa-IR"/>
        </w:rPr>
        <w:t>،و ما جری مجراه لیس یضیف إلیها إلاّ ما له فیه مشارک،و الإضافة إلیه تقتضی بظاهرها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مذهب من قال بدلیل الخطاب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نفی ذلک الأمر عمّن عداه، فلا تکون هذه الأوصاف </w:t>
      </w:r>
      <w:r>
        <w:rPr>
          <w:rStyle w:val="FootnoteAnchor"/>
          <w:rtl w:val="true"/>
        </w:rPr>
        <w:footnoteReference w:id="954"/>
      </w:r>
      <w:r>
        <w:rPr>
          <w:rFonts w:ascii="IRNazanin" w:hAnsi="IRNazanin" w:eastAsia="IRNazanin"/>
          <w:color w:val="111111"/>
          <w:sz w:val="28"/>
          <w:sz w:val="28"/>
          <w:szCs w:val="28"/>
          <w:rtl w:val="true"/>
          <w:lang w:bidi="fa-IR"/>
        </w:rPr>
        <w:t xml:space="preserve">فی موضع من المواضع إلاّ مجازا،و هذا یقتضی أنّ الکلام </w:t>
      </w:r>
    </w:p>
    <w:p>
      <w:pPr>
        <w:pStyle w:val="BookText"/>
        <w:rPr/>
      </w:pPr>
      <w:r>
        <w:rPr>
          <w:rFonts w:ascii="Amiri" w:hAnsi="Amiri" w:eastAsia="Amiri" w:cs="Amiri"/>
          <w:color w:val="111111"/>
          <w:sz w:val="28"/>
          <w:sz w:val="28"/>
          <w:szCs w:val="28"/>
          <w:rtl w:val="true"/>
          <w:lang w:bidi="ar-SA"/>
        </w:rPr>
        <w:t>کلّه مجاز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یدلّ أیضا علی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من المعلوم أنّه لا یحسن أن یخبر مخبر بأنّ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زیدا طویلا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و هو عالم بطوله،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کلامه یقتضی تعلیق الطّول علیه،فلا بدّ من أن یکون عالما به،و إلاّ لم یؤمن أن یکون کاذبا</w:t>
      </w:r>
      <w:r>
        <w:rPr>
          <w:rFonts w:eastAsia="IRNazanin" w:cs="IRNazanin"/>
          <w:color w:val="111111"/>
          <w:sz w:val="28"/>
          <w:szCs w:val="28"/>
          <w:rtl w:val="true"/>
          <w:lang w:bidi="fa-IR"/>
        </w:rPr>
        <w:t xml:space="preserve">) </w:t>
      </w:r>
      <w:r>
        <w:rPr>
          <w:rStyle w:val="FootnoteAnchor"/>
          <w:rtl w:val="true"/>
        </w:rPr>
        <w:footnoteReference w:id="955"/>
      </w:r>
      <w:r>
        <w:rPr>
          <w:rFonts w:ascii="IRNazanin" w:hAnsi="IRNazanin" w:eastAsia="IRNazanin"/>
          <w:color w:val="111111"/>
          <w:sz w:val="28"/>
          <w:sz w:val="28"/>
          <w:szCs w:val="28"/>
          <w:rtl w:val="true"/>
          <w:lang w:bidi="fa-IR"/>
        </w:rPr>
        <w:t>،فلو کان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طویل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یقتضی الإخبار عن طول زید،یقتضی نفی الطّول عن کلّ من عداه،لوجب أن لا یحسن منه أن یخبر بأنّ زیدا طویل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الحقیقة</w:t>
      </w:r>
      <w:r>
        <w:rPr>
          <w:rFonts w:eastAsia="IRNazanin" w:cs="IRNazanin"/>
          <w:color w:val="111111"/>
          <w:sz w:val="28"/>
          <w:szCs w:val="28"/>
          <w:rtl w:val="true"/>
          <w:lang w:bidi="fa-IR"/>
        </w:rPr>
        <w:t xml:space="preserve">) </w:t>
      </w:r>
      <w:r>
        <w:rPr>
          <w:rStyle w:val="FootnoteAnchor"/>
          <w:rtl w:val="true"/>
        </w:rPr>
        <w:footnoteReference w:id="956"/>
      </w:r>
      <w:r>
        <w:rPr>
          <w:rFonts w:ascii="IRNazanin" w:hAnsi="IRNazanin" w:eastAsia="IRNazanin"/>
          <w:color w:val="111111"/>
          <w:sz w:val="28"/>
          <w:sz w:val="28"/>
          <w:szCs w:val="28"/>
          <w:rtl w:val="true"/>
          <w:lang w:bidi="fa-IR"/>
        </w:rPr>
        <w:t>إلاّ بعد أن یکون عالما بأنّ غیره لا یشارکه فی الطّول،و یجب أن یکون علمه بحال الغیر شرطا فی حسن الخبر،کما أنّ علمه بحال المذکور شرط فی حسن الخبر،و معلوم خلاف ذلک عند کلّ عاقل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ألفاظ النفی مفارقة لألفاظ الإثبات فی لغة العرب،و لا یجوز أن یفهم من لفظ الإثبات النّفی،کما لا یفهم من لفظ النّفی الإثبات،و 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طویل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لفظة إثبات،و کیف یعقل منه نفی الحکم عن غیر المذکور و لیس هاهنا لفظ نفی؟ و یمکن أن یستدلّ بهذه الطّریقة خاصّة علی أنّ تعلیق الحکم بصفة لا یدلّ علی نفیه عمّا لیست له،من غیر حمل الصّفة علی الاسم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ممّا </w:t>
      </w:r>
      <w:r>
        <w:rPr>
          <w:rStyle w:val="FootnoteAnchor"/>
          <w:rtl w:val="true"/>
        </w:rPr>
        <w:footnoteReference w:id="957"/>
      </w:r>
      <w:r>
        <w:rPr>
          <w:rFonts w:ascii="IRNazanin" w:hAnsi="IRNazanin" w:eastAsia="IRNazanin"/>
          <w:color w:val="111111"/>
          <w:sz w:val="28"/>
          <w:sz w:val="28"/>
          <w:szCs w:val="28"/>
          <w:rtl w:val="true"/>
          <w:lang w:bidi="fa-IR"/>
        </w:rPr>
        <w:t>یقوّی أیضا ما ذکرناه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أحدا من العلماء لم یقل فی ذکر الأجناس السّتّة فی خبر الرّبا أنّ تعلیق الحکم بها یدلّ علی نفی الرّبا عن غیرها،لأنّ العلماء بین رجلین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 یقول یبقی غیر هذه الأجناس علی الإباحة،و الآخر یقیس غیرها علیها</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تعلّق من سوّی بین الاسم و الصّفة،بأنّ جماعة من أهل العلم استدلّوا علی أنّ غیر الماء لا یطهّر </w:t>
      </w:r>
      <w:r>
        <w:rPr>
          <w:rStyle w:val="FootnoteAnchor"/>
          <w:rtl w:val="true"/>
        </w:rPr>
        <w:footnoteReference w:id="958"/>
      </w:r>
      <w:r>
        <w:rPr>
          <w:rFonts w:ascii="Amiri" w:hAnsi="Amiri" w:eastAsia="Amiri" w:cs="Amiri"/>
          <w:color w:val="111111"/>
          <w:sz w:val="28"/>
          <w:sz w:val="28"/>
          <w:szCs w:val="28"/>
          <w:rtl w:val="true"/>
          <w:lang w:bidi="ar-SA"/>
        </w:rPr>
        <w:t>بقوله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أَنْزَلْنا مِنَ السَّماءِ ماءً طَهُوراً  </w:t>
      </w:r>
      <w:r>
        <w:rPr>
          <w:rStyle w:val="FootnoteAnchor"/>
          <w:rtl w:val="true"/>
        </w:rPr>
        <w:footnoteReference w:id="959"/>
      </w:r>
      <w:r>
        <w:rPr>
          <w:rFonts w:ascii="IRNazanin" w:hAnsi="IRNazanin" w:eastAsia="IRNazanin"/>
          <w:color w:val="111111"/>
          <w:sz w:val="28"/>
          <w:sz w:val="28"/>
          <w:szCs w:val="28"/>
          <w:rtl w:val="true"/>
          <w:lang w:bidi="fa-IR"/>
        </w:rPr>
        <w:t>فنفوا الحکم عن غیر الماء،و هو معلّق بالاسم لا بالصّفة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من فعل ذلک فقد أخطأ فی اللّغة،و قد حکینا أنّ فی النّاس من سوی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مخطئا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الاسم و الصّفة فی تعلیق الحکم بکلّ واحد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یمکن من استدلّ بهذه الآیة أن یکون إنّما عوّل علی أنّ الاسم فیها یجری مجری الصّفة،لأنّ مطلق الماء یخالف مضافه،فأجراه مجری کون الغنم سائمة و معلوفة </w:t>
      </w:r>
      <w:r>
        <w:rPr>
          <w:rStyle w:val="FootnoteAnchor"/>
          <w:rtl w:val="true"/>
        </w:rPr>
        <w:footnoteReference w:id="960"/>
      </w:r>
      <w:r>
        <w:rPr>
          <w:rFonts w:ascii="IRNazanin" w:hAnsi="IRNazanin" w:eastAsia="IRNazanin"/>
          <w:color w:val="111111"/>
          <w:sz w:val="28"/>
          <w:sz w:val="28"/>
          <w:szCs w:val="28"/>
          <w:rtl w:val="true"/>
          <w:lang w:bidi="fa-IR"/>
        </w:rPr>
        <w:t>و أمّا الدّلالة علی أنّ الصّفة کالاسم فی الحکم الّذی ذکرناه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فهی أنّ الغرض فی وضع الأسماء فی أصل اللّغة هو التّمییز و التّعریف،و لیمکنهم أن یخبروا عمّن غاب عنهم بالعبارة،کما أخبروا عن الحاضر بالإشارة،فوضعوا الأسماء لهذا الغرض،و لمّا وقع الاشتراک بالاتّفاق فی الأسماء،بطل الغرض الّذی هو التّمییز و التعریف، فاحتاجوا إلی إدخال الصّفة </w:t>
      </w:r>
      <w:r>
        <w:rPr>
          <w:rStyle w:val="FootnoteAnchor"/>
          <w:rtl w:val="true"/>
        </w:rPr>
        <w:footnoteReference w:id="961"/>
      </w:r>
      <w:r>
        <w:rPr>
          <w:rFonts w:ascii="IRNazanin" w:hAnsi="IRNazanin" w:eastAsia="IRNazanin"/>
          <w:color w:val="111111"/>
          <w:sz w:val="28"/>
          <w:sz w:val="28"/>
          <w:szCs w:val="28"/>
          <w:rtl w:val="true"/>
          <w:lang w:bidi="fa-IR"/>
        </w:rPr>
        <w:t xml:space="preserve">و إلحاقها بالاسم </w:t>
      </w:r>
      <w:r>
        <w:rPr>
          <w:rStyle w:val="FootnoteAnchor"/>
          <w:rtl w:val="true"/>
        </w:rPr>
        <w:footnoteReference w:id="962"/>
      </w:r>
      <w:r>
        <w:rPr>
          <w:rFonts w:ascii="IRNazanin" w:hAnsi="IRNazanin" w:eastAsia="IRNazanin"/>
          <w:color w:val="111111"/>
          <w:sz w:val="28"/>
          <w:sz w:val="28"/>
          <w:szCs w:val="28"/>
          <w:rtl w:val="true"/>
          <w:lang w:bidi="fa-IR"/>
        </w:rPr>
        <w:t xml:space="preserve">لیکون الاسم مع الصّفة بمنزلة الاسم لو لم یقع اشتراک فیه،و لو لا الاشتراک الواقع فی الأسماء لما احتیج إلی الصّفات،أ لا تری أنّه لو لم یکن مسمّی بزید </w:t>
      </w:r>
      <w:r>
        <w:rPr>
          <w:rStyle w:val="FootnoteAnchor"/>
          <w:rtl w:val="true"/>
        </w:rPr>
        <w:footnoteReference w:id="963"/>
      </w:r>
      <w:r>
        <w:rPr>
          <w:rFonts w:ascii="IRNazanin" w:hAnsi="IRNazanin" w:eastAsia="IRNazanin"/>
          <w:color w:val="111111"/>
          <w:sz w:val="28"/>
          <w:sz w:val="28"/>
          <w:szCs w:val="28"/>
          <w:rtl w:val="true"/>
          <w:lang w:bidi="fa-IR"/>
        </w:rPr>
        <w:t>إلاّ شخصا واحدا،لکفی فی الإخبار عنه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یحتج إلی إدخال الصّفة،فبان بهذه الجملة أنّ الصّفة کالاسم فی الغرض و أنّ الصّفات کبعض الأسماء،و إذا ثبت ما ذکرناه فی الاسم ثبت فیما یجری مجراه و یقوم مقامه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یبیّن أنّ الاسم کالصّفة أنّ المخبر قد یحتاج إلی أن یخبر عن شخص بعینه،فیذکره بلقبه،و قد یجوز أن یحتاج أن یخبر عنه فی حال دون أخری،فیذکره بصفته،فصارت الصّفة ممیّزة للأحوال،کما أنّ الأسماء ممیّزة للأعیان فحلاّ محلا واحدا فی الحکم الّذی ذکرناه</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ممّا یدلّ ابتداء علی بطلان دلیل الخطاب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اللّفظ إنما یدلّ علی ما یتناوله، </w:t>
      </w:r>
    </w:p>
    <w:p>
      <w:pPr>
        <w:pStyle w:val="BookText"/>
        <w:rPr/>
      </w:pPr>
      <w:r>
        <w:rPr>
          <w:rFonts w:ascii="IRNazanin" w:hAnsi="IRNazanin" w:eastAsia="IRNazanin"/>
          <w:color w:val="111111"/>
          <w:sz w:val="28"/>
          <w:sz w:val="28"/>
          <w:szCs w:val="28"/>
          <w:rtl w:val="true"/>
          <w:lang w:bidi="fa-IR"/>
        </w:rPr>
        <w:t>أو علی ما یکون بأن یتناوله أولی،فأمّا أن یدلّ علی ما لم یتناوله و لا هو بالتّناول أولی فمحال،و إذا کان الحکم المعلّق بصفة لم یتناول غیر المذکور،و لا هو بأن یتناوله أولی لم یدلّ إلاّ علی ما اقتضاه لفظه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اشرحوا هذه الجملة</w:t>
      </w:r>
      <w:r>
        <w:rPr>
          <w:rFonts w:eastAsia="IRNazanin" w:cs="IRNazanin"/>
          <w:color w:val="111111"/>
          <w:sz w:val="28"/>
          <w:szCs w:val="28"/>
          <w:rtl w:val="true"/>
          <w:lang w:bidi="fa-IR"/>
        </w:rPr>
        <w:t xml:space="preserve">) </w:t>
      </w:r>
      <w:r>
        <w:rPr>
          <w:rStyle w:val="FootnoteAnchor"/>
          <w:rtl w:val="true"/>
        </w:rPr>
        <w:footnoteReference w:id="964"/>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سائمة الغنم الزّکاة</w:t>
      </w:r>
      <w:r>
        <w:rPr>
          <w:rFonts w:eastAsia="IRNazanin" w:cs="IRNazanin"/>
          <w:color w:val="111111"/>
          <w:sz w:val="28"/>
          <w:szCs w:val="28"/>
          <w:rtl w:val="true"/>
          <w:lang w:bidi="fa-IR"/>
        </w:rPr>
        <w:t xml:space="preserve">» </w:t>
      </w:r>
      <w:r>
        <w:rPr>
          <w:rStyle w:val="FootnoteAnchor"/>
          <w:rtl w:val="true"/>
        </w:rPr>
        <w:footnoteReference w:id="965"/>
      </w:r>
      <w:r>
        <w:rPr>
          <w:rFonts w:ascii="IRNazanin" w:hAnsi="IRNazanin" w:eastAsia="IRNazanin"/>
          <w:color w:val="111111"/>
          <w:sz w:val="28"/>
          <w:sz w:val="28"/>
          <w:szCs w:val="28"/>
          <w:rtl w:val="true"/>
          <w:lang w:bidi="fa-IR"/>
        </w:rPr>
        <w:t xml:space="preserve">معلوم حسّا و إدراکا أنّه لم یتناول المعلوفة،و لا یمکن الخلاف فیما لا یدخل تحت الجنس </w:t>
      </w:r>
      <w:r>
        <w:rPr>
          <w:rStyle w:val="FootnoteAnchor"/>
          <w:rtl w:val="true"/>
        </w:rPr>
        <w:footnoteReference w:id="966"/>
      </w:r>
      <w:r>
        <w:rPr>
          <w:rFonts w:ascii="IRNazanin" w:hAnsi="IRNazanin" w:eastAsia="IRNazanin"/>
          <w:color w:val="111111"/>
          <w:sz w:val="28"/>
          <w:sz w:val="28"/>
          <w:szCs w:val="28"/>
          <w:rtl w:val="true"/>
          <w:lang w:bidi="fa-IR"/>
        </w:rPr>
        <w:t>،و لا هو بتناولها أولی،بدلالة أنّه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سائمة الغنم الزکاة و فی معلوفتها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کان مناقضا </w:t>
      </w:r>
      <w:r>
        <w:rPr>
          <w:rStyle w:val="FootnoteAnchor"/>
          <w:rtl w:val="true"/>
        </w:rPr>
        <w:footnoteReference w:id="967"/>
      </w:r>
      <w:r>
        <w:rPr>
          <w:rFonts w:ascii="IRNazanin" w:hAnsi="IRNazanin" w:eastAsia="IRNazanin"/>
          <w:color w:val="111111"/>
          <w:sz w:val="28"/>
          <w:sz w:val="28"/>
          <w:szCs w:val="28"/>
          <w:rtl w:val="true"/>
          <w:lang w:bidi="fa-IR"/>
        </w:rPr>
        <w:t>، و من شأن اللّفظ إذا دلّ علی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 xml:space="preserve">] </w:t>
      </w:r>
      <w:r>
        <w:rPr>
          <w:rStyle w:val="FootnoteAnchor"/>
          <w:rtl w:val="true"/>
        </w:rPr>
        <w:footnoteReference w:id="968"/>
      </w:r>
      <w:r>
        <w:rPr>
          <w:rFonts w:ascii="IRNazanin" w:hAnsi="IRNazanin" w:eastAsia="IRNazanin"/>
          <w:color w:val="111111"/>
          <w:sz w:val="28"/>
          <w:sz w:val="28"/>
          <w:szCs w:val="28"/>
          <w:rtl w:val="true"/>
          <w:lang w:bidi="fa-IR"/>
        </w:rPr>
        <w:t>یتناوله بلفظه لکنّه بأن یتناوله أولی،أن یمنع من التّصریح بخلافه،أ لا</w:t>
      </w:r>
    </w:p>
    <w:p>
      <w:pPr>
        <w:pStyle w:val="BookText"/>
        <w:rPr/>
      </w:pPr>
      <w:r>
        <w:rPr>
          <w:rFonts w:ascii="Amiri" w:hAnsi="Amiri" w:eastAsia="Amiri" w:cs="Amiri"/>
          <w:color w:val="111111"/>
          <w:sz w:val="28"/>
          <w:sz w:val="28"/>
          <w:szCs w:val="28"/>
          <w:rtl w:val="true"/>
          <w:lang w:bidi="ar-SA"/>
        </w:rPr>
        <w:t>تری أنّ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تَقُلْ لَهُما أُفٍّ  </w:t>
      </w:r>
      <w:r>
        <w:rPr>
          <w:rStyle w:val="FootnoteAnchor"/>
          <w:rtl w:val="true"/>
        </w:rPr>
        <w:footnoteReference w:id="969"/>
      </w:r>
      <w:r>
        <w:rPr>
          <w:rFonts w:ascii="IRNazanin" w:hAnsi="IRNazanin" w:eastAsia="IRNazanin"/>
          <w:color w:val="111111"/>
          <w:sz w:val="28"/>
          <w:sz w:val="28"/>
          <w:szCs w:val="28"/>
          <w:rtl w:val="true"/>
          <w:lang w:bidi="fa-IR"/>
        </w:rPr>
        <w:t>لمّا تناول النّهی عن التأفّف بلفظ،و کان بأن یتناول سائر المکروه أولی لم یجز أن یتبعه و یلحقه بأن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تقل لهما أفٍّ و اضربهما و اشتمهما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نقض،فبان أنّ 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سائمة الغنم الزّکاة</w:t>
      </w:r>
      <w:r>
        <w:rPr>
          <w:rFonts w:eastAsia="IRNazanin" w:cs="IRNazanin"/>
          <w:color w:val="111111"/>
          <w:sz w:val="28"/>
          <w:szCs w:val="28"/>
          <w:rtl w:val="true"/>
          <w:lang w:bidi="fa-IR"/>
        </w:rPr>
        <w:t xml:space="preserve">» </w:t>
      </w:r>
      <w:r>
        <w:rPr>
          <w:rStyle w:val="FootnoteAnchor"/>
          <w:rtl w:val="true"/>
        </w:rPr>
        <w:footnoteReference w:id="970"/>
      </w:r>
      <w:r>
        <w:rPr>
          <w:rFonts w:ascii="IRNazanin" w:hAnsi="IRNazanin" w:eastAsia="IRNazanin"/>
          <w:color w:val="111111"/>
          <w:sz w:val="28"/>
          <w:sz w:val="28"/>
          <w:szCs w:val="28"/>
          <w:rtl w:val="true"/>
          <w:lang w:bidi="fa-IR"/>
        </w:rPr>
        <w:t>لیس بتناول المعلوفة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الّذی یدلّ علی أنّ اللّفظ لا یدلّ علی ما لا یتناوله و لا یکون بالتّناول أولی،أنّه لو دلّ علی ذلک لم ینحصر مدلوله،لأنّ ما لا یتناوله اللّفظ لا یتناهی،و لیس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بعضه</w:t>
      </w:r>
      <w:r>
        <w:rPr>
          <w:rFonts w:eastAsia="IRNazanin" w:cs="IRNazanin"/>
          <w:color w:val="111111"/>
          <w:sz w:val="28"/>
          <w:szCs w:val="28"/>
          <w:rtl w:val="true"/>
          <w:lang w:bidi="fa-IR"/>
        </w:rPr>
        <w:t xml:space="preserve">] </w:t>
      </w:r>
      <w:r>
        <w:rPr>
          <w:rStyle w:val="FootnoteAnchor"/>
          <w:rtl w:val="true"/>
        </w:rPr>
        <w:footnoteReference w:id="971"/>
      </w:r>
      <w:r>
        <w:rPr>
          <w:rFonts w:ascii="IRNazanin" w:hAnsi="IRNazanin" w:eastAsia="IRNazanin"/>
          <w:color w:val="111111"/>
          <w:sz w:val="28"/>
          <w:sz w:val="28"/>
          <w:szCs w:val="28"/>
          <w:rtl w:val="true"/>
          <w:lang w:bidi="fa-IR"/>
        </w:rPr>
        <w:t>بأن یدلّ علیه اللّفظ مع عدم التّناول بأولی من بعض</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ممّا یدلّ أیضا علی ما ذکرناه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استفهام القائل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ضربت طوال غلمانی، </w:t>
      </w:r>
    </w:p>
    <w:p>
      <w:pPr>
        <w:pStyle w:val="BookText"/>
        <w:rPr/>
      </w:pPr>
      <w:r>
        <w:rPr>
          <w:rFonts w:ascii="IRNazanin" w:hAnsi="IRNazanin" w:eastAsia="IRNazanin"/>
          <w:color w:val="111111"/>
          <w:sz w:val="28"/>
          <w:sz w:val="28"/>
          <w:szCs w:val="28"/>
          <w:rtl w:val="true"/>
          <w:lang w:bidi="fa-IR"/>
        </w:rPr>
        <w:t xml:space="preserve">و لقیت أشراف </w:t>
      </w:r>
      <w:r>
        <w:rPr>
          <w:rStyle w:val="FootnoteAnchor"/>
          <w:rtl w:val="true"/>
        </w:rPr>
        <w:footnoteReference w:id="972"/>
      </w:r>
      <w:r>
        <w:rPr>
          <w:rFonts w:ascii="IRNazanin" w:hAnsi="IRNazanin" w:eastAsia="IRNazanin"/>
          <w:color w:val="111111"/>
          <w:sz w:val="28"/>
          <w:sz w:val="28"/>
          <w:szCs w:val="28"/>
          <w:rtl w:val="true"/>
          <w:lang w:bidi="fa-IR"/>
        </w:rPr>
        <w:t>جیرانی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ضربت القصار من غلمانک أم لم تضربهم؟، و لقیت العامة من جیرانک أم لا تلقهم؟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،فلو کان تعلیق الحکم بالصّفة یقتضی وصف الحکم عمّا لیس له تلک الصّفة کاقتضائه ثبوته لما له تلک الصّفة،لکان هذا الاستفهام قبیحا،کما یقبح أن یستفهمه عن حکم ما تعلّق لفظه </w:t>
      </w:r>
      <w:r>
        <w:rPr>
          <w:rStyle w:val="FootnoteAnchor"/>
          <w:rtl w:val="true"/>
        </w:rPr>
        <w:footnoteReference w:id="973"/>
      </w:r>
      <w:r>
        <w:rPr>
          <w:rFonts w:ascii="IRNazanin" w:hAnsi="IRNazanin" w:eastAsia="IRNazanin"/>
          <w:color w:val="111111"/>
          <w:sz w:val="28"/>
          <w:sz w:val="28"/>
          <w:szCs w:val="28"/>
          <w:rtl w:val="true"/>
          <w:lang w:bidi="fa-IR"/>
        </w:rPr>
        <w:t>به،فلو کان الأمران مفهومین من اللّفظ لاشترکا فی حسن الاستفهام و قبحه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إنّما یحسن الاستفهام عن ذلک لمن لم یقل بدلیل الخطاب،فأمّا من تکلّم بما ذکرتموه من الذّاهبین إلی دلیل الخطاب،فإنّه </w:t>
      </w:r>
      <w:r>
        <w:rPr>
          <w:rStyle w:val="FootnoteAnchor"/>
          <w:rtl w:val="true"/>
        </w:rPr>
        <w:footnoteReference w:id="974"/>
      </w:r>
      <w:r>
        <w:rPr>
          <w:rFonts w:ascii="IRNazanin" w:hAnsi="IRNazanin" w:eastAsia="IRNazanin"/>
          <w:color w:val="111111"/>
          <w:sz w:val="28"/>
          <w:sz w:val="28"/>
          <w:szCs w:val="28"/>
          <w:rtl w:val="true"/>
          <w:lang w:bidi="fa-IR"/>
        </w:rPr>
        <w:t>لا یستفهم من مراده إلاّ علی وجه واحد،و هو أن یکون أراد علی سبیل المجاز و الاستعارة خلاف ما یقتضیه دلیل الخطاب،فیحسن استفهامه لذلک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حسن استفهام کلّ قائل أطلق مثل هذا الخطاب معلوم ضرورة،علمنا </w:t>
      </w:r>
      <w:r>
        <w:rPr>
          <w:rStyle w:val="FootnoteAnchor"/>
          <w:rtl w:val="true"/>
        </w:rPr>
        <w:footnoteReference w:id="975"/>
      </w:r>
      <w:r>
        <w:rPr>
          <w:rFonts w:ascii="IRNazanin" w:hAnsi="IRNazanin" w:eastAsia="IRNazanin"/>
          <w:color w:val="111111"/>
          <w:sz w:val="28"/>
          <w:sz w:val="28"/>
          <w:szCs w:val="28"/>
          <w:rtl w:val="true"/>
          <w:lang w:bidi="fa-IR"/>
        </w:rPr>
        <w:t>مذهبه فی دلیل الخطاب أم لم نعلمه</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فأمّا تجویزنا أن یکون المخاطب عدل عن الحقیقة إلی المجاز فی الکلام الّذی حکیناه،و أنّ هذا هو علّة حسن الاستفهام،فباطل،لأنّه یقتضی حسن دخول الاستفهام فی کلّ کلام،لأنّه لا کلام نسمعه إلاّ و نحن نجوّز من طریق التّقدیر </w:t>
      </w:r>
      <w:r>
        <w:rPr>
          <w:rStyle w:val="FootnoteAnchor"/>
          <w:rtl w:val="true"/>
        </w:rPr>
        <w:footnoteReference w:id="976"/>
      </w:r>
      <w:r>
        <w:rPr>
          <w:rFonts w:ascii="IRNazanin" w:hAnsi="IRNazanin" w:eastAsia="IRNazanin"/>
          <w:color w:val="111111"/>
          <w:sz w:val="28"/>
          <w:sz w:val="28"/>
          <w:szCs w:val="28"/>
          <w:rtl w:val="true"/>
          <w:lang w:bidi="fa-IR"/>
        </w:rPr>
        <w:t xml:space="preserve">أن یکون المخاطب به أراد المجاز و لم یرد الحقیقة،و فی علمنا بقبح الاستفهام فی کثیر من المواضع دلالة علی فساد هذه العلّة،علی أنّ المخاطب لنا إذا کان حکیما و أراد المجاز بخطابه،قرن کلامه بما یدلّ علی أنّه متجوّز به و لم یحسن منه إطلاقه </w:t>
      </w:r>
      <w:r>
        <w:rPr>
          <w:rStyle w:val="FootnoteAnchor"/>
          <w:rtl w:val="true"/>
        </w:rPr>
        <w:footnoteReference w:id="97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 حکی </w:t>
      </w:r>
      <w:r>
        <w:rPr>
          <w:rStyle w:val="FootnoteAnchor"/>
          <w:rtl w:val="true"/>
        </w:rPr>
        <w:footnoteReference w:id="978"/>
      </w:r>
      <w:r>
        <w:rPr>
          <w:rFonts w:ascii="IRNazanin" w:hAnsi="IRNazanin" w:eastAsia="IRNazanin"/>
          <w:color w:val="111111"/>
          <w:sz w:val="28"/>
          <w:sz w:val="28"/>
          <w:szCs w:val="28"/>
          <w:rtl w:val="true"/>
          <w:lang w:bidi="fa-IR"/>
        </w:rPr>
        <w:t>فی هذه المسألة ما استدلّ به من خالفه،فقال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استدلّ المخالف بأشیاء </w:t>
      </w:r>
      <w:r>
        <w:rPr>
          <w:rStyle w:val="FootnoteAnchor"/>
          <w:rtl w:val="true"/>
        </w:rPr>
        <w:footnoteReference w:id="9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تعلیق الحکم بالسّوم </w:t>
      </w:r>
      <w:r>
        <w:rPr>
          <w:rStyle w:val="FootnoteAnchor"/>
          <w:rtl w:val="true"/>
        </w:rPr>
        <w:footnoteReference w:id="980"/>
      </w:r>
      <w:r>
        <w:rPr>
          <w:rFonts w:ascii="IRNazanin" w:hAnsi="IRNazanin" w:eastAsia="IRNazanin"/>
          <w:color w:val="111111"/>
          <w:sz w:val="28"/>
          <w:sz w:val="28"/>
          <w:szCs w:val="28"/>
          <w:rtl w:val="true"/>
          <w:lang w:bidi="fa-IR"/>
        </w:rPr>
        <w:t>لو لم یدلّ علی انتفائه إذا انتفت الصّفة،لم یکن لتعلیقه بالسّوم معنی،و کان عبثا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تعلیق الحکم بالسّوم </w:t>
      </w:r>
      <w:r>
        <w:rPr>
          <w:rStyle w:val="FootnoteAnchor"/>
          <w:rtl w:val="true"/>
        </w:rPr>
        <w:footnoteReference w:id="981"/>
      </w:r>
      <w:r>
        <w:rPr>
          <w:rFonts w:ascii="IRNazanin" w:hAnsi="IRNazanin" w:eastAsia="IRNazanin"/>
          <w:color w:val="111111"/>
          <w:sz w:val="28"/>
          <w:sz w:val="28"/>
          <w:szCs w:val="28"/>
          <w:rtl w:val="true"/>
          <w:lang w:bidi="fa-IR"/>
        </w:rPr>
        <w:t>یجری مجری الاستثناء من الغنم،و یقوم مقام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فی الغنم إلاّ السّائمة الزّکاة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،فکما أنّه لو قال ذلک لوجب أن تکون الجملة المستثنی منها بخلاف حکم الاستثناء،فکذلک تعلیق الحکم بالصّفة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تعلیق الحکم بالشّرط إذا دلّ علی انتفائه بانتفاء الشّرط،فکذلک الصّفة،و الجامع بینهما أنّ کلّ واحد منهما کالآخر فی التّمییز و التّخصیص،لأنّه لا فرق بین 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سائمة الغنم الزّکاة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بین أن یقول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کانت سائمة الزکاة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روی عن النبیّ صلّی اللّه علیه و آله و سلّم عند نزول قوله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اِسْتَغْفِرْ لَهُمْ أَوْ لا تَسْتَغْفِرْ لَهُمْ إِنْ تَسْتَغْفِرْ لَهُمْ سَبْعِینَ مَرَّةً فَلَنْ یَغْفِرَ اللّهُ لَهُمْ   </w:t>
      </w:r>
      <w:r>
        <w:rPr>
          <w:rStyle w:val="FootnoteAnchor"/>
          <w:rtl w:val="true"/>
        </w:rPr>
        <w:footnoteReference w:id="982"/>
      </w:r>
      <w:r>
        <w:rPr>
          <w:rFonts w:ascii="Amiri" w:hAnsi="Amiri" w:eastAsia="Amiri" w:cs="Amiri"/>
          <w:color w:val="111111"/>
          <w:sz w:val="28"/>
          <w:sz w:val="28"/>
          <w:szCs w:val="28"/>
          <w:rtl w:val="true"/>
          <w:lang w:bidi="ar-SA"/>
        </w:rPr>
        <w:t>،أنّه صلّی اللّه علیه و آله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لأزیدنّ علی السّبعین</w:t>
      </w:r>
      <w:r>
        <w:rPr>
          <w:rFonts w:eastAsia="Amiri" w:cs="Amiri" w:ascii="Amiri" w:hAnsi="Amiri"/>
          <w:color w:val="111111"/>
          <w:sz w:val="28"/>
          <w:szCs w:val="28"/>
          <w:rtl w:val="true"/>
          <w:lang w:bidi="ar-SA"/>
        </w:rPr>
        <w:t xml:space="preserve">» </w:t>
      </w:r>
      <w:r>
        <w:rPr>
          <w:rStyle w:val="FootnoteAnchor"/>
          <w:rtl w:val="true"/>
        </w:rPr>
        <w:footnoteReference w:id="983"/>
      </w:r>
      <w:r>
        <w:rPr>
          <w:rFonts w:ascii="IRNazanin" w:hAnsi="IRNazanin" w:eastAsia="IRNazanin"/>
          <w:color w:val="111111"/>
          <w:sz w:val="28"/>
          <w:sz w:val="28"/>
          <w:szCs w:val="28"/>
          <w:rtl w:val="true"/>
          <w:lang w:bidi="fa-IR"/>
        </w:rPr>
        <w:t>،فلو لم یعلم من جهة الخطاب أنّ ما فوق السّبعین بخلافها لم یقل ذلک</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تعلّقهم بما روی عن عمر بن الخطّاب أنّ یعلی بن أمیّة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بالنا نقصّر و قد أمّنا؟ فقال له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عجبت ممّا عجبت منه،فسألت رسول اللّه صلّی اللّه علیه و آله </w:t>
      </w:r>
    </w:p>
    <w:p>
      <w:pPr>
        <w:pStyle w:val="BookText"/>
        <w:rPr/>
      </w:pPr>
      <w:r>
        <w:rPr>
          <w:rFonts w:ascii="Amiri" w:hAnsi="Amiri" w:eastAsia="Amiri" w:cs="Amiri"/>
          <w:color w:val="111111"/>
          <w:sz w:val="28"/>
          <w:sz w:val="28"/>
          <w:szCs w:val="28"/>
          <w:rtl w:val="true"/>
          <w:lang w:bidi="ar-SA"/>
        </w:rPr>
        <w:t xml:space="preserve">و سلّم عن ذلک </w:t>
      </w:r>
      <w:r>
        <w:rPr>
          <w:rStyle w:val="FootnoteAnchor"/>
          <w:rtl w:val="true"/>
        </w:rPr>
        <w:footnoteReference w:id="984"/>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صدقة تصدّق اللّه بها علیکم فاقبلوا صدقته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تعجّبهما من ذلک یدلّ علی أنّهما فهما من تعلّق القصر بالخوف أن حال الأمن بخلافه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روی عن الصّحابة کلّهم أنّهم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 من الماء منسوخ</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یکون ذلک منسوخا إلاّ من جهة دلیل الخطاب،و أنّ لفظة الخبر تقتضی نفی وجوب الاغتسال من غیر إنزال الماء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الأمّة إنّما رجعت فی أنّ التیمّم لا یجب إلاّ عند عدم الماء إلی ظاهر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تَجِدُوا ماءً فَتَیَمَّمُوا  </w:t>
      </w:r>
      <w:r>
        <w:rPr>
          <w:rStyle w:val="FootnoteAnchor"/>
          <w:rtl w:val="true"/>
        </w:rPr>
        <w:footnoteReference w:id="985"/>
      </w:r>
      <w:r>
        <w:rPr>
          <w:rFonts w:ascii="IRNazanin" w:hAnsi="IRNazanin" w:eastAsia="IRNazanin"/>
          <w:color w:val="111111"/>
          <w:sz w:val="28"/>
          <w:sz w:val="28"/>
          <w:szCs w:val="28"/>
          <w:rtl w:val="true"/>
          <w:lang w:bidi="fa-IR"/>
        </w:rPr>
        <w:t>،و کذلک الصّیام فی الکفّارة و أنّه لا یجزی إلاّ عند عدم الرّقبة،إنّما رجع فیه إلی 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986"/>
      </w:r>
      <w:r>
        <w:rPr>
          <w:rFonts w:ascii="IRNazanin" w:hAnsi="IRNazanin" w:eastAsia="IRNazanin"/>
          <w:color w:val="111111"/>
          <w:sz w:val="28"/>
          <w:sz w:val="28"/>
          <w:szCs w:val="28"/>
          <w:rtl w:val="true"/>
          <w:lang w:bidi="fa-IR"/>
        </w:rPr>
        <w:t>و الجواب عن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فی تعلیق الحکم بالسّوم فائدة،لأنّا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Style w:val="FootnoteAnchor"/>
          <w:rtl w:val="true"/>
        </w:rPr>
        <w:footnoteReference w:id="987"/>
      </w:r>
      <w:r>
        <w:rPr>
          <w:rFonts w:ascii="IRNazanin" w:hAnsi="IRNazanin" w:eastAsia="IRNazanin"/>
          <w:color w:val="111111"/>
          <w:sz w:val="28"/>
          <w:sz w:val="28"/>
          <w:szCs w:val="28"/>
          <w:rtl w:val="true"/>
          <w:lang w:bidi="fa-IR"/>
        </w:rPr>
        <w:t xml:space="preserve">نعلم وجوب الزّکاة فی السّائمة،و ما کنّا نعلم ذلک قبله،و یجوز أن یکون حکم المعلوفة فی الزّکاة حکم السّائمة،و إن علمنا بدلیل آخر،و لیس یمتنع فی الحکمین المتماثلین أن یعلمنا بدلیلین مختلفین بحسب المصلحة،أ لا تری أنّ حکم ما لم یقع النّص علیه من الأجناس فی الرّبا حکم المنصوص علیه،و مع ذلک دلّنا علی ثبوت الرّبا فی الأجناس المذکورة بالنّص،و وکّلنا فی إثباته فی غیرها إلی القیاس أو غیر ذلک من الأدلّة </w:t>
      </w:r>
      <w:r>
        <w:rPr>
          <w:rStyle w:val="FootnoteAnchor"/>
          <w:rtl w:val="true"/>
        </w:rPr>
        <w:footnoteReference w:id="988"/>
      </w:r>
      <w:r>
        <w:rPr>
          <w:rFonts w:eastAsia="Times New Roman" w:cs="Times New Roman" w:ascii="Times New Roman" w:hAnsi="Times New Roman"/>
          <w:color w:val="111111"/>
          <w:sz w:val="28"/>
          <w:szCs w:val="28"/>
          <w:rtl w:val="true"/>
          <w:lang w:val="en-US" w:bidi="en-US"/>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 عن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الاستثناء من العموم لم یدلّ بلفظه و نفسه علی أنّ ما </w:t>
      </w:r>
    </w:p>
    <w:p>
      <w:pPr>
        <w:pStyle w:val="BookText"/>
        <w:rPr/>
      </w:pPr>
      <w:r>
        <w:rPr>
          <w:rFonts w:ascii="IRNazanin" w:hAnsi="IRNazanin" w:eastAsia="IRNazanin"/>
          <w:color w:val="111111"/>
          <w:sz w:val="28"/>
          <w:sz w:val="28"/>
          <w:szCs w:val="28"/>
          <w:rtl w:val="true"/>
          <w:lang w:bidi="fa-IR"/>
        </w:rPr>
        <w:t>لم یتناوله بخلاف حکمه،و إنما دلّ العموم علی دخول الکلّ فیه،فلمّا أخرج الاستثناء بعض ما تناوله العموم علمنا حکم المستثنی بلفظ الاستثناء و تناوله لما یتناوله،و علمنا أنّ حکم ما لم یتناوله بخلافه بلفظ العموم،مثال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القائل إذا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ضربت القوم إلاّ زیدا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فإنّما یعلم بالاستثناء أنّ زیدا لیس بمضروب،و یعلم أنّ عداه من القوم مضروب بظاهر العموم،لا من أجل دلیل الخطاب فی الاستثناء، و لیس هذا موجودا فی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سائمة الغنم الزّکاة</w:t>
      </w:r>
      <w:r>
        <w:rPr>
          <w:rFonts w:eastAsia="IRNazanin" w:cs="IRNazanin"/>
          <w:color w:val="111111"/>
          <w:sz w:val="28"/>
          <w:szCs w:val="28"/>
          <w:rtl w:val="true"/>
          <w:lang w:bidi="fa-IR"/>
        </w:rPr>
        <w:t xml:space="preserve">» </w:t>
      </w:r>
      <w:r>
        <w:rPr>
          <w:rStyle w:val="FootnoteAnchor"/>
          <w:rtl w:val="true"/>
        </w:rPr>
        <w:footnoteReference w:id="989"/>
      </w:r>
      <w:r>
        <w:rPr>
          <w:rFonts w:ascii="IRNazanin" w:hAnsi="IRNazanin" w:eastAsia="IRNazanin"/>
          <w:color w:val="111111"/>
          <w:sz w:val="28"/>
          <w:sz w:val="28"/>
          <w:szCs w:val="28"/>
          <w:rtl w:val="true"/>
          <w:lang w:bidi="fa-IR"/>
        </w:rPr>
        <w:t xml:space="preserve">،لأنّه علیه السّلام ما استثنی من جملة مذکورة،و لو کان لسائمة الغنم اسم یختصّ بها من غیر إضافة إلی الغنم تعلّق </w:t>
      </w:r>
      <w:r>
        <w:rPr>
          <w:rStyle w:val="FootnoteAnchor"/>
          <w:rtl w:val="true"/>
        </w:rPr>
        <w:footnoteReference w:id="990"/>
      </w:r>
      <w:r>
        <w:rPr>
          <w:rFonts w:ascii="IRNazanin" w:hAnsi="IRNazanin" w:eastAsia="IRNazanin"/>
          <w:color w:val="111111"/>
          <w:sz w:val="28"/>
          <w:sz w:val="28"/>
          <w:szCs w:val="28"/>
          <w:rtl w:val="true"/>
          <w:lang w:bidi="fa-IR"/>
        </w:rPr>
        <w:t xml:space="preserve">الزکاة به،و لیس کلّ شیء معناه معنی الاستثناء له حکم الاستثناء،لأنّ للاستثناء ألفاظا موضوعة له،فلما </w:t>
      </w:r>
      <w:r>
        <w:rPr>
          <w:rStyle w:val="FootnoteAnchor"/>
          <w:rtl w:val="true"/>
        </w:rPr>
        <w:footnoteReference w:id="991"/>
      </w:r>
      <w:r>
        <w:rPr>
          <w:rFonts w:ascii="IRNazanin" w:hAnsi="IRNazanin" w:eastAsia="IRNazanin"/>
          <w:color w:val="111111"/>
          <w:sz w:val="28"/>
          <w:sz w:val="28"/>
          <w:szCs w:val="28"/>
          <w:rtl w:val="true"/>
          <w:lang w:bidi="fa-IR"/>
        </w:rPr>
        <w:t xml:space="preserve">لم یدخل فیه لم یکن مستثنی منه، و لا یکون واردا </w:t>
      </w:r>
      <w:r>
        <w:rPr>
          <w:rStyle w:val="FootnoteAnchor"/>
          <w:rtl w:val="true"/>
        </w:rPr>
        <w:footnoteReference w:id="992"/>
      </w:r>
      <w:r>
        <w:rPr>
          <w:rFonts w:ascii="IRNazanin" w:hAnsi="IRNazanin" w:eastAsia="IRNazanin"/>
          <w:color w:val="111111"/>
          <w:sz w:val="28"/>
          <w:sz w:val="28"/>
          <w:szCs w:val="28"/>
          <w:rtl w:val="true"/>
          <w:lang w:bidi="fa-IR"/>
        </w:rPr>
        <w:t>إلاّ علی جملة مستقلّة بنفسها،و کلّ هذا إذا أوجبت مراعاته لم یجز أن یجری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سائمة الغنم الزّکاة</w:t>
      </w:r>
      <w:r>
        <w:rPr>
          <w:rFonts w:eastAsia="IRNazanin" w:cs="IRNazanin"/>
          <w:color w:val="111111"/>
          <w:sz w:val="28"/>
          <w:szCs w:val="28"/>
          <w:rtl w:val="true"/>
          <w:lang w:bidi="fa-IR"/>
        </w:rPr>
        <w:t xml:space="preserve">» </w:t>
      </w:r>
      <w:r>
        <w:rPr>
          <w:rStyle w:val="FootnoteAnchor"/>
          <w:rtl w:val="true"/>
        </w:rPr>
        <w:footnoteReference w:id="993"/>
      </w:r>
      <w:r>
        <w:rPr>
          <w:rFonts w:ascii="IRNazanin" w:hAnsi="IRNazanin" w:eastAsia="IRNazanin"/>
          <w:color w:val="111111"/>
          <w:sz w:val="28"/>
          <w:sz w:val="28"/>
          <w:szCs w:val="28"/>
          <w:rtl w:val="true"/>
          <w:lang w:bidi="fa-IR"/>
        </w:rPr>
        <w:t>مجری الجمل المستثنی منها</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الجواب عن </w:t>
      </w:r>
      <w:r>
        <w:rPr>
          <w:rStyle w:val="FootnoteAnchor"/>
          <w:rtl w:val="true"/>
        </w:rPr>
        <w:footnoteReference w:id="994"/>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الشّرط عندنا کالصّفة فی أنّه لا یدلّ علی أنّ ما عداه بخلافه،و بمجرّد الشّرط لا یعلم ذلک،و إنّما نعلمه فی بعض المواضع بدلیل </w:t>
      </w:r>
      <w:r>
        <w:rPr>
          <w:rStyle w:val="FootnoteAnchor"/>
          <w:rtl w:val="true"/>
        </w:rPr>
        <w:footnoteReference w:id="995"/>
      </w:r>
      <w:r>
        <w:rPr>
          <w:rFonts w:ascii="Amiri" w:hAnsi="Amiri" w:eastAsia="Amiri" w:cs="Amiri"/>
          <w:color w:val="111111"/>
          <w:sz w:val="28"/>
          <w:sz w:val="28"/>
          <w:szCs w:val="28"/>
          <w:rtl w:val="true"/>
          <w:lang w:bidi="ar-SA"/>
        </w:rPr>
        <w:t>،لأنّ تأثیر الشّرط أن یتعلّق الحکم به،و لیس یمتنع أن یخالفه و ینوب عنه شرط آخر یجری مجراه،و لا یخرج من أن یکون شرطا،أ لا تری أنّ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اسْتَشْهِدُوا شَهِیدَیْنِ مِنْ رِجالِکُمْ  </w:t>
      </w:r>
      <w:r>
        <w:rPr>
          <w:rStyle w:val="FootnoteAnchor"/>
          <w:rtl w:val="true"/>
        </w:rPr>
        <w:footnoteReference w:id="996"/>
      </w:r>
      <w:r>
        <w:rPr>
          <w:rFonts w:ascii="IRNazanin" w:hAnsi="IRNazanin" w:eastAsia="IRNazanin"/>
          <w:color w:val="111111"/>
          <w:sz w:val="28"/>
          <w:sz w:val="28"/>
          <w:szCs w:val="28"/>
          <w:rtl w:val="true"/>
          <w:lang w:bidi="fa-IR"/>
        </w:rPr>
        <w:t xml:space="preserve">إنّما یمنع من قبول الشّاهد الواحد حتّی ینضمّ إلیه الآخر،فانضمام </w:t>
      </w:r>
    </w:p>
    <w:p>
      <w:pPr>
        <w:pStyle w:val="BookText"/>
        <w:rPr/>
      </w:pPr>
      <w:r>
        <w:rPr>
          <w:rFonts w:ascii="IRNazanin" w:hAnsi="IRNazanin" w:eastAsia="IRNazanin"/>
          <w:color w:val="111111"/>
          <w:sz w:val="28"/>
          <w:sz w:val="28"/>
          <w:szCs w:val="28"/>
          <w:rtl w:val="true"/>
          <w:lang w:bidi="fa-IR"/>
        </w:rPr>
        <w:t xml:space="preserve">الثّانی إلی الأوّل شرط فی القبول،ثمّ یعلم أنّ ضمّ امرأتین إلی الشّاهد الأوّل یقوم مقامه </w:t>
      </w:r>
      <w:r>
        <w:rPr>
          <w:rStyle w:val="FootnoteAnchor"/>
          <w:rtl w:val="true"/>
        </w:rPr>
        <w:footnoteReference w:id="997"/>
      </w:r>
      <w:r>
        <w:rPr>
          <w:rFonts w:ascii="IRNazanin" w:hAnsi="IRNazanin" w:eastAsia="IRNazanin"/>
          <w:color w:val="111111"/>
          <w:sz w:val="28"/>
          <w:sz w:val="28"/>
          <w:szCs w:val="28"/>
          <w:rtl w:val="true"/>
          <w:lang w:bidi="fa-IR"/>
        </w:rPr>
        <w:t>،ثمّ یعلم بدلیل أن ضمّ الیمین إلی الشّاهد الواحد یقوم مقام الثّانی،فنیابة بعض الشّروط عن بعض أکثر من أن یحصی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الصّحیح أنّ الحکم إذا علّق بغایة أو عدد فإنّه لا یدلّ بنفسه علی أنّ ما عداه بخلافه،لأنّا إنّما نعلم أنّ ما زاد علی الثّمانین فی حدّ القاذف لا یجوز،لأنّ ما زاد علی ذلک محظور بالعقل،فإذا وردت العبادة بعدد مخصوص خرجنا عن الحظر بدلالة و بقینا فیما زاد علی ذلک العدد علی حکم الأصل،و هو الحظر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إذا قال الرّجل لغلامه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أعط زیدا مائة درهم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فإنّه یعلم </w:t>
      </w:r>
      <w:r>
        <w:rPr>
          <w:rStyle w:val="FootnoteAnchor"/>
          <w:rtl w:val="true"/>
        </w:rPr>
        <w:footnoteReference w:id="998"/>
      </w:r>
      <w:r>
        <w:rPr>
          <w:rFonts w:ascii="IRNazanin" w:hAnsi="IRNazanin" w:eastAsia="IRNazanin"/>
          <w:color w:val="111111"/>
          <w:sz w:val="28"/>
          <w:sz w:val="28"/>
          <w:szCs w:val="28"/>
          <w:rtl w:val="true"/>
          <w:lang w:bidi="fa-IR"/>
        </w:rPr>
        <w:t>حظر الزائد علی المذکور بالأصل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أعطیت فلانا مائة </w:t>
      </w:r>
      <w:r>
        <w:rPr>
          <w:rStyle w:val="FootnoteAnchor"/>
          <w:rtl w:val="true"/>
        </w:rPr>
        <w:footnoteReference w:id="9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یدلّ لفظا و لا عقلا علی أنّه لم یعط أکثر من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فأمّا تعلیق الحکم بغایة،فإنّما یدلّ علی ثبوته إلی تلک الغایة،و ما بعدها یعلم انتفائه أو إثباته بدلیل،و إنّما علمنا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کُلُوا وَ اشْرَبُوا حَتّی یَتَبَیَّنَ لَکُمُ الْخَیْطُ الْأَبْیَضُ مِنَ الْخَیْطِ الْأَسْوَدِ مِنَ الْفَجْرِ  </w:t>
      </w:r>
      <w:r>
        <w:rPr>
          <w:rStyle w:val="FootnoteAnchor"/>
          <w:rtl w:val="true"/>
        </w:rPr>
        <w:footnoteReference w:id="1000"/>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أَتِمُّوا الصِّیامَ إِلَی اللَّیْلِ  </w:t>
      </w:r>
      <w:r>
        <w:rPr>
          <w:rStyle w:val="FootnoteAnchor"/>
          <w:rtl w:val="true"/>
        </w:rPr>
        <w:footnoteReference w:id="1001"/>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یَطْهُرْنَ  </w:t>
      </w:r>
      <w:r>
        <w:rPr>
          <w:rStyle w:val="FootnoteAnchor"/>
          <w:rtl w:val="true"/>
        </w:rPr>
        <w:footnoteReference w:id="1002"/>
      </w:r>
      <w:r>
        <w:rPr>
          <w:rFonts w:ascii="IRNazanin" w:hAnsi="IRNazanin" w:eastAsia="IRNazanin"/>
          <w:color w:val="111111"/>
          <w:sz w:val="28"/>
          <w:sz w:val="28"/>
          <w:szCs w:val="28"/>
          <w:rtl w:val="true"/>
          <w:lang w:bidi="fa-IR"/>
        </w:rPr>
        <w:t>أنّ ما بعد الغایة بخلافها بدلیل،و ما یعلم بدلیل غیر ما یدلّ اللّفظ علیه،کما یعلم أنّ ما عدا السّائمة بخلافها فی الزکاة بدلیل</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فرّق بین تعلیق الحکم بصفة و بین تعلیقه بغایة لیس معه إلاّ الدّعوی،و هو کالمناقض لفرقه بین أمرین لا فرق بینهما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فإذا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فأیّ معنی لقوله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أَتِمُّوا الصِّیامَ إِلَی اللَّیْلِ   </w:t>
      </w:r>
      <w:r>
        <w:rPr>
          <w:rStyle w:val="FootnoteAnchor"/>
          <w:rtl w:val="true"/>
        </w:rPr>
        <w:footnoteReference w:id="1003"/>
      </w:r>
      <w:r>
        <w:rPr>
          <w:rFonts w:ascii="IRNazanin" w:hAnsi="IRNazanin" w:eastAsia="IRNazanin"/>
          <w:color w:val="111111"/>
          <w:sz w:val="28"/>
          <w:sz w:val="28"/>
          <w:szCs w:val="28"/>
          <w:rtl w:val="true"/>
          <w:lang w:bidi="fa-IR"/>
        </w:rPr>
        <w:t xml:space="preserve">إذا کان ما بعد اللّیل یجوز أن یکون فیه صوم </w:t>
      </w:r>
      <w:r>
        <w:rPr>
          <w:rStyle w:val="FootnoteAnchor"/>
          <w:rtl w:val="true"/>
        </w:rPr>
        <w:footnoteReference w:id="1004"/>
      </w:r>
      <w:r>
        <w:rPr>
          <w:rFonts w:ascii="Amiri" w:hAnsi="Amiri" w:eastAsia="Amiri" w:cs="Amiri"/>
          <w:color w:val="111111"/>
          <w:sz w:val="28"/>
          <w:sz w:val="28"/>
          <w:szCs w:val="28"/>
          <w:rtl w:val="true"/>
          <w:lang w:bidi="ar-SA"/>
        </w:rPr>
        <w:t xml:space="preserve">؟ و أیّ </w:t>
      </w:r>
      <w:r>
        <w:rPr>
          <w:rStyle w:val="FootnoteAnchor"/>
          <w:rtl w:val="true"/>
        </w:rPr>
        <w:footnoteReference w:id="1005"/>
      </w:r>
      <w:r>
        <w:rPr>
          <w:rFonts w:ascii="IRNazanin" w:hAnsi="IRNazanin" w:eastAsia="IRNazanin"/>
          <w:color w:val="111111"/>
          <w:sz w:val="28"/>
          <w:sz w:val="28"/>
          <w:szCs w:val="28"/>
          <w:rtl w:val="true"/>
          <w:lang w:bidi="fa-IR"/>
        </w:rPr>
        <w:t>معنی لقوله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سائمة الغنم الزّکاة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المعلوفة مثلها؟ فإذا قیل </w:t>
      </w:r>
      <w:r>
        <w:rPr>
          <w:rStyle w:val="FootnoteAnchor"/>
          <w:rtl w:val="true"/>
        </w:rPr>
        <w:footnoteReference w:id="10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یمتنع أن تکون المصلحة فی أن یعلم ثبوت الزّکاة فی السّائمة بهذا النّص،و یعلم ثبوتها فی المعلوفة بدلیل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 لا یمتنع فیما علّق بغایة حرفا بحرف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الصّحیح أنّ تعلیق الحکم بالصّفة لا یدلّ علی أنّ ما عداه بخلافه علی کلّ حال،بخلاف قول من یقول إنّه یدلّ علی ذلک إذا کان بیانا،و إنّما قلنا ذلک لأنّ ما وضع له القول لا یختلف أن یکون مبتدأ،أو بیانا،و إذا لم یدلّ تعلیق الحکم بصفة </w:t>
      </w:r>
      <w:r>
        <w:rPr>
          <w:rStyle w:val="FootnoteAnchor"/>
          <w:rtl w:val="true"/>
        </w:rPr>
        <w:footnoteReference w:id="1007"/>
      </w:r>
      <w:r>
        <w:rPr>
          <w:rFonts w:ascii="IRNazanin" w:hAnsi="IRNazanin" w:eastAsia="IRNazanin"/>
          <w:color w:val="111111"/>
          <w:sz w:val="28"/>
          <w:sz w:val="28"/>
          <w:szCs w:val="28"/>
          <w:rtl w:val="true"/>
          <w:lang w:bidi="fa-IR"/>
        </w:rPr>
        <w:t>علی نفی ما عداه،فإنّما لم یدلّ علی ذلک لشیء یرجع إلی اللّفظ،فهو فی کلّ موضع کذلک</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 عن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ما طریقه العلم لا یرجع فیه إلی أخبار الآحاد،لا سیّما إذا کانت ضعیفة،و هذا الخبر یتضمّن أنّه علیه السّلام استغفر للکفّار،و ذلک لا یجوز، و أکثر ما فیه أنّه علیه السّلام عقل </w:t>
      </w:r>
      <w:r>
        <w:rPr>
          <w:rStyle w:val="FootnoteAnchor"/>
          <w:rtl w:val="true"/>
        </w:rPr>
        <w:footnoteReference w:id="1008"/>
      </w:r>
      <w:r>
        <w:rPr>
          <w:rFonts w:ascii="IRNazanin" w:hAnsi="IRNazanin" w:eastAsia="IRNazanin"/>
          <w:color w:val="111111"/>
          <w:sz w:val="28"/>
          <w:sz w:val="28"/>
          <w:szCs w:val="28"/>
          <w:rtl w:val="true"/>
          <w:lang w:bidi="fa-IR"/>
        </w:rPr>
        <w:t xml:space="preserve">أنّ ما فوق السّبعین بخلاف السّبعین،فمن أین أنّه فهم ذلک من ظاهر الآیة من غیر دلیل </w:t>
      </w:r>
      <w:r>
        <w:rPr>
          <w:rStyle w:val="FootnoteAnchor"/>
          <w:rtl w:val="true"/>
        </w:rPr>
        <w:footnoteReference w:id="1009"/>
      </w:r>
      <w:r>
        <w:rPr>
          <w:rFonts w:ascii="IRNazanin" w:hAnsi="IRNazanin" w:eastAsia="IRNazanin"/>
          <w:color w:val="111111"/>
          <w:sz w:val="28"/>
          <w:sz w:val="28"/>
          <w:szCs w:val="28"/>
          <w:rtl w:val="true"/>
          <w:lang w:bidi="fa-IR"/>
        </w:rPr>
        <w:t>یدلّه؟ و لقائل 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الاستغفار لهم کان مباحا </w:t>
      </w:r>
      <w:r>
        <w:rPr>
          <w:rStyle w:val="FootnoteAnchor"/>
          <w:rtl w:val="true"/>
        </w:rPr>
        <w:footnoteReference w:id="1010"/>
      </w:r>
      <w:r>
        <w:rPr>
          <w:rFonts w:ascii="Amiri" w:hAnsi="Amiri" w:eastAsia="Amiri" w:cs="Amiri"/>
          <w:color w:val="111111"/>
          <w:sz w:val="28"/>
          <w:sz w:val="28"/>
          <w:szCs w:val="28"/>
          <w:rtl w:val="true"/>
          <w:lang w:bidi="ar-SA"/>
        </w:rPr>
        <w:t xml:space="preserve">،فلمّا ورد النّص بحظر </w:t>
      </w:r>
    </w:p>
    <w:p>
      <w:pPr>
        <w:pStyle w:val="BookText"/>
        <w:rPr/>
      </w:pPr>
      <w:r>
        <w:rPr>
          <w:rFonts w:ascii="IRNazanin" w:hAnsi="IRNazanin" w:eastAsia="IRNazanin"/>
          <w:color w:val="111111"/>
          <w:sz w:val="28"/>
          <w:sz w:val="28"/>
          <w:szCs w:val="28"/>
          <w:rtl w:val="true"/>
          <w:lang w:bidi="fa-IR"/>
        </w:rPr>
        <w:t>السّبعین،بقی ما زاد علیه علی الأصل،و قد روی فی هذا الخبر أنّه صلّی اللّه علیه و آله و سلّم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علمت أنّی إن زدت علی السّبعین یغفر اللّه لهم لفعلت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هذه الرّوایة لا شبهة فی الخبر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عن 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فهو </w:t>
      </w:r>
      <w:r>
        <w:rPr>
          <w:rStyle w:val="FootnoteAnchor"/>
          <w:rtl w:val="true"/>
        </w:rPr>
        <w:footnoteReference w:id="1011"/>
      </w:r>
      <w:r>
        <w:rPr>
          <w:rFonts w:ascii="IRNazanin" w:hAnsi="IRNazanin" w:eastAsia="IRNazanin"/>
          <w:color w:val="111111"/>
          <w:sz w:val="28"/>
          <w:sz w:val="28"/>
          <w:szCs w:val="28"/>
          <w:rtl w:val="true"/>
          <w:lang w:bidi="fa-IR"/>
        </w:rPr>
        <w:t>أیضا خبر واحد لا یحتجّ به فی هذا الموضع، و مع ذلک لا یدلّ علی موضع الخلاف،لأنّا لا نعلم أنّ تعجّبهما من القصر مع زوال الخوف هو لأجل تعلیق القصر بالخوف،و یجوز أن یکون تعجّبهما لأنّهما عقلا من الآیات الواردات فی إیجاب الصّلاة وجوب الإتمام فی کلّ حال،و اعتقدوا أنّ المستثنی من ذلک هو حال الخوف،فتعجّبا لهذا الوجه</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 عن 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إذا صحّ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الماء من الماء منسوخ</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أین لهم أنّهم عقلوا من ظاهره نفی وجوب الغسل من غیر الماء؟،و لعلّهم علموه بدلیل سوی اللّفظ،لأنّهم إذا حکموا بأنّه منسوخ فلا بدّ من أن یکونوا قد فهموا أنّ ما عداه بخلافه،فمن أین لهم أنّهم فهموا ذلک باللّفظ دون دلیل آخر؟ و قد روی هذا الخبر بلفظ آخر،و هو أنّه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الماء من الماء</w:t>
      </w:r>
      <w:r>
        <w:rPr>
          <w:rFonts w:eastAsia="IRNazanin" w:cs="IRNazanin"/>
          <w:color w:val="111111"/>
          <w:sz w:val="28"/>
          <w:szCs w:val="28"/>
          <w:rtl w:val="true"/>
          <w:lang w:bidi="fa-IR"/>
        </w:rPr>
        <w:t xml:space="preserve">» </w:t>
      </w:r>
      <w:r>
        <w:rPr>
          <w:rStyle w:val="FootnoteAnchor"/>
          <w:rtl w:val="true"/>
        </w:rPr>
        <w:footnoteReference w:id="1012"/>
      </w:r>
      <w:r>
        <w:rPr>
          <w:rFonts w:ascii="IRNazanin" w:hAnsi="IRNazanin" w:eastAsia="IRNazanin"/>
          <w:color w:val="111111"/>
          <w:sz w:val="28"/>
          <w:sz w:val="28"/>
          <w:szCs w:val="28"/>
          <w:rtl w:val="true"/>
          <w:lang w:bidi="fa-IR"/>
        </w:rPr>
        <w:t>و بدخول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یعلم أنّ ما عداه بخلافه،لأنّ القائل إذا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لک عندی درهم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یفهم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لک سواه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علی هذا الوجه تعلّق ابن عبّاس </w:t>
      </w:r>
    </w:p>
    <w:p>
      <w:pPr>
        <w:pStyle w:val="BookText"/>
        <w:rPr/>
      </w:pPr>
      <w:r>
        <w:rPr>
          <w:rFonts w:ascii="IRNazanin" w:hAnsi="IRNazanin" w:eastAsia="IRNazanin"/>
          <w:color w:val="111111"/>
          <w:sz w:val="28"/>
          <w:sz w:val="28"/>
          <w:szCs w:val="28"/>
          <w:rtl w:val="true"/>
          <w:lang w:bidi="fa-IR"/>
        </w:rPr>
        <w:t>فی نفی الرّبا عن غیر النّسیئة بقوله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الرّبا فی النسیئة</w:t>
      </w:r>
      <w:r>
        <w:rPr>
          <w:rFonts w:eastAsia="IRNazanin" w:cs="IRNazanin"/>
          <w:color w:val="111111"/>
          <w:sz w:val="28"/>
          <w:szCs w:val="28"/>
          <w:rtl w:val="true"/>
          <w:lang w:bidi="fa-IR"/>
        </w:rPr>
        <w:t xml:space="preserve">» </w:t>
      </w:r>
      <w:r>
        <w:rPr>
          <w:rStyle w:val="FootnoteAnchor"/>
          <w:rtl w:val="true"/>
        </w:rPr>
        <w:footnoteReference w:id="1013"/>
      </w:r>
      <w:r>
        <w:rPr>
          <w:rFonts w:ascii="IRNazanin" w:hAnsi="IRNazanin" w:eastAsia="IRNazanin"/>
          <w:color w:val="111111"/>
          <w:sz w:val="28"/>
          <w:sz w:val="28"/>
          <w:szCs w:val="28"/>
          <w:rtl w:val="true"/>
          <w:lang w:bidi="fa-IR"/>
        </w:rPr>
        <w:t>و قد روی أیضا هذا الخبر بلفظ آخر،و هو أنّه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ماء إلاّ من الماء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هذا اللّفظ لا شبهة فی الخبر،علی أنّ الصّحابة لم تبیّن جهة قولها فی هذا الخبر أنّه منسوخ،و هل النّسخ یتناوله،أو دلیله أو ما علم منه بقرینة؟و قد علمنا أن المذکور من الحکم فی اللّفظ و هو وجوب الغسل بالماء من إنزال الماء لیس بمنسوخ،فمن أین النّسخ تناول دلیل هذا اللّفظ دون ما علم منه بقرینة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الجواب عن السّابع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آیة التیمّم و آیة الکفّارات بیّن فیها حکم الأصل و حکم البدل،لأنّه تعالی أوجب الطّهارة عن وجود الماء،و أوجب التّیمّم عند عدمه، و کذلک فی الکفّارة،لأنّه أوجب الرّقبة فی الأصل و عند عدمها أوجب الصّیام،فعلمنا حکم البدل و المبدل جمیعا </w:t>
      </w:r>
      <w:r>
        <w:rPr>
          <w:rStyle w:val="FootnoteAnchor"/>
          <w:rtl w:val="true"/>
        </w:rPr>
        <w:footnoteReference w:id="1014"/>
      </w:r>
      <w:r>
        <w:rPr>
          <w:rFonts w:ascii="IRNazanin" w:hAnsi="IRNazanin" w:eastAsia="IRNazanin"/>
          <w:color w:val="111111"/>
          <w:sz w:val="28"/>
          <w:sz w:val="28"/>
          <w:szCs w:val="28"/>
          <w:rtl w:val="true"/>
          <w:lang w:bidi="fa-IR"/>
        </w:rPr>
        <w:t>،و لیس لدلیل الخطاب فی هذا مدخل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المسألة أوردناها علی وجهها لأنّها مستوفاة،و فیها بیان نصرة کلّ واحد من المذهبین،و ما یمکن الاعتماد علیه لکلّ فریق</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هذه المسألة نظر</w:t>
      </w:r>
      <w:r>
        <w:rPr>
          <w:rFonts w:eastAsia="IRNazanin" w:cs="IRNazanin"/>
          <w:color w:val="111111"/>
          <w:sz w:val="28"/>
          <w:szCs w:val="28"/>
          <w:rtl w:val="true"/>
          <w:lang w:bidi="fa-IR"/>
        </w:rPr>
        <w:t xml:space="preserve">. </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77" w:name="pg6519_49685"/>
      <w:bookmarkStart w:id="278" w:name="pg6519_49685"/>
      <w:bookmarkEnd w:id="278"/>
    </w:p>
    <w:p>
      <w:pPr>
        <w:pStyle w:val="Heading3"/>
        <w:numPr>
          <w:ilvl w:val="2"/>
          <w:numId w:val="1"/>
        </w:numPr>
        <w:rPr/>
      </w:pPr>
      <w:bookmarkStart w:id="279" w:name="pg6519_49685"/>
      <w:bookmarkStart w:id="280" w:name="__RefHeading___Toc1757333_653776707"/>
      <w:bookmarkStart w:id="281" w:name="_Toc90"/>
      <w:bookmarkEnd w:id="279"/>
      <w:bookmarkEnd w:id="280"/>
      <w:r>
        <w:rPr>
          <w:rtl w:val="true"/>
        </w:rPr>
        <w:t>الباب السّابع</w:t>
      </w:r>
      <w:r>
        <w:rPr>
          <w:rtl w:val="true"/>
        </w:rPr>
        <w:t xml:space="preserve">: </w:t>
      </w:r>
      <w:r>
        <w:rPr>
          <w:rtl w:val="true"/>
        </w:rPr>
        <w:t>الکلام فی الناسخ و المنسوخ</w:t>
      </w:r>
      <w:bookmarkEnd w:id="281"/>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82" w:name="__RefHeading___Toc1757335_653776707"/>
      <w:bookmarkStart w:id="283" w:name="_Toc91"/>
      <w:bookmarkEnd w:id="282"/>
      <w:r>
        <w:rPr>
          <w:rtl w:val="true"/>
        </w:rPr>
        <w:t>اشارة</w:t>
      </w:r>
      <w:bookmarkEnd w:id="283"/>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84" w:name="pg6519_49687"/>
      <w:bookmarkStart w:id="285" w:name="pg6519_49687"/>
      <w:bookmarkEnd w:id="285"/>
    </w:p>
    <w:p>
      <w:pPr>
        <w:pStyle w:val="Heading4"/>
        <w:numPr>
          <w:ilvl w:val="3"/>
          <w:numId w:val="1"/>
        </w:numPr>
        <w:rPr/>
      </w:pPr>
      <w:bookmarkStart w:id="286" w:name="pg6519_49687"/>
      <w:bookmarkStart w:id="287" w:name="__RefHeading___Toc1757337_653776707"/>
      <w:bookmarkStart w:id="288" w:name="_Toc92"/>
      <w:bookmarkEnd w:id="286"/>
      <w:bookmarkEnd w:id="287"/>
      <w:r>
        <w:rPr>
          <w:rtl w:val="true"/>
        </w:rPr>
        <w:t>فصل</w:t>
      </w:r>
      <w:r>
        <w:rPr>
          <w:rtl w:val="true"/>
        </w:rPr>
        <w:t>-</w:t>
      </w:r>
      <w:r>
        <w:rPr/>
        <w:t>1</w:t>
      </w:r>
      <w:r>
        <w:rPr>
          <w:rtl w:val="true"/>
        </w:rPr>
        <w:t>:«</w:t>
      </w:r>
      <w:r>
        <w:rPr>
          <w:rtl w:val="true"/>
        </w:rPr>
        <w:t>فی ذکر حقیقة النّسخ،و بیان شرائطه،و الفصل بینه و بین البداء</w:t>
      </w:r>
      <w:r>
        <w:rPr>
          <w:rtl w:val="true"/>
        </w:rPr>
        <w:t>»</w:t>
      </w:r>
      <w:bookmarkEnd w:id="288"/>
    </w:p>
    <w:p>
      <w:pPr>
        <w:pStyle w:val="BookText"/>
        <w:rPr/>
      </w:pPr>
      <w:r>
        <w:rPr>
          <w:rFonts w:ascii="IRNazanin" w:hAnsi="IRNazanin" w:eastAsia="IRNazanin"/>
          <w:color w:val="111111"/>
          <w:sz w:val="28"/>
          <w:sz w:val="28"/>
          <w:szCs w:val="28"/>
          <w:rtl w:val="true"/>
          <w:lang w:bidi="fa-IR"/>
        </w:rPr>
        <w:t>النّسخ فی اللّغة یستعمل علی 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الإزالة،کما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نسخت الشّمس الظّل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نسخت الرّیح آثارهم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النّقل،کما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نسخت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ذهب أبو هاشم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أنّه حقیقة فی الإزالة،مجاز فی النّقل،قال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من نسخ الکتاب لم ینقل ما فیه،و إنما أثبت مثله،فلمّا کان کذلک فیجب أن یکون مجازا</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الأولی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 حقیقة فیهما،لأنّا وجدنا أهل اللّغة یستعملون ذلک، لأنّهم یعتقدون أنّ ذلک نقل علی الحقیقة،و إن کان اعتقادهم فاسدا،و یجری ذلک </w:t>
      </w:r>
    </w:p>
    <w:p>
      <w:pPr>
        <w:pStyle w:val="BookText"/>
        <w:rPr/>
      </w:pPr>
      <w:r>
        <w:rPr>
          <w:rFonts w:ascii="IRNazanin" w:hAnsi="IRNazanin" w:eastAsia="IRNazanin"/>
          <w:color w:val="111111"/>
          <w:sz w:val="28"/>
          <w:sz w:val="28"/>
          <w:szCs w:val="28"/>
          <w:rtl w:val="true"/>
          <w:lang w:bidi="fa-IR"/>
        </w:rPr>
        <w:t>مجری تسمیتهم الأصنام بأنّها آلهة،لما اعتقدوا أنّه یستحقّ العبادة،فتسمیتهم لها آلهة کان صحیحا و إن کان اعتقادهم فیها أنّها تستحقّ العبادة فاسدا،فلو لزم هذا للزم أبا هاشم أن لا یکون أیضا حقیقة فی الإزالة،لأنّ الرّیح فی الحقیقة لا تزیل شیئا و إنّما اللّه تعالی یزیل بها،و کذلک القول فی الشّمس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اعتذر من ذلک بأن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اعتقدوا أنّ الرّیح هی الّتی تزیل فی الحقیقة أضافوه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 له مثل ذلک فی النّقل سواء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استعمال هذه اللّفظة فی الشّریعة،فعلی خلاف موضوع اللّغة و إن کان بینهما تشبیه،و وجه التّشبیه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النّص إذا دلّ علی أنّ مثل الحکم الثّابت بالنّص المتقدّم زائل علی وجه لولاه لکان ثابتا صار بمنزلة المزیل لذلک الحکم،لأنّه لولاه لکان ثابتا،فأجری استعمال لفظ النّسخ فیه مجری الرّیح المزیلة للآثار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قول أبی هاشم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أبو عبد اللّه البصریّ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هذه التّسمیة مستعملة علی غیر طریق </w:t>
      </w:r>
      <w:r>
        <w:rPr>
          <w:rStyle w:val="FootnoteAnchor"/>
          <w:rtl w:val="true"/>
        </w:rPr>
        <w:footnoteReference w:id="1015"/>
      </w:r>
      <w:r>
        <w:rPr>
          <w:rFonts w:ascii="IRNazanin" w:hAnsi="IRNazanin" w:eastAsia="IRNazanin"/>
          <w:color w:val="111111"/>
          <w:sz w:val="28"/>
          <w:sz w:val="28"/>
          <w:szCs w:val="28"/>
          <w:rtl w:val="true"/>
          <w:lang w:bidi="fa-IR"/>
        </w:rPr>
        <w:t>اللّغة فی الشّریعة،فهی لفظة شرعیّة منقولة عمّا وضعت له،لأنّ استعمالها فی ذلک غیر معقول فی اللّغة،فهی کسائر الأسماء الشّرعیّة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حدّ الدّلیل الموصوف بأنّه ناسخ فهو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دلّ علی أنّ مثل الحکم الثّابت بالمنسوخ،الّذی هو النّص المتقدّم،غیر ثابت فی المستقبل،علی وجه لولاه لکان ثابتا بالنّص الأوّل مع تراخیه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الموصوف بأنّه منسوخ هو النّص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تستعمل هذه اللّفظة فی أشیاء،فیقال فی اللّه تعالی أنّه ینسخ الحکم،فهو ناسخ،إذا نصب الدّلالة علی ذلک</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یقال إنّ النصّ الثّانی ناسخ للأوّل،إذا دلّ من حاله علی ما ذکرناه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قد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الحکم الثّانی ینسخ الحکم الأوّل،و هو ناسخ له،من حیث علم سقوط الأوّل به،کقولهم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 التّوجّه إلی الکعبة الاستقبال إلی بیت المقدس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 ما روی أنّ الزّکاة نسخت کلّ واجب فی المال،و نسخ شهر رمضان صوم عاشوراء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یتّسع أیضا فیقال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فلانا ینسخ کذا و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اعتقد ذلک و ذهب إلیه، کما یقال الشّافعی لا ینسخ القرآن بالسّنة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الحنفیّ ینسخ ذلک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لفظ المنسوخ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یستعمل فی الدّلیل و الحکم دون ما عداهما، و الأغلب فی استعمال هذه اللّفظة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الدّلالة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ما عداهما،و إن کان لا یستعمل فی الحکم إلاّ إذا کان ثبوته یقتضی نفی الحکم الأوّل،أو علم بالدّلیل ذلک من حاله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فهذه الوجوه هی جملة ما یستعمل هذه العبارة فیها،و حقیقتها ما ذکرناه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شرائط النّسخ فأشیاء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الدّلیل الموصوف بأنّه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منسوخ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جمیعا یکونان شرعیّین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قلنا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إذا کانت الإباحة معلومة بالعقل،ثمّ ورد الشّرع بحظره لا یسمّی ذلک نسخا،أ لا تری أنّه 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حظر الخمر نسخ إباحته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کانت إباحته معلومة عقلا،و کذلک 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الجنون،و الموت و العجز نسخ واحد منها ما کان واجبا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کان زوال ذلک عن المکلّف معلوما عقلا</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هذا الّذی ذکرناه إنّما یمنع من إطلاق عبارة النّسخ علیه،فأمّا معنی النّسخ </w:t>
      </w:r>
    </w:p>
    <w:p>
      <w:pPr>
        <w:pStyle w:val="BookText"/>
        <w:rPr/>
      </w:pPr>
      <w:r>
        <w:rPr>
          <w:rFonts w:ascii="IRNazanin" w:hAnsi="IRNazanin" w:eastAsia="IRNazanin"/>
          <w:color w:val="111111"/>
          <w:sz w:val="28"/>
          <w:sz w:val="28"/>
          <w:szCs w:val="28"/>
          <w:rtl w:val="true"/>
          <w:lang w:bidi="fa-IR"/>
        </w:rPr>
        <w:t>فحاصل فیه علی کلّ حال،أ لا تری أنّه لا فرق فی سقوط التّکلیف بین زوال العقل أو حصول الموت و العجز،و بین ورود النّهی عنه،فی أنّ فی الحالین جمیعا یسقط التّکلیف؟و إنّما یمنع ذلک من إجراء العبارة علیه علی ما قلناه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شرط النّاسخ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المراد به غیر المراد بالمنسوخ،لأنّه لو کان مرادا به لدلّ علی البداء،و لاقتضی ذلک کون الأمر أو النّهی قبیحا،فعلی هذا یجب أن یکون النّاسخ دالا علی أنّ ما تناوله لم یرد قطّ بالمنسوخ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بذلک یبطل قول من حدّ النّسخ بأنّه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زوال الحکم بعد استقراره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الحکم إذا استقرّ و ثبت أنّه مراد،لم یصحّ أن یرفع،لما یؤدّی إلیه من الفساد الّذی قلناه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بمثل ما قلناه یبطل قول من حدّ ذلک بأنّه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المأمور به بالنّهی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لو کان کذلک لوجب کونه مرادا بالأمر،و مکروها بالنّهی،و ذلک یؤدّی إلی ما قدّمناه من الفساد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شرط النّاسخ أیضا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یکون منفصلا عن المنسوخ،لأنّه إذا کان متّصلا به لم یوصف بأنّه ناسخ،أ لا تری أنّه لا 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فَاعْتَزِلُوا النِّساءَ فِی الْمَحِیضِ وَ لا تَقْرَبُوهُنَّ حَتّی یَطْهُرْنَ فَإِذا تَطَهَّرْنَ فَأْتُوهُنَّ مِنْ حَیْثُ أَمَرَکُمُ اللّهُ   </w:t>
      </w:r>
      <w:r>
        <w:rPr>
          <w:rStyle w:val="FootnoteAnchor"/>
          <w:rtl w:val="true"/>
        </w:rPr>
        <w:footnoteReference w:id="1016"/>
      </w:r>
      <w:r>
        <w:rPr>
          <w:rFonts w:ascii="IRNazanin" w:hAnsi="IRNazanin" w:eastAsia="IRNazanin"/>
          <w:color w:val="111111"/>
          <w:sz w:val="28"/>
          <w:sz w:val="28"/>
          <w:szCs w:val="28"/>
          <w:rtl w:val="true"/>
          <w:lang w:bidi="fa-IR"/>
        </w:rPr>
        <w:t>نسخ للحظر المتقدّم،لما کان متّصلا به</w:t>
      </w:r>
      <w:r>
        <w:rPr>
          <w:rFonts w:eastAsia="IRNazanin" w:cs="IRNazanin"/>
          <w:color w:val="111111"/>
          <w:sz w:val="28"/>
          <w:szCs w:val="28"/>
          <w:rtl w:val="true"/>
          <w:lang w:bidi="fa-IR"/>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شرط المنسوخ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 یکون موقّتا بوقت یقتضی ارتفاع ذلک الحکم،لأنّ ما یکون کذلک لا یوصف بأنّه ناسخ،و لذلک لا یقال الإفطار باللّیل ناسخ للصّوم بالنّهار،و لکنّ الواجب أن ینظر فی الغایة،فإن کانت غایة معلومة کاللّیل،لم یوصف الحکم المتعلّق بها بأنّه ناسخ،و إن کانت ممّا لا یعلم إلاّ بنصّ بأن یرد فتبیّن حاله، و لولاه لوجب إدامة حکم النّص الأوّل،فإنّه یوصف بأنّه ناسخ،لأنّه جار مجری 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افعلوا کذا و کذا أبدا إلی أن أنسخه عنکم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علم أنّ ما یرد من الدّلالة بعد ذلک یوصف بأنّه ناسخ،و إن کان قد قیّد به الکلام الأوّل،و کذلک ما جری مجراه من </w:t>
      </w:r>
    </w:p>
    <w:p>
      <w:pPr>
        <w:pStyle w:val="BookText"/>
        <w:rPr/>
      </w:pPr>
      <w:r>
        <w:rPr>
          <w:rFonts w:ascii="IRNazanin" w:hAnsi="IRNazanin" w:eastAsia="IRNazanin"/>
          <w:color w:val="111111"/>
          <w:sz w:val="28"/>
          <w:sz w:val="28"/>
          <w:szCs w:val="28"/>
          <w:rtl w:val="true"/>
          <w:lang w:bidi="fa-IR"/>
        </w:rPr>
        <w:t>الغایات،و لذلک لم یصحّ ما قاله بعض أصحاب الشّافعی من أنّ قوله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فَأَمْسِکُوهُنَّ فِی الْبُیُوتِ حَتّی یَتَوَفّاهُنَّ الْمَوْتُ أَوْ یَجْعَلَ اللّهُ لَهُنَّ سَبِیلاً    </w:t>
      </w:r>
      <w:r>
        <w:rPr>
          <w:rStyle w:val="FootnoteAnchor"/>
          <w:rtl w:val="true"/>
        </w:rPr>
        <w:footnoteReference w:id="1017"/>
      </w:r>
      <w:r>
        <w:rPr>
          <w:rFonts w:ascii="IRNazanin" w:hAnsi="IRNazanin" w:eastAsia="IRNazanin"/>
          <w:color w:val="111111"/>
          <w:sz w:val="28"/>
          <w:sz w:val="28"/>
          <w:szCs w:val="28"/>
          <w:rtl w:val="true"/>
          <w:lang w:bidi="fa-IR"/>
        </w:rPr>
        <w:t>لا یجوز أن یکون منسوخا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جعل اللّه لهنّ سبیلا البکر بالبکر جلد مائة</w:t>
      </w:r>
      <w:r>
        <w:rPr>
          <w:rFonts w:eastAsia="IRNazanin" w:cs="IRNazanin"/>
          <w:color w:val="111111"/>
          <w:sz w:val="28"/>
          <w:szCs w:val="28"/>
          <w:rtl w:val="true"/>
          <w:lang w:bidi="fa-IR"/>
        </w:rPr>
        <w:t xml:space="preserve">» </w:t>
      </w:r>
      <w:r>
        <w:rPr>
          <w:rStyle w:val="FootnoteAnchor"/>
          <w:rtl w:val="true"/>
        </w:rPr>
        <w:footnoteReference w:id="1018"/>
      </w:r>
      <w:r>
        <w:rPr>
          <w:rFonts w:ascii="IRNazanin" w:hAnsi="IRNazanin" w:eastAsia="IRNazanin"/>
          <w:color w:val="111111"/>
          <w:sz w:val="28"/>
          <w:sz w:val="28"/>
          <w:szCs w:val="28"/>
          <w:rtl w:val="true"/>
          <w:lang w:bidi="fa-IR"/>
        </w:rPr>
        <w:t>الحدیث، لأنّ الآیة و إن کانت مشروطة بالسّبیل،فهی غایة غیر معلومة إلاّ بدلیل لولاه لکان الحکم ثابتا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یفارق ذلک تعلیق الحکم بغایة یجب انقطاعه عندها،کتعلیقه بالموت لأنّ ذلک إنّما یزول بحصول ذلک لا بدلیل آخر شرعیّ،و هذا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حدّ النّاسخ أن یکون فی حکم المنسوخ فی وقوع العلم به،أو العمل، علی ما سنذکره من أنّ خبر الواحد لا ینسخ به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شرطه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 یکون قیاسا،و لا ما یجری مجراه من الأدلّة المستنبطة عند المخالف،و نحن ندلّ علی ذلک فیما بعد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من شرط النّاسخ،أن یکون لفظ المنسوخ متناولا له،لأنّه لا یمتنع أن تدلّ الدّلالة علی أنّ المراد بالأمر المطلق تکرار الفعل،فیکون سبیله سبیل الأمر المقیّد بما یقتضی التّکرار فی أنّ النّسخ یصحّ فیه،و علی هذا النّسخ فی الشّریعة،لأنّه لیس شیء من ألفاظ المنسوخ ظاهره یقتضی التّکرار،و إنّما علم ذلک من حاله بدلیل، و هذا بیّن لأنّه کما لا یمتنع نسخ الفعل و ما شاکله من الشّرعیّات،و إن لم یکن ذلک کلاما،لا یمتنع أن یعلم بدلیل أنّ المراد بالأمر التّکرار،فیعترضه النّسخ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یفارق التّخصیص الّذی قد بیّنا أنّه لا یصحّ دخوله إلاّ فیما یتناوله اللّفظ العام من هذا الوجه</w:t>
      </w:r>
      <w:r>
        <w:rPr>
          <w:rFonts w:eastAsia="IRNazanin" w:cs="IRNazanin"/>
          <w:color w:val="111111"/>
          <w:sz w:val="28"/>
          <w:szCs w:val="28"/>
          <w:rtl w:val="true"/>
          <w:lang w:bidi="fa-IR"/>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لیس من شرط النّاسخ أن لا یتأخّر عن المنسوخ،کما قلنا فی تخصیص العام، </w:t>
      </w:r>
    </w:p>
    <w:p>
      <w:pPr>
        <w:pStyle w:val="BookText"/>
        <w:rPr/>
      </w:pPr>
      <w:r>
        <w:rPr>
          <w:rFonts w:ascii="IRNazanin" w:hAnsi="IRNazanin" w:eastAsia="IRNazanin"/>
          <w:color w:val="111111"/>
          <w:sz w:val="28"/>
          <w:sz w:val="28"/>
          <w:szCs w:val="28"/>
          <w:rtl w:val="true"/>
          <w:lang w:bidi="fa-IR"/>
        </w:rPr>
        <w:t>و بیان المجمل عن وقت الحاجة،بل هو بالعکس من ذلک فی وجوب تأخّره عن المنسوخ علی ما بیّناه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من شرطه أن یکون متناولا لجملة،بل لا یمتنع أن یکون متناولا لما یصحّ نسخ الدّلیل الشّرعیّ فیه،و إن کان متناولا لحکم فی عین واحدة،و یفارق التّخصیص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النّاس من شرط فی ذلک </w:t>
      </w:r>
      <w:r>
        <w:rPr>
          <w:rStyle w:val="FootnoteAnchor"/>
          <w:rtl w:val="true"/>
        </w:rPr>
        <w:footnoteReference w:id="1019"/>
      </w:r>
      <w:r>
        <w:rPr>
          <w:rFonts w:ascii="IRNazanin" w:hAnsi="IRNazanin" w:eastAsia="IRNazanin"/>
          <w:color w:val="111111"/>
          <w:sz w:val="28"/>
          <w:sz w:val="28"/>
          <w:szCs w:val="28"/>
          <w:rtl w:val="true"/>
          <w:lang w:bidi="fa-IR"/>
        </w:rPr>
        <w:t>أن لا یکون لفظه مقیّدا مقتضیا للتّأبید،فقال</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لو قال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افعلوا الصّلاة أبدا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ساغ نسخه،و إنّما یجوز إذا أطلق ذلک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بعید،لأنّ لفظ التأبید عندنا فی الأمر لا یقتضی الدّوام علی ما تعورف استعماله،لأنّ قول القائل لغیره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 غریمک أبدا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لابنه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تعلّم العلم أبدا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یقتضی عندهم الدّوام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یفارق ذلک حال الخبر الّذی یتناول ما یصحّ الإدامة فیه، علی أنّ الصّحیح فی الخبر أیضا أنّه لا یفید الإدامة،و لأجل ذلک یمنع أصحاب الوعید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التّعلّق بآیات الوعید المتضمّنة للفظ التأبید،و إذا لم یقتض ذلک،فکیف </w:t>
      </w:r>
    </w:p>
    <w:p>
      <w:pPr>
        <w:pStyle w:val="BookText"/>
        <w:rPr/>
      </w:pPr>
      <w:r>
        <w:rPr>
          <w:rFonts w:ascii="IRNazanin" w:hAnsi="IRNazanin" w:eastAsia="IRNazanin"/>
          <w:color w:val="111111"/>
          <w:sz w:val="28"/>
          <w:sz w:val="28"/>
          <w:szCs w:val="28"/>
          <w:rtl w:val="true"/>
          <w:lang w:bidi="fa-IR"/>
        </w:rPr>
        <w:t>المنع من نسخه فی ذلک،؟و لو أنّه تناول ما قال لم یمنع ذلک من نسخه،لأنه کان یدلّ علی أنّه لم یرد باللّفظ ما وضع له،فیجری النّسخ فی ذلک مجری التّخصیص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شرط النّسخ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یقع إلاّ فی الأحکام الشّرعیّة دون أجناس الأفعال و ضروبها،لأنّه إنّما ینسخ عن الفعل الّذی وجب،بأن یبیّن أنّ أمثاله لیست بواجبة، و الفعل المحظور یبیّن أنّ أمثاله غیر محظورة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لیس من شرطه أن یکون للحکم المنسوخ بدل فی الأحکام الشّرعیة،علی ما زعم بعضهم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ذلک أنّ ما دلّ علی أنّ مثل الحکم الثّابت بالنّص الأوّل ساقط فی المستقبل یکون ناسخا له و إن سقط لا إلی حکم آخر،بل عاد حاله إلی ما کانت علیه فی العقل،و علی هذا الوجه نسخ اللّه الصّدقة بین یدی مناجاة الرّسول علیه السّلام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أَشْفَقْتُمْ أَنْ تُقَدِّمُوا بَیْنَ یَدَیْ نَجْواکُمْ صَدَقاتٍ   </w:t>
      </w:r>
      <w:r>
        <w:rPr>
          <w:rStyle w:val="FootnoteAnchor"/>
          <w:rtl w:val="true"/>
        </w:rPr>
        <w:footnoteReference w:id="1020"/>
      </w:r>
      <w:r>
        <w:rPr>
          <w:rFonts w:ascii="IRNazanin" w:hAnsi="IRNazanin" w:eastAsia="IRNazanin"/>
          <w:color w:val="111111"/>
          <w:sz w:val="28"/>
          <w:sz w:val="28"/>
          <w:szCs w:val="28"/>
          <w:rtl w:val="true"/>
          <w:lang w:bidi="fa-IR"/>
        </w:rPr>
        <w:t xml:space="preserve">فأسقط لا إلی بدل، و کذلک أسقط ما زاد علی الاعتداد علی أربعة أشهر و عشرا عن المتوفّی عنها زوجها </w:t>
      </w:r>
      <w:r>
        <w:rPr>
          <w:rStyle w:val="FootnoteAnchor"/>
          <w:rtl w:val="true"/>
        </w:rPr>
        <w:footnoteReference w:id="1021"/>
      </w:r>
      <w:r>
        <w:rPr>
          <w:rFonts w:ascii="IRNazanin" w:hAnsi="IRNazanin" w:eastAsia="IRNazanin"/>
          <w:color w:val="111111"/>
          <w:sz w:val="28"/>
          <w:sz w:val="28"/>
          <w:szCs w:val="28"/>
          <w:rtl w:val="true"/>
          <w:lang w:bidi="fa-IR"/>
        </w:rPr>
        <w:t>لا إلی بدل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لأنّ زوال الحکم إلی بدل لم یکن نسخا لأجل البدل،و إنّما کان منسوخا لزواله،فلا فصل بین زواله إلی بدل و إلی غیر بدل،و کذلک وصف صوم عاشوراء بأنّه منسوخ،و إن کان صوم رمضان لا یجوز أن یکون بدلا منه،لجواز وجوبه مع وجوبه و ارتفاع التّنافی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فامّا نسخ الحکم ببدل فقد یقع علی وجوه</w:t>
      </w:r>
      <w:r>
        <w:rPr>
          <w:rFonts w:eastAsia="IRNazanin" w:cs="IRNazanin"/>
          <w:color w:val="111111"/>
          <w:sz w:val="28"/>
          <w:szCs w:val="28"/>
          <w:rtl w:val="true"/>
          <w:lang w:bidi="fa-IR"/>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یسقط وجوبه إلی النّدب،نحو نسخه ثبات الواحد للعشرة </w:t>
      </w:r>
      <w:r>
        <w:rPr>
          <w:rStyle w:val="FootnoteAnchor"/>
          <w:rtl w:val="true"/>
        </w:rPr>
        <w:footnoteReference w:id="1022"/>
      </w:r>
      <w:r>
        <w:rPr>
          <w:rFonts w:ascii="IRNazanin" w:hAnsi="IRNazanin" w:eastAsia="IRNazanin"/>
          <w:color w:val="111111"/>
          <w:sz w:val="28"/>
          <w:sz w:val="28"/>
          <w:szCs w:val="28"/>
          <w:rtl w:val="true"/>
          <w:lang w:bidi="fa-IR"/>
        </w:rPr>
        <w:t xml:space="preserve">،إلی </w:t>
      </w:r>
    </w:p>
    <w:p>
      <w:pPr>
        <w:pStyle w:val="BookText"/>
        <w:rPr/>
      </w:pPr>
      <w:r>
        <w:rPr>
          <w:rFonts w:ascii="IRNazanin" w:hAnsi="IRNazanin" w:eastAsia="IRNazanin"/>
          <w:color w:val="111111"/>
          <w:sz w:val="28"/>
          <w:sz w:val="28"/>
          <w:szCs w:val="28"/>
          <w:rtl w:val="true"/>
          <w:lang w:bidi="fa-IR"/>
        </w:rPr>
        <w:t>ثباته للاثنین،لأنّ ثباته للعشرة مندوب إلیه،و کذلک نسخ وجوب قیام اللّیل فجعله ندبا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یسقط وجوبه إلی وجوب غیره،و ذلک علی ضربین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یسقط الواجب المخیّر فیه إلی واجب مضیّق،و ذلک نحو نسخ التّخییر بین الصّوم و الفدیة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بحتم الصّوم بقوله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شَهِدَ مِنْکُمُ الشَّهْرَ فَلْیَصُمْهُ   </w:t>
      </w:r>
      <w:r>
        <w:rPr>
          <w:rStyle w:val="FootnoteAnchor"/>
          <w:rtl w:val="true"/>
        </w:rPr>
        <w:footnoteReference w:id="10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یسقط الوجوب إلی الإباحة،نحو سقوط ما أوجب اللّه تعالی من ترک الأکل و المباشرة فی لیالی الصّوم إلی إباحة ذلک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یسقط المحظور إلی المباح،نحو ما روی عنه علیه السّلام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نهیتکم عن زیارة القبور ألا فزوروها و ادّخار لحوم الأضاحی ألا فادّخروها</w:t>
      </w:r>
      <w:r>
        <w:rPr>
          <w:rFonts w:eastAsia="IRNazanin" w:cs="IRNazanin"/>
          <w:color w:val="111111"/>
          <w:sz w:val="28"/>
          <w:szCs w:val="28"/>
          <w:rtl w:val="true"/>
          <w:lang w:bidi="fa-IR"/>
        </w:rPr>
        <w:t xml:space="preserve">» </w:t>
      </w:r>
      <w:r>
        <w:rPr>
          <w:rStyle w:val="FootnoteAnchor"/>
          <w:rtl w:val="true"/>
        </w:rPr>
        <w:footnoteReference w:id="1024"/>
      </w:r>
      <w:r>
        <w:rPr>
          <w:rFonts w:ascii="IRNazanin" w:hAnsi="IRNazanin" w:eastAsia="IRNazanin"/>
          <w:color w:val="111111"/>
          <w:sz w:val="28"/>
          <w:sz w:val="28"/>
          <w:szCs w:val="28"/>
          <w:rtl w:val="true"/>
          <w:lang w:bidi="fa-IR"/>
        </w:rPr>
        <w:t>،فعلی هذا یجب أن یجری الباب</w:t>
      </w:r>
      <w:r>
        <w:rPr>
          <w:rFonts w:eastAsia="IRNazanin" w:cs="IRNazanin"/>
          <w:color w:val="111111"/>
          <w:sz w:val="28"/>
          <w:szCs w:val="28"/>
          <w:rtl w:val="true"/>
          <w:lang w:bidi="fa-IR"/>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لیس من شرط نسخ الحکم ألاّ یقع إلاّ بما هو أخفّ منه أو مثله،علی ما یذهب إلیه بعض أهل الظّاهر</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ذلک أنّ اللّه تعالی إنّما ینسخ الحکم بغیره إذا علم أنّ صلاح المکلّف فی الثّانی،و قد یجوز أن یکون صلاحه فیما هو أشقّ من الأوّل کما یجوز أن یکون صلاحه فیما هو أخفّ،فإذا صحّ ذلک،و لم یکن الأمر فی التّکلیف موقوفا علی اختیار المکلّف،لکنّه بحسب المعلوم،فکیف یمنع من جواز نسخ الشّیء ممّا هو أشقّ منه؟و هل یذهب ذلک إلاّ علی من لا یعرف أصل هذا الباب؟ و لا فرق بین من قال هذا،و بین 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أن یکلّف اللّه ابتداء ما یشقّ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یذهب إلیه قوم من التّناسخیّة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القرامطة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ورد النّسخ بذلک،أ لا تری </w:t>
      </w:r>
    </w:p>
    <w:p>
      <w:pPr>
        <w:pStyle w:val="BookText"/>
        <w:rPr/>
      </w:pP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عَلَی الَّذِینَ یُطِیقُونَهُ فِدْیَةٌ طَعامُ مِسْکِینٍ   </w:t>
      </w:r>
      <w:r>
        <w:rPr>
          <w:rStyle w:val="FootnoteAnchor"/>
          <w:rtl w:val="true"/>
        </w:rPr>
        <w:footnoteReference w:id="1025"/>
      </w:r>
      <w:r>
        <w:rPr>
          <w:rFonts w:ascii="IRNazanin" w:hAnsi="IRNazanin" w:eastAsia="IRNazanin"/>
          <w:color w:val="111111"/>
          <w:sz w:val="28"/>
          <w:sz w:val="28"/>
          <w:szCs w:val="28"/>
          <w:rtl w:val="true"/>
          <w:lang w:bidi="fa-IR"/>
        </w:rPr>
        <w:t>اقتضی کون المکلّف مخیّرا فی الصّوم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حتّم ذلک و ألزمه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ما فیه من زیادة المشقّة علی التّخییر،و نسخ عن الزّانی المحصن الحدّ المذکور فی القرآن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بالرّجم</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ما فیه من زیادة الألم عند من لم یقل بالجمع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ما قالوه یقتضی ضدّ قولهم فی الحقیقة،لأنّه متی نسخ الحکم بما هو أشقّ منه کان مؤدّیا إلی ثواب زائد علی ما یؤدّی إلیه الأخفّ،و صار فی الحقیقة أخفّ علیه و أنفع له لعظم النّفع الّذی فیه،و من منع من ذلک فکأنه منع من أن یعرض اللّه تعالی المکلّف لتکلیف زائد یؤدّیه إلی زیادة ثواب،و هذا جهل</w:t>
      </w:r>
      <w:r>
        <w:rPr>
          <w:rFonts w:eastAsia="IRNazanin" w:cs="IRNazanin"/>
          <w:color w:val="111111"/>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فأمّا تعلّقهم بقوله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اَلْآنَ خَفَّفَ اللّهُ عَنْکُمْ وَ عَلِمَ أَنَّ فِیکُمْ ضَعْفاً  </w:t>
      </w:r>
      <w:r>
        <w:rPr>
          <w:rStyle w:val="FootnoteAnchor"/>
          <w:rtl w:val="true"/>
        </w:rPr>
        <w:footnoteReference w:id="1026"/>
      </w:r>
      <w:r>
        <w:rPr>
          <w:rFonts w:ascii="Amiri" w:hAnsi="Amiri" w:eastAsia="Amiri" w:cs="Amiri"/>
          <w:color w:val="111111"/>
          <w:sz w:val="28"/>
          <w:sz w:val="28"/>
          <w:szCs w:val="28"/>
          <w:rtl w:val="true"/>
          <w:lang w:bidi="ar-SA"/>
        </w:rPr>
        <w:t>و أنّه نبّه علی أنّ من حقّ النّسخ أن یکون تخفیفا،و بأنّ النّسخ مأخوذ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الإزالة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فکلّ </w:t>
      </w:r>
    </w:p>
    <w:p>
      <w:pPr>
        <w:pStyle w:val="BookText"/>
        <w:rPr/>
      </w:pPr>
      <w:r>
        <w:rPr>
          <w:rFonts w:ascii="IRNazanin" w:hAnsi="IRNazanin" w:eastAsia="IRNazanin"/>
          <w:color w:val="111111"/>
          <w:sz w:val="28"/>
          <w:sz w:val="28"/>
          <w:szCs w:val="28"/>
          <w:rtl w:val="true"/>
          <w:lang w:bidi="fa-IR"/>
        </w:rPr>
        <w:t xml:space="preserve">ما کان ذهب فی الإزالة کان من شرطه،فیجب أن لا ینسخ بما هو أشقّ منه </w:t>
      </w:r>
      <w:r>
        <w:rPr>
          <w:rStyle w:val="FootnoteAnchor"/>
          <w:rtl w:val="true"/>
        </w:rPr>
        <w:footnoteReference w:id="10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فما بیّناه من أنّ النّسخ تابع للمصلحة یسقط جمیع ذلک،و یعارض قوله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نَنْسَخْ مِنْ آیَةٍ أَوْ نُنْسِها نَأْتِ بِخَیْرٍ مِنْها أَوْ مِثْلِها   </w:t>
      </w:r>
      <w:r>
        <w:rPr>
          <w:rStyle w:val="FootnoteAnchor"/>
          <w:rtl w:val="true"/>
        </w:rPr>
        <w:footnoteReference w:id="1028"/>
      </w:r>
      <w:r>
        <w:rPr>
          <w:rFonts w:ascii="IRNazanin" w:hAnsi="IRNazanin" w:eastAsia="IRNazanin"/>
          <w:color w:val="111111"/>
          <w:sz w:val="28"/>
          <w:sz w:val="28"/>
          <w:szCs w:val="28"/>
          <w:rtl w:val="true"/>
          <w:lang w:bidi="fa-IR"/>
        </w:rPr>
        <w:t>لأنّ هذه الآیة تدلّ علی أنّ ما یأتی به أشقّ من الأول،أو فی حکم الأشقّ حتّی یصحّ أن یکون خیرا منها،و لم یمنع ذلک من جواز نسخ الشّیء بأخف منه،فکذلک القول فیما تعلّقوا به من 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البداء فحقیقته فی اللّغة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الظّهور</w:t>
      </w:r>
      <w:r>
        <w:rPr>
          <w:rFonts w:eastAsia="IRNazanin" w:cs="IRNazanin"/>
          <w:color w:val="111111"/>
          <w:sz w:val="28"/>
          <w:szCs w:val="28"/>
          <w:rtl w:val="true"/>
          <w:lang w:bidi="fa-IR"/>
        </w:rPr>
        <w:t xml:space="preserve">» </w:t>
      </w:r>
      <w:r>
        <w:rPr>
          <w:rStyle w:val="FootnoteAnchor"/>
          <w:rtl w:val="true"/>
        </w:rPr>
        <w:footnoteReference w:id="1029"/>
      </w:r>
      <w:r>
        <w:rPr>
          <w:rFonts w:ascii="Amiri" w:hAnsi="Amiri" w:eastAsia="Amiri" w:cs="Amiri"/>
          <w:color w:val="111111"/>
          <w:sz w:val="28"/>
          <w:sz w:val="28"/>
          <w:szCs w:val="28"/>
          <w:rtl w:val="true"/>
          <w:lang w:bidi="ar-SA"/>
        </w:rPr>
        <w:t>و لذلک 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بدا لنا سور المدینة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بدا لنا وجه الرّأی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بَدا لَهُمْ سَیِّئاتُ ما عَمِلُوا  </w:t>
      </w:r>
      <w:r>
        <w:rPr>
          <w:rStyle w:val="FootnoteAnchor"/>
          <w:rtl w:val="true"/>
        </w:rPr>
        <w:footnoteReference w:id="1030"/>
      </w:r>
      <w:r>
        <w:rPr>
          <w:rFonts w:ascii="Amiri" w:hAnsi="Amiri" w:eastAsia="Amiri" w:cs="Amiri"/>
          <w:color w:val="111111"/>
          <w:sz w:val="28"/>
          <w:sz w:val="28"/>
          <w:szCs w:val="28"/>
          <w:rtl w:val="true"/>
          <w:lang w:bidi="ar-SA"/>
        </w:rPr>
        <w:t xml:space="preserve">و وَ بَدا لَهُمْ سَیِّئاتُ ما کَسَبُوا  </w:t>
      </w:r>
      <w:r>
        <w:rPr>
          <w:rStyle w:val="FootnoteAnchor"/>
          <w:rtl w:val="true"/>
        </w:rPr>
        <w:footnoteReference w:id="1031"/>
      </w:r>
      <w:r>
        <w:rPr>
          <w:rFonts w:ascii="IRNazanin" w:hAnsi="IRNazanin" w:eastAsia="IRNazanin"/>
          <w:color w:val="111111"/>
          <w:sz w:val="28"/>
          <w:sz w:val="28"/>
          <w:szCs w:val="28"/>
          <w:rtl w:val="true"/>
          <w:lang w:bidi="fa-IR"/>
        </w:rPr>
        <w:t>و یراد بذلک کلّه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یستعمل ذلک فی العلم بالشّیء بعد أن لم یکن حاصلا،و کذلک فی الظّن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إذا أضیفت هذه اللّفظة إلی اللّه تعالی فمنه ما یجوز إطلاقه علیه،و منه ما لا یجوز</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فأمّا ما یجوز من ذلک،فهو ما أفاد النّسخ بعینه،و یکون إطلاق ذلک علیه علی ضرب من التّوسّع،و علی هذا الوجه یحمل جمیع ما ورد عن الصّادقین علیهما السّلام </w:t>
      </w:r>
      <w:r>
        <w:rPr>
          <w:rStyle w:val="FootnoteAnchor"/>
          <w:rtl w:val="true"/>
        </w:rPr>
        <w:footnoteReference w:id="1032"/>
      </w:r>
      <w:r>
        <w:rPr>
          <w:rFonts w:ascii="IRNazanin" w:hAnsi="IRNazanin" w:eastAsia="IRNazanin"/>
          <w:color w:val="111111"/>
          <w:sz w:val="28"/>
          <w:sz w:val="28"/>
          <w:szCs w:val="28"/>
          <w:rtl w:val="true"/>
          <w:lang w:bidi="fa-IR"/>
        </w:rPr>
        <w:t>من الأخبار المتضمّنة لإضافة البداء إلی اللّه تعالی،دون ما لا یجوز علیه، من حصول العلم بعد أن لم یکن،و یکون وجه إطلاق ذلک فیه تعالی و التّشبیه هو أنّه إذا کان ما یدلّ علی النّسخ یظهر به للمکلّفین ما لم یکن ظاهرا لهم،و یحصل لهم العلم به بعد أن لم یکن حاصلا لهم،أطلق علی ذلک لفظ البداء</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ذکر سیّدنا الأجلّ المرتضی رحمه اللّه </w:t>
      </w:r>
      <w:r>
        <w:rPr>
          <w:rStyle w:val="FootnoteAnchor"/>
          <w:rtl w:val="true"/>
        </w:rPr>
        <w:footnoteReference w:id="1033"/>
      </w:r>
      <w:r>
        <w:rPr>
          <w:rFonts w:ascii="IRNazanin" w:hAnsi="IRNazanin" w:eastAsia="IRNazanin"/>
          <w:color w:val="111111"/>
          <w:sz w:val="28"/>
          <w:sz w:val="28"/>
          <w:szCs w:val="28"/>
          <w:rtl w:val="true"/>
          <w:lang w:bidi="fa-IR"/>
        </w:rPr>
        <w:t>وجها آخر فی ذلک و هو أن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یمکن حمل ذلک علی حقیقته،بأن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 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أنّه ظهر له من الأمر ما لم یکن ظاهرا له،و بدا له من النّهی ما لم یکن ظاهرا له،لأنّ قبل وجود الأمر و النّهی لا یکونان ظاهرین مدرکین،و إنّما یعلم أنّه یأمر أو ینهی فی المستقبل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فأمّا کونه آمرا أو ناهیا،فلا یصحّ أن یعلمه إلاّ إذا وجد الأمر و النّهی،و جری ذلک مجری أحد الوجهین المذکورین فی قوله تعالی وَ لَنَبْلُوَنَّکُمْ حَتّی نَعْلَمَ الْمُجاهِدِینَ مِنْکُمْ  </w:t>
      </w:r>
      <w:r>
        <w:rPr>
          <w:rStyle w:val="FootnoteAnchor"/>
          <w:rtl w:val="true"/>
        </w:rPr>
        <w:footnoteReference w:id="1034"/>
      </w:r>
      <w:r>
        <w:rPr>
          <w:rFonts w:ascii="IRNazanin" w:hAnsi="IRNazanin" w:eastAsia="IRNazanin"/>
          <w:color w:val="111111"/>
          <w:sz w:val="28"/>
          <w:sz w:val="28"/>
          <w:szCs w:val="28"/>
          <w:rtl w:val="true"/>
          <w:lang w:bidi="fa-IR"/>
        </w:rPr>
        <w:t>بأن نحمله علی أنّ المراد به حتّی نعلم جهادکم موجودا،لأنّ قبل وجود الجهاد لا یعلم الجهاد موجودا،و إنّما یعلم کذلک بعد حصوله،فکذلک القول فی البداء</w:t>
      </w:r>
      <w:r>
        <w:rPr>
          <w:rFonts w:eastAsia="IRNazanin" w:cs="IRNazanin"/>
          <w:color w:val="111111"/>
          <w:sz w:val="28"/>
          <w:szCs w:val="28"/>
          <w:rtl w:val="true"/>
          <w:lang w:bidi="fa-IR"/>
        </w:rPr>
        <w:t xml:space="preserve">» </w:t>
      </w:r>
      <w:r>
        <w:rPr>
          <w:rStyle w:val="FootnoteAnchor"/>
          <w:rtl w:val="true"/>
        </w:rPr>
        <w:footnoteReference w:id="10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وجه حسن جدّاً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ما لا یجوز إطلاقه علیه تعالی،هو أن یأمر تعالی المکلّف بنفس ما نهاه عنه،علی الوجه الّذی نهاه عنه،فی الوقت الّذی نهاه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شرطنا هذه الوجوه کلّها،لأنّ المنهیّ عنه لو کان غیر المأمور به لم یمتنع أن تقتضی المصلحة الأمر به و النّهی عن مثله،و کان لا مدخل له فی البداء،و لأنّ النّهی لو تعلّق به علی غیر الوجه الّذی تناوله الأمر کان حسنا،نحو أن یأمر اللّه بالصّلاة علی وجه العبادة له تعالی،و ینهی عنها علی وجه العبادة للشّیطان</w:t>
      </w:r>
      <w:r>
        <w:rPr>
          <w:rFonts w:eastAsia="IRNazanin" w:cs="IRNazanin"/>
          <w:color w:val="111111"/>
          <w:sz w:val="28"/>
          <w:szCs w:val="28"/>
          <w:rtl w:val="true"/>
          <w:lang w:bidi="fa-IR"/>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إنّما شرطنا الوقت الواحد،لأنّ المأمور به فی وقت لو نهی عنه فی وقت آخر و صحّ وقوعه لکان ذلک حسنا فی الحکمة،کما یصحّ أن یحسن من اللّه تعالی فعل الجسم فی بعض الأوقات،و إن کان لو فعله بعینه فی وقت آخر و قد أفناه لم یمتنع أن یکون قبیحا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إنّما یقبح ذلک لا لأنّه یدلّ علی البداء،لکن لأنّه تکلیف ما لا یطاق،و لأنّ ما یصحّ أن تفعله فی وقت،لا یصحّ أن تفعله فی وقت آخر،لاختصاص مقدور القدر بالأوقات علی ما دلّ علیه الدّلیل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جعلنا المأمور هو المنهیّ،لأنّه لو صحّ کون المقدور الواحد لقادرین لم یمتنع أمر أحدهما به و نهی الآخر عنه علی بعد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قلنا إنّ ما اجتمعت فیه هذه الشّرائط لا یجوز علی القدیم تعالی،لأنّا قد بیّنا أنّ اللّه تعالی إنّما یأمر العبد بالشّیء لتعلّق مصلحته به،و ینهاه لتعلّق المفسدة به، و محال فی الشّیء الواحد،فی الوقت الواحد،أن یکون مصلحة و مفسدة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نسخ الشّریعة فمخالف لما قدّمناه،لأنّا قد بیّنا فی حدّه أنّه إسقاط الحکم الّذی تناوله النّص المتقدّم علی وجه لولاه لکان ثابتا به مع تراخیه عنه،و ذلک یقتضی أنّ المأمور به غیر المنهیّ عنه،و أنّ وقت المنهیّ عنه غیر وقت المأمور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بیّنا أیضا الفرق بین النّسخ و التّخصیص </w:t>
      </w:r>
      <w:r>
        <w:rPr>
          <w:rStyle w:val="FootnoteAnchor"/>
          <w:rtl w:val="true"/>
        </w:rPr>
        <w:footnoteReference w:id="1036"/>
      </w:r>
      <w:r>
        <w:rPr>
          <w:rFonts w:ascii="IRNazanin" w:hAnsi="IRNazanin" w:eastAsia="IRNazanin"/>
          <w:color w:val="111111"/>
          <w:sz w:val="28"/>
          <w:sz w:val="28"/>
          <w:szCs w:val="28"/>
          <w:rtl w:val="true"/>
          <w:lang w:bidi="fa-IR"/>
        </w:rPr>
        <w:t>،و ذکرنا أنّ تخصیص العموم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دلّ علی أنّه لم یرد به إلاّ بعض ما تناوله اللّفظ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أنّه لا یصحّ دخوله فیما لم یتناوله لفظ العموم،و النّسخ بخلافه،و بیّنا أیضا أنّ شروطهما و أحکامهما تختلف، لأنّ النّسخ یصحّ فیما لا یصحّ التخصیص فیه،و یصحّ التّخصیص فیما لا یصحّ النّسخ فیه،و ذلک واضح</w:t>
      </w:r>
      <w:r>
        <w:rPr>
          <w:rFonts w:eastAsia="IRNazanin" w:cs="IRNazanin"/>
          <w:color w:val="111111"/>
          <w:sz w:val="28"/>
          <w:szCs w:val="28"/>
          <w:rtl w:val="true"/>
          <w:lang w:bidi="fa-IR"/>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الّذی یعتمد فی هذا الباب أنّ النّسخ و التّخصیص جمیعا یتناولان الأفعال دون الأعیان و الأوقات و الأحوال،علی خلاف ما یدّعیه بعض من یتکلّم فی هذا الباب،لأنّ التّخصیص یدلّ علی أنّه لم یرد بالعموم ما لولاه لکان یدلّ علی أنّه مراد، و کذلک النّسخ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 یریده المخاطب الحکیم هو الأفعال دون الأعیان و الأوقات، لأنّ الأعیان لا یصحّ أن تراد،و الأوقات لا یحتاج إلی إرادتها،لأنّها لیست متعلّقة بالتّکلیف،و کذلک الأحوال،فإذا صحّ هذا صحّ ما قلناه</w:t>
      </w:r>
      <w:r>
        <w:rPr>
          <w:rFonts w:eastAsia="IRNazanin" w:cs="IRNazanin"/>
          <w:color w:val="111111"/>
          <w:sz w:val="28"/>
          <w:szCs w:val="28"/>
          <w:rtl w:val="true"/>
          <w:lang w:bidi="fa-IR"/>
        </w:rPr>
        <w:t xml:space="preserve">. </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إنّما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التّخصیص یخصّ الأعیان،و یراد به أنّه أرید بالعموم الفعل من بعض الأعیان دون بعض،أو فی بعض الأوقات فیرجع التّخصیص فی التّحقیق إلی الأفعال،لکنّها لمّا کانت تقع من الأعیان فی الأوقات وجب أن تذکر،فإن لم تکن هی المراد بالکلام،و هذا هو الّذی یجب الاعتماد علیه دون غیره،لأنّ الکلام علی المعانی دون العبارات</w:t>
      </w:r>
      <w:r>
        <w:rPr>
          <w:rFonts w:eastAsia="IRNazanin" w:cs="IRNazanin"/>
          <w:color w:val="111111"/>
          <w:sz w:val="28"/>
          <w:szCs w:val="28"/>
          <w:rtl w:val="true"/>
          <w:lang w:bidi="fa-IR"/>
        </w:rPr>
        <w:t xml:space="preserve">. </w:t>
      </w:r>
      <w:bookmarkStart w:id="289" w:name="pg6519_49701"/>
    </w:p>
    <w:p>
      <w:pPr>
        <w:pStyle w:val="Heading4"/>
        <w:numPr>
          <w:ilvl w:val="3"/>
          <w:numId w:val="1"/>
        </w:numPr>
        <w:rPr/>
      </w:pPr>
      <w:bookmarkStart w:id="290" w:name="__RefHeading___Toc1757339_653776707"/>
      <w:bookmarkStart w:id="291" w:name="_Toc93"/>
      <w:bookmarkEnd w:id="289"/>
      <w:bookmarkEnd w:id="290"/>
      <w:r>
        <w:rPr>
          <w:rtl w:val="true"/>
        </w:rPr>
        <w:t>فصل</w:t>
      </w:r>
      <w:r>
        <w:rPr>
          <w:rtl w:val="true"/>
        </w:rPr>
        <w:t>-</w:t>
      </w:r>
      <w:r>
        <w:rPr/>
        <w:t>2</w:t>
      </w:r>
      <w:r>
        <w:rPr>
          <w:rtl w:val="true"/>
        </w:rPr>
        <w:t>: «</w:t>
      </w:r>
      <w:r>
        <w:rPr>
          <w:rtl w:val="true"/>
        </w:rPr>
        <w:t>فی ذکر ما یصحّ النّسخ فیه من أفعال المکلّف، و ما لا یصحّ،و بیان شرائطه</w:t>
      </w:r>
      <w:r>
        <w:rPr>
          <w:rtl w:val="true"/>
        </w:rPr>
        <w:t>»</w:t>
      </w:r>
      <w:bookmarkEnd w:id="29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ذکر ما یصحّ النّسخ فیه من أفعال المکلّف، و ما لا یصحّ،و بیان شرائطه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أفعال المکلّف علی ضربین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یصحّ معنی النّسخ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یصحّ ذلک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فالّذی لا یصحّ معنی النّسخ فیه علی ضربین</w:t>
      </w:r>
      <w:r>
        <w:rPr>
          <w:rFonts w:eastAsia="IRNazanin" w:cs="IRNazanin"/>
          <w:color w:val="111111"/>
          <w:sz w:val="28"/>
          <w:szCs w:val="28"/>
          <w:rtl w:val="true"/>
          <w:lang w:bidi="fa-IR"/>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یصحّ ذلک فیه لأنّ الصّفة الّتی یقع علیها الفعل لا یجوز خروجه عنها،و لا حصول ضدّها فیه،و ذلک مثل وجوب الإنصاف،و شکر المنعم،و قبح الکذب و الجهل،و غیر ذلک من الواجبات العقلیة </w:t>
      </w:r>
      <w:r>
        <w:rPr>
          <w:rStyle w:val="FootnoteAnchor"/>
          <w:rtl w:val="true"/>
        </w:rPr>
        <w:footnoteReference w:id="1037"/>
      </w:r>
      <w:r>
        <w:rPr>
          <w:rFonts w:ascii="IRNazanin" w:hAnsi="IRNazanin" w:eastAsia="IRNazanin"/>
          <w:color w:val="111111"/>
          <w:sz w:val="28"/>
          <w:sz w:val="28"/>
          <w:szCs w:val="28"/>
          <w:rtl w:val="true"/>
          <w:lang w:bidi="fa-IR"/>
        </w:rPr>
        <w:t xml:space="preserve">الّتی لا یجوز خروجها عن کونها علی تلک الصّفة،فما یکون کذلک لا یصحّ معنی النّسخ فیه،لأن من المحال أن یکون الإنصاف مع کونه إنصافا،و شکر النّعمة مع کونه </w:t>
      </w:r>
      <w:r>
        <w:rPr>
          <w:rStyle w:val="FootnoteAnchor"/>
          <w:rtl w:val="true"/>
        </w:rPr>
        <w:footnoteReference w:id="1038"/>
      </w:r>
      <w:r>
        <w:rPr>
          <w:rFonts w:ascii="IRNazanin" w:hAnsi="IRNazanin" w:eastAsia="IRNazanin"/>
          <w:color w:val="111111"/>
          <w:sz w:val="28"/>
          <w:sz w:val="28"/>
          <w:szCs w:val="28"/>
          <w:rtl w:val="true"/>
          <w:lang w:bidi="fa-IR"/>
        </w:rPr>
        <w:t>شکرا للنّعمة یخرجان من کونهما واجبین،و کذلک لا یصحّ فی أن یخرج الجهل و الکذب عن القبح إلی الحسن،فعلم بذلک أنّ معنی النّسخ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یصحّ فی جمیع ذلک</w:t>
      </w:r>
      <w:r>
        <w:rPr>
          <w:rFonts w:eastAsia="IRNazanin" w:cs="IRNazanin"/>
          <w:color w:val="111111"/>
          <w:sz w:val="28"/>
          <w:szCs w:val="28"/>
          <w:rtl w:val="true"/>
          <w:lang w:bidi="fa-IR"/>
        </w:rPr>
        <w:t xml:space="preserve">. </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ذهب المعتزلة إلی أنّ معنی النّسخ </w:t>
      </w:r>
      <w:r>
        <w:rPr>
          <w:rStyle w:val="FootnoteAnchor"/>
          <w:rtl w:val="true"/>
        </w:rPr>
        <w:footnoteReference w:id="10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یصحّ فی شکر النّعمة،لأنّه یجوز أن یفعل المنعم من الإساءة ما یوفّی علی النّعمة،فیبطل الشّکر علیها،و ذلک یصحّ علی مذهبهم فی الإحباط لا علی ما نذهب إلیه من فساد القول بالإحباط</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،لأنّ </w:t>
      </w:r>
    </w:p>
    <w:p>
      <w:pPr>
        <w:pStyle w:val="BookText"/>
        <w:rPr/>
      </w:pPr>
      <w:r>
        <w:rPr>
          <w:rFonts w:ascii="IRNazanin" w:hAnsi="IRNazanin" w:eastAsia="IRNazanin"/>
          <w:color w:val="111111"/>
          <w:sz w:val="28"/>
          <w:sz w:val="28"/>
          <w:szCs w:val="28"/>
          <w:rtl w:val="true"/>
          <w:lang w:bidi="fa-IR"/>
        </w:rPr>
        <w:t>بالإساءة عندنا لا یبطل شکر النّعمة،و إنّما یستحقّ بها الذّم و العقاب فیمن یصحّ ذلک فیه لا 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القسم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یصحّ معنی النّسخ فیه لأنّه لا یصحّ خروجه عن کونه لطفا، و ذلک نحو وجوب المعرفة باللّه تعالی و صفاته،و نحو وجوب الرئاسة الّتی نوجبها عقلا،فإنّه لا یصحّ خروج ذلک أجمع عن کونها لطفا،فإذا لا یصحّ معنی النّسخ فیها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ما یصحّ معنی النّسخ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کلّ فعل یجوز أن یتغیّر من حسن إلی قبح، فیقع علی وجه فیکون حسنا و علی آخر فیکون قبیحا،و یقع فی وقت فیکون حسنا، و فی آخر فیکون قبیحا،و یقع من شخص فیکون حسنا،و من آخر فیکون قبیحا، و ذلک نحو المنافع و المضارّ،و لا اعتبار فی ذلک بجنس الفعل،بل الاعتبار فی ذلک بالوجوه الّتی یقع علیها الفعل،و علی ذلک جمیع الشّرعیّات لأنّها قد تکون واجبة فی وقت دون آخر،و علی شخص دون غیره،و علی وجه دون آخر،أ لا تری أنّ القعود فی موضع مباح قد یکون حسنا ثمّ یعرض فیه وجه قبح بأن یخاف سبعا أو لصّا أو وقوع حائط علیه و ما شاکله،فیصیر القعود نفسه قبیحا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ذکرناه اختلفت الشّرائع و دخل النّسخ فیها،و اختصّ بعض المکلّفین بما لم یشترک فیه غیره،و ذلک أنّ الإمساک فی السّبت کان واجبا فی شرع موسی علیه السّلام،ثمّ صار قبیحا فی شرع نبیّنا صلّی اللّه علیه و آله و سلّم و غیر ذلک من الشّرائع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یجب علی الحائض ترک الصّلاة و الصّوم و لا یجب ذلک علی غیرها،بل یکون ذلک قبیحا منه،فعلی هذا ینبغی أن یجری هذا الباب</w:t>
      </w:r>
      <w:r>
        <w:rPr>
          <w:rFonts w:eastAsia="IRNazanin" w:cs="IRNazanin"/>
          <w:color w:val="111111"/>
          <w:sz w:val="28"/>
          <w:szCs w:val="28"/>
          <w:rtl w:val="true"/>
          <w:lang w:bidi="fa-IR"/>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فأمّا النّسخ فی الأخبار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اختلف العلماء فی ذلک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فذهب أکثر من تکلّم فی أصول الفقه من المعتزلة و غیرهم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مذهب أبی علیّ و أبی هاشم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النّسخ فی الأخبار لا یجوز،و علّلوا ذلک بأن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تجویز ذلک فی أخبار اللّه تعالی یوجب أن یکون أحد الخبرین کذبا،و فصّلوا بینه و بین الأمر و النّهی </w:t>
      </w:r>
      <w:r>
        <w:rPr>
          <w:rStyle w:val="FootnoteAnchor"/>
          <w:rtl w:val="true"/>
        </w:rPr>
        <w:footnoteReference w:id="1040"/>
      </w:r>
      <w:r>
        <w:rPr>
          <w:rFonts w:eastAsia="Times New Roman" w:cs="Times New Roman" w:ascii="Times New Roman" w:hAnsi="Times New Roman"/>
          <w:color w:val="111111"/>
          <w:sz w:val="28"/>
          <w:szCs w:val="28"/>
          <w:rtl w:val="true"/>
          <w:lang w:val="en-US" w:bidi="en-US"/>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ذهب أبو عبد اللّه البصری،و صاحب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الّذی اختاره سیّدنا </w:t>
      </w:r>
    </w:p>
    <w:p>
      <w:pPr>
        <w:pStyle w:val="BookText"/>
        <w:rPr/>
      </w:pPr>
      <w:r>
        <w:rPr>
          <w:rFonts w:ascii="IRNazanin" w:hAnsi="IRNazanin" w:eastAsia="IRNazanin"/>
          <w:color w:val="111111"/>
          <w:sz w:val="28"/>
          <w:sz w:val="28"/>
          <w:szCs w:val="28"/>
          <w:rtl w:val="true"/>
          <w:lang w:bidi="fa-IR"/>
        </w:rPr>
        <w:t xml:space="preserve">المرتضی رحمه اللّه إلی أنّ ذلک یجوز،و لا فرق بین الخبر و الأمر و النّهی فی هذا الباب </w:t>
      </w:r>
      <w:r>
        <w:rPr>
          <w:rStyle w:val="FootnoteAnchor"/>
          <w:rtl w:val="true"/>
        </w:rPr>
        <w:footnoteReference w:id="10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اعلم </w:t>
      </w:r>
      <w:r>
        <w:rPr>
          <w:rStyle w:val="FootnoteAnchor"/>
          <w:rtl w:val="true"/>
        </w:rPr>
        <w:footnoteReference w:id="1042"/>
      </w:r>
      <w:r>
        <w:rPr>
          <w:rFonts w:ascii="IRNazanin" w:hAnsi="IRNazanin" w:eastAsia="IRNazanin"/>
          <w:color w:val="111111"/>
          <w:sz w:val="28"/>
          <w:sz w:val="28"/>
          <w:szCs w:val="28"/>
          <w:rtl w:val="true"/>
          <w:lang w:bidi="fa-IR"/>
        </w:rPr>
        <w:t>أنّ الأخبار علی ضربین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یتضمّن معنی الأمر أو النّهی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یتضمّن ذلک بل یکون خبرا محضا عن صفة الشّیء فی نفسه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فما یکون معناه معنی الأمر و النّهی،فإنّه یجوز دخول النّسخ فیه،لأنّه لا فرق بین أن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 الجمعة یوم الجمعة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بین أن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صلاة الجمعة یوم الجمعة واجبة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أنّه یجب فی الحالین الصّلاة،و مع ذلک یجوز معنی النّسخ فیه بأن تخرج الصّلاة من کونها واجبة،و قد ورد القرآن بمثل ذلک،قال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الْمُطَلَّقاتُ یَتَرَبَّصْنَ بِأَنْفُسِهِنَّ ثَلاثَةَ قُرُوءٍ  </w:t>
      </w:r>
      <w:r>
        <w:rPr>
          <w:rStyle w:val="FootnoteAnchor"/>
          <w:rtl w:val="true"/>
        </w:rPr>
        <w:footnoteReference w:id="1043"/>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اَلطَّلاقُ مَرَّتانِ  </w:t>
      </w:r>
      <w:r>
        <w:rPr>
          <w:rStyle w:val="FootnoteAnchor"/>
          <w:rtl w:val="true"/>
        </w:rPr>
        <w:footnoteReference w:id="1044"/>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دَخَلَهُ کانَ آمِناً  </w:t>
      </w:r>
      <w:r>
        <w:rPr>
          <w:rStyle w:val="FootnoteAnchor"/>
          <w:rtl w:val="true"/>
        </w:rPr>
        <w:footnoteReference w:id="1045"/>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لِلّهِ عَلَی النّاسِ حِجُّ الْبَیْتِ  </w:t>
      </w:r>
      <w:r>
        <w:rPr>
          <w:rStyle w:val="FootnoteAnchor"/>
          <w:rtl w:val="true"/>
        </w:rPr>
        <w:footnoteReference w:id="1046"/>
      </w:r>
      <w:r>
        <w:rPr>
          <w:rFonts w:ascii="IRNazanin" w:hAnsi="IRNazanin" w:eastAsia="IRNazanin"/>
          <w:color w:val="111111"/>
          <w:sz w:val="28"/>
          <w:sz w:val="28"/>
          <w:szCs w:val="28"/>
          <w:rtl w:val="true"/>
          <w:lang w:bidi="fa-IR"/>
        </w:rPr>
        <w:t>،و کلّ ذلک خبر،إلاّ أنّه لمّا کان معناه معنی الأمر جاز دخول النّسخ فیه لجواز تغیّره من حسن إلی قبح</w:t>
      </w:r>
      <w:r>
        <w:rPr>
          <w:rFonts w:eastAsia="IRNazanin" w:cs="IRNazanin"/>
          <w:color w:val="111111"/>
          <w:sz w:val="28"/>
          <w:szCs w:val="28"/>
          <w:rtl w:val="true"/>
          <w:lang w:bidi="fa-IR"/>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ما لا یکون معناه معنی الأمر أو النّهی،و هو الّذی یتضمّن خبرا محضا عن صفة الشیء فی نفسه،فهو علی ضربین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لا یجوز تغیّر تلک الصفة،عمّا هو علیه </w:t>
      </w:r>
      <w:r>
        <w:rPr>
          <w:rStyle w:val="FootnoteAnchor"/>
          <w:rtl w:val="true"/>
        </w:rPr>
        <w:footnoteReference w:id="1047"/>
      </w:r>
      <w:r>
        <w:rPr>
          <w:rFonts w:ascii="IRNazanin" w:hAnsi="IRNazanin" w:eastAsia="IRNazanin"/>
          <w:color w:val="111111"/>
          <w:sz w:val="28"/>
          <w:sz w:val="28"/>
          <w:szCs w:val="28"/>
          <w:rtl w:val="true"/>
          <w:lang w:bidi="fa-IR"/>
        </w:rPr>
        <w:t>،فما یکون کذلک یجوز معنی النّسخ فی الإخبار عنه،فأمّا الانتقال إلی ضدّه فلا یجوز،لأنّ ذلک جهل و ذلک نحو الإخبار عن صفات اللّه تعالی،و وحدانیّته،فإنّه یجوز أن تتعبّد تارة بالإخبار عن ذلک،و تارة ینسخ عنّا الإخبار عنها،و لا یجوز أن نتعبّد بالإخبار عن ضدّها،لأنّ ذلک جهل علی ما قدّمناه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الضّرب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ما یجوز انتقاله عن تلک الصّفة،فإنّه لا یمتنع أن نتعبّد بالإخبار عن تلک الصّفة ما دام الموصوف علیها،فإذا انتقل إلی غیرها نتعبّد بالنّهی عن أن یخبر عمّا کنّا </w:t>
      </w:r>
      <w:r>
        <w:rPr>
          <w:rStyle w:val="FootnoteAnchor"/>
          <w:rtl w:val="true"/>
        </w:rPr>
        <w:footnoteReference w:id="1048"/>
      </w:r>
      <w:r>
        <w:rPr>
          <w:rFonts w:ascii="IRNazanin" w:hAnsi="IRNazanin" w:eastAsia="IRNazanin"/>
          <w:color w:val="111111"/>
          <w:sz w:val="28"/>
          <w:sz w:val="28"/>
          <w:szCs w:val="28"/>
          <w:rtl w:val="true"/>
          <w:lang w:bidi="fa-IR"/>
        </w:rPr>
        <w:t>نخبر به،لتغیّر المخبر فی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جملة کافیة فی هذا الباب و شرحها یطول،و فیما ذکرناه مقنع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شرائط أن یأمر المکلّف بنفس ما نهی عنه فهی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یأمره به علی غیر الوجه الّذی نهاه عنه،و ذلک نحو نهیه تعالی المکلّف أن یصلّی الصّلاة عبادة للشّیطان،و أمره إیّاه بأن یفعلها عبادة له تعالی،و نحو أمره تعالی بالإخبار عن نبوّة نبیّنا محمّد علیه السّلام </w:t>
      </w:r>
      <w:r>
        <w:rPr>
          <w:rStyle w:val="FootnoteAnchor"/>
          <w:rtl w:val="true"/>
        </w:rPr>
        <w:footnoteReference w:id="1049"/>
      </w:r>
      <w:r>
        <w:rPr>
          <w:rFonts w:ascii="IRNazanin" w:hAnsi="IRNazanin" w:eastAsia="IRNazanin"/>
          <w:color w:val="111111"/>
          <w:sz w:val="28"/>
          <w:sz w:val="28"/>
          <w:szCs w:val="28"/>
          <w:rtl w:val="true"/>
          <w:lang w:bidi="fa-IR"/>
        </w:rPr>
        <w:t>و نهیه عن نبوّة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الأمر بالشّیء و النّهی عنه علی هذا الوجه یکون قبیحا،لأنّ ذلک یدلّ علی البداء علی ما قدّمنا القول فیه،و یؤدّی إلی أن یکون الأمر به قبیحا إن کان المأمور به قبیحا،و إلی أن یکون النّهی عنه قبیحا إن کان الفعل حسنا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أیضا أن یأمره بالشّیء و ینهاه عنه بعینه فی وقتین،لأنّ ذلک تکلیف ما لا یطاق،لأنّ مقدور المکلّف فی أحد الوقتین لا یصحّ أن یفعله فی الوقت الآخر،فمتی نهاه عن الوقت الآخر،فقد نهاه عمّا لا یقدر علیه،و ذلک قبیح</w:t>
      </w:r>
      <w:r>
        <w:rPr>
          <w:rFonts w:eastAsia="IRNazanin" w:cs="IRNazanin"/>
          <w:color w:val="111111"/>
          <w:sz w:val="28"/>
          <w:szCs w:val="28"/>
          <w:rtl w:val="true"/>
          <w:lang w:bidi="fa-IR"/>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أن یأمر زیدا بالشّیء الّذی نهی عنه عمرا،لأنّ کونه مقدورا لأحدهما یمنع من کونه مقدورا للآخر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یحسن أن یأمر بالشّیء علی وجه یحسن علیه،و ینهی عنه علی وجه آخر یحسن أیضا علیه،لأنّ ذلک یقتضی قبح النّهی،لأنّ النّهی عن الحسن قبیح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النّهی عن غیر المأمور به فلقد یحسن علی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یأمر زیدا بمثل ما نهی عنه عمراً،لأنّ ما یقع حسنا من زید لا یمنع أن یقع من عمرو قبیحا،و ذلک نحو أمر اللّه تعالی الطّاهر بالصّلاة،و نهیه الحائض عنها،و هذا علی ضربین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یقع منهما علی وجه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یقع منهما علی وجهین،و الحال فیهما سواء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یأمر عزّ و جلّ زیدا </w:t>
      </w:r>
      <w:r>
        <w:rPr>
          <w:rStyle w:val="FootnoteAnchor"/>
          <w:rtl w:val="true"/>
        </w:rPr>
        <w:footnoteReference w:id="1050"/>
      </w:r>
      <w:r>
        <w:rPr>
          <w:rFonts w:ascii="IRNazanin" w:hAnsi="IRNazanin" w:eastAsia="IRNazanin"/>
          <w:color w:val="111111"/>
          <w:sz w:val="28"/>
          <w:sz w:val="28"/>
          <w:szCs w:val="28"/>
          <w:rtl w:val="true"/>
          <w:lang w:bidi="fa-IR"/>
        </w:rPr>
        <w:t>الثّانی بمثل ما نهاه عنه فی الأوّل فیحسن،لأنّ کونه قبیحا فی الأوّل لا یمنع من وقوعه حسنا فی الثّانی،و نسخ الشّریعة علی هذا الوجه،و لا فصل فی ذلک بین أن یقع فی الوقت الثّانی علی الوجه الّذی وقع علیه فی الأوّل،و بین أن یقع علی غیر ذلک الوجه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نهی زید عن مثل ما أمر به فی وقت واحد،فإنّما لا یحسن لأنّه یبعد أن یکون الفعلان المثلان الواقعان منه علی وجه واحد یختلف معهما فی الصّلاح فیکون أحدهما مصلحة و الآخر مفسدة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یصحّ الأمر بالشّیء و النّهی عن غیره علی وجوه أخر،و کذلک الأمر بغیر ما وقع الأمر به و النّهی عن مثل ما وقع النّهی عنه،و لم نذکر ذلک لأنّ الغرض بیان ما یحسن من ذلک لیبیّن بذلک أنّ نسخ الشّریعة منها</w:t>
      </w:r>
      <w:r>
        <w:rPr>
          <w:rFonts w:eastAsia="IRNazanin" w:cs="IRNazanin"/>
          <w:color w:val="111111"/>
          <w:sz w:val="28"/>
          <w:szCs w:val="28"/>
          <w:rtl w:val="true"/>
          <w:lang w:bidi="fa-IR"/>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هذه جملة کافیة فی هذا الباب</w:t>
      </w:r>
      <w:r>
        <w:rPr>
          <w:rFonts w:eastAsia="IRNazanin" w:cs="IRNazanin"/>
          <w:color w:val="111111"/>
          <w:sz w:val="28"/>
          <w:szCs w:val="28"/>
          <w:rtl w:val="true"/>
          <w:lang w:bidi="fa-IR"/>
        </w:rPr>
        <w:t xml:space="preserve">. </w:t>
      </w:r>
      <w:bookmarkStart w:id="292" w:name="pg6519_49708"/>
    </w:p>
    <w:p>
      <w:pPr>
        <w:pStyle w:val="Heading4"/>
        <w:numPr>
          <w:ilvl w:val="3"/>
          <w:numId w:val="1"/>
        </w:numPr>
        <w:rPr/>
      </w:pPr>
      <w:bookmarkStart w:id="293" w:name="__RefHeading___Toc1757341_653776707"/>
      <w:bookmarkStart w:id="294" w:name="_Toc94"/>
      <w:bookmarkEnd w:id="292"/>
      <w:bookmarkEnd w:id="293"/>
      <w:r>
        <w:rPr>
          <w:rtl w:val="true"/>
        </w:rPr>
        <w:t>فصل</w:t>
      </w:r>
      <w:r>
        <w:rPr>
          <w:rtl w:val="true"/>
        </w:rPr>
        <w:t>-</w:t>
      </w:r>
      <w:r>
        <w:rPr/>
        <w:t>3</w:t>
      </w:r>
      <w:r>
        <w:rPr>
          <w:rtl w:val="true"/>
        </w:rPr>
        <w:t>: «</w:t>
      </w:r>
      <w:r>
        <w:rPr>
          <w:rtl w:val="true"/>
        </w:rPr>
        <w:t>فی ذکر جواز نسخ الشّرعیّات</w:t>
      </w:r>
      <w:r>
        <w:rPr>
          <w:rtl w:val="true"/>
        </w:rPr>
        <w:t>»</w:t>
      </w:r>
      <w:bookmarkEnd w:id="294"/>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الخلاف المعروف فی هذه المسألة مع الیهود،و قد حکی حکایة عمّن لا یعتدّ بقوله من أهل الصّلاة الامتناع من نسخ الشّرائع،و قوله مطرح لا یلتفت إلیه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الیهود علی ثلاث فرق</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یمنع من نسخ الشّرائع عقلا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الفرقة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تجوّز النّسخ عقلا،و تمنع منه سمعا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الفرقة الثّالثة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تجوّز النّسخ عقلا و سمعا،و إنّما تنکر نبوّة نبیّنا علیه السّلام </w:t>
      </w:r>
      <w:r>
        <w:rPr>
          <w:rStyle w:val="FootnoteAnchor"/>
          <w:rtl w:val="true"/>
        </w:rPr>
        <w:footnoteReference w:id="1051"/>
      </w:r>
      <w:r>
        <w:rPr>
          <w:rFonts w:ascii="IRNazanin" w:hAnsi="IRNazanin" w:eastAsia="IRNazanin"/>
          <w:color w:val="111111"/>
          <w:sz w:val="28"/>
          <w:sz w:val="28"/>
          <w:szCs w:val="28"/>
          <w:rtl w:val="true"/>
          <w:lang w:bidi="fa-IR"/>
        </w:rPr>
        <w:t>لأنّ ما یدّعی له من المعجزات عندهم لیست بدلالة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إذا بیّن الدّلالة علی نبوّة نبیّنا صلّی اللّه علیه و آله و سلم بالمعجزات الظّاهرة علی یده من القرآن و غیره من الآیات الّتی ظهرت علی یده،و دلّ علی وجه الإعجاز منها،ثبتت نبوّته علیه السّلام </w:t>
      </w:r>
      <w:r>
        <w:rPr>
          <w:rStyle w:val="FootnoteAnchor"/>
          <w:rtl w:val="true"/>
        </w:rPr>
        <w:footnoteReference w:id="1052"/>
      </w:r>
      <w:r>
        <w:rPr>
          <w:rFonts w:ascii="IRNazanin" w:hAnsi="IRNazanin" w:eastAsia="IRNazanin"/>
          <w:color w:val="111111"/>
          <w:sz w:val="28"/>
          <w:sz w:val="28"/>
          <w:szCs w:val="28"/>
          <w:rtl w:val="true"/>
          <w:lang w:bidi="fa-IR"/>
        </w:rPr>
        <w:t>،و إذا ثبتت نبوّته بطل قول من منع من النّسخ سمعا، و قول من أنکر نبوّته علیه السّلام،و إن جاز ذلک عقلا و سمعا</w:t>
      </w:r>
      <w:r>
        <w:rPr>
          <w:rFonts w:eastAsia="IRNazanin" w:cs="IRNazanin"/>
          <w:color w:val="111111"/>
          <w:sz w:val="28"/>
          <w:szCs w:val="28"/>
          <w:rtl w:val="true"/>
          <w:lang w:bidi="fa-IR"/>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کذلک یبطل بصحّة نبوّته صلّی اللّه علیه و آله و سلّم قول من منع من النّسخ عقلا،غیر إنّا نبیّن أنّ ما یدّعونه من الشّبهة العقلیة باطل،لیعلم بذلک أنّ الّذی تعلّقوا به غیر صحیح،و أنّه لو لم تثبت نبوّة نبیّنا و لا نبوّة أحد من الأنبیاء علیهم السّلام لکان ما ذکرناه جائزا سائغا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لیس هذا موضع الکلام فی النبوّة،فکنّا ندلّ علیه و هو مذکور فی کتب الأصول مستقصاة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یدلّ علی جواز النّسخ من جهة العقل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ثبت أنّ العبادات الشّرعیّات تابعة للمصالح،و لکونها ألطافا فی الواجبات العقلیّة،و لو لا ذلک لما وجبت </w:t>
      </w:r>
      <w:r>
        <w:rPr>
          <w:rStyle w:val="FootnoteAnchor"/>
          <w:rtl w:val="true"/>
        </w:rPr>
        <w:footnoteReference w:id="1053"/>
      </w:r>
      <w:r>
        <w:rPr>
          <w:rFonts w:ascii="IRNazanin" w:hAnsi="IRNazanin" w:eastAsia="IRNazanin"/>
          <w:color w:val="111111"/>
          <w:sz w:val="28"/>
          <w:sz w:val="28"/>
          <w:szCs w:val="28"/>
          <w:rtl w:val="true"/>
          <w:lang w:bidi="fa-IR"/>
        </w:rPr>
        <w:t>علی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قلنا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لأنّ الشّیء لا یجب بإیجاب موجب،و إنّما یجب لصفة هو علیها تقتضی وجوب الشّیء،و إنّما یدلّ إیجاب الحکیم له علی أنّ له صفة الوجوب،بأن </w:t>
      </w:r>
      <w:r>
        <w:rPr>
          <w:rStyle w:val="FootnoteAnchor"/>
          <w:rtl w:val="true"/>
        </w:rPr>
        <w:footnoteReference w:id="1054"/>
      </w:r>
      <w:r>
        <w:rPr>
          <w:rFonts w:ascii="IRNazanin" w:hAnsi="IRNazanin" w:eastAsia="IRNazanin"/>
          <w:color w:val="111111"/>
          <w:sz w:val="28"/>
          <w:sz w:val="28"/>
          <w:szCs w:val="28"/>
          <w:rtl w:val="true"/>
          <w:lang w:bidi="fa-IR"/>
        </w:rPr>
        <w:t>یصیر واجبا بإیجابه،لأنّ إیجاب ما لیس له صفة الوجوب یجری فی القبح مجری إیجاب الظّلم و القبیح أو إباحتهما،و قد علم قبح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ثبت هذه الجملة فلا یخلو وجه وجوب هذه العبادات أن یکون عقلیّا،أو ما ندّعیه من کونها مصالح و ألطافا،فلو کان وجه وجوبها عقلیّا لوجب أن یعلم بالعقل وجوب هذه العبادات،و کما علم وجوب جمیع الواجبات العقلیّة من وجوب شکر المنعم،و ردّ الودیعة،و قضاء الدّین،و الإنصاف،و غیر ذلک لما کان وجه وجوب هذه الأشیاء بیانا فی العقل،و قد علمنا أنّا لا نعلم بالعقل وجوب الصّلاة،و لا الزّکاة،و لا الصّوم،و لا غیر ذلک من العبادات الّتی جاءت الشّرائع بها،بل لا یحسن فعلها بالعقل، و إذا بطل أن یکون وجه وجوبها عقلا،ثبت أنّها إنّما تجب لکونها ألطافا و مصالح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ثبت ذلک،فلا یمتنع أن تتغیّر المصالح،فیصیر ما کان داعیا إلی فعل الواجب صارفا عن فعله،أو یصیر داعیا إلی فعل القبیح،و ما یکون مصلحة لزید لا یکون مصلحة لعمرو،و ما یکون مصلحة فی وقت یصیر مفسدة فی وقت آخر،و ذلک یوجب النّسخ،و إلاّ قبح التّکلیف</w:t>
      </w:r>
      <w:r>
        <w:rPr>
          <w:rFonts w:eastAsia="IRNazanin" w:cs="IRNazanin"/>
          <w:color w:val="111111"/>
          <w:sz w:val="28"/>
          <w:szCs w:val="28"/>
          <w:rtl w:val="true"/>
          <w:lang w:bidi="fa-IR"/>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لا یجوز أن یکون وجه وجوب هذه العبادات هو أنّ لنا فیها ثوابا، </w:t>
      </w:r>
    </w:p>
    <w:p>
      <w:pPr>
        <w:pStyle w:val="BookText"/>
        <w:rPr/>
      </w:pPr>
      <w:r>
        <w:rPr>
          <w:rFonts w:ascii="IRNazanin" w:hAnsi="IRNazanin" w:eastAsia="IRNazanin"/>
          <w:color w:val="111111"/>
          <w:sz w:val="28"/>
          <w:sz w:val="28"/>
          <w:szCs w:val="28"/>
          <w:rtl w:val="true"/>
          <w:lang w:bidi="fa-IR"/>
        </w:rPr>
        <w:t xml:space="preserve">دون کونها ألطافا؟ قیل </w:t>
      </w:r>
      <w:r>
        <w:rPr>
          <w:rStyle w:val="FootnoteAnchor"/>
          <w:rtl w:val="true"/>
        </w:rPr>
        <w:footnoteReference w:id="10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الشّیء لا یجب </w:t>
      </w:r>
      <w:r>
        <w:rPr>
          <w:rStyle w:val="FootnoteAnchor"/>
          <w:rtl w:val="true"/>
        </w:rPr>
        <w:footnoteReference w:id="1056"/>
      </w:r>
      <w:r>
        <w:rPr>
          <w:rFonts w:ascii="Amiri" w:hAnsi="Amiri" w:eastAsia="Amiri" w:cs="Amiri"/>
          <w:color w:val="111111"/>
          <w:sz w:val="28"/>
          <w:sz w:val="28"/>
          <w:szCs w:val="28"/>
          <w:rtl w:val="true"/>
          <w:lang w:bidi="ar-SA"/>
        </w:rPr>
        <w:t>من حیث کان فیه ثواب،لأنّه لو کان کذلک،لکانت النّوافل کلّها واجبة،و لم یکن فرق بینها و بین الواجبات،فلا بدّ من القول بما قلناه من أنّها إنّما وجبت لکونها ألطافا،و إنّما قلنا بذلک لأنّ ما یقع عنده الواجب لولاه لم یقع، یجب کوجوبه لا محالة،و قد ورد القرآن أیضا منبّها علی ما قلناه،قال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الصَّلاةَ تَنْهی عَنِ الْفَحْشاءِ وَ الْمُنْکَرِ  </w:t>
      </w:r>
      <w:r>
        <w:rPr>
          <w:rStyle w:val="FootnoteAnchor"/>
          <w:rtl w:val="true"/>
        </w:rPr>
        <w:footnoteReference w:id="1057"/>
      </w:r>
      <w:r>
        <w:rPr>
          <w:rFonts w:ascii="Amiri" w:hAnsi="Amiri" w:eastAsia="Amiri" w:cs="Amiri"/>
          <w:color w:val="111111"/>
          <w:sz w:val="28"/>
          <w:sz w:val="28"/>
          <w:szCs w:val="28"/>
          <w:rtl w:val="true"/>
          <w:lang w:bidi="ar-SA"/>
        </w:rPr>
        <w:t>فبیّن أنّها إنّما وجبت من حیث کانت صارفة عن فعل القبیح،و قال فی تحریم الخمر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یُرِیدُ الشَّیْطانُ أَنْ یُوقِعَ بَیْنَکُمُ الْعَداوَةَ وَ الْبَغْضاءَ فِی الْخَمْرِ وَ الْمَیْسِرِ وَ یَصُدَّکُمْ عَنْ ذِکْرِ اللّهِ وَ عَنِ الصَّلاةِ  </w:t>
      </w:r>
      <w:r>
        <w:rPr>
          <w:rStyle w:val="FootnoteAnchor"/>
          <w:rtl w:val="true"/>
        </w:rPr>
        <w:footnoteReference w:id="1058"/>
      </w:r>
      <w:r>
        <w:rPr>
          <w:rFonts w:ascii="IRNazanin" w:hAnsi="IRNazanin" w:eastAsia="IRNazanin"/>
          <w:color w:val="111111"/>
          <w:sz w:val="28"/>
          <w:sz w:val="28"/>
          <w:szCs w:val="28"/>
          <w:rtl w:val="true"/>
          <w:lang w:bidi="fa-IR"/>
        </w:rPr>
        <w:t>فبیّن أنّ وجه قبحها کونها صادّة عن ذکر اللّه،و موقعة للعداوة و البغضاء،و ذلک یبیّن صحّة ما قلناه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صحّ ما قلناه،حسن من اللّه تعالی أن یأمر الحسن أمرا مطلقا،فإذا تغیّر وجه الحسن فیه إلی وجه القبح نهی عنه،و ذلک هو النّسخ الّذی قلناه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تعلّق من خالف فی ذلک بأشیاء </w:t>
      </w:r>
      <w:r>
        <w:rPr>
          <w:rStyle w:val="FootnoteAnchor"/>
          <w:rtl w:val="true"/>
        </w:rPr>
        <w:footnoteReference w:id="10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ذلک یؤدّی إلی البداء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یؤدّی إلی کون الحسن قبیحا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یقتضی استحقاق الثّواب علی ما یستحقّ به العقاب،و الوعید علی ما یستحقّ به الوعد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إذا أطلق الأمر دلّ علی حسن المأمور به أبدا،فلو نهی عنه لانتقضت دلالته علی ذلک</w:t>
      </w:r>
      <w:r>
        <w:rPr>
          <w:rFonts w:eastAsia="IRNazanin" w:cs="IRNazanin"/>
          <w:color w:val="111111"/>
          <w:sz w:val="28"/>
          <w:szCs w:val="28"/>
          <w:rtl w:val="true"/>
          <w:lang w:bidi="fa-IR"/>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إذا أطلق الأمر اقتضی حسن المأمور به أبدا،لأنّه لو کان حسنا إلی </w:t>
      </w:r>
    </w:p>
    <w:p>
      <w:pPr>
        <w:pStyle w:val="BookText"/>
        <w:rPr/>
      </w:pPr>
      <w:r>
        <w:rPr>
          <w:rFonts w:ascii="IRNazanin" w:hAnsi="IRNazanin" w:eastAsia="IRNazanin"/>
          <w:color w:val="111111"/>
          <w:sz w:val="28"/>
          <w:sz w:val="28"/>
          <w:szCs w:val="28"/>
          <w:rtl w:val="true"/>
          <w:lang w:bidi="fa-IR"/>
        </w:rPr>
        <w:t>وقت لبیّن ذلک الوقت،کما یجب أن یبیّن خصوص العام و تفسیر المجمل،و إلاّ کان الخطاب قبیحا،فإذا لم یبیّن دلّ علی أنّ الفعل حسن أبدا،و إذا کان حسنا أبدا فالنّهی عنه قبیح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إذا أطلق الأمر بفعل وجب اعتقاد لزوم المأمور به أبدا،و العزم علی فعله دائما،و النّهی عنه یقتضی کون العزم و الاعتقاد قبیحین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إذا أطلق الأمر و غرضه فی الخطاب إفادة المخاطب،فلو لا أنّ المأمور به یلزم أبدا لبیّن له،و لما أبهم له ما أمره به،لأنّ ذلک تلبیس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إذا أمر بالشّیء مطلقا دائما،فلو جوّزنا النّهی عنه لأدّی إلی ألاّ یوصف بالقدرة،علی أن یخاطبنا بخطاب یقتضی الدّوام و یقطع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فهذه الوجوه أقوی ما یتعلّقون به،و نحن نجیب عن واحد واحد منها علی وجه یزول معه الشّک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عن الشّبهة الأولی،و الثّانیة،و الثّالثة بشیء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أنّا قد بیّنا فیما مضی أنّ النّسخ الّذی نجیزه هو أن یکون النّهی متناولا لمثل ما تناوله الأمر لا لعین ما تناوله،و ذلک یبطل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یؤدّی إلی البداء،و یبطل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یؤدّی إلی کون الحسن قبیحا،لأنّ الحسن غیر القبیح علی ما قرّرناه،و یبطل أیضا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یستحقّ العقاب بما یستحقّ به الثواب،لأنّ علی التقریر الّذی قرّرناه ما یستحقّ به الثّواب غیر الّذی یستحقّ به العقاب</w:t>
      </w:r>
      <w:r>
        <w:rPr>
          <w:rFonts w:eastAsia="IRNazanin" w:cs="IRNazanin"/>
          <w:color w:val="111111"/>
          <w:sz w:val="28"/>
          <w:szCs w:val="28"/>
          <w:rtl w:val="true"/>
          <w:lang w:bidi="fa-IR"/>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 عن الشّبهة 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الأمر بإطلاقه یدلّ علی حسن المأمور به أبدا،فلو نهی عنه لانتقضت دلالته علی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فهو أنّ الأمر عندنا لا یقتضی التّکرار بمجرّده و إنّما یقتضی الفعل مرّة واحدة </w:t>
      </w:r>
      <w:r>
        <w:rPr>
          <w:rStyle w:val="FootnoteAnchor"/>
          <w:rtl w:val="true"/>
        </w:rPr>
        <w:footnoteReference w:id="1060"/>
      </w:r>
      <w:r>
        <w:rPr>
          <w:rFonts w:ascii="IRNazanin" w:hAnsi="IRNazanin" w:eastAsia="IRNazanin"/>
          <w:color w:val="111111"/>
          <w:sz w:val="28"/>
          <w:sz w:val="28"/>
          <w:szCs w:val="28"/>
          <w:rtl w:val="true"/>
          <w:lang w:bidi="fa-IR"/>
        </w:rPr>
        <w:t>،فعلی هذا سقطت الشّبهة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اقترن باللّفظ قول الآمر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 أبدا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فلفظ التّأبید لا یفید الدّوام علی کلّ حال،لأنّ هذه اللّفظة تستعمل فیما لا یراد الدّوام،أ لا تری أنّ القائل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ألزم فلانا أبدا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امض </w:t>
      </w:r>
    </w:p>
    <w:p>
      <w:pPr>
        <w:pStyle w:val="BookText"/>
        <w:rPr/>
      </w:pPr>
      <w:r>
        <w:rPr>
          <w:rFonts w:ascii="IRNazanin" w:hAnsi="IRNazanin" w:eastAsia="IRNazanin"/>
          <w:color w:val="111111"/>
          <w:sz w:val="28"/>
          <w:sz w:val="28"/>
          <w:szCs w:val="28"/>
          <w:rtl w:val="true"/>
          <w:lang w:bidi="fa-IR"/>
        </w:rPr>
        <w:t>فی طلب العلم أبدا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اتّجر أبدا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 ذلک،و نحن نعلم أنّه لا یراد بجمیع ذلک الدّوام،لأنّه لا بدّ من انقطاع المأمور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اقترن باللّفظ دلیل یدلّ علی أنّ المراد بالأمر التّکرار،فذلک أیضا لا یدلّ علی الدّوام،لأنّه إنّما یقتضی تکرار الفعل ما دام مصلحة،فأمّا إذا تغیّرت فلا یقتضیه، لأنّ دلالة السّمع تترتّب علی دلالة العقل،و معلوم بالعقل أنّ اللّه تعالی إنّما یأمرنا بالفعل ما دام مصلحة لنا،فإذا صار مثله مفسدة وجب أن ینهی عنه،و یجری ذلک مجری ما علم بالعقل أنّه یأمرنا بالفعل ما دمنا قادرین،فإذا عجزنا عنه سقط التّکلیف عنّا،فإذا ثبت ذلک کان أمره تعالی مرتّبا علی دلیل العقل،و یصیر ذلک فی حکم المنطوق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ثبت ما قلناه،فقولهم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النّهی ینقض دلالة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کقول القائل إنّ العجز المزیل للزوم المأمور به ینقض دلالة الآمر،و ذلک بیّن الفساد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عن الشّبهة الخامسة،و هی أنّه إذا أطلق الأمر،فلو کان المراد به إلی وقت لبیّنه کما یجب بیان الخصوص و المجمل،فهو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الآمر إنّما یجب أن یبیّن ما قصد بالأمر إلیه و ما لا یصحّ مع عدم بیانه،إذ المأمور به من المکلّف،فأمّا ما عداه فلا یجب بیانه فی الحال،و قد علمنا أنّ المکلّف متی بیّن له صفة ما امر و أمکنه،أدّاه علی الوجه الّذی کلّفه،و إن لم یبیّن له الوقت الّذی یزول وجوب ذلک فیه،و لا یصحّ منه أداء المأمور به بالخطاب المجمل إلاّ بعد البیان،و کذلک القول فی تخصیص العموم، فلذلک ساغ تأخیر بیان النّسخ عن حال الخطاب،و امتنع ذلک فی تخصیص العام و بیان المجمل،و الشّاهد یشهد بصحّة ما قلناه،و لأنّ السیّد لو أمر غلامه بأخذ وظیفة له فی کلّ یوم و فی نیّته إلی غایة،لم یجب أن یبیّنها له،و إن کان لا بدّ من أن یبیّن له صفة الوظیفة الّتی أمره بأخذها،و هذا بیّن</w:t>
      </w:r>
      <w:r>
        <w:rPr>
          <w:rFonts w:eastAsia="IRNazanin" w:cs="IRNazanin"/>
          <w:color w:val="111111"/>
          <w:sz w:val="28"/>
          <w:szCs w:val="28"/>
          <w:rtl w:val="true"/>
          <w:lang w:bidi="fa-IR"/>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 عن الشّبهة السّادسة،و هی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إذا أطلق الأمر فقد أوجب اعتقاد لزوم المأمور به أبدا،أو العزم علی فعله أبدا،و النّهی یقتضی کونهما قبیحین فهو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الأمر إذا ورد فإنّما یجب أن یعتقد المأمور فعله ما دام مصلحة،و العزم علی </w:t>
      </w:r>
    </w:p>
    <w:p>
      <w:pPr>
        <w:pStyle w:val="BookText"/>
        <w:rPr/>
      </w:pPr>
      <w:r>
        <w:rPr>
          <w:rFonts w:ascii="IRNazanin" w:hAnsi="IRNazanin" w:eastAsia="IRNazanin"/>
          <w:color w:val="111111"/>
          <w:sz w:val="28"/>
          <w:sz w:val="28"/>
          <w:szCs w:val="28"/>
          <w:rtl w:val="true"/>
          <w:lang w:bidi="fa-IR"/>
        </w:rPr>
        <w:t>فعله علی هذا الشرط،و ورود النّهی عن أمثاله لا یؤثّر فی ذلک،هذا إذا کان الخطاب فی حال یجوز فیها النّسخ،فامّا بعد انقطاع الوحی،فیجب أن یعتقد بمثل ذلک و یعزم علیه ما دام علی صفة یلزمه ففی الحالین لا بدّ من دخول الشّرط فی العزم و الاعتقاد، و إن کان فی أحد الحالین مشترطا لشیئین،و فی الحال الأخری بوجه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عن الشّبهة السّابعة،و هی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أطلق الأمر و غرضه إفادة المخاطب،فلو لم یلزم المأمور به أبدا لبیّن،لأنّه لا یجوز أن یقصد التّلبیس،فإذا لم یبیّن علم دوامه،فهو أن یقال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لیس الأمر لم یبیّن الوقت الّذی یزول فیه التّکلیف؟فلا بدّ من 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فتنسبه إلی أنّه لیس؟ فإن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نعم،التزم ما أراد إلزامنا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لا،لأنّه قد دلّ من جهة العقل علیه فی الجملة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قد دلّ علی جواز النّسخ من جهة العقل فی الجملة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أنّه إنّما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إذا یبیّن ما یجب بیانه و یحتاج المکلّف إلیه فیما کلّف،و أمّا إذا لم یبیّن ما لیس هذه حاله،و المعلوم أنّه سیبیّنه فی حال الحاجة، فالتّلبیس زائل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عن الشّبهة الثّامنة،و هی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أمره بالشّیء مطلقا لو لم یمنع من النّسخ،لما کان موصوفا بالقدرة علی أن یدلّنا علی تأبید العبادة إلی وقت زوال التّکلیف،فهو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یصحّ أن یعرف ذلک بأن یضطرّ إلی قصد الرّسول صلّی اللّه علیه و آله و سلّم فیه،کما اضطرّنا إلی قصده فی أنّ شرعه دائم،و فی أنّه لا نبیّ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یجوز أن یعرف ذلک بانقطاع الوحی أیضا،و یعرف الرّسول صلّی اللّه علیه و آله و سلّم بأن یعرف أنّ صلاح أمّته فی هذا الشّرع ما داموا مکلّفین</w:t>
      </w:r>
      <w:r>
        <w:rPr>
          <w:rFonts w:eastAsia="IRNazanin" w:cs="IRNazanin"/>
          <w:color w:val="111111"/>
          <w:sz w:val="28"/>
          <w:szCs w:val="28"/>
          <w:rtl w:val="true"/>
          <w:lang w:bidi="fa-IR"/>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أنّه لو لم یصحّ أن یعرف ذلک علی التّفصیل،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عرفنا علی 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لعلمنا أنّه ما دام صلاحا لنا،فلا بدّ من أن یلزمنا لما أثّر فی ما نقوله،علی أنّا نعلم أنّ </w:t>
      </w:r>
    </w:p>
    <w:p>
      <w:pPr>
        <w:pStyle w:val="BookText"/>
        <w:rPr/>
      </w:pPr>
      <w:r>
        <w:rPr>
          <w:rFonts w:ascii="IRNazanin" w:hAnsi="IRNazanin" w:eastAsia="IRNazanin"/>
          <w:color w:val="111111"/>
          <w:sz w:val="28"/>
          <w:sz w:val="28"/>
          <w:szCs w:val="28"/>
          <w:rtl w:val="true"/>
          <w:lang w:bidi="fa-IR"/>
        </w:rPr>
        <w:t xml:space="preserve">المأمور به لا یجوز دوام لزومه،لأنّ ما </w:t>
      </w:r>
      <w:r>
        <w:rPr>
          <w:rStyle w:val="FootnoteAnchor"/>
          <w:rtl w:val="true"/>
        </w:rPr>
        <w:footnoteReference w:id="1061"/>
      </w:r>
      <w:r>
        <w:rPr>
          <w:rFonts w:ascii="IRNazanin" w:hAnsi="IRNazanin" w:eastAsia="IRNazanin"/>
          <w:color w:val="111111"/>
          <w:sz w:val="28"/>
          <w:sz w:val="28"/>
          <w:szCs w:val="28"/>
          <w:rtl w:val="true"/>
          <w:lang w:bidi="fa-IR"/>
        </w:rPr>
        <w:t>یحسن من اللّه تعالی إلزامه إنّما یقتضی انقطاعه،و هو استحقاق الثّواب علیه،و لذلک یعلم أنّه إنّما یلزم ما دام صلاحا و لا حاجة بنا إلی علم آخر لا یفتقر التّکلیف إلیه،و هذا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استدلّ الخلق علی جواز النّسخ بما یفعله القدیم تعالی من الإمراض بعد الصحّة،و الفقر بعد الغنی،و أنّه إذا جاز أن یختلف ذلک بحسب مصالح العباد، فکذلک ما یکلّفونه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قریب،و إن کان الأوّل هو 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من أبی النّسخ من أهل الملّة،فما قدّمناه یبطل قوله،و یبطله أیضا وقوع النّسخ فی شریعتنا بلا ارتیاب،لأنّه لا خلاف بین الأمّة أنّ القبلة کانت إلی بیت المقدس،و أنّه نسخ ذلک بالتّوجّه إلی الکعبة،و کذلک نسخ الحول فی عدّة المتوفّی عنها زوجها بأربعة أشهر و عشرا،و نسخ أیضا تقدیم الصّدقة بین یدی نجوی الرّسول صلّی اللّه علیه و آله و سلّم و کذلک نسخ وجوب ثبات الواحد للعشرة بثبات الواحد للاثنین،و نظائر ذلک کثیرة فلا معنی للإکثار فیه</w:t>
      </w:r>
      <w:r>
        <w:rPr>
          <w:rFonts w:eastAsia="IRNazanin" w:cs="IRNazanin"/>
          <w:color w:val="111111"/>
          <w:sz w:val="28"/>
          <w:szCs w:val="28"/>
          <w:rtl w:val="true"/>
          <w:lang w:bidi="fa-IR"/>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فهذه جملة کافیة فی هذا الباب</w:t>
      </w:r>
      <w:r>
        <w:rPr>
          <w:rFonts w:eastAsia="IRNazanin" w:cs="IRNazanin"/>
          <w:color w:val="111111"/>
          <w:sz w:val="28"/>
          <w:szCs w:val="28"/>
          <w:rtl w:val="true"/>
          <w:lang w:bidi="fa-IR"/>
        </w:rPr>
        <w:t xml:space="preserve">. </w:t>
      </w:r>
      <w:bookmarkStart w:id="295" w:name="pg6519_49716"/>
    </w:p>
    <w:p>
      <w:pPr>
        <w:pStyle w:val="Heading4"/>
        <w:numPr>
          <w:ilvl w:val="3"/>
          <w:numId w:val="1"/>
        </w:numPr>
        <w:rPr/>
      </w:pPr>
      <w:bookmarkStart w:id="296" w:name="__RefHeading___Toc1757343_653776707"/>
      <w:bookmarkStart w:id="297" w:name="_Toc95"/>
      <w:bookmarkEnd w:id="295"/>
      <w:bookmarkEnd w:id="296"/>
      <w:r>
        <w:rPr>
          <w:rtl w:val="true"/>
        </w:rPr>
        <w:t>فصل</w:t>
      </w:r>
      <w:r>
        <w:rPr>
          <w:rtl w:val="true"/>
        </w:rPr>
        <w:t>-</w:t>
      </w:r>
      <w:r>
        <w:rPr/>
        <w:t>4</w:t>
      </w:r>
      <w:r>
        <w:rPr>
          <w:rtl w:val="true"/>
        </w:rPr>
        <w:t xml:space="preserve">: </w:t>
      </w:r>
      <w:r>
        <w:rPr>
          <w:rtl w:val="true"/>
        </w:rPr>
        <w:t>فی ذکر جواز نسخ الحکم دون التّلاوة، و نسخ التّلاوة دون الحکم</w:t>
      </w:r>
      <w:bookmarkEnd w:id="297"/>
    </w:p>
    <w:p>
      <w:pPr>
        <w:pStyle w:val="BookText"/>
        <w:rPr/>
      </w:pPr>
      <w:r>
        <w:rPr>
          <w:rFonts w:ascii="IRNazanin" w:hAnsi="IRNazanin" w:eastAsia="IRNazanin"/>
          <w:color w:val="111111"/>
          <w:sz w:val="28"/>
          <w:sz w:val="28"/>
          <w:szCs w:val="28"/>
          <w:rtl w:val="true"/>
          <w:lang w:bidi="fa-IR"/>
        </w:rPr>
        <w:t>فی ذکر جواز نسخ الحکم دون التّلاوة، و نسخ التّلاوة دون الحکم</w:t>
      </w:r>
    </w:p>
    <w:p>
      <w:pPr>
        <w:pStyle w:val="BookText"/>
        <w:rPr/>
      </w:pPr>
      <w:r>
        <w:rPr>
          <w:rFonts w:ascii="IRNazanin" w:hAnsi="IRNazanin" w:eastAsia="IRNazanin"/>
          <w:color w:val="111111"/>
          <w:sz w:val="28"/>
          <w:sz w:val="28"/>
          <w:szCs w:val="28"/>
          <w:rtl w:val="true"/>
          <w:lang w:bidi="fa-IR"/>
        </w:rPr>
        <w:t>جمیع ما ذکرناه جائز دخول النّسخ فیه،لأنّ التّلاوة إذا کانت عبادة،و الحکم عبادة أخری جاز وقوع النّسخ فی إحداهما مع بقاء الآخر،کما یصلح ذلک فی کلّ عبادتین،و إذا ثبت ذلک جاز نسخ التّلاوة دون الحکم،و الحکم دون التّلاوة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قیل </w:t>
      </w:r>
      <w:r>
        <w:rPr>
          <w:rStyle w:val="FootnoteAnchor"/>
          <w:rtl w:val="true"/>
        </w:rPr>
        <w:footnoteReference w:id="10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یجوز نسخ الحکم مع بقاء التّلاوة؟و هل ذلک إلاّ نقض؟ لکون التّلاوة دلالة علی الحکم،لأنّها إذا کانت دلالة علی الحکم فینبغی أن تکون دلالة ما دامت ثابتة،و إلاّ کان نقضا علی ما بیّناه</w:t>
      </w:r>
      <w:r>
        <w:rPr>
          <w:rFonts w:eastAsia="IRNazanin" w:cs="IRNazanin"/>
          <w:color w:val="111111"/>
          <w:sz w:val="28"/>
          <w:szCs w:val="28"/>
          <w:rtl w:val="true"/>
          <w:lang w:bidi="fa-IR"/>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لیس ذلک نقضا،لکونها دلالة،لأنّها إنّما تدلّ علی الحکم ما دام الحکم </w:t>
      </w:r>
    </w:p>
    <w:p>
      <w:pPr>
        <w:pStyle w:val="BookText"/>
        <w:rPr/>
      </w:pPr>
      <w:r>
        <w:rPr>
          <w:rFonts w:ascii="IRNazanin" w:hAnsi="IRNazanin" w:eastAsia="IRNazanin"/>
          <w:color w:val="111111"/>
          <w:sz w:val="28"/>
          <w:sz w:val="28"/>
          <w:szCs w:val="28"/>
          <w:rtl w:val="true"/>
          <w:lang w:bidi="fa-IR"/>
        </w:rPr>
        <w:t>مصلحة،فأمّا إذا تغیّر حال الحکم و خرج من کونه مصلحة إلی غیره لم تکن التّلاوة دلالة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لهم أن یقولوا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فائدة فی بقاء التّلاوة إذا ارتفع الحکم،و ذلک أنّه لا یمتنع أن تتعلّق المصلحة بنفس التّلاوة و إن لم یقتض الحکم،و إذا لم یمتنع ذلک جاز بقاؤها مع ارتفاع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لهم أن یقولوا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المذهب یؤدّی إلی أنّه یجوز أن یفعل جنس الکلام بمجرّد المصلحة دون الإفادة،و ذلک ممّا تأبونه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لأنّا إنّما نمنع فی الموضع الّذی أشاروا إلیه إذا خلا الکلام من فائدة أصلا، و لیس کذلک بقاء التّلاوة مع ارتفاع الحکم،لأنّها أفادت فی الابتداء تعلّق الحکم بها و قصد بها ذلک،و إنّما تغیّرت المصلحة فی المستقبل فی الحکم فنسخ و بقیت </w:t>
      </w:r>
      <w:r>
        <w:rPr>
          <w:rStyle w:val="FootnoteAnchor"/>
          <w:rtl w:val="true"/>
        </w:rPr>
        <w:footnoteReference w:id="1063"/>
      </w:r>
      <w:r>
        <w:rPr>
          <w:rFonts w:ascii="IRNazanin" w:hAnsi="IRNazanin" w:eastAsia="IRNazanin"/>
          <w:color w:val="111111"/>
          <w:sz w:val="28"/>
          <w:sz w:val="28"/>
          <w:szCs w:val="28"/>
          <w:rtl w:val="true"/>
          <w:lang w:bidi="fa-IR"/>
        </w:rPr>
        <w:t>التّلاوة لما فیها من المصلحة،و ذلک یخالف ما سأل السّائل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نسخ التّلاوة مع بقاء الحکم </w:t>
      </w:r>
      <w:r>
        <w:rPr>
          <w:rStyle w:val="FootnoteAnchor"/>
          <w:rtl w:val="true"/>
        </w:rPr>
        <w:footnoteReference w:id="1064"/>
      </w:r>
      <w:r>
        <w:rPr>
          <w:rFonts w:ascii="IRNazanin" w:hAnsi="IRNazanin" w:eastAsia="IRNazanin"/>
          <w:color w:val="111111"/>
          <w:sz w:val="28"/>
          <w:sz w:val="28"/>
          <w:szCs w:val="28"/>
          <w:rtl w:val="true"/>
          <w:lang w:bidi="fa-IR"/>
        </w:rPr>
        <w:t>،فلا شبهة فیه لما قلناه من جواز تعلّق المصلحة بالحکم دون التّلاوة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لهم أن یقولوا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الحکم قد ثبت بها،فلا یجوز مع زوال التّلاوة بقاؤه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أنّ التّلاوة دلالة علی الحکم،و لیس فی عدم الدّلالة عدم المدلول علیه،أ لا تری أنّ انشقاق القمر و مجیء الشّجرة دالّ علی نبوّة نبیّنا صلّی اللّه علیه و آله و سلّم و لا یوجب عدمهما خروجه صلّی اللّه علیه و آله و سلّم من کونه نبیّا، و کذلک القول فی التّلاوة و الحکم،و یفارق ذلک حکم العلم الّذی یوجب عدمه خروج العالم من کونه عالما،لأنّ العلم موجب لا أنّه دالّ</w:t>
      </w:r>
      <w:r>
        <w:rPr>
          <w:rFonts w:eastAsia="IRNazanin" w:cs="IRNazanin"/>
          <w:color w:val="111111"/>
          <w:sz w:val="28"/>
          <w:szCs w:val="28"/>
          <w:rtl w:val="true"/>
          <w:lang w:bidi="fa-IR"/>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جواز النّسخ فیهما،فلا شبهة أیضا فیه لجواز تغیّر المصلحة فیهما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قد ورد النّسخ بجمیع ما قلناه،لأنّ اللّه تعالی نسخ اعتداد الحول بتربّص أربعة أشهر و عشرا،و نسخ التّصدّق قبل المناجاة،و نسخ ثبات الواحد للعشرة و إن کانت التّلاوة باقیة فی جمیع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نسخ أیضا التّلاوة و بقی الحکم علی ما روی من آیة الرّجم من 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و الشّیخة إذا زنیا فارجموهما البتّة نکالا من اللّه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ذلک ممّا أنزله اللّه و الحکم باق بلا خلاف</w:t>
      </w:r>
      <w:r>
        <w:rPr>
          <w:rFonts w:eastAsia="IRNazanin" w:cs="IRNazanin"/>
          <w:color w:val="111111"/>
          <w:sz w:val="28"/>
          <w:szCs w:val="28"/>
          <w:rtl w:val="true"/>
          <w:lang w:bidi="fa-IR"/>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کذلک روی فی تتابع صیام کفّارة الیمین فی قراءة عبد اللّه بن مسعود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لأنّه </w:t>
      </w:r>
    </w:p>
    <w:p>
      <w:pPr>
        <w:pStyle w:val="BookText"/>
        <w:rPr/>
      </w:pPr>
      <w:r>
        <w:rPr>
          <w:rFonts w:ascii="IRNazanin" w:hAnsi="IRNazanin" w:eastAsia="IRNazanin"/>
          <w:color w:val="111111"/>
          <w:sz w:val="28"/>
          <w:sz w:val="28"/>
          <w:szCs w:val="28"/>
          <w:rtl w:val="true"/>
          <w:lang w:bidi="fa-IR"/>
        </w:rPr>
        <w:t>قد نسخ التّلاوة و الحکم باق عند من یقول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نسخهما معا،فمثل ما روی عن عائشة أنّها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فیما أنزله تعالی عشر رضعات یحرّمن،ثمّ نسخت بخمس</w:t>
      </w:r>
      <w:r>
        <w:rPr>
          <w:rFonts w:eastAsia="IRNazanin" w:cs="IRNazanin"/>
          <w:color w:val="111111"/>
          <w:sz w:val="28"/>
          <w:szCs w:val="28"/>
          <w:rtl w:val="true"/>
          <w:lang w:bidi="fa-IR"/>
        </w:rPr>
        <w:t xml:space="preserve">» </w:t>
      </w:r>
      <w:r>
        <w:rPr>
          <w:rStyle w:val="FootnoteAnchor"/>
          <w:rtl w:val="true"/>
        </w:rPr>
        <w:footnoteReference w:id="1065"/>
      </w:r>
      <w:r>
        <w:rPr>
          <w:rFonts w:ascii="IRNazanin" w:hAnsi="IRNazanin" w:eastAsia="IRNazanin"/>
          <w:color w:val="111111"/>
          <w:sz w:val="28"/>
          <w:sz w:val="28"/>
          <w:szCs w:val="28"/>
          <w:rtl w:val="true"/>
          <w:lang w:bidi="fa-IR"/>
        </w:rPr>
        <w:t>فجرت بنسخة تلاوة و حکما</w:t>
      </w:r>
      <w:r>
        <w:rPr>
          <w:rFonts w:eastAsia="IRNazanin" w:cs="IRNazanin"/>
          <w:color w:val="111111"/>
          <w:sz w:val="28"/>
          <w:szCs w:val="28"/>
          <w:rtl w:val="true"/>
          <w:lang w:bidi="fa-IR"/>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إنّما ذکرنا هذه المواضع علی جهة المثال،و لو لم یقع شیء منها لما أخلّ بجواز ما ذکرناه و صحّته،لأنّ الّذی أجاز ذلک ما قدّمناه من الدّلیل،و ذلک کاف فی هذا الباب</w:t>
      </w:r>
      <w:r>
        <w:rPr>
          <w:rFonts w:eastAsia="IRNazanin" w:cs="IRNazanin"/>
          <w:color w:val="111111"/>
          <w:sz w:val="28"/>
          <w:szCs w:val="28"/>
          <w:rtl w:val="true"/>
          <w:lang w:bidi="fa-IR"/>
        </w:rPr>
        <w:t xml:space="preserve">. </w:t>
      </w:r>
      <w:bookmarkStart w:id="298" w:name="pg6519_49720"/>
    </w:p>
    <w:p>
      <w:pPr>
        <w:pStyle w:val="Heading4"/>
        <w:numPr>
          <w:ilvl w:val="3"/>
          <w:numId w:val="1"/>
        </w:numPr>
        <w:rPr/>
      </w:pPr>
      <w:bookmarkStart w:id="299" w:name="__RefHeading___Toc1757345_653776707"/>
      <w:bookmarkStart w:id="300" w:name="_Toc96"/>
      <w:bookmarkEnd w:id="298"/>
      <w:bookmarkEnd w:id="299"/>
      <w:r>
        <w:rPr>
          <w:rtl w:val="true"/>
        </w:rPr>
        <w:t>فصل</w:t>
      </w:r>
      <w:r>
        <w:rPr>
          <w:rtl w:val="true"/>
        </w:rPr>
        <w:t>-</w:t>
      </w:r>
      <w:r>
        <w:rPr/>
        <w:t>5</w:t>
      </w:r>
      <w:r>
        <w:rPr>
          <w:rtl w:val="true"/>
        </w:rPr>
        <w:t>: «</w:t>
      </w:r>
      <w:r>
        <w:rPr>
          <w:rtl w:val="true"/>
        </w:rPr>
        <w:t>فی نسخ الشّیء قبل وقت فعله،ما حکمه؟</w:t>
      </w:r>
      <w:r>
        <w:rPr>
          <w:rtl w:val="true"/>
        </w:rPr>
        <w:t>»</w:t>
      </w:r>
      <w:bookmarkEnd w:id="30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نسخ الشّیء قبل وقت فعله،ما حکمه؟</w:t>
      </w:r>
      <w:r>
        <w:rPr>
          <w:rFonts w:eastAsia="IRNazanin" w:cs="IRNazanin"/>
          <w:color w:val="111111"/>
          <w:sz w:val="28"/>
          <w:szCs w:val="28"/>
          <w:rtl w:val="true"/>
          <w:lang w:bidi="fa-IR"/>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اختلف العلماء فی ذلک،فذهبت طائفة من أصحاب الشّافعی و غیرهم إلی </w:t>
      </w:r>
    </w:p>
    <w:p>
      <w:pPr>
        <w:pStyle w:val="BookText"/>
        <w:rPr/>
      </w:pPr>
      <w:r>
        <w:rPr>
          <w:rFonts w:ascii="IRNazanin" w:hAnsi="IRNazanin" w:eastAsia="IRNazanin"/>
          <w:color w:val="111111"/>
          <w:sz w:val="28"/>
          <w:sz w:val="28"/>
          <w:szCs w:val="28"/>
          <w:rtl w:val="true"/>
          <w:lang w:bidi="fa-IR"/>
        </w:rPr>
        <w:t xml:space="preserve">جواز نسخ الشّیء قبل وقت فعله </w:t>
      </w:r>
      <w:r>
        <w:rPr>
          <w:rStyle w:val="FootnoteAnchor"/>
          <w:rtl w:val="true"/>
        </w:rPr>
        <w:footnoteReference w:id="1066"/>
      </w:r>
      <w:r>
        <w:rPr>
          <w:rFonts w:ascii="IRNazanin" w:hAnsi="IRNazanin" w:eastAsia="IRNazanin"/>
          <w:color w:val="111111"/>
          <w:sz w:val="28"/>
          <w:sz w:val="28"/>
          <w:szCs w:val="28"/>
          <w:rtl w:val="true"/>
          <w:lang w:bidi="fa-IR"/>
        </w:rPr>
        <w:t>،و إلی ذلک کان یذهب شیخنا أبو عبد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ذهب المتکلّمون من المعتزلة،و أکثر أصحاب أبی حنیفة،و بعض أصحاب الشّافعی إلی أنّ ذلک لا یجوز </w:t>
      </w:r>
      <w:r>
        <w:rPr>
          <w:rStyle w:val="FootnoteAnchor"/>
          <w:rtl w:val="true"/>
        </w:rPr>
        <w:footnoteReference w:id="1067"/>
      </w:r>
      <w:r>
        <w:rPr>
          <w:rFonts w:ascii="IRNazanin" w:hAnsi="IRNazanin" w:eastAsia="IRNazanin"/>
          <w:color w:val="111111"/>
          <w:sz w:val="28"/>
          <w:sz w:val="28"/>
          <w:szCs w:val="28"/>
          <w:rtl w:val="true"/>
          <w:lang w:bidi="fa-IR"/>
        </w:rPr>
        <w:t xml:space="preserve">،و هو الّذی یختاره سیّدنا المرتضی </w:t>
      </w:r>
      <w:r>
        <w:rPr>
          <w:rStyle w:val="FootnoteAnchor"/>
          <w:rtl w:val="true"/>
        </w:rPr>
        <w:footnoteReference w:id="1068"/>
      </w:r>
      <w:r>
        <w:rPr>
          <w:rFonts w:ascii="Amiri" w:hAnsi="Amiri" w:eastAsia="Amiri" w:cs="Amiri"/>
          <w:color w:val="111111"/>
          <w:sz w:val="28"/>
          <w:sz w:val="28"/>
          <w:szCs w:val="28"/>
          <w:rtl w:val="true"/>
          <w:lang w:bidi="ar-SA"/>
        </w:rPr>
        <w:t xml:space="preserve">رحمه اللّه </w:t>
      </w:r>
      <w:r>
        <w:rPr>
          <w:rStyle w:val="FootnoteAnchor"/>
          <w:rtl w:val="true"/>
        </w:rPr>
        <w:footnoteReference w:id="1069"/>
      </w:r>
      <w:r>
        <w:rPr>
          <w:rFonts w:ascii="IRNazanin" w:hAnsi="IRNazanin" w:eastAsia="IRNazanin"/>
          <w:color w:val="111111"/>
          <w:sz w:val="28"/>
          <w:sz w:val="28"/>
          <w:szCs w:val="28"/>
          <w:rtl w:val="true"/>
          <w:lang w:bidi="fa-IR"/>
        </w:rPr>
        <w:t>، و هو الّذی یقوی فی نفسی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یدلّ علی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القول بجواز ذلک یؤدّی إلی أن ینهی اللّه تعالی عن نفس ما أمر به،لأنّه إذا أمر بشیء بعینه فی وقت بعینه ثمّ نهاه عنه قبل مجیء الوقت عن ذلک الفعل بعینه،فقد نهاه عن نفس ما أمر به،و ذلک قبیح من 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ذلک الفعل لا یخلو من أن یکون قبیحا أو حسنا،فإن کان قبیحا فالأمر به قبیح،فإن کان حسنا فالنّهی عنه قبیح،و هذا یوجب کونه فاعلا للقبیح، تعالی اللّه عن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الوجه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یؤدّی إلی البداء،لأنّه لو کان حال ما أمر به علی ما کان علیه قبل الأمر لما نهی عنه،فدلّ نهیه علی أنّه قد ظهر له من حاله ما لم یکن ظاهرا،أو استتر عنه ما کان عالما به،و کلّ ذلک لا یجوز علیه تعالی لأنّ البداء إذا لم یجز علیه لم یجز أن یفعل ما یدلّ علی البداء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إنّما نجیز أن ینهی قبل الوقت عن مثل ما أمر به لا عنه بعینه،فلا یلزم ما ذکرتموه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الأمر الأوّل اقتضی فعلا واحدا فی هذا الوقت،فإذا نهی عن مثله لم یوصف ذلک بأنّه نسخ أصلا</w:t>
      </w:r>
      <w:r>
        <w:rPr>
          <w:rFonts w:eastAsia="IRNazanin" w:cs="IRNazanin"/>
          <w:color w:val="111111"/>
          <w:sz w:val="28"/>
          <w:szCs w:val="28"/>
          <w:rtl w:val="true"/>
          <w:lang w:bidi="fa-IR"/>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قال </w:t>
      </w:r>
      <w:r>
        <w:rPr>
          <w:rStyle w:val="FootnoteAnchor"/>
          <w:rtl w:val="true"/>
        </w:rPr>
        <w:footnoteReference w:id="10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اقتضی الفعلین جمیعا فکیف کان جوابکم؟ قیل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کان أرادهما جمیعا بالأمر،فإذا نهی عن أحدهما فقد نهی عمّا أمر </w:t>
      </w:r>
    </w:p>
    <w:p>
      <w:pPr>
        <w:pStyle w:val="BookText"/>
        <w:rPr/>
      </w:pPr>
      <w:r>
        <w:rPr>
          <w:rFonts w:ascii="IRNazanin" w:hAnsi="IRNazanin" w:eastAsia="IRNazanin"/>
          <w:color w:val="111111"/>
          <w:sz w:val="28"/>
          <w:sz w:val="28"/>
          <w:szCs w:val="28"/>
          <w:rtl w:val="true"/>
          <w:lang w:bidi="fa-IR"/>
        </w:rPr>
        <w:t xml:space="preserve">به،و هذا هو </w:t>
      </w:r>
      <w:r>
        <w:rPr>
          <w:rStyle w:val="FootnoteAnchor"/>
          <w:rtl w:val="true"/>
        </w:rPr>
        <w:footnoteReference w:id="1071"/>
      </w:r>
      <w:r>
        <w:rPr>
          <w:rFonts w:ascii="IRNazanin" w:hAnsi="IRNazanin" w:eastAsia="IRNazanin"/>
          <w:color w:val="111111"/>
          <w:sz w:val="28"/>
          <w:sz w:val="28"/>
          <w:szCs w:val="28"/>
          <w:rtl w:val="true"/>
          <w:lang w:bidi="fa-IR"/>
        </w:rPr>
        <w:t>الّذی أفسدناه آنفا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أراد أحدهما فهو المأمور به دون الآخر،و النّهی أنبأ عن أنّه لم یرد غیر هذا الفعل فقط،و هذا جائز عندنا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إذا صحّ الجمع بین الفعلین،فأمّا إن تعذّر ذلک فالأمر بهما مستحیل إلاّ علی وجه التّخییر،و متی أمر بهما علی وجه التّخییر فقد أریدا جمیعا،و النّهی عن أحدهما کالنّهی عنهما جمیعا فی أنّه نهی عمّا أمر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فیجوز عندکم أن یأمر بالشّیء فی وقت و ینهی عنه قبل وقته عن مثله،و إن لم یکن ذلک نسخا؟ قیل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کانا مثلین و واقعین علی وجه واحد فبعید أن یکون أحدهما مصلحة و الآخر مفسدة،فکذلک لم یحسن النّهی عن مثل ما أمر به فی وقته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نجوّز النّسخ قبل وقت الفعل،بأن یأمر اللّه تعالی بالفعل و یرید منّا اعتقاده أو العزم علیه،ثمّ ینهی عن الفعل بعینه فیکون المنهیّ عنه غیر المأمور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الاعتقاد یتبع المعتقد،لأنّه إنّما یتناول الشّیء علی ما هو به حتّی یحسن أن یؤمر به،لأنّه لو کان علی خلاف ما هو به لکان جهلا،و ذلک قبیح لا یحسن الأمر به،فإذا لا بدّ من أن یکون اعتقادا للشّیء علی ما هو به،و لیس یخلو أن یکون متناولا لکون المعتقد واجبا،أو لکونه مرادا،أو مأمورا،أو یکون اعتقادا لأن یفعله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قلنا ذلک،لأنّه لا بدّ من أن یکون لهذا الاعتقاد معتقد علی صفة،فان کان اعتقادا لوجوبه فلا بد أن یکون المعتقد واجبا،و إلاّ کان الاعتقاد جهلا،و إذا وجب أن یکون واجبا فالنّهی عنه قبیح،و کذلک إن کان اعتقادا لکونه مرادا أو مأمورا به، و إن کان اعتقادا لأن یفعله،فیجب أن یقطع علی أنّه یفعله لا محالة،و ذلک لا یصحّ من المکلّف،لأنّه یجوز الاخترام دونه</w:t>
      </w:r>
      <w:r>
        <w:rPr>
          <w:rFonts w:eastAsia="IRNazanin" w:cs="IRNazanin"/>
          <w:color w:val="111111"/>
          <w:sz w:val="28"/>
          <w:szCs w:val="28"/>
          <w:rtl w:val="true"/>
          <w:lang w:bidi="fa-IR"/>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 أمر بأن یعتقد کونه واجبا بشرط أن لا ینهی عنه،أو أن یعتقد أنّه </w:t>
      </w:r>
    </w:p>
    <w:p>
      <w:pPr>
        <w:pStyle w:val="BookText"/>
        <w:rPr/>
      </w:pPr>
      <w:r>
        <w:rPr>
          <w:rFonts w:ascii="IRNazanin" w:hAnsi="IRNazanin" w:eastAsia="IRNazanin"/>
          <w:color w:val="111111"/>
          <w:sz w:val="28"/>
          <w:sz w:val="28"/>
          <w:szCs w:val="28"/>
          <w:rtl w:val="true"/>
          <w:lang w:bidi="fa-IR"/>
        </w:rPr>
        <w:t>یفعل ذلک علی هذا الشّرط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تعلّقت بذلک فقل مثل ذلک فی نفس الفعل،بأن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 به فی الحقیقة بشرط أن لا ینهی عنه،فإذا صحّ أن یتعلّق بمثل ذلک فی نفس المأمور به، فأیّ حاجة بک إلی ذکر الاعتقاد؟ و هذا قول یدلّ علی أنّ قائله لا یعرف ماله یتأوّل الأمر،علی أنّ المراد به الاعتقاد،و قد بیّنا من قبل أنّ الاعتقاد و العزم یتبعان المعتقد فی الوجوب،فلا یصحّ وجوبهما دونه،و فی ذلک إسقاط سؤاله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نجوّز ذلک إذا أمرنا بالشیء و أراد الاختبار،ثمّ نهی عنه فی الحقیقة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 تعالی عالم بالعواقب فلا یجوز منه تعالی الاختبار،لأنّ ذلک إنّما یجوز علی من لم یعرف حال الشّیء فیختبر هل یطیع المأمور أم لا؟و القدیم تعالی إنّما یأمر العباد بمصالحهم،فکیف یأمرهم بها و لا یریدها منهم؟،و لو جاز ذلک لجاز فی النّهی مثله،فمن أین لهذا القائل أن النّهی هو نهی عن الفعل،مع قوله فی الأمر أنّه اختبار؟ فإن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أجوّز النّسخ قبل الفعل إذا أمر تعالی بالفعل فی وقت بشرط تبقیة الأمر،أو بشرط انتفاء النّهی،فإذا نهی عنه فقد زال الشّرط،فإذا قد نهی عن الفعل علی غیر الوجه الّذی قد أمر به،و هذا کقولهم أنّه أمر بالصّلاة عبادة للّه،و نهی عنها عبادة للشّیطان فی الجواز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تبقیة الأمر لا یجوز أن یکون وجها لحسن المأمور به،و لا انتفاء النّهی،فلا یدلاّن أیضا علی کون الفعل علی وجه یحسن علیه حتّی یقضی بأنّ فی زوالهما خروج الفعل من أن یکون واقعا علی ذلک الوجه،فإذا صحّ ذلک بطل ما سأل عنه،و فارق حاله حال الصّلاة الّتی مثّل بها</w:t>
      </w:r>
      <w:r>
        <w:rPr>
          <w:rFonts w:eastAsia="IRNazanin" w:cs="IRNazanin"/>
          <w:color w:val="111111"/>
          <w:sz w:val="28"/>
          <w:szCs w:val="28"/>
          <w:rtl w:val="true"/>
          <w:lang w:bidi="fa-IR"/>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حقّ الآمر أن یدلّ علی کون المأمور به علی وجه یحسن أمره به،فبقاء الأمر و انتفاء النّهی أو وجوده لا یخلو کونه علی هذه الصّفة،فإذا صحّ ذلک فالنّهی </w:t>
      </w:r>
    </w:p>
    <w:p>
      <w:pPr>
        <w:pStyle w:val="BookText"/>
        <w:rPr/>
      </w:pPr>
      <w:r>
        <w:rPr>
          <w:rFonts w:ascii="IRNazanin" w:hAnsi="IRNazanin" w:eastAsia="IRNazanin"/>
          <w:color w:val="111111"/>
          <w:sz w:val="28"/>
          <w:sz w:val="28"/>
          <w:szCs w:val="28"/>
          <w:rtl w:val="true"/>
          <w:lang w:bidi="fa-IR"/>
        </w:rPr>
        <w:t>عنه لا یحسن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یحسن أن یأمر بالفعل بشرط ألا یمنع منه و لا یخترم دونه، فکذلک یحسن أن یأمر بشرط ألاّ ینهی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الّذی جعله أصلا فی الفساد مثل ما یثبت علیه،لأنّ الأمر بما یمنع منه قبیح،کما یقبح الأمر بما لا یطاق،لأنّ مراد الآمر عزّ و جلّ أن یفعل المأمور ما أمره به من الصّلاح،فلو لم یکن هذا مراده لقبح،و لا یصحّ أن یکون ذلک مقصده و مع ذلک یأمره بما یعلم أنّه یمنعه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تعلّق من خالف فی ذلک بأشیاء </w:t>
      </w:r>
      <w:r>
        <w:rPr>
          <w:rStyle w:val="FootnoteAnchor"/>
          <w:rtl w:val="true"/>
        </w:rPr>
        <w:footnoteReference w:id="10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یَمْحُوا اللّهُ ما یَشاءُ وَ یُثْبِتُ  </w:t>
      </w:r>
      <w:r>
        <w:rPr>
          <w:rStyle w:val="FootnoteAnchor"/>
          <w:rtl w:val="true"/>
        </w:rPr>
        <w:footnoteReference w:id="1073"/>
      </w:r>
      <w:r>
        <w:rPr>
          <w:rFonts w:ascii="IRNazanin" w:hAnsi="IRNazanin" w:eastAsia="IRNazanin"/>
          <w:color w:val="111111"/>
          <w:sz w:val="28"/>
          <w:sz w:val="28"/>
          <w:szCs w:val="28"/>
          <w:rtl w:val="true"/>
          <w:lang w:bidi="fa-IR"/>
        </w:rPr>
        <w:t>فأخبر أنّه یمحو ما یشاء، فیجب أن یکون أمره بالشّیء ثمّ إزالته عنه بنهی أو غیره جائزا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اللّه تعالی أمر إبراهیم علیه السّلام بذبح ولده،ثمّ نسخ عنه قبل الذّبح لأنّه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بُنَیَّ إِنِّی أَری فِی الْمَنامِ أَنِّی أَذْبَحُکَ فَانْظُرْ ما ذا تَری  </w:t>
      </w:r>
      <w:r>
        <w:rPr>
          <w:rStyle w:val="FootnoteAnchor"/>
          <w:rtl w:val="true"/>
        </w:rPr>
        <w:footnoteReference w:id="1074"/>
      </w:r>
      <w:r>
        <w:rPr>
          <w:rFonts w:ascii="Amiri" w:hAnsi="Amiri" w:eastAsia="Amiri" w:cs="Amiri"/>
          <w:color w:val="111111"/>
          <w:sz w:val="28"/>
          <w:sz w:val="28"/>
          <w:szCs w:val="28"/>
          <w:rtl w:val="true"/>
          <w:lang w:bidi="ar-SA"/>
        </w:rPr>
        <w:t>،ثمّ قال بعد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نادَیْناهُ أَنْ یا إِبْراهِیمُ قَدْ صَدَّقْتَ الرُّؤْیا  </w:t>
      </w:r>
      <w:r>
        <w:rPr>
          <w:rStyle w:val="FootnoteAnchor"/>
          <w:rtl w:val="true"/>
        </w:rPr>
        <w:footnoteReference w:id="1075"/>
      </w:r>
      <w:r>
        <w:rPr>
          <w:rFonts w:ascii="IRNazanin" w:hAnsi="IRNazanin" w:eastAsia="IRNazanin"/>
          <w:color w:val="111111"/>
          <w:sz w:val="28"/>
          <w:sz w:val="28"/>
          <w:szCs w:val="28"/>
          <w:rtl w:val="true"/>
          <w:lang w:bidi="fa-IR"/>
        </w:rPr>
        <w:t>فمنعه من الذّبح، و فداه بذبح عظیم،و هذا هو نسخ الشّیء قبل وقت 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روی أنّ اللّه تعالی أوجب علی نبیّنا علیه السّلام لیلة المعراج خمسین صلاة ثمّ أزالها إلی خمس قبل وقت 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صالح النّبی علیه السّلام قریشا علی ردّ النّساء،ثمّ نسخه قبل وقت الفعل</w:t>
      </w:r>
      <w:r>
        <w:rPr>
          <w:rFonts w:eastAsia="IRNazanin" w:cs="IRNazanin"/>
          <w:color w:val="111111"/>
          <w:sz w:val="28"/>
          <w:szCs w:val="28"/>
          <w:rtl w:val="true"/>
          <w:lang w:bidi="fa-IR"/>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 عن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لیس فی الآیة أنّه یثبت ما محا،و یمحو ما أثبت،و لا یمتنع عندنا أن یمحو غیر ما أثبت و یثبت غیر ما محا،فأیّ تعلّق لهم بالظّاهر؟ </w:t>
      </w:r>
    </w:p>
    <w:p>
      <w:pPr>
        <w:pStyle w:val="BookText"/>
        <w:rPr/>
      </w:pPr>
      <w:r>
        <w:rPr>
          <w:rFonts w:ascii="IRNazanin" w:hAnsi="IRNazanin" w:eastAsia="IRNazanin"/>
          <w:color w:val="111111"/>
          <w:sz w:val="28"/>
          <w:sz w:val="28"/>
          <w:szCs w:val="28"/>
          <w:rtl w:val="true"/>
          <w:lang w:bidi="fa-IR"/>
        </w:rPr>
        <w:t>و لیس المراد بذلک النّسخ لأنّ ظاهره لا یقتضی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یمحو ما یشاء ممّا یثبته الملک الموکّل بالعبد فی الصّحیفة من المباحات،و یثبت ما یشاء ممّا یستحقّ علیه ثواب أو عقاب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قیل فی تأویله غیر ذلک ممّا قد بیّن فی التّفاسیر </w:t>
      </w:r>
      <w:r>
        <w:rPr>
          <w:rStyle w:val="FootnoteAnchor"/>
          <w:rtl w:val="true"/>
        </w:rPr>
        <w:footnoteReference w:id="10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الجواب عمّا تعلّقوا به ثانیا من أمر اللّه تعالی إبراهیم علیه السّلام بذبح ابنه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أنّه إنّما أمره بمقدّمات الذّبح من الإضجاع،و أخذ الحدید،و شدّ الید و الرّجل و غیر ذلک،و قد یسمّی مقدّمة الشّیء باسمه کما یسمّی المریض المدنف بأنّه میّت،فجاز أن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أَری فِی الْمَنامِ أَنِّی أَذْبَحُکَ  </w:t>
      </w:r>
      <w:r>
        <w:rPr>
          <w:rStyle w:val="FootnoteAnchor"/>
          <w:rtl w:val="true"/>
        </w:rPr>
        <w:footnoteReference w:id="1077"/>
      </w:r>
      <w:r>
        <w:rPr>
          <w:rFonts w:ascii="IRNazanin" w:hAnsi="IRNazanin" w:eastAsia="IRNazanin"/>
          <w:color w:val="111111"/>
          <w:sz w:val="28"/>
          <w:sz w:val="28"/>
          <w:szCs w:val="28"/>
          <w:rtl w:val="true"/>
          <w:lang w:bidi="fa-IR"/>
        </w:rPr>
        <w:t>و مراده ما قلناه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 علی صحّة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قدّمناه من دلیل العقل فی أنّه لا یجوز أن یأمر بالشّیء ثمّ ینسخه قبل وقت الفعل </w:t>
      </w:r>
      <w:r>
        <w:rPr>
          <w:rStyle w:val="FootnoteAnchor"/>
          <w:rtl w:val="true"/>
        </w:rPr>
        <w:footnoteReference w:id="10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یدلّ علیه أیضا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صَدَّقْتَ الرُّؤْیا  </w:t>
      </w:r>
      <w:r>
        <w:rPr>
          <w:rStyle w:val="FootnoteAnchor"/>
          <w:rtl w:val="true"/>
        </w:rPr>
        <w:footnoteReference w:id="1079"/>
      </w:r>
      <w:r>
        <w:rPr>
          <w:rFonts w:ascii="IRNazanin" w:hAnsi="IRNazanin" w:eastAsia="IRNazanin"/>
          <w:color w:val="111111"/>
          <w:sz w:val="28"/>
          <w:sz w:val="28"/>
          <w:szCs w:val="28"/>
          <w:rtl w:val="true"/>
          <w:lang w:bidi="fa-IR"/>
        </w:rPr>
        <w:t>فلو کان المراد به الذّبح علی الحقیقة لکان لا یکون مصدّقا،و لمّا ذبح،فدلّ علی أنّ المأمور به ما قدّمناه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لأحد 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الذّبح غیر مأمور به،فکیف نقول للذّبیح</w:t>
      </w:r>
      <w:r>
        <w:rPr>
          <w:rFonts w:eastAsia="IRNazanin" w:cs="IRNazanin"/>
          <w:color w:val="111111"/>
          <w:sz w:val="28"/>
          <w:szCs w:val="28"/>
          <w:rtl w:val="true"/>
          <w:lang w:bidi="fa-IR"/>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فَانْظُرْ ما ذا تَری   </w:t>
      </w:r>
      <w:r>
        <w:rPr>
          <w:rStyle w:val="FootnoteAnchor"/>
          <w:rtl w:val="true"/>
        </w:rPr>
        <w:footnoteReference w:id="1080"/>
      </w:r>
      <w:r>
        <w:rPr>
          <w:rFonts w:ascii="Amiri" w:hAnsi="Amiri" w:eastAsia="Amiri" w:cs="Amiri"/>
          <w:color w:val="111111"/>
          <w:sz w:val="28"/>
          <w:sz w:val="28"/>
          <w:szCs w:val="28"/>
          <w:rtl w:val="true"/>
          <w:lang w:bidi="ar-SA"/>
        </w:rPr>
        <w:t>و هذا کلام جزع؟،و کیف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لَهُوَ الْبَلاءُ الْمُبِینُ   </w:t>
      </w:r>
      <w:r>
        <w:rPr>
          <w:rStyle w:val="FootnoteAnchor"/>
          <w:rtl w:val="true"/>
        </w:rPr>
        <w:footnoteReference w:id="1081"/>
      </w:r>
      <w:r>
        <w:rPr>
          <w:rFonts w:ascii="IRNazanin" w:hAnsi="IRNazanin" w:eastAsia="IRNazanin"/>
          <w:color w:val="111111"/>
          <w:sz w:val="28"/>
          <w:sz w:val="28"/>
          <w:szCs w:val="28"/>
          <w:rtl w:val="true"/>
          <w:lang w:bidi="fa-IR"/>
        </w:rPr>
        <w:t xml:space="preserve">و مقدّمة الذّبح لیس فیها کلّ ذلک؟،و کیف فدی بذبح عظیم و لیس المأمور به الذّبح؟ و ذلک أنّ إبراهیم علیه السّلام لمّا امر بمقدّمات الذّبح،و کان فی العادة أنّ مثل ذلک یراد بالذّبح،ظنّ أنّه سیؤمر بالذّبح،فلذلک قال ما قال،فأمّا الفداء فلا یمتنع أن یکون ذبحا و یکون فداء عن الّذی ظنّ أنّه یؤمر به من الذّبح أو عن مقدّمة الذّبح،لأنّ الفداء لا یجب أن یکون من جنس ما فدی به،أ لا تری أنّ الهدی یفدّی به حلق الرّأس </w:t>
      </w:r>
    </w:p>
    <w:p>
      <w:pPr>
        <w:pStyle w:val="BookText"/>
        <w:rPr/>
      </w:pPr>
      <w:r>
        <w:rPr>
          <w:rFonts w:ascii="IRNazanin" w:hAnsi="IRNazanin" w:eastAsia="IRNazanin"/>
          <w:color w:val="111111"/>
          <w:sz w:val="28"/>
          <w:sz w:val="28"/>
          <w:szCs w:val="28"/>
          <w:rtl w:val="true"/>
          <w:lang w:bidi="fa-IR"/>
        </w:rPr>
        <w:t>و إن لم یکن من جنسه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أمر بالذّبح علی الحقیقة،و إنّه کان یذبح،ثمّ کان یلتحم ما ذبح إذا تجاوز موضع الذّبح،فإذا قد فعل ما امر به،و لم یسقط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هذا قریب،و الأوّل أقوی </w:t>
      </w:r>
      <w:r>
        <w:rPr>
          <w:rStyle w:val="FootnoteAnchor"/>
          <w:rtl w:val="true"/>
        </w:rPr>
        <w:footnoteReference w:id="10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فأمّا 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جعل صفحة عنقه نحاسا فامتنع الذّبح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یصحّ،لأنّه یقتضی الأمر بما یمنع منه،و ذلک قبیح لا یجوز علی اللّه تعالی علی ما قدّمنا القول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عمّا تعلّقوا به ثالثا من الخبر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فأوّل ما فیه أنّه خبر واحد لا یجوز أن یتعلّق بمثله فیما طریقه العلم به،علی أنّه فاسد من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یوجب نسخ الشّیء قبل أن یعلم المکلّف أنّه مأمور به،لأنّ فی الحدیث أنّه نسخ عنهم ذلک تلک اللّیلة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یوجب نسخ شیء عنهم من حیث أشار به موسی علیه السّلام، و سأل محمّدا علیه و آله السّلام أن یخفّف عن أمّته،و التّکلیف لا یتعلّق باختیار الأنبیاء،و لا یؤثّر فیه مسألتهم التّخفیف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فی الخبر من التّشبیه ما یقتضی أنّه موضوع لا أصل له،و إن کان فیه ما لا یمتنع أن یکون صدقا</w:t>
      </w:r>
      <w:r>
        <w:rPr>
          <w:rFonts w:eastAsia="IRNazanin" w:cs="IRNazanin"/>
          <w:color w:val="111111"/>
          <w:sz w:val="28"/>
          <w:szCs w:val="28"/>
          <w:rtl w:val="true"/>
          <w:lang w:bidi="fa-IR"/>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 عمّا تعلّقوا به رابعا من أنّه نسخ وجوب ردّ النّساء علی المشرکین قبل فعله،فهو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علیه السّلام لم یکن شرط لهم أن یردّ علیهم النّساء أبدا و لا إلی وقت بعینه فنسخ قبل ذلک،بل أطلق ذلک إطلاقا،و لا یمتنع أن تکون المصلحة اقتضت إمضاء ذلک إلی الوقت الّذی نسخه،و لو کان قبل ذلک لم ینسخ،و لو هاجرت امرأة قبل ذلک لکان یردّها علیهم،و هذا لا ینافی ما قدّمناه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فأمّا من تعلّق فی هذا الباب بنسخ تقدیم الصّدقة قبل المناجاة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فغلط،لأنّه إنّما نسخ عزّ و جلّ قبل الفعل لا قبل وقته،لأنّهم عصوا إلاّ علیّا علیه السّلام،فلم یفعلوا ما أمر اللّه تعالی به فی وقته فنسخ عنهم،و هذا جائز عندنا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یتعلّق فی هذا الباب بأخبار آحاد لا یصحّ التّعویل علیها فی مثل هذه المسائل،أو بشیء لیس بنسخ قبل وقت الفعل،و إنّما هو نسخ قبل الفعل،فینبغی أن یعرف هذا الباب و یتأمّل فی ما یرد منه إن شاء اللّه،فإنّه لا یختلّ علی من ضبط أصل هذا الباب</w:t>
      </w:r>
      <w:r>
        <w:rPr>
          <w:rFonts w:eastAsia="IRNazanin" w:cs="IRNazanin"/>
          <w:color w:val="111111"/>
          <w:sz w:val="28"/>
          <w:szCs w:val="28"/>
          <w:rtl w:val="true"/>
          <w:lang w:bidi="fa-IR"/>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فأمّا الّذی یدلّ علی أنّ النّسخ قبل الفعل یجوز </w:t>
      </w:r>
      <w:r>
        <w:rPr>
          <w:rStyle w:val="FootnoteAnchor"/>
          <w:rtl w:val="true"/>
        </w:rPr>
        <w:footnoteReference w:id="1083"/>
      </w:r>
      <w:r>
        <w:rPr>
          <w:rFonts w:ascii="IRNazanin" w:hAnsi="IRNazanin" w:eastAsia="IRNazanin"/>
          <w:color w:val="111111"/>
          <w:sz w:val="28"/>
          <w:sz w:val="28"/>
          <w:szCs w:val="28"/>
          <w:rtl w:val="true"/>
          <w:lang w:bidi="fa-IR"/>
        </w:rPr>
        <w:t>علی ما قدّمنا القول فیه،فهو</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أنّه متی أمر بالفعل فی وقت و تقضّی وقته،فغیر ممتنع أن ینهی عن أمثاله،کما کان لا یمتنع أن ینهی عن ذلک لو فعل،لأنّ ما ینهی عنه إنّما ینهی عنه لأنّه مفسدة له فی التّکلیف،فتقدّم فعله لما أمره به،أو ترکه له لا یؤثّر فی ذلک،و لذلک نسخ تقدیم الصّدقة قبل مناجاة الرّسول صلّی اللّه علیه و آله و سلّم عمّن أوجب علیه و إن لم یفعلوه و عصوا فیه،و ما روی من أنّ أمیر المؤمنین علیه السّلام فعله </w:t>
      </w:r>
      <w:r>
        <w:rPr>
          <w:rStyle w:val="FootnoteAnchor"/>
          <w:rtl w:val="true"/>
        </w:rPr>
        <w:footnoteReference w:id="1084"/>
      </w:r>
      <w:r>
        <w:rPr>
          <w:rFonts w:ascii="IRNazanin" w:hAnsi="IRNazanin" w:eastAsia="IRNazanin"/>
          <w:color w:val="111111"/>
          <w:sz w:val="28"/>
          <w:sz w:val="28"/>
          <w:szCs w:val="28"/>
          <w:rtl w:val="true"/>
          <w:lang w:bidi="fa-IR"/>
        </w:rPr>
        <w:t>لا یخرج غیره من أن یکون حاله ما وصفناه،فالتّعلّق بذلک غیر صحیح</w:t>
      </w:r>
      <w:r>
        <w:rPr>
          <w:rFonts w:eastAsia="IRNazanin" w:cs="IRNazanin"/>
          <w:color w:val="111111"/>
          <w:sz w:val="28"/>
          <w:szCs w:val="28"/>
          <w:rtl w:val="true"/>
          <w:lang w:bidi="fa-IR"/>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إنّما ذکرنا هذا الفصل عقیب المسألة الأولی لأنّ فی المتفقّهة </w:t>
      </w:r>
      <w:r>
        <w:rPr>
          <w:rStyle w:val="FootnoteAnchor"/>
          <w:rtl w:val="true"/>
        </w:rPr>
        <w:footnoteReference w:id="1085"/>
      </w:r>
      <w:r>
        <w:rPr>
          <w:rFonts w:ascii="IRNazanin" w:hAnsi="IRNazanin" w:eastAsia="IRNazanin"/>
          <w:color w:val="111111"/>
          <w:sz w:val="28"/>
          <w:sz w:val="28"/>
          <w:szCs w:val="28"/>
          <w:rtl w:val="true"/>
          <w:lang w:bidi="fa-IR"/>
        </w:rPr>
        <w:t>من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النّسخ قبل الفعل لا یجوز،و یظنّ أنّ ذلک یجری مجری النّسخ قبل وقت الفعل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بینهما من الفرق ما قدّمناه</w:t>
      </w:r>
      <w:r>
        <w:rPr>
          <w:rFonts w:eastAsia="IRNazanin" w:cs="IRNazanin"/>
          <w:color w:val="111111"/>
          <w:sz w:val="28"/>
          <w:szCs w:val="28"/>
          <w:rtl w:val="true"/>
          <w:lang w:bidi="fa-IR"/>
        </w:rPr>
        <w:t xml:space="preserve">. </w:t>
      </w:r>
      <w:bookmarkStart w:id="301" w:name="pg6519_49729"/>
    </w:p>
    <w:p>
      <w:pPr>
        <w:pStyle w:val="Heading4"/>
        <w:numPr>
          <w:ilvl w:val="3"/>
          <w:numId w:val="1"/>
        </w:numPr>
        <w:rPr/>
      </w:pPr>
      <w:bookmarkStart w:id="302" w:name="__RefHeading___Toc1757347_653776707"/>
      <w:bookmarkStart w:id="303" w:name="_Toc97"/>
      <w:bookmarkEnd w:id="301"/>
      <w:bookmarkEnd w:id="302"/>
      <w:r>
        <w:rPr>
          <w:rtl w:val="true"/>
        </w:rPr>
        <w:t>فصل</w:t>
      </w:r>
      <w:r>
        <w:rPr>
          <w:rtl w:val="true"/>
        </w:rPr>
        <w:t>-</w:t>
      </w:r>
      <w:r>
        <w:rPr/>
        <w:t>6</w:t>
      </w:r>
      <w:r>
        <w:rPr>
          <w:rtl w:val="true"/>
        </w:rPr>
        <w:t>: «</w:t>
      </w:r>
      <w:r>
        <w:rPr>
          <w:rtl w:val="true"/>
        </w:rPr>
        <w:t>فی أنّ الزّیادة فی النّص هل یکون نسخا أو لا؟</w:t>
      </w:r>
      <w:r>
        <w:rPr>
          <w:rtl w:val="true"/>
        </w:rPr>
        <w:t>»</w:t>
      </w:r>
      <w:bookmarkEnd w:id="303"/>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ذهب أبو علیّ و أبو هاشم إلی أنّ الزّیادة فی النّص لیست بنسخ علی کلّ حال، </w:t>
      </w:r>
    </w:p>
    <w:p>
      <w:pPr>
        <w:pStyle w:val="BookText"/>
        <w:rPr/>
      </w:pPr>
      <w:r>
        <w:rPr>
          <w:rFonts w:ascii="IRNazanin" w:hAnsi="IRNazanin" w:eastAsia="IRNazanin"/>
          <w:color w:val="111111"/>
          <w:sz w:val="28"/>
          <w:sz w:val="28"/>
          <w:szCs w:val="28"/>
          <w:rtl w:val="true"/>
          <w:lang w:bidi="fa-IR"/>
        </w:rPr>
        <w:t xml:space="preserve">و هو مذهب کثیر من أصحاب الشّافعی </w:t>
      </w:r>
      <w:r>
        <w:rPr>
          <w:rStyle w:val="FootnoteAnchor"/>
          <w:rtl w:val="true"/>
        </w:rPr>
        <w:footnoteReference w:id="10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منهم 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 نسخ إذا کان المزید علیه قد دلّ علی أنّ ما عداه بخلافه، مثل أن یکون النصّ علی الثّمانین فی حدّ القاذف یدلّ عنده علی أنّ ما فوقه لیس بحدّ،فإذا زید علیه کان نسخا من هذا الوجه </w:t>
      </w:r>
      <w:r>
        <w:rPr>
          <w:rStyle w:val="FootnoteAnchor"/>
          <w:rtl w:val="true"/>
        </w:rPr>
        <w:footnoteReference w:id="10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ذهب أبو عبد اللّه البصریّ إلی أنّ الزّیادة علی النّص إذا اقتضت بغیر حکم المزید علیه فی المستقبل کان </w:t>
      </w:r>
      <w:r>
        <w:rPr>
          <w:rStyle w:val="FootnoteAnchor"/>
          <w:rtl w:val="true"/>
        </w:rPr>
        <w:footnoteReference w:id="1088"/>
      </w:r>
      <w:r>
        <w:rPr>
          <w:rFonts w:ascii="IRNazanin" w:hAnsi="IRNazanin" w:eastAsia="IRNazanin"/>
          <w:color w:val="111111"/>
          <w:sz w:val="28"/>
          <w:sz w:val="28"/>
          <w:szCs w:val="28"/>
          <w:rtl w:val="true"/>
          <w:lang w:bidi="fa-IR"/>
        </w:rPr>
        <w:t xml:space="preserve">نسخا،و إن لم یقتض ذلک لم یکن نسخا </w:t>
      </w:r>
      <w:r>
        <w:rPr>
          <w:rStyle w:val="FootnoteAnchor"/>
          <w:rtl w:val="true"/>
        </w:rPr>
        <w:footnoteReference w:id="1089"/>
      </w:r>
      <w:r>
        <w:rPr>
          <w:rFonts w:ascii="IRNazanin" w:hAnsi="IRNazanin" w:eastAsia="IRNazanin"/>
          <w:color w:val="111111"/>
          <w:sz w:val="28"/>
          <w:sz w:val="28"/>
          <w:szCs w:val="28"/>
          <w:rtl w:val="true"/>
          <w:lang w:bidi="fa-IR"/>
        </w:rPr>
        <w:t>،و حکی ذلک عن أبی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اختاره سیّدنا المرتضی،و إلیه کان یذهب شیخنا أبو عبد اللّه رحمهما اللّه من قبل،و هو الّذی ذکره عبد الجبّار بن أحمد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العمد</w:t>
      </w:r>
      <w:r>
        <w:rPr>
          <w:rFonts w:eastAsia="IRNazanin" w:cs="IRNazanin"/>
          <w:color w:val="111111"/>
          <w:sz w:val="28"/>
          <w:szCs w:val="28"/>
          <w:rtl w:val="true"/>
          <w:lang w:bidi="fa-IR"/>
        </w:rPr>
        <w:t xml:space="preserve">» </w:t>
      </w:r>
      <w:r>
        <w:rPr>
          <w:rStyle w:val="FootnoteAnchor"/>
          <w:rtl w:val="true"/>
        </w:rPr>
        <w:footnoteReference w:id="1090"/>
      </w:r>
      <w:r>
        <w:rPr>
          <w:rFonts w:ascii="Amiri" w:hAnsi="Amiri" w:eastAsia="Amiri" w:cs="Amiri"/>
          <w:color w:val="111111"/>
          <w:sz w:val="28"/>
          <w:sz w:val="28"/>
          <w:szCs w:val="28"/>
          <w:rtl w:val="true"/>
          <w:lang w:bidi="ar-SA"/>
        </w:rPr>
        <w:t>أنّ الزّیادة علی ضربین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یغیّر حکم المزید علیه حتّی لو فعل بعد الزّیادة علی الحدّ الّذی کان یفعل قبل الزّیادة لما کان مجزیا،و وجب إعادته،فذلک یوجب نسخ المزید </w:t>
      </w:r>
      <w:r>
        <w:rPr>
          <w:rStyle w:val="FootnoteAnchor"/>
          <w:rtl w:val="true"/>
        </w:rPr>
        <w:footnoteReference w:id="1091"/>
      </w:r>
      <w:r>
        <w:rPr>
          <w:rFonts w:eastAsia="Times New Roman" w:cs="Times New Roman" w:ascii="Times New Roman" w:hAnsi="Times New Roman"/>
          <w:color w:val="111111"/>
          <w:sz w:val="28"/>
          <w:szCs w:val="28"/>
          <w:rtl w:val="true"/>
          <w:lang w:val="en-US" w:bidi="en-US"/>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الّذی لا یغیّر حکم المزید علیه،و لو فعل بعد الزیادة علی الحدّ الّذی کان یفعل قبلها لکان مجزیا،و إنّما یجب أن یضاف إلیه الزّیادة،فما هذا سبیله </w:t>
      </w:r>
    </w:p>
    <w:p>
      <w:pPr>
        <w:pStyle w:val="BookText"/>
        <w:rPr/>
      </w:pPr>
      <w:r>
        <w:rPr>
          <w:rFonts w:ascii="IRNazanin" w:hAnsi="IRNazanin" w:eastAsia="IRNazanin"/>
          <w:color w:val="111111"/>
          <w:sz w:val="28"/>
          <w:sz w:val="28"/>
          <w:szCs w:val="28"/>
          <w:rtl w:val="true"/>
          <w:lang w:bidi="fa-IR"/>
        </w:rPr>
        <w:t xml:space="preserve">لا یوجب نسخ المزید علیه </w:t>
      </w:r>
      <w:r>
        <w:rPr>
          <w:rStyle w:val="FootnoteAnchor"/>
          <w:rtl w:val="true"/>
        </w:rPr>
        <w:footnoteReference w:id="1092"/>
      </w:r>
      <w:r>
        <w:rPr>
          <w:rFonts w:ascii="IRNazanin" w:hAnsi="IRNazanin" w:eastAsia="IRNazanin"/>
          <w:color w:val="111111"/>
          <w:sz w:val="28"/>
          <w:sz w:val="28"/>
          <w:szCs w:val="28"/>
          <w:rtl w:val="true"/>
          <w:lang w:bidi="fa-IR"/>
        </w:rPr>
        <w:t>،و هذا هو الصّحیح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فمثال القسم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یوجب اللّه الصّلاة رکعتین </w:t>
      </w:r>
      <w:r>
        <w:rPr>
          <w:rStyle w:val="FootnoteAnchor"/>
          <w:rtl w:val="true"/>
        </w:rPr>
        <w:footnoteReference w:id="1093"/>
      </w:r>
      <w:r>
        <w:rPr>
          <w:rFonts w:ascii="IRNazanin" w:hAnsi="IRNazanin" w:eastAsia="IRNazanin"/>
          <w:color w:val="111111"/>
          <w:sz w:val="28"/>
          <w:sz w:val="28"/>
          <w:szCs w:val="28"/>
          <w:rtl w:val="true"/>
          <w:lang w:bidi="fa-IR"/>
        </w:rPr>
        <w:t>ثمّ یضیف إلیهما رکعتین أخریین حتّی یصیر الفرض أربعا،فإنّ ذلک یوجب نسخ الرّکعتین،لأنّ بعد هذه الزّیادة معلوم من حال الرّکعتین أنّهما لا یجزیان،فمتی لم یضف إلیهما الرّکعتین، وجب إعادة الصّلاة من أوّلها،فکذلک روی عن عائشة أنّها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الصلاة رکعتین فزید فی صلاة الحضر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نسخ،لأنّ الفعل الأوّل إذا وقع علی الحدّ الّذی کان واجبا قبل الزّیادة صار کأنّه لم یکن،و متی فعل مع الزّیادة صحّ،فصار هو مع الزّیادة بمنزلة حکم فساد الأوّل فی أنّه یجب أن یکون ناسخا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مثال القسم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فهو زیادة النّفی علی حدّ الزّانی للبکر،و زیادة الرّجم علی حدّ المحصن،و إنّما قلنا إنّ هذا لیس بنسخ لأنّ الحدّ المفعول فی الحالین لا یختلف،و إنّما یجب ضمّ الزّیادة و لم یجب استئنافه،لأنّ هذه الزّیادة الواردة فی حکم زیادة </w:t>
      </w:r>
      <w:r>
        <w:rPr>
          <w:rStyle w:val="FootnoteAnchor"/>
          <w:rtl w:val="true"/>
        </w:rPr>
        <w:footnoteReference w:id="1094"/>
      </w:r>
      <w:r>
        <w:rPr>
          <w:rFonts w:ascii="IRNazanin" w:hAnsi="IRNazanin" w:eastAsia="IRNazanin"/>
          <w:color w:val="111111"/>
          <w:sz w:val="28"/>
          <w:sz w:val="28"/>
          <w:szCs w:val="28"/>
          <w:rtl w:val="true"/>
          <w:lang w:bidi="fa-IR"/>
        </w:rPr>
        <w:t>ثانیة فی أنّها لم تؤثّر فی حال المزید علیه،أ لا تری أنّه لو فعل الأوّل بعد الزّیادة علی الحدّ الّذی کان یفعله قبلها لکان ذلک مجزیا،و إنّما یجب أن یضمّ إلیه الزّیادة فحسب،ففارق حکم هذا القسم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لو زید فی حدّ القاذف عشرون لما أوجب ذلک نسخا،لأنّ الثّمانین إذا فعلت بعد ما زید علیه من غیر أن یضمّ الزّیادة إلیها أجزأ،کما کان یجزی لو فعلت و لما زید علیها شیء،و إنّما یجب ضمّ الزیادة علیها فقط</w:t>
      </w:r>
      <w:r>
        <w:rPr>
          <w:rFonts w:eastAsia="IRNazanin" w:cs="IRNazanin"/>
          <w:color w:val="111111"/>
          <w:sz w:val="28"/>
          <w:szCs w:val="28"/>
          <w:rtl w:val="true"/>
          <w:lang w:bidi="fa-IR"/>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فهذا أوجب ذلک کونه نسخا،لأنّ حدّ الثّمانین کان یتعلّق به ردّ </w:t>
      </w:r>
    </w:p>
    <w:p>
      <w:pPr>
        <w:pStyle w:val="BookText"/>
        <w:rPr/>
      </w:pPr>
      <w:r>
        <w:rPr>
          <w:rFonts w:ascii="IRNazanin" w:hAnsi="IRNazanin" w:eastAsia="IRNazanin"/>
          <w:color w:val="111111"/>
          <w:sz w:val="28"/>
          <w:sz w:val="28"/>
          <w:szCs w:val="28"/>
          <w:rtl w:val="true"/>
          <w:lang w:bidi="fa-IR"/>
        </w:rPr>
        <w:t>الشّهادة،فإذا زید علیه العشرون لم یتعلّق به ذلک،فقد تغیّر حکمه الشّرعی،فوجب أن یکون نسخا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ردّ الشّهادة لا یتعلّق عندنا بإقامة الحدّ،و إنّما یتعلّق بالقذف الّذی یوجب التّفسیق دون إقامة الحدّ،کما أنّ ردّ الشّهادة یتعلّق بسائر أفعال الفسق دون إقامة الحدّ الواجب فیه مثل شرب الخمر،و اللّواط،و السّرقة،و غیر ذلک،فسقط السّؤال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سلّم أنّ ردّ الشّهادة یتعلّق بإقامة الحدّ ما أوجب ذلک نسخا،لأنّ ردّ الشّهادة عبادة أخری منفصلة عن إقامة الحدّ فیه،أ لا تری أنّ الحدّ فیه یصحّ و إن لم یردّ الشهادة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فإذا صحّ ذلک لم یوجب نسخ المزید علیه،و صار ذلک بمنزلة إباحة تزویج المعتدّة إذا انقضت عدّتها فی أنّ عدّتها و إن زید فیها أو نقص منها لا یوجب نسخا لذلک،لأنّه حکم آخر یتعلّق بانقضاء العدّة،طالت العدّة أم قصرت،فتغیّر العبادة لم یوجب نسخه،و کذلک لو تغیّر حکم ستر العورة،و الوضوء،و القبلة فی الصلاة ما أوجب ذلک نسخ الصّلاة،فکذلک القول فی ردّ الشّهادة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لیس حدّ القذف إذا کان ثمانین،فمتی فعل ذلک یکون قد استوفی الحدّ،فإذا زید علیه عشرون لم یکن بفعل الثّمانین استوفی الحدّ،فوجب لذلک أن یکون نسخا؟ قیل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کلام فی عبارة </w:t>
      </w:r>
      <w:r>
        <w:rPr>
          <w:rStyle w:val="FootnoteAnchor"/>
          <w:rtl w:val="true"/>
        </w:rPr>
        <w:footnoteReference w:id="1095"/>
      </w:r>
      <w:r>
        <w:rPr>
          <w:rFonts w:ascii="IRNazanin" w:hAnsi="IRNazanin" w:eastAsia="IRNazanin"/>
          <w:color w:val="111111"/>
          <w:sz w:val="28"/>
          <w:sz w:val="28"/>
          <w:szCs w:val="28"/>
          <w:rtl w:val="true"/>
          <w:lang w:bidi="fa-IR"/>
        </w:rPr>
        <w:t xml:space="preserve">،لأنّ تحصیله </w:t>
      </w:r>
      <w:r>
        <w:rPr>
          <w:rStyle w:val="FootnoteAnchor"/>
          <w:rtl w:val="true"/>
        </w:rPr>
        <w:footnoteReference w:id="1096"/>
      </w:r>
      <w:r>
        <w:rPr>
          <w:rFonts w:ascii="IRNazanin" w:hAnsi="IRNazanin" w:eastAsia="IRNazanin"/>
          <w:color w:val="111111"/>
          <w:sz w:val="28"/>
          <w:sz w:val="28"/>
          <w:szCs w:val="28"/>
          <w:rtl w:val="true"/>
          <w:lang w:bidi="fa-IR"/>
        </w:rPr>
        <w:t>أنّه یجب علی الإمام أن یضمّ إلی الثّمانین عشرین حتّی یکون قد استوفی الحدّ الواجب،و قد بیّنا أنّ ذلک لا یوجب نسخا</w:t>
      </w:r>
      <w:r>
        <w:rPr>
          <w:rFonts w:eastAsia="IRNazanin" w:cs="IRNazanin"/>
          <w:color w:val="111111"/>
          <w:sz w:val="28"/>
          <w:szCs w:val="28"/>
          <w:rtl w:val="true"/>
          <w:lang w:bidi="fa-IR"/>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فیجب علی هذا أن تقولوا إنّ النّقصان من العبادة إذا اقتضی ألا تصحّ </w:t>
      </w:r>
    </w:p>
    <w:p>
      <w:pPr>
        <w:pStyle w:val="BookText"/>
        <w:rPr/>
      </w:pPr>
      <w:r>
        <w:rPr>
          <w:rFonts w:ascii="IRNazanin" w:hAnsi="IRNazanin" w:eastAsia="IRNazanin"/>
          <w:color w:val="111111"/>
          <w:sz w:val="28"/>
          <w:sz w:val="28"/>
          <w:szCs w:val="28"/>
          <w:rtl w:val="true"/>
          <w:lang w:bidi="fa-IR"/>
        </w:rPr>
        <w:t>العبادة إذا أتی بها علی حدّ ما کان یؤتی بها من قبل أن یکون نسخا؟ قیل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 نقول،و سنبیّنه بعد هذا الفصل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زیادة الشّرط فی بعض العبادات،فإنّه لا یوجب النّسخ إذا کان منفصلا من العبادة،و تصحّ من دونه،لأنّه إذا کان کذلک صار فی حکم عبادة أخری،و یفارق ذلک ما قلناه من الصّلاة من أنّ زیادة رکعة فیها تقتضی النّسخ،لأنّ الصّلاة بعد الزّیادة تصیر مع المزید فی حکم الشّیء الواحد،فلم یکن ذلک موجبا للنّسخ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إذا </w:t>
      </w:r>
      <w:r>
        <w:rPr>
          <w:rStyle w:val="FootnoteAnchor"/>
          <w:rtl w:val="true"/>
        </w:rPr>
        <w:footnoteReference w:id="1097"/>
      </w:r>
      <w:r>
        <w:rPr>
          <w:rFonts w:ascii="IRNazanin" w:hAnsi="IRNazanin" w:eastAsia="IRNazanin"/>
          <w:color w:val="111111"/>
          <w:sz w:val="28"/>
          <w:sz w:val="28"/>
          <w:szCs w:val="28"/>
          <w:rtl w:val="true"/>
          <w:lang w:bidi="fa-IR"/>
        </w:rPr>
        <w:t xml:space="preserve">ثبت </w:t>
      </w:r>
      <w:r>
        <w:rPr>
          <w:rStyle w:val="FootnoteAnchor"/>
          <w:rtl w:val="true"/>
        </w:rPr>
        <w:footnoteReference w:id="1098"/>
      </w:r>
      <w:r>
        <w:rPr>
          <w:rFonts w:ascii="IRNazanin" w:hAnsi="IRNazanin" w:eastAsia="IRNazanin"/>
          <w:color w:val="111111"/>
          <w:sz w:val="28"/>
          <w:sz w:val="28"/>
          <w:szCs w:val="28"/>
          <w:rtl w:val="true"/>
          <w:lang w:bidi="fa-IR"/>
        </w:rPr>
        <w:t>ما قدّمناه،فکلّ زیادة تصحّ دون المزید علیه،أو یصحّ المزید علیه دونها،فأحدهما لا یوجب نسخ الآخر،کما أنّ زیادة صلاة علی ما أوجب اللّه تعالی من الصلوات لا یقتضی نسخا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الکفّارات الثّلاث المخیّر فیها،فمتی فرضنا أنّ اللّه تعالی زاد فیها رابعا، فإنّ ذلک یوجب نسخ تحریم ترک الثّلاثة،لأنّه کان من قبل یحرم ترکها أجمع،و الآن لا یحرم،و لکن لا یقتضی ذلک نسخ الکفّارات الثلاث،لما قدّمناه من أنّها لو فعلت علی الحدّ الّذی فعلت قبل العبادة بالرّابعة لکانت واقعة موقعها،فلم توجب ذلک نسخا</w:t>
      </w:r>
      <w:r>
        <w:rPr>
          <w:rFonts w:eastAsia="IRNazanin" w:cs="IRNazanin"/>
          <w:color w:val="111111"/>
          <w:sz w:val="28"/>
          <w:szCs w:val="28"/>
          <w:rtl w:val="true"/>
          <w:lang w:bidi="fa-IR"/>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قولکم فی الّذی تذهبون إلیه من وجوب الحکم بالشّاهد و الیمین، یقتضی ذلک نسخ ما أوجب اللّه تعالی من الحکم بالشّاهدین أو بشاهد و امرأتین؟ فإن قلتم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قلتم بجواز نسخ القرآن بخبر الواحد،و ذلک خلاف مذهبکم، بل هو خلاف الإجماع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قلتم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ذلک لیس بنسخ،بیّنوا القول فیه؟ قیل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ذلک لیس بنسخ،لأنّ القرآن إذا دلّ علی أنّ الحکم بالشّاهد الواحد لا یتمّ إلاّ بأن ینضاف إلیه الثّانی،أو تضاف امرأتان لا یمنع من قیام الدّلالة علی کون غیره شرطا فیه،و قد أجمعت الطّائفة المحقّة علی جواز ذلک،فکان ذلک موجبا </w:t>
      </w:r>
    </w:p>
    <w:p>
      <w:pPr>
        <w:pStyle w:val="BookText"/>
        <w:rPr/>
      </w:pPr>
      <w:r>
        <w:rPr>
          <w:rFonts w:ascii="IRNazanin" w:hAnsi="IRNazanin" w:eastAsia="IRNazanin"/>
          <w:color w:val="111111"/>
          <w:sz w:val="28"/>
          <w:sz w:val="28"/>
          <w:szCs w:val="28"/>
          <w:rtl w:val="true"/>
          <w:lang w:bidi="fa-IR"/>
        </w:rPr>
        <w:t>للعلم،و خرج من باب خبر الواحد الّذی ذکره السّائل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أمّا تقیید الرّقبة الواجبة فی الظّهار بالإیمان فقد تقدّم القول فیه </w:t>
      </w:r>
      <w:r>
        <w:rPr>
          <w:rStyle w:val="FootnoteAnchor"/>
          <w:rtl w:val="true"/>
        </w:rPr>
        <w:footnoteReference w:id="10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زیادة العشرین فی حدّ القاذف نسخ له،و أنّ تقیید الرّقبة بالإیمان نسخ،فهو موافق لمن أنکر أن یکون ذلک نسخا فی المعنی،لأنّهما معا یقولان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الدّلیل الأوّل یقتضی جواز الکافرة و اقتضی کون الحدّ ثمانین،و إنّ الدّلیل الثّانی دلّ علی أنّ الحدّ مائة و أنّ الرّقبة الکافرة لا تجزی،و إنّما یختلفان فی العبارة، و أحدهما یعبّر عن ذلک بأنّه نسخ،و الآخر یعبّر عنه بأنّه تخصیص،فلا طائل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جعله نسخا لا یقبل فیه خبر الواحد،و من جعله تخصیصا یقبل خبر الواحد فیه و القیاس؟ قیل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علی مذهبنا فلا یقبل فی الموضعین خبر الواحد و لا القیاس علی ما مضی القول فیه </w:t>
      </w:r>
      <w:r>
        <w:rPr>
          <w:rStyle w:val="FootnoteAnchor"/>
          <w:rtl w:val="true"/>
        </w:rPr>
        <w:footnoteReference w:id="11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أجاز خبر الواحد فی التّخصیص و أبی قبوله فی النّسخ،فلخصمه أن یقول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قلت لا أقبل خبر الواحد فیه لأنّه نسخ،و لم یرجع فی أنّ ذلک نسخ إلاّ إلی ما وافقتک علیه فی المعنی الّذی لیس بنسخ عندی،فعلیک أن تدلّ علی ذلک،و انّه لا یجوز قبول خبر الواحد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عنیت بقولک إنّه نسخ من حیث إنّه لا یقبل فیه خبر الواحد و القیاس، کنت بانیا </w:t>
      </w:r>
      <w:r>
        <w:rPr>
          <w:rStyle w:val="FootnoteAnchor"/>
          <w:rtl w:val="true"/>
        </w:rPr>
        <w:footnoteReference w:id="1101"/>
      </w:r>
      <w:r>
        <w:rPr>
          <w:rFonts w:ascii="IRNazanin" w:hAnsi="IRNazanin" w:eastAsia="IRNazanin"/>
          <w:color w:val="111111"/>
          <w:sz w:val="28"/>
          <w:sz w:val="28"/>
          <w:szCs w:val="28"/>
          <w:rtl w:val="true"/>
          <w:lang w:bidi="fa-IR"/>
        </w:rPr>
        <w:t>للشّیء علی نفسه،و ذلک غیر صحیح</w:t>
      </w:r>
      <w:r>
        <w:rPr>
          <w:rFonts w:eastAsia="IRNazanin" w:cs="IRNazanin"/>
          <w:color w:val="111111"/>
          <w:sz w:val="28"/>
          <w:szCs w:val="28"/>
          <w:rtl w:val="true"/>
          <w:lang w:bidi="fa-IR"/>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فأمّا من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الزّیادة نسخ علی کلّ حال </w:t>
      </w:r>
      <w:r>
        <w:rPr>
          <w:rStyle w:val="FootnoteAnchor"/>
          <w:rtl w:val="true"/>
        </w:rPr>
        <w:footnoteReference w:id="1102"/>
      </w:r>
      <w:r>
        <w:rPr>
          <w:rFonts w:ascii="IRNazanin" w:hAnsi="IRNazanin" w:eastAsia="IRNazanin"/>
          <w:color w:val="111111"/>
          <w:sz w:val="28"/>
          <w:sz w:val="28"/>
          <w:szCs w:val="28"/>
          <w:rtl w:val="true"/>
          <w:lang w:bidi="fa-IR"/>
        </w:rPr>
        <w:t xml:space="preserve">،فیقول فیما ثبت من الزّیادة الّتی علم أنّه لیست نسخا أنّ ذلک اقترن بحال الخطاب فلم یوجب ذلک نسخا،و ذلک نحو وجوب النیّة فی الصّلاة،و نحو کون الرّقبة سلیمة من العیوب الّتی تمنع من </w:t>
      </w:r>
    </w:p>
    <w:p>
      <w:pPr>
        <w:pStyle w:val="BookText"/>
        <w:rPr/>
      </w:pPr>
      <w:r>
        <w:rPr>
          <w:rFonts w:ascii="IRNazanin" w:hAnsi="IRNazanin" w:eastAsia="IRNazanin"/>
          <w:color w:val="111111"/>
          <w:sz w:val="28"/>
          <w:sz w:val="28"/>
          <w:szCs w:val="28"/>
          <w:rtl w:val="true"/>
          <w:lang w:bidi="fa-IR"/>
        </w:rPr>
        <w:t>إجزائها،و غیر ذلک من المسائل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الزّیادة إنّما توجب النّسخ إذا دلّ علیها ما یصحّ النّسخ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دلّ خبر الواحد أو القیاس علی نسخ شیء من القرآن،وجب ردّه لأنّ نسخ القرن بذلک لا یجوز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علی هذا یبنی المسائل فی الفروع کلّ واحد </w:t>
      </w:r>
      <w:r>
        <w:rPr>
          <w:rStyle w:val="FootnoteAnchor"/>
          <w:rtl w:val="true"/>
        </w:rPr>
        <w:footnoteReference w:id="1103"/>
      </w:r>
      <w:r>
        <w:rPr>
          <w:rFonts w:ascii="IRNazanin" w:hAnsi="IRNazanin" w:eastAsia="IRNazanin"/>
          <w:color w:val="111111"/>
          <w:sz w:val="28"/>
          <w:sz w:val="28"/>
          <w:szCs w:val="28"/>
          <w:rtl w:val="true"/>
          <w:lang w:bidi="fa-IR"/>
        </w:rPr>
        <w:t xml:space="preserve">علی ما یذهب إلیه </w:t>
      </w:r>
      <w:r>
        <w:rPr>
          <w:rStyle w:val="FootnoteAnchor"/>
          <w:rtl w:val="true"/>
        </w:rPr>
        <w:footnoteReference w:id="1104"/>
      </w:r>
      <w:r>
        <w:rPr>
          <w:rFonts w:eastAsia="Times New Roman" w:cs="Times New Roman" w:ascii="Times New Roman" w:hAnsi="Times New Roman"/>
          <w:color w:val="111111"/>
          <w:sz w:val="28"/>
          <w:szCs w:val="28"/>
          <w:rtl w:val="true"/>
          <w:lang w:val="en-US" w:bidi="en-US"/>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هذه جملة کافیة فی هذا الباب</w:t>
      </w:r>
      <w:r>
        <w:rPr>
          <w:rFonts w:eastAsia="IRNazanin" w:cs="IRNazanin"/>
          <w:color w:val="111111"/>
          <w:sz w:val="28"/>
          <w:szCs w:val="28"/>
          <w:rtl w:val="true"/>
          <w:lang w:bidi="fa-IR"/>
        </w:rPr>
        <w:t xml:space="preserve">. </w:t>
      </w:r>
      <w:bookmarkStart w:id="304" w:name="pg6519_49736"/>
    </w:p>
    <w:p>
      <w:pPr>
        <w:pStyle w:val="Heading4"/>
        <w:numPr>
          <w:ilvl w:val="3"/>
          <w:numId w:val="1"/>
        </w:numPr>
        <w:rPr/>
      </w:pPr>
      <w:bookmarkStart w:id="305" w:name="__RefHeading___Toc1757349_653776707"/>
      <w:bookmarkStart w:id="306" w:name="_Toc98"/>
      <w:bookmarkEnd w:id="304"/>
      <w:bookmarkEnd w:id="305"/>
      <w:r>
        <w:rPr>
          <w:rtl w:val="true"/>
        </w:rPr>
        <w:t>فصل</w:t>
      </w:r>
      <w:r>
        <w:rPr>
          <w:rtl w:val="true"/>
        </w:rPr>
        <w:t>-</w:t>
      </w:r>
      <w:r>
        <w:rPr/>
        <w:t>7</w:t>
      </w:r>
      <w:r>
        <w:rPr>
          <w:rtl w:val="true"/>
        </w:rPr>
        <w:t>: «</w:t>
      </w:r>
      <w:r>
        <w:rPr>
          <w:rtl w:val="true"/>
        </w:rPr>
        <w:t>فی أنّ النّقصان من النّص هل هو نسخ أم لا؟و الخلاف فیه</w:t>
      </w:r>
      <w:r>
        <w:rPr>
          <w:rtl w:val="true"/>
        </w:rPr>
        <w:t>»</w:t>
      </w:r>
      <w:bookmarkEnd w:id="30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أنّ النّقصان من النّص هل هو نسخ أم لا؟و الخلاف فیه</w:t>
      </w:r>
      <w:r>
        <w:rPr>
          <w:rFonts w:eastAsia="IRNazanin" w:cs="IRNazanin"/>
          <w:color w:val="111111"/>
          <w:sz w:val="28"/>
          <w:szCs w:val="28"/>
          <w:rtl w:val="true"/>
          <w:lang w:bidi="fa-IR"/>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حکی أبو عبد اللّه البصریّ عن أبی الحسن الکرخیّ أنّه کان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العبادة إذا نسخ بعضها لا یکون ذلک نسخا لجمیعها،و یجری ذلک مجری العموم إذا خصّ أو </w:t>
      </w:r>
    </w:p>
    <w:p>
      <w:pPr>
        <w:pStyle w:val="BookText"/>
        <w:rPr/>
      </w:pPr>
      <w:r>
        <w:rPr>
          <w:rFonts w:ascii="IRNazanin" w:hAnsi="IRNazanin" w:eastAsia="IRNazanin"/>
          <w:color w:val="111111"/>
          <w:sz w:val="28"/>
          <w:sz w:val="28"/>
          <w:szCs w:val="28"/>
          <w:rtl w:val="true"/>
          <w:lang w:bidi="fa-IR"/>
        </w:rPr>
        <w:t>استثنی منه،فإنّ ذلک لا یکون تخصیصا للکلّ،فکان یعتلّ لذلک بأنّ القبلة نسخت بالقبلة،و لم یوجب ذلک نسخا للصّلاة،و کان یلحق بذلک صیام عاشوراء و نسخه بشهر رمضان 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النّسخ تناول الوقت لا العبادة،و أنّ الواجب من الصّوم فی شهر رمضان هو الّذی کان واجبا فی عاشوراء ،و کان یجعل ذلک أصلا فی أنّ الشّرط الحاصل للعبادة الأولة یجب أن یکون حاصلا للثّانیة أیضا،و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المتقرّر فی صوم عاشوراء أنّه یجوز بنیّة غیر مبیّنة،فکذلک یجب فی رمضان الآن صوم رمضان هو صوم عاشوراء ،و إنّما نسخ وقته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ذهب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النقصان من العبادة یقتضی النّسخ،و فی کلام الشّافعی ما یدلّ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خلاف أنّ النّقصان یقتضی نسخ ما أسقط،لأنّه کان واجبا فی جملة العبادة،ثمّ أزیل وجوبه،و إنّما الخلاف فی أنّه یقتضی نسخ ما بقی من العبادة أم لا؟ و الّذی ینبغی أن یعتمد فی هذا الباب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العبادات الشّرعیّة قد تکون جملة ذات شروط کالصّلاة،و تکون فعلا واحدا و له شروط،و قد تکون فعلا مجرّدا عن الشّرط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کانت العبادة فعلا واحدا،فالنّسخ إنّما یصحّ فیها بأن یسقط وجوبها،و لا یصحّ أن ینسخ بعضها لأنّه لا بعض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نسخ شروطها،فإنّه لا یوجب نسخها،و کذلک نسخ شروط الجملة التی هی ذات شروط لا یوجب نسخها،لأنّ من حقّ الشّروط أن یکون فی حکم التّابع للمشروط،لأنّه یجب لأجله،و لیس فی نسخه تغییر حال المشروط،و هذا مثل أن ینسخ الطّهارة فإنّ ذلک لا یوجب نسخ الصّلاة،بل یجب بقاء حکم الصّلاة علی ما کان علیه من قبل</w:t>
      </w:r>
      <w:r>
        <w:rPr>
          <w:rFonts w:eastAsia="IRNazanin" w:cs="IRNazanin"/>
          <w:color w:val="111111"/>
          <w:sz w:val="28"/>
          <w:szCs w:val="28"/>
          <w:rtl w:val="true"/>
          <w:lang w:bidi="fa-IR"/>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فأمّا إذا نسخ بعض تلک الجملة کنسخ القبلة،أو کنسخ رکوع،أو سجود،فإنّ ذلک یوجب نسخ الجملة،لأنّ تلک الجملة فی المستقبل لو أوقعت علی الحدّ الّذی کانت واجبا أو لا لم تجز و وجب إعادتها،فصار نقصان القبلة بمنزلة إخراج الصّلاة من </w:t>
      </w:r>
    </w:p>
    <w:p>
      <w:pPr>
        <w:pStyle w:val="BookText"/>
        <w:rPr/>
      </w:pPr>
      <w:r>
        <w:rPr>
          <w:rFonts w:ascii="IRNazanin" w:hAnsi="IRNazanin" w:eastAsia="IRNazanin"/>
          <w:color w:val="111111"/>
          <w:sz w:val="28"/>
          <w:sz w:val="28"/>
          <w:szCs w:val="28"/>
          <w:rtl w:val="true"/>
          <w:lang w:bidi="fa-IR"/>
        </w:rPr>
        <w:t>کونها واجبة و جائزة،فلذلک وجب أن یکون نسخا،و هو بمنزلة الزّیادة أیضا فی هذا الوجه،فیجب أن یکون مثلها فی أنّه نسخ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القبلة إذا نسخت فما بقی من الصّلاة هی عبادة مبتدأة لم یکن مثلها </w:t>
      </w:r>
      <w:r>
        <w:rPr>
          <w:rStyle w:val="FootnoteAnchor"/>
          <w:rtl w:val="true"/>
        </w:rPr>
        <w:footnoteReference w:id="1105"/>
      </w:r>
      <w:r>
        <w:rPr>
          <w:rFonts w:ascii="IRNazanin" w:hAnsi="IRNazanin" w:eastAsia="IRNazanin"/>
          <w:color w:val="111111"/>
          <w:sz w:val="28"/>
          <w:sz w:val="28"/>
          <w:szCs w:val="28"/>
          <w:rtl w:val="true"/>
          <w:lang w:bidi="fa-IR"/>
        </w:rPr>
        <w:t>من قبل واجبا،فکیف یصحّ أن یقولوا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نسخ؟ قیل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یجب الصّلاة من قبل علی هذا الوجه،فما کان واجبا من قبل من الصّلاة لو فعل الآن لم یجز،فوجب أن یکون إسقاط القبلة نسخا له من هذا الوجه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فأمّا صوم عاشوراء ،فإنّما یقال إنّه نسخ برمضان،بمعنی أنّ عند سقوط وجوبه أمر بصیام رمضان لا أنّ صوم رمضان ممّا نسخ له،لأنّ الحکم إنّما ینسخ حکما آخر إذا لم یصحّ أن یجتمعا علی وجه،فأمّا إذا صحّ وجوب الثّانی مع الأوّل،و یمکن فعلهما جمیعا فأحدهما لا یکون ناسخا للآخر،و لذلک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قول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لِأَبَوَیْهِ لِکُلِّ واحِدٍ مِنْهُمَا السُّدُسُ  </w:t>
      </w:r>
      <w:r>
        <w:rPr>
          <w:rStyle w:val="FootnoteAnchor"/>
          <w:rtl w:val="true"/>
        </w:rPr>
        <w:footnoteReference w:id="1106"/>
      </w:r>
      <w:r>
        <w:rPr>
          <w:rFonts w:ascii="IRNazanin" w:hAnsi="IRNazanin" w:eastAsia="IRNazanin"/>
          <w:color w:val="111111"/>
          <w:sz w:val="28"/>
          <w:sz w:val="28"/>
          <w:szCs w:val="28"/>
          <w:rtl w:val="true"/>
          <w:lang w:bidi="fa-IR"/>
        </w:rPr>
        <w:t xml:space="preserve">لا یعلم به وجوب نسخ الوصیّة للوالدین و الأقربین، لأنّ اجتماع الوصیّة و المیراث لهما غیر منکر،بل هو الصّحیح الّذی نذهب إلیه،و من خالفنا فی ذلک یرجع إلی ما یروی </w:t>
      </w:r>
      <w:r>
        <w:rPr>
          <w:rStyle w:val="FootnoteAnchor"/>
          <w:rtl w:val="true"/>
        </w:rPr>
        <w:footnoteReference w:id="1107"/>
      </w:r>
      <w:r>
        <w:rPr>
          <w:rFonts w:ascii="Amiri" w:hAnsi="Amiri" w:eastAsia="Amiri" w:cs="Amiri"/>
          <w:color w:val="111111"/>
          <w:sz w:val="28"/>
          <w:sz w:val="28"/>
          <w:szCs w:val="28"/>
          <w:rtl w:val="true"/>
          <w:lang w:bidi="ar-SA"/>
        </w:rPr>
        <w:t>من قول النّبیّ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وصیّة لوارث</w:t>
      </w:r>
      <w:r>
        <w:rPr>
          <w:rFonts w:eastAsia="Amiri" w:cs="Amiri" w:ascii="Amiri" w:hAnsi="Amiri"/>
          <w:color w:val="111111"/>
          <w:sz w:val="28"/>
          <w:szCs w:val="28"/>
          <w:rtl w:val="true"/>
          <w:lang w:bidi="ar-SA"/>
        </w:rPr>
        <w:t xml:space="preserve">» </w:t>
      </w:r>
      <w:r>
        <w:rPr>
          <w:rStyle w:val="FootnoteAnchor"/>
          <w:rtl w:val="true"/>
        </w:rPr>
        <w:footnoteReference w:id="1108"/>
      </w:r>
      <w:r>
        <w:rPr>
          <w:rFonts w:ascii="IRNazanin" w:hAnsi="IRNazanin" w:eastAsia="IRNazanin"/>
          <w:color w:val="111111"/>
          <w:sz w:val="28"/>
          <w:sz w:val="28"/>
          <w:szCs w:val="28"/>
          <w:rtl w:val="true"/>
          <w:lang w:bidi="fa-IR"/>
        </w:rPr>
        <w:t>و یدّعی أنّ ذلک مجمع علیه،و عندنا أنّ هذا خبر واحد لا ینسخ به ظاهر القرآن</w:t>
      </w:r>
      <w:r>
        <w:rPr>
          <w:rFonts w:eastAsia="IRNazanin" w:cs="IRNazanin"/>
          <w:color w:val="111111"/>
          <w:sz w:val="28"/>
          <w:szCs w:val="28"/>
          <w:rtl w:val="true"/>
          <w:lang w:bidi="fa-IR"/>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سلّم أنّ صوم عاشوراء نسخ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الحقیقة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برمضان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صحّ أن یصرف النّسخ إلی الوقت،لأنّ من حقّ النّسخ أن یتناول الأفعال الواقعة فی الأوقات لا الأوقات نفسها،لأنّها لیست من فعل المکلّف</w:t>
      </w:r>
      <w:r>
        <w:rPr>
          <w:rFonts w:eastAsia="IRNazanin" w:cs="IRNazanin"/>
          <w:color w:val="111111"/>
          <w:sz w:val="28"/>
          <w:szCs w:val="28"/>
          <w:rtl w:val="true"/>
          <w:lang w:bidi="fa-IR"/>
        </w:rPr>
        <w:t xml:space="preserve">. </w:t>
      </w:r>
      <w:bookmarkStart w:id="307" w:name="pg6519_49739"/>
    </w:p>
    <w:p>
      <w:pPr>
        <w:pStyle w:val="Heading4"/>
        <w:numPr>
          <w:ilvl w:val="3"/>
          <w:numId w:val="1"/>
        </w:numPr>
        <w:rPr/>
      </w:pPr>
      <w:bookmarkStart w:id="308" w:name="__RefHeading___Toc1757351_653776707"/>
      <w:bookmarkStart w:id="309" w:name="_Toc99"/>
      <w:bookmarkEnd w:id="307"/>
      <w:bookmarkEnd w:id="308"/>
      <w:r>
        <w:rPr>
          <w:rtl w:val="true"/>
        </w:rPr>
        <w:t>فصل</w:t>
      </w:r>
      <w:r>
        <w:rPr>
          <w:rtl w:val="true"/>
        </w:rPr>
        <w:t>-</w:t>
      </w:r>
      <w:r>
        <w:rPr/>
        <w:t>8</w:t>
      </w:r>
      <w:r>
        <w:rPr>
          <w:rtl w:val="true"/>
        </w:rPr>
        <w:t>: «</w:t>
      </w:r>
      <w:r>
        <w:rPr>
          <w:rtl w:val="true"/>
        </w:rPr>
        <w:t>فی نسخ الکتاب بالکتاب،و السّنّة بالسّنّة، و نسخ الإجماع و القیاس،و تجویز القول بهما</w:t>
      </w:r>
      <w:r>
        <w:rPr>
          <w:rtl w:val="true"/>
        </w:rPr>
        <w:t>»</w:t>
      </w:r>
      <w:bookmarkEnd w:id="30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نسخ الکتاب بالکتاب،و السّنّة بالسّنّة، و نسخ الإجماع و القیاس،و تجویز القول بهما</w:t>
      </w:r>
      <w:r>
        <w:rPr>
          <w:rFonts w:eastAsia="IRNazanin" w:cs="IRNazanin"/>
          <w:color w:val="111111"/>
          <w:sz w:val="28"/>
          <w:szCs w:val="28"/>
          <w:rtl w:val="true"/>
          <w:lang w:bidi="fa-IR"/>
        </w:rPr>
        <w:t>»</w:t>
      </w:r>
      <w:r>
        <w:rPr>
          <w:rStyle w:val="FootnoteAnchor"/>
          <w:rtl w:val="true"/>
        </w:rPr>
        <w:footnoteReference w:id="1109"/>
      </w:r>
      <w:r>
        <w:rPr>
          <w:rStyle w:val="FootnoteAnchor"/>
          <w:rtl w:val="true"/>
        </w:rPr>
        <w:footnoteReference w:id="1110"/>
      </w:r>
    </w:p>
    <w:p>
      <w:pPr>
        <w:pStyle w:val="BookText"/>
        <w:rPr/>
      </w:pPr>
      <w:r>
        <w:rPr>
          <w:rFonts w:ascii="IRNazanin" w:hAnsi="IRNazanin" w:eastAsia="IRNazanin"/>
          <w:color w:val="111111"/>
          <w:sz w:val="28"/>
          <w:sz w:val="28"/>
          <w:szCs w:val="28"/>
          <w:rtl w:val="true"/>
          <w:lang w:bidi="fa-IR"/>
        </w:rPr>
        <w:t xml:space="preserve">لا خلاف بین أهل العلم أنّ نسخ الکتاب بالکتاب یجوز </w:t>
      </w:r>
      <w:r>
        <w:rPr>
          <w:rStyle w:val="FootnoteAnchor"/>
          <w:rtl w:val="true"/>
        </w:rPr>
        <w:footnoteReference w:id="1111"/>
      </w:r>
      <w:r>
        <w:rPr>
          <w:rFonts w:ascii="IRNazanin" w:hAnsi="IRNazanin" w:eastAsia="IRNazanin"/>
          <w:color w:val="111111"/>
          <w:sz w:val="28"/>
          <w:sz w:val="28"/>
          <w:szCs w:val="28"/>
          <w:rtl w:val="true"/>
          <w:lang w:bidi="fa-IR"/>
        </w:rPr>
        <w:t>،و العلّة فی ذلک بیّنة،و ذلک لأنّهما فی وجوب العلم و العمل سواء،فکما یجوز تخصیص أحدهما بالآخر و بیان أحدهما بصاحبه،فکذلک یجوز نسخ أحدهما بالآخر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یلزم علی ذلک دلیل العقل الّذی لا ینسخ الکتاب به،لأنّا قد بیّنا أنّ من شرط النّسخ أن یکون واقعا بدلیل شرعیّ</w:t>
      </w:r>
      <w:r>
        <w:rPr>
          <w:rFonts w:eastAsia="IRNazanin" w:cs="IRNazanin"/>
          <w:color w:val="111111"/>
          <w:sz w:val="28"/>
          <w:szCs w:val="28"/>
          <w:rtl w:val="true"/>
          <w:lang w:bidi="fa-IR"/>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فأمّا معنی النّسخ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یقع بدلیل العقل،و قد وقع ما قلنا إنّه جائز،لأنّ اللّه تعالی نسخ الاعتداد حولا بالاعتداد أربعة أشهر و عشرا،و نسخ الصّدقة قبل المناجاة،و نسخ ثبات الواحد للعشرة،کلّ ذلک بالکتاب،و إن کان المنسوخ به ثابتا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أمّا 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فإنّما تنسخ بالسّنّة أیضا إذا تساویا فی الدّلالة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 کانت الأولی من أخبار الآحاد،فعلی مذهبنا ذلک ساقط،لأنّا لا نعمل بها، و علی مذهب الفقهاء یجوز نسخها بمثلها،لأنّهما إذا کان طریقهما العلم فحکمهما حکم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کانا ممّا طریقهما العمل فحالهما أیضا متساویة فیجب صحّة نسخ إحداهما بالأخری،و قد وقع ذلک أیضا علی ما روی أنّ النّبی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 عن ادّخار لحوم الأضاحیّ و زیارة القبور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نسخ ذلک فأباح الزّیارة و الادّخار للحوم الأضاحی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فصل بین نسخ قوله بفعله،أو قوله بقوله،و قد وقع ذلک عند الفقهاء لأنّه کان أمر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بقتل شارب الخمر فی المرّة الرابعة،ثمّ أخذه و قد شرب رابعة فحدّه و نسخ به قوله </w:t>
      </w:r>
      <w:r>
        <w:rPr>
          <w:rStyle w:val="FootnoteAnchor"/>
          <w:rtl w:val="true"/>
        </w:rPr>
        <w:footnoteReference w:id="11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عندنا أنّ هذا الحکم غیر منسوخ،بل هو ثابت</w:t>
      </w:r>
      <w:r>
        <w:rPr>
          <w:rFonts w:eastAsia="IRNazanin" w:cs="IRNazanin"/>
          <w:color w:val="111111"/>
          <w:sz w:val="28"/>
          <w:szCs w:val="28"/>
          <w:rtl w:val="true"/>
          <w:lang w:bidi="fa-IR"/>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نسخ الکتاب بالسّنّة،و نسخ السّنّة بالکتاب فسنبیّن القول فیه إن شاء اللّه </w:t>
      </w:r>
      <w:r>
        <w:rPr>
          <w:rStyle w:val="FootnoteAnchor"/>
          <w:rtl w:val="true"/>
        </w:rPr>
        <w:footnoteReference w:id="1113"/>
      </w:r>
      <w:r>
        <w:rPr>
          <w:rFonts w:ascii="IRNazanin" w:hAnsi="IRNazanin" w:eastAsia="IRNazanin"/>
          <w:color w:val="111111"/>
          <w:sz w:val="28"/>
          <w:sz w:val="28"/>
          <w:szCs w:val="28"/>
          <w:rtl w:val="true"/>
          <w:lang w:bidi="fa-IR"/>
        </w:rPr>
        <w:t>و أمّا الإجماع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فعندنا لا یجوز نسخه،لأنّه دلیل لا یتغیّر،بل هو ثابت فی جمیع الأوقات،لأنّ العقل عندنا یدلّ علی صحّة الإجماع،و ما هذا حکمه لا یجوز تغیّره فیطرق علیه النّسخ</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کذلک لا یصحّ النّسخ به،لأنّ من شأن النّاسخ أن یکون دلیلا شرعیّا متأخّرا عن المنسوخ،و ذلک لا یتأتّی فی الإجماع علی مذهبنا،فجری ذلک مجری أدلّة العقل الّتی لا یجوز النّسخ بها علی ما مضی القول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فأمّا علی مذهب الفقهاء فلا یجوز أیضا نسخه،لأنّه دلیل قد استقرّ بعد ارتفاع الوحی،و معلوم أنّ بعده لا یصحّ النّسخ،فیجب امتناع النّسخ فیه </w:t>
      </w:r>
      <w:r>
        <w:rPr>
          <w:rStyle w:val="FootnoteAnchor"/>
          <w:rtl w:val="true"/>
        </w:rPr>
        <w:footnoteReference w:id="11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کذلک لا یصحّ النّسخ به،لمثل ما قلناه نحن،من أنّ من شأن النّاسخ أن یکون متأخّرا عن المنسوخ،و الحکم إذا کان ثابتا فلا یجوز أن یجمع الأمّة بعد ذلک علی خلافه،لأنّ ذلک یؤدّی إلی بطلان الإجماع </w:t>
      </w:r>
      <w:r>
        <w:rPr>
          <w:rStyle w:val="FootnoteAnchor"/>
          <w:rtl w:val="true"/>
        </w:rPr>
        <w:footnoteReference w:id="11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فأمّا إذا أجمعوا علی شیء ثمّ ورد الخبر بخلافه،نحو إجماعهم علی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غسل علی من غسّل میّتا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مذهبهم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وضوء علی حامله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وردت السّنّة به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،فإنّما یستدلّ بالإجماع علی أنّ الخبر غیر صحیح و لا یجب قبوله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أن یکون منسوخا به فلا </w:t>
      </w:r>
      <w:r>
        <w:rPr>
          <w:rStyle w:val="FootnoteAnchor"/>
          <w:rtl w:val="true"/>
        </w:rPr>
        <w:footnoteReference w:id="1116"/>
      </w:r>
      <w:r>
        <w:rPr>
          <w:rFonts w:ascii="IRNazanin" w:hAnsi="IRNazanin" w:eastAsia="IRNazanin"/>
          <w:color w:val="111111"/>
          <w:sz w:val="28"/>
          <w:sz w:val="28"/>
          <w:szCs w:val="28"/>
          <w:rtl w:val="true"/>
          <w:lang w:bidi="fa-IR"/>
        </w:rPr>
        <w:t>،و إنّما قالوا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لو کان صحیحا لما أجمعت الأمّة علی خلافه،لأنّهم یتّبعون الأدلّة و لا یخالفونها،أو یستدلّ بالإجماع علی أنّه نسخ بغیره لا به نفسه</w:t>
      </w:r>
      <w:r>
        <w:rPr>
          <w:rFonts w:eastAsia="IRNazanin" w:cs="IRNazanin"/>
          <w:color w:val="111111"/>
          <w:sz w:val="28"/>
          <w:szCs w:val="28"/>
          <w:rtl w:val="true"/>
          <w:lang w:bidi="fa-IR"/>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فهل یجوز أن ینسخ إجماعهم علی قولین بإجماعهم علی أحدهما؟ </w:t>
      </w:r>
    </w:p>
    <w:p>
      <w:pPr>
        <w:pStyle w:val="BookText"/>
        <w:rPr/>
      </w:pPr>
      <w:r>
        <w:rPr>
          <w:rFonts w:ascii="IRNazanin" w:hAnsi="IRNazanin" w:eastAsia="IRNazanin"/>
          <w:color w:val="111111"/>
          <w:sz w:val="28"/>
          <w:sz w:val="28"/>
          <w:szCs w:val="28"/>
          <w:rtl w:val="true"/>
          <w:lang w:bidi="fa-IR"/>
        </w:rPr>
        <w:t>لأنّ هذا الإجماع قد دلّ علی أنّ القول الآخر الّذی سوّغوه من قبل القول به قد حرم القول به،و هذا نسخ للإجماع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یسقط علی مذهبنا،لأنّهم إذا أجمعوا علی أنّ کلّ واحد من القولین جائز لا یجوز أن یجمعوا بعد ذلک علی أحد القولین،لأنّ ذلک ینقض الإجماع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إنّما یصحّ ذلک علی مذهب من قال بالاجتهاد </w:t>
      </w:r>
      <w:r>
        <w:rPr>
          <w:rStyle w:val="FootnoteAnchor"/>
          <w:rtl w:val="true"/>
        </w:rPr>
        <w:footnoteReference w:id="1117"/>
      </w:r>
      <w:r>
        <w:rPr>
          <w:rFonts w:ascii="IRNazanin" w:hAnsi="IRNazanin" w:eastAsia="IRNazanin"/>
          <w:color w:val="111111"/>
          <w:sz w:val="28"/>
          <w:sz w:val="28"/>
          <w:szCs w:val="28"/>
          <w:rtl w:val="true"/>
          <w:lang w:bidi="fa-IR"/>
        </w:rPr>
        <w:t>بأن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بقولین من طریق الاجتهاد ثمّ أدّاهم الاجتهاد إلی قول واحد،و علی هذا أیضا لا یکون ذلک نسخا،لأنّهم إنّما سوّغوا القول بالأوّل بشرط أن لا یکون هناک ما یمنع من الاجتهاد، کما أنّ من غاب عن الرّسول صلّی اللّه علیه و آله و سلّم فإنّما یجتهد فی المسألة بشرط أن لا یکون من النّبی صلّی اللّه علیه و آله و سلّم نصّ،فإذا وجد الإجماع علی أحدهما عدم الشّرط الّذی له جوّزوا القول بالآخر،فخرم القول به لهذه العلّة لا لأنّه منسوخ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القیاس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فعندنا أنّه غیر معمول به فی الشّرع علی ما ندلّ علیه فی المستقبل،فلا یصحّ نسخه و لا النّسخ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مذهب من قال بالعمل به،فلا یصحّ أیضا نسخه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،لأنّه یتبع الأصول فما دامت الأصول ثابتة فنسخه </w:t>
      </w:r>
      <w:r>
        <w:rPr>
          <w:rStyle w:val="FootnoteAnchor"/>
          <w:rtl w:val="true"/>
        </w:rPr>
        <w:footnoteReference w:id="1118"/>
      </w:r>
      <w:r>
        <w:rPr>
          <w:rFonts w:ascii="Amiri" w:hAnsi="Amiri" w:eastAsia="Amiri" w:cs="Amiri"/>
          <w:color w:val="111111"/>
          <w:sz w:val="28"/>
          <w:sz w:val="28"/>
          <w:szCs w:val="28"/>
          <w:rtl w:val="true"/>
          <w:lang w:bidi="ar-SA"/>
        </w:rPr>
        <w:t>لا یصحّ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النّسخ به لا یصحّ أیضا،لأنّ من شرط صحّته أن لا یکون فی الأصول ما یمنع </w:t>
      </w:r>
    </w:p>
    <w:p>
      <w:pPr>
        <w:pStyle w:val="BookText"/>
        <w:rPr/>
      </w:pPr>
      <w:r>
        <w:rPr>
          <w:rFonts w:ascii="IRNazanin" w:hAnsi="IRNazanin" w:eastAsia="IRNazanin"/>
          <w:color w:val="111111"/>
          <w:sz w:val="28"/>
          <w:sz w:val="28"/>
          <w:szCs w:val="28"/>
          <w:rtl w:val="true"/>
          <w:lang w:bidi="fa-IR"/>
        </w:rPr>
        <w:t xml:space="preserve">منه،فلو جوّزوا نسخ الأصول به،لجوّزوا نسخ الأصول بقیاس لم یوجد علی الشّرط الّذی یصحّ علیه </w:t>
      </w:r>
      <w:r>
        <w:rPr>
          <w:rStyle w:val="FootnoteAnchor"/>
          <w:rtl w:val="true"/>
        </w:rPr>
        <w:footnoteReference w:id="11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فأمّا الاجتهادیات </w:t>
      </w:r>
      <w:r>
        <w:rPr>
          <w:rStyle w:val="FootnoteAnchor"/>
          <w:rtl w:val="true"/>
        </w:rPr>
        <w:footnoteReference w:id="1120"/>
      </w:r>
      <w:r>
        <w:rPr>
          <w:rFonts w:ascii="IRNazanin" w:hAnsi="IRNazanin" w:eastAsia="IRNazanin"/>
          <w:color w:val="111111"/>
          <w:sz w:val="28"/>
          <w:sz w:val="28"/>
          <w:szCs w:val="28"/>
          <w:rtl w:val="true"/>
          <w:lang w:bidi="fa-IR"/>
        </w:rPr>
        <w:t>علی مذهب الفقهاء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یصحّ النّسخ فیها،لأنّه یجوز أن یرجع من اجتهاد إلی اجتهاد،و یجوز أن لا یرجع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یجوز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أحد القولین ینسخ الآخر،و لذلک قال معاذ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أجتهد رأیی إذا لم أجد فی الکتاب و لا فی السّنّة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غیره من الصّحابة کانوا یترکون اجتهادهم للنّصوص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فحوی 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یمتنع نسخه لأنّ اللّفظ یدلّ علیه کما یدلّ علی ما یتناوله صریحه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یجوز أن ینسخ ما یقتضیه فحوی الخطاب مع ثبوت صریحه؟، کأن ینسخ ضرب الوالدین و یبقی تحریم قوله لهما أف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یمتنع،و یفارق القیاس لأنّ نسخه مع ثبات أصله لا یصحّ،لأنّ بصحّة الأصل یصحّ الفرع،فما دام ثابتا فیجب صحّته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کذلک لا یجوز بقاء القیاس مع نسخ أصله لما ذکرنا من العلّة </w:t>
      </w:r>
      <w:r>
        <w:rPr>
          <w:rStyle w:val="FootnoteAnchor"/>
          <w:rtl w:val="true"/>
        </w:rPr>
        <w:footnoteReference w:id="1121"/>
      </w:r>
      <w:r>
        <w:rPr>
          <w:rFonts w:eastAsia="Times New Roman" w:cs="Times New Roman" w:ascii="Times New Roman" w:hAnsi="Times New Roman"/>
          <w:color w:val="111111"/>
          <w:sz w:val="28"/>
          <w:szCs w:val="28"/>
          <w:rtl w:val="true"/>
          <w:lang w:val="en-US" w:bidi="en-US"/>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النّاس من منع من ذلک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أن یثبت صریحه و یرتفع فحواه، لأنّ ذلک مناقضة و یستحیل فی العرف،لأنّه لا یجوز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لا یظلم مثقال ذرّة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یظلم القناطیر،أو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لا یأکل رغیفا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یأکل مائة رطل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،فإذا </w:t>
      </w:r>
    </w:p>
    <w:p>
      <w:pPr>
        <w:pStyle w:val="BookText"/>
        <w:rPr/>
      </w:pPr>
      <w:r>
        <w:rPr>
          <w:rFonts w:ascii="IRNazanin" w:hAnsi="IRNazanin" w:eastAsia="IRNazanin"/>
          <w:color w:val="111111"/>
          <w:sz w:val="28"/>
          <w:sz w:val="28"/>
          <w:szCs w:val="28"/>
          <w:rtl w:val="true"/>
          <w:lang w:bidi="fa-IR"/>
        </w:rPr>
        <w:t>کان کذلک فدخول النّسخ فی ذلک لا یصحّ</w:t>
      </w:r>
      <w:r>
        <w:rPr>
          <w:rFonts w:eastAsia="IRNazanin" w:cs="IRNazanin"/>
          <w:color w:val="111111"/>
          <w:sz w:val="28"/>
          <w:szCs w:val="28"/>
          <w:rtl w:val="true"/>
          <w:lang w:bidi="fa-IR"/>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النّسخ بإقرار النّبی صلّی اللّه علیه و آله و سلّم علی الفعل،فسنبیّن فی باب الأفعال إن شاء اللّه</w:t>
      </w:r>
      <w:r>
        <w:rPr>
          <w:rFonts w:eastAsia="IRNazanin" w:cs="IRNazanin"/>
          <w:color w:val="111111"/>
          <w:sz w:val="28"/>
          <w:szCs w:val="28"/>
          <w:rtl w:val="true"/>
          <w:lang w:bidi="fa-IR"/>
        </w:rPr>
        <w:t xml:space="preserve">. </w:t>
      </w:r>
      <w:bookmarkStart w:id="310" w:name="pg6519_49745"/>
    </w:p>
    <w:p>
      <w:pPr>
        <w:pStyle w:val="Heading4"/>
        <w:numPr>
          <w:ilvl w:val="3"/>
          <w:numId w:val="1"/>
        </w:numPr>
        <w:rPr/>
      </w:pPr>
      <w:bookmarkStart w:id="311" w:name="__RefHeading___Toc1757353_653776707"/>
      <w:bookmarkStart w:id="312" w:name="_Toc100"/>
      <w:bookmarkEnd w:id="310"/>
      <w:bookmarkEnd w:id="311"/>
      <w:r>
        <w:rPr>
          <w:rtl w:val="true"/>
        </w:rPr>
        <w:t>فصل</w:t>
      </w:r>
      <w:r>
        <w:rPr>
          <w:rtl w:val="true"/>
        </w:rPr>
        <w:t>-</w:t>
      </w:r>
      <w:r>
        <w:rPr/>
        <w:t>9</w:t>
      </w:r>
      <w:r>
        <w:rPr>
          <w:rtl w:val="true"/>
        </w:rPr>
        <w:t>: «</w:t>
      </w:r>
      <w:r>
        <w:rPr>
          <w:rtl w:val="true"/>
        </w:rPr>
        <w:t>فی ذکر نسخ القرآن بالسّنّة،و السّنّة بالقرآن</w:t>
      </w:r>
      <w:r>
        <w:rPr>
          <w:rtl w:val="true"/>
        </w:rPr>
        <w:t>»</w:t>
      </w:r>
      <w:bookmarkEnd w:id="312"/>
    </w:p>
    <w:p>
      <w:pPr>
        <w:pStyle w:val="BookText"/>
        <w:rPr/>
      </w:pPr>
      <w:r>
        <w:rPr>
          <w:rFonts w:ascii="IRNazanin" w:hAnsi="IRNazanin" w:eastAsia="IRNazanin"/>
          <w:color w:val="111111"/>
          <w:sz w:val="28"/>
          <w:sz w:val="28"/>
          <w:szCs w:val="28"/>
          <w:rtl w:val="true"/>
          <w:lang w:bidi="fa-IR"/>
        </w:rPr>
        <w:t>ذهب المتکلّمون بأجمعهم من المعتزلة و غیرهم،و جمیع أصحاب أبی حنیفة،و مالک،إلی أنّ نسخ القرآن بالسّنّة المقطوع بها جائز</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إلیه ذهب سیّدنا المرتضی </w:t>
      </w:r>
      <w:r>
        <w:rPr>
          <w:rStyle w:val="FootnoteAnchor"/>
          <w:rtl w:val="true"/>
        </w:rPr>
        <w:footnoteReference w:id="11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ذهب الشّافعی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طائفة من الفقهاء</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أنّ ذلک لا یجوز،و هو الّذی </w:t>
      </w:r>
    </w:p>
    <w:p>
      <w:pPr>
        <w:pStyle w:val="BookText"/>
        <w:rPr/>
      </w:pPr>
      <w:r>
        <w:rPr>
          <w:rFonts w:ascii="IRNazanin" w:hAnsi="IRNazanin" w:eastAsia="IRNazanin"/>
          <w:color w:val="111111"/>
          <w:sz w:val="28"/>
          <w:sz w:val="28"/>
          <w:szCs w:val="28"/>
          <w:rtl w:val="true"/>
          <w:lang w:bidi="fa-IR"/>
        </w:rPr>
        <w:t>اختاره شیخنا أبو عبد اللّه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خلاف بین أهل العلم أنّ القرآن لا ینسخ بأخبار الآحاد،إلاّ أنّ من أجاز نسخ القرآن بالسّنّة المقطوع بها،یقول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یجوز نسخه أیضا بأخبار الآحاد و لکن الشّرع منع منه،و هو الإجماع علی أنّ خبر الواحد لا ینسخ به القرآن،و إلاّ کان ذلک جائزا،کما ثبت عندهم تخصیص عموم القرآن و بیان مجمله بأخبار الآحاد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 فی هذه المسألة نظر،إلاّ إنّی أذکر ما تعلّق به کلّ واحد من الفریقین علی ضرب من الإیجاز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فاستدلّ </w:t>
      </w:r>
      <w:r>
        <w:rPr>
          <w:rStyle w:val="FootnoteAnchor"/>
          <w:rtl w:val="true"/>
        </w:rPr>
        <w:footnoteReference w:id="1123"/>
      </w:r>
      <w:r>
        <w:rPr>
          <w:rFonts w:ascii="IRNazanin" w:hAnsi="IRNazanin" w:eastAsia="IRNazanin"/>
          <w:color w:val="111111"/>
          <w:sz w:val="28"/>
          <w:sz w:val="28"/>
          <w:szCs w:val="28"/>
          <w:rtl w:val="true"/>
          <w:lang w:bidi="fa-IR"/>
        </w:rPr>
        <w:t>من قال بجواز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إذا أوجبت السّنّة المقطوع بها العلم و العمل ساوت الکتاب فی ذلک،فیجب جواز حصول نسخها کما یجوز أن یبیّن بها، و یخصّ بها،و إنّما لا یجوز نسخه بخبر الواحد للإجماع الّذی ذکرناه و إلاّ کان ذلک جائزا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قالوا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النّسخ إذا کان واقعا فی الأحکام الّتی هی تابعة للمصالح،و کانت السّنّة فی الدّلالة علی الأحکام کالقرآن لا یختلفان،فیجب جواز نسخه بها</w:t>
      </w:r>
      <w:r>
        <w:rPr>
          <w:rFonts w:eastAsia="IRNazanin" w:cs="IRNazanin"/>
          <w:color w:val="111111"/>
          <w:sz w:val="28"/>
          <w:szCs w:val="28"/>
          <w:rtl w:val="true"/>
          <w:lang w:bidi="fa-IR"/>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مزیّة القرآن فی باب الإعجاز علی السّنّة لا یخرجها من التّساوی فیما ذکرناه،یبیّن ذلک أنّ نسخ الشّریعة إنّما یصحّ من حیث کان دلالة علی أنّ الحکم المراد بالأوّل أرید </w:t>
      </w:r>
      <w:r>
        <w:rPr>
          <w:rStyle w:val="FootnoteAnchor"/>
          <w:rtl w:val="true"/>
        </w:rPr>
        <w:footnoteReference w:id="1124"/>
      </w:r>
      <w:r>
        <w:rPr>
          <w:rFonts w:ascii="IRNazanin" w:hAnsi="IRNazanin" w:eastAsia="IRNazanin"/>
          <w:color w:val="111111"/>
          <w:sz w:val="28"/>
          <w:sz w:val="28"/>
          <w:szCs w:val="28"/>
          <w:rtl w:val="true"/>
          <w:lang w:bidi="fa-IR"/>
        </w:rPr>
        <w:t xml:space="preserve">به إلی غایة و قد علم أنّ قوله تعالی إذا کان وحیا و لم یکن قرآنا فی باب الدّلالة علی ذلک کالقرآن،فکذلک حال السّنّة فی ذلک یجب أن یکون حال القرآن فی جواز نسخ القرآن به،لأنّ الّذی یختصّ القرآن به من الإعجاز لا تأثیر له </w:t>
      </w:r>
    </w:p>
    <w:p>
      <w:pPr>
        <w:pStyle w:val="BookText"/>
        <w:rPr/>
      </w:pPr>
      <w:r>
        <w:rPr>
          <w:rFonts w:ascii="IRNazanin" w:hAnsi="IRNazanin" w:eastAsia="IRNazanin"/>
          <w:color w:val="111111"/>
          <w:sz w:val="28"/>
          <w:sz w:val="28"/>
          <w:szCs w:val="28"/>
          <w:rtl w:val="true"/>
          <w:lang w:bidi="fa-IR"/>
        </w:rPr>
        <w:t>فیما به یصحّ النّسخ من الدّلالة علی الحکم،لأنّ نفی کونه معجزا مع کونه قولا له تعالی لا یخرجه من أن یدلّ علی الحکم کهو إذا لم یکن معجزا،أ لا تری أنّ قوله علیه السّلام دلالة علی الحکم و إن لم یکن معجزا،فإذا صحّ ذلک لم یکن بکون القرآن معجزا اعتبار،فوجب صحّة نسخه بالسّنّة علی ما قدّمناه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استدلّ من امتنع من جواز نسخه بالسّنّة بأشیاء </w:t>
      </w:r>
      <w:r>
        <w:rPr>
          <w:rStyle w:val="FootnoteAnchor"/>
          <w:rtl w:val="true"/>
        </w:rPr>
        <w:footnoteReference w:id="11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أَنْزَلْنا إِلَیْکَ الذِّکْرَ لِتُبَیِّنَ لِلنّاسِ ما نُزِّلَ إِلَیْهِمْ  </w:t>
      </w:r>
      <w:r>
        <w:rPr>
          <w:rStyle w:val="FootnoteAnchor"/>
          <w:rtl w:val="true"/>
        </w:rPr>
        <w:footnoteReference w:id="1126"/>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فجعله اللّه تعالی مبیّنا للقرآن،فلو نسخه لکان قد أزاله،و الإزالة ضدّ البیان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اعترض من خالف فی ذلک بأن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إذا نسخه بالسّنّة فقد بیّن الوقت الّذی تزول فیه العبادة،و هذا فی أنّه بیان جار مجری التّخصیص،و لو لم یکن ذلک بیانا لم یکن فی وصف اللّه تعالی له بأنّه مبیّن دلیل علی أنّه لا یفعل ما لیس ببیان،کما لا یدلّ علی أنّه لا یبتدئ بأحکام شرّعها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أبو هاشم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معنی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لِتُبَیِّنَ لِلنّاسِ ما نُزِّلَ إِلَیْهِمْ   ،أی لتبلّغ و تؤدّی،لأنّ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بیان،و متی حملنا الآیة علی هذا وفّینا حقّها فی العموم لأنّه مؤدّ لکلّ ما أنزل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متی حملت علی البیان الّذی هو التّفسیر حملت علی التّخصیص،و إذا أمکن حمل الآیة علی العموم کان أولی من حملها علی الخصوص</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استدلوا أیضا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بَدَّلْنا آیَةً مَکانَ آیَةٍ  </w:t>
      </w:r>
      <w:r>
        <w:rPr>
          <w:rStyle w:val="FootnoteAnchor"/>
          <w:rtl w:val="true"/>
        </w:rPr>
        <w:footnoteReference w:id="1127"/>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فتبیّن أنّه تبدّل الآیة بالآیة،و ذلک یمنع من أن ینسخ بالسّنّة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اعترض علی ذلک من خالف بأن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فیه بأنّه لا یجوز أن تبدّل الآیة إلاّ بالآیة،فالتّعلّق به لا یصحّ،و لأنّه لا یدلّ علی موضع الخلاف من نسخ حکم الآیة بالسّنّة،لأنّه إنّما ذکر أنّ الآیة تبدّل بالآیة و لم یذکر الحکم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استدلّوا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الَّذِینَ لا یَرْجُونَ لِقاءَنَا ائْتِ بِقُرْآنٍ غَیْرِ هذا أَوْ بَدِّلْهُ قُلْ ما یَکُونُ لِی أَنْ أُبَدِّلَهُ مِنْ تِلْقاءِ نَفْسِی   </w:t>
      </w:r>
      <w:r>
        <w:rPr>
          <w:rStyle w:val="FootnoteAnchor"/>
          <w:rtl w:val="true"/>
        </w:rPr>
        <w:footnoteReference w:id="1128"/>
      </w:r>
      <w:r>
        <w:rPr>
          <w:rFonts w:ascii="Amiri" w:hAnsi="Amiri" w:eastAsia="Amiri" w:cs="Amiri"/>
          <w:color w:val="111111"/>
          <w:sz w:val="28"/>
          <w:sz w:val="28"/>
          <w:szCs w:val="28"/>
          <w:rtl w:val="true"/>
          <w:lang w:bidi="ar-SA"/>
        </w:rPr>
        <w:t>فبیّن أنّ تبدیله لا یقع إلاّ بالکتاب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من خالف فی ذلک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ما یَکُونُ لِی أَنْ أُبَدِّلَهُ مِنْ تِلْقاءِ نَفْسِی   یدلّ علی أنّه لا تنسخ الآیة إلاّ بوحی من اللّه تعالی قرآنا کان أو غیر قرآن، و کذلک نقول لأنّ النّبی صلّی اللّه علیه و آله و سلّم لا ینسخ القرآن من قبل نفسه علی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أقوی ما استدلّوا به فی هذا الباب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نَنْسَخْ مِنْ آیَةٍ أَوْ نُنْسِها نَأْتِ بِخَیْرٍ مِنْها أَوْ مِثْلِها  </w:t>
      </w:r>
      <w:r>
        <w:rPr>
          <w:rStyle w:val="FootnoteAnchor"/>
          <w:rtl w:val="true"/>
        </w:rPr>
        <w:footnoteReference w:id="1129"/>
      </w:r>
      <w:r>
        <w:rPr>
          <w:rFonts w:ascii="IRNazanin" w:hAnsi="IRNazanin" w:eastAsia="IRNazanin"/>
          <w:color w:val="111111"/>
          <w:sz w:val="28"/>
          <w:sz w:val="28"/>
          <w:szCs w:val="28"/>
          <w:rtl w:val="true"/>
          <w:lang w:bidi="fa-IR"/>
        </w:rPr>
        <w:t>،و استدلّوا بهذه الآیة من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ذکره أبو العبّاس بن سریج </w:t>
      </w:r>
      <w:r>
        <w:rPr>
          <w:rStyle w:val="FootnoteAnchor"/>
          <w:rtl w:val="true"/>
        </w:rPr>
        <w:footnoteReference w:id="1130"/>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نَأْتِ بِخَیْرٍ مِنْها أَوْ مِثْلِها  احتمل أن یراد به الکتاب،و احتمل غیره،فلمّا قال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تَعْلَمْ أَنَّ اللّهَ عَلی کُلِّ شَیْءٍ قَدِیرٌ   </w:t>
      </w:r>
      <w:r>
        <w:rPr>
          <w:rStyle w:val="FootnoteAnchor"/>
          <w:rtl w:val="true"/>
        </w:rPr>
        <w:footnoteReference w:id="1131"/>
      </w:r>
      <w:r>
        <w:rPr>
          <w:rFonts w:ascii="IRNazanin" w:hAnsi="IRNazanin" w:eastAsia="IRNazanin"/>
          <w:color w:val="111111"/>
          <w:sz w:val="28"/>
          <w:sz w:val="28"/>
          <w:szCs w:val="28"/>
          <w:rtl w:val="true"/>
          <w:lang w:bidi="fa-IR"/>
        </w:rPr>
        <w:t>علم أنّه أراد بما تقدّم ما یختصّ هو بالقدرة علیه،و هو القرآن المعجز،فکأنّه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نأت بخیر منها أو مثلها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نختصّ بالقدرة علیه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تعالی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نَأْتِ بِخَیْرٍ مِنْها أَوْ مِثْلِها   فأضاف ما نسخ به الآیة إلی نفسه،و السّنّة لا تضاف إلیه تعالی فی الحقیقة</w:t>
      </w:r>
      <w:r>
        <w:rPr>
          <w:rFonts w:eastAsia="Amiri" w:cs="Amiri" w:ascii="Amiri" w:hAnsi="Amiri"/>
          <w:color w:val="111111"/>
          <w:sz w:val="28"/>
          <w:szCs w:val="28"/>
          <w:rtl w:val="true"/>
          <w:lang w:bidi="ar-SA"/>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الظّاهر فی الاستعمال أنّه إذا قیل لأحد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آخذ منک ثوبا إلاّ أعطیک خیرا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یراد به من جنس الأوّل،و کذلک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نَنْسَخْ مِنْ آیَةٍ أَوْ نُنْسِها   لما ذکر فی الأوّل آیة فیجب أن یکون هی المراد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نَأْتِ بِخَیْرٍ مِنْها أَوْ مِثْلِها   فکأنّه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نأت بآیة خیر منها أو مثلها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الآیة إنّما تکون خیرا من الآیة بأن تکون أنفع منها،و المنفعة بالآیة تقع بتلاوتها و بامتثال حکمها،فیجب أن یکون ما یأتی به یزید فی النّفع علی ما ینسخه،و لا یکون زائدا علیه إلاّ و یحصل به النّفع من کلا الوجهین،و السّنّة لا یصحّ ذلک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ذکر من خالف هذا المذهب فی تأویل هذه الآیة وجها قویّا و هو المحکی عن أبی هاشم و هو أنّه قال </w:t>
      </w:r>
      <w:r>
        <w:rPr>
          <w:rStyle w:val="FootnoteAnchor"/>
          <w:rtl w:val="true"/>
        </w:rPr>
        <w:footnoteReference w:id="11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نَأْتِ بِخَیْرٍ مِنْها   دلالة علی أنّ ما یأتی بها هو النّاسخ،لأنّه لم یقل نأت بخیر منها ناسخا،فیجوز أن ینسخ الآیة بشیء آخر ثمّ یأتی بخیر 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أجاب من نصر المذهب الأوّل عن هذا بأن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ثبت أنّه لا بدّ أن یأتی بآیة أخری،و کلّ من قال بذلک قال إنّها تکون ناسخة،و لیس فی الأمّة من قال لا بدّ من أن یأتی بآیة أخری و إن لم تکن ناسخة،لأنّ من جوّز نسخ القرآن بالسّنّة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أن ینسخه بالسّنّة و إن لم یأت بآیة أخری،و کلّ قول خالف الإجماع وجب إطراحه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اعترضوا </w:t>
      </w:r>
      <w:r>
        <w:rPr>
          <w:rStyle w:val="FootnoteAnchor"/>
          <w:rtl w:val="true"/>
        </w:rPr>
        <w:footnoteReference w:id="1133"/>
      </w:r>
      <w:r>
        <w:rPr>
          <w:rFonts w:ascii="Amiri" w:hAnsi="Amiri" w:eastAsia="Amiri" w:cs="Amiri"/>
          <w:color w:val="111111"/>
          <w:sz w:val="28"/>
          <w:sz w:val="28"/>
          <w:szCs w:val="28"/>
          <w:rtl w:val="true"/>
          <w:lang w:bidi="ar-SA"/>
        </w:rPr>
        <w:t>علی الاستدلال بالآیة أیضا بأن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نَنْسَخْ مِنْ آیَةٍ أَوْ نُنْسِها نَأْتِ بِخَیْرٍ مِنْها   یقتضی ثبوت النّسخ قبل الإتیان بخیر منها،فلو کان النّسخ بما یأتی به یقع،لما صحّ حصول نسخ الآیة قبل أن یأتی بخیر منها</w:t>
      </w:r>
      <w:r>
        <w:rPr>
          <w:rFonts w:eastAsia="Amiri" w:cs="Amiri" w:ascii="Amiri" w:hAnsi="Amiri"/>
          <w:color w:val="111111"/>
          <w:sz w:val="28"/>
          <w:szCs w:val="28"/>
          <w:rtl w:val="true"/>
          <w:lang w:bidi="ar-SA"/>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یمکن أن یجاب عن ذلک بأن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یمتنع 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نأت بخیر منها ناسخا و إن تقدّم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نَنْسَخْ مِنْ آیَةٍ أَوْ نُنْسِها   ،کما أنّ القائل إذا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لا أبطل الحرکة إلاّ و أفعل السّکون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یعدم السّواد عن المحلّ إلاّ و یطرأ علیه البیاض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إن کان المبطل للسّواد هو البیاض الطّارئ و کذلک المبطل للحرکة السّکون الّذی یطرأ علیه،فکذلک القول فی الآیة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اعترض أیضا علی الاستدلال بالآیة بأن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فی ظاهر الآیة نسخ حکم الآیة،و هو موضع الخلاف،و هذا أیضا یسقط بالإجماع،لأنّ أحدا لا یفصّل بین نسخ الآیة و بین نسخ حکمها،فمن فصّل بینهما کان مخالفا للإجماع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قالوا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نسخ الآیة إنساؤها إذا حمل علی أنّ المراد به أنّه ینسیه عن صدور الرّجال،فاللّه تعالی هو الفاعل لذلک،فلا یصحّ وقوع ذلک بالسّنّة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متی حمل علی أنّ المراد به أن یبیّن أنّ تلاوتها لیس بطاعة،فذلک یصحّ بالسّنّة و القرآن جمیعا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لمن نصر الأوّل 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أحمل الآیة علی الأمرین جمیعا،علی أنّه لا ینسیها عن صدور الرّجال إلاّ اللّه،و لا یبیّن أنّ تلاوتها لیس بطاعة إلاّ بقرآن آخر خیر منه أو مثله،و أنّ ذلک لا یقع بالسّنّة أصلا،لهذا 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اعترضوا أیضا علی الاستدلال بها بأن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 خیر من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یستعمل بمعنی أنّه أنفع لنا منه،و أنّه قد زاد فی باب النّفع علی غیره،و إذا ثبت ذلک جاز أن یقال إنّه نأت بخیر منها،أی بأنفع لکم منها،و المنفعة فی هذا الموضع هی </w:t>
      </w:r>
      <w:r>
        <w:rPr>
          <w:rStyle w:val="FootnoteAnchor"/>
          <w:rtl w:val="true"/>
        </w:rPr>
        <w:footnoteReference w:id="1134"/>
      </w:r>
      <w:r>
        <w:rPr>
          <w:rFonts w:ascii="IRNazanin" w:hAnsi="IRNazanin" w:eastAsia="IRNazanin"/>
          <w:color w:val="111111"/>
          <w:sz w:val="28"/>
          <w:sz w:val="28"/>
          <w:szCs w:val="28"/>
          <w:rtl w:val="true"/>
          <w:lang w:bidi="fa-IR"/>
        </w:rPr>
        <w:t>ما یستحقّ بالفعل من الثّواب،و لیس یمتنع أن یکون الثّواب بما یدلّ السّنّة علیه من الفعل أکثر ممّا یستحقّه علی الفعل الّذی دلّت الآیة علیه و علی تلاوتها،فیجب من هذا الوجه صحّة نسخ الآیة بالسّنّة،و أن یستدلّ بنفس الآیة علی ما نقوله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أجاب من نصر المذهب الأوّل عن ذلک بأن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فکان یجب علی هذا التّقدیر أن یقال بالإطلاق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السّنّة خیر من القرآن،و یراد بذلک أنّه أکثر ثوابا،و فی إطلاق ذلک خروج من الإجماع</w:t>
      </w:r>
      <w:r>
        <w:rPr>
          <w:rFonts w:eastAsia="IRNazanin" w:cs="IRNazanin"/>
          <w:color w:val="111111"/>
          <w:sz w:val="28"/>
          <w:szCs w:val="28"/>
          <w:rtl w:val="true"/>
          <w:lang w:bidi="fa-IR"/>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اعترضوا علی الوجه الأوّل من الاستدلال بالآیة بأن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نَأْتِ بِخَیْرٍ مِنْها   مضیفا ذلک إلی نفسه لا یدلّ علی ما قالوه،لأنّ عندنا النّسخ إنّما یقع بالوحی الّذی أتی اللّه تعالی،به و إن کان بالسّنّة فنستدلّ علیه و نعلمه،و قد أعطینا الإضافة </w:t>
      </w:r>
    </w:p>
    <w:p>
      <w:pPr>
        <w:pStyle w:val="BookText"/>
        <w:rPr/>
      </w:pPr>
      <w:r>
        <w:rPr>
          <w:rFonts w:ascii="Amiri" w:hAnsi="Amiri" w:eastAsia="Amiri" w:cs="Amiri"/>
          <w:color w:val="111111"/>
          <w:sz w:val="28"/>
          <w:sz w:val="28"/>
          <w:szCs w:val="28"/>
          <w:rtl w:val="true"/>
          <w:lang w:bidi="ar-SA"/>
        </w:rPr>
        <w:t>حقّها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قالوا أیضا فی الوجه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لا یمتنع أن یقول القائل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آخذ منک کذا و أعطیک ما هو أنفع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یکن من جنسه،لأنّه قد یقول الرّجل لصاحبه مصرّحا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آخذ منک کذا ثوبا إلاّ و أعطیک ما هو خیر منه من الدّنانیر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آخذ منک دارا إلاّ و أعطیک ما هو أنفع لک منه من البستان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قالوا فی الوجه الثّالث من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تَعْلَمْ أَنَّ اللّهَ عَلی کُلِّ شَیْءٍ قَدِیرٌ   </w:t>
      </w:r>
      <w:r>
        <w:rPr>
          <w:rStyle w:val="FootnoteAnchor"/>
          <w:rtl w:val="true"/>
        </w:rPr>
        <w:footnoteReference w:id="11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یرید به أنّه قادر علی أن ینسخ الآیة بما یعلم أنّه أصلح للعباد من المنسوخ،و الّذی یختصّ بذلک هو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استدلّ بعض أصحاب الشّافعی علی صحّة ما ذهبوا إلیه بأن قالوا </w:t>
      </w:r>
      <w:r>
        <w:rPr>
          <w:rStyle w:val="FootnoteAnchor"/>
          <w:rtl w:val="true"/>
        </w:rPr>
        <w:footnoteReference w:id="11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یجوز ذلک من جهة العقل لأنّ فی ذلک ارتیابا بالنّبی صلّی اللّه علیه و آله و سلّم و استدلّ علی ذلک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بَدَّلْنا آیَةً مَکانَ آیَةٍ وَ اللّهُ أَعْلَمُ بِما یُنَزِّلُ قالُوا إِنَّما أَنْتَ مُفْتَرٍ بَلْ أَکْثَرُهُمْ لا یَعْلَمُونَ  </w:t>
      </w:r>
      <w:r>
        <w:rPr>
          <w:rStyle w:val="FootnoteAnchor"/>
          <w:rtl w:val="true"/>
        </w:rPr>
        <w:footnoteReference w:id="1137"/>
      </w:r>
      <w:r>
        <w:rPr>
          <w:rFonts w:ascii="Amiri" w:hAnsi="Amiri" w:eastAsia="Amiri" w:cs="Amiri"/>
          <w:color w:val="111111"/>
          <w:sz w:val="28"/>
          <w:sz w:val="28"/>
          <w:szCs w:val="28"/>
          <w:rtl w:val="true"/>
          <w:lang w:bidi="ar-SA"/>
        </w:rPr>
        <w:t>ثمّ بیّن أنّه لیس یرفع هذا بقوله،و أنّ المبدّل هو اللّه تعالی بما أنزله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هذا غلط،لأنّ اللّه تعالی ذکر أنّهم نسبوه إلی الافتراء عند تبدیله الآیة بالآیة، فإن کان ما یلحقهم من الارتیاب قد یمنع من نسخ الآیة بالسّنّة،فیجب أن یمنع من نسخ الآیة بالآیة أیضا،و کیف یمنع العقل من ذلک؟و من علم کون القرآن معجزا یعلم صدقه،و علمه بصدقة ینفی الارتیاب بقوله إذا نسخ الآیة بالسّنّة،و لیس نسخه بالسّنّة نسخا من تلقاء نفسه،بل هو نسخ له بالوحی النّازل علیه،فهو فی الحکم کأنّه نسخ آیة بآیة</w:t>
      </w:r>
      <w:r>
        <w:rPr>
          <w:rFonts w:eastAsia="IRNazanin" w:cs="IRNazanin"/>
          <w:color w:val="111111"/>
          <w:sz w:val="28"/>
          <w:szCs w:val="28"/>
          <w:rtl w:val="true"/>
          <w:lang w:bidi="fa-IR"/>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النّاس 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العقل یجیز ذلک لکن لم یرد ذلک فی السّنّة و لم </w:t>
      </w:r>
    </w:p>
    <w:p>
      <w:pPr>
        <w:pStyle w:val="BookText"/>
        <w:rPr/>
      </w:pPr>
      <w:r>
        <w:rPr>
          <w:rFonts w:ascii="IRNazanin" w:hAnsi="IRNazanin" w:eastAsia="IRNazanin"/>
          <w:color w:val="111111"/>
          <w:sz w:val="28"/>
          <w:sz w:val="28"/>
          <w:szCs w:val="28"/>
          <w:rtl w:val="true"/>
          <w:lang w:bidi="fa-IR"/>
        </w:rPr>
        <w:t>یثبت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وجه،إلاّ أنّه لیس بکلام فی هذه المسألة لأنّ صاحبها مقرّ بجواز ذلک، و إنّما أنکروا وجوده،فالواجب أن یبیّن له الوجود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یذهب إلی ذلک فله أشیاء یذکرها،فیتعلّق بها،ربّما ذکرناها إن عرض ما یحتاج إلیه،و لا یجوز له إذا بیّن ذلک أن یتأوّله،لأنّه لیس بمستند إلی دلیل یصحّ له التّأویل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لا أقول أنّ نسخ القرآن بالسّنّة جائز فی العقل أو لا یجوز،لأنّ الجواز شکّ،و قد علمت بالشّرع المنع منه، فذهاب عن معنی هذه اللّفظة،لأنّ المراد بها أنّ نسخ القرآن بالسّنّة من القبیل الّذی شکّ فی حاله هل یتعبّد اللّه تعالی به أم لا؟و أنّه من حیّز ما لا یجوز ذلک فیه؟ و هذا لا یصحّ الامتناع منه کما لا یصحّ الامتناع من 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یجوز أن یتعبّد اللّه تعالی بصلاة سادسة أو لا و إن علمنا بالسّمع أنّه لم یتعبّد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جملة کافیة فی هذا الباب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نسخ السّنّة بالکتاب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فالظّاهر من مذهب الشّافعی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المنع منه،و هو الّذی صرّح به فی رسالتیه جمیعا،و فی أصحابه من یضیف إلیه جواز ذلک </w:t>
      </w:r>
      <w:r>
        <w:rPr>
          <w:rStyle w:val="FootnoteAnchor"/>
          <w:rtl w:val="true"/>
        </w:rPr>
        <w:footnoteReference w:id="1138"/>
      </w:r>
      <w:r>
        <w:rPr>
          <w:rFonts w:eastAsia="Times New Roman" w:cs="Times New Roman" w:ascii="Times New Roman" w:hAnsi="Times New Roman"/>
          <w:color w:val="111111"/>
          <w:sz w:val="28"/>
          <w:szCs w:val="28"/>
          <w:rtl w:val="true"/>
          <w:lang w:val="en-US" w:bidi="en-US"/>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الأوّل أظهر من قوله،لکنّه لمّا رأی هذه المسألة تضعف علی النّظر جعل </w:t>
      </w:r>
    </w:p>
    <w:p>
      <w:pPr>
        <w:pStyle w:val="BookText"/>
        <w:rPr/>
      </w:pPr>
      <w:r>
        <w:rPr>
          <w:rFonts w:ascii="IRNazanin" w:hAnsi="IRNazanin" w:eastAsia="IRNazanin"/>
          <w:color w:val="111111"/>
          <w:sz w:val="28"/>
          <w:sz w:val="28"/>
          <w:szCs w:val="28"/>
          <w:rtl w:val="true"/>
          <w:lang w:bidi="fa-IR"/>
        </w:rPr>
        <w:t>قولا آخر علی حسب ما یفعله کثیر منهم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الباقون من الفقهاء و المتکلّمون فعلی جواز ذلک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تعلّق من منع من ذلک بأن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لم یجز نسخ القرآن إلاّ بقرآن لمساواته له فی الرّتبة،فکذلک لا تنسخ السّنّة بالکتاب لمثل ذلک،و لأنّه جعل مبیّنا فلا یجوز أن تنسخ سنّة القرآن،لأنّ فی ذلک إخراجا له من أن یکون مبیّنا،بل یجب کون سنّته مبیّنة بالقرآن</w:t>
      </w:r>
      <w:r>
        <w:rPr>
          <w:rFonts w:eastAsia="IRNazanin" w:cs="IRNazanin"/>
          <w:color w:val="111111"/>
          <w:sz w:val="28"/>
          <w:szCs w:val="28"/>
          <w:rtl w:val="true"/>
          <w:lang w:bidi="fa-IR"/>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الّذی یعتمد فی ذلک جواز نسخ السّنّة بالقرآن،و الّذی یدلّ علی ذلک أنّه قد </w:t>
      </w:r>
    </w:p>
    <w:p>
      <w:pPr>
        <w:pStyle w:val="BookText"/>
        <w:rPr/>
      </w:pPr>
      <w:r>
        <w:rPr>
          <w:rFonts w:ascii="IRNazanin" w:hAnsi="IRNazanin" w:eastAsia="IRNazanin"/>
          <w:color w:val="111111"/>
          <w:sz w:val="28"/>
          <w:sz w:val="28"/>
          <w:szCs w:val="28"/>
          <w:rtl w:val="true"/>
          <w:lang w:bidi="fa-IR"/>
        </w:rPr>
        <w:t>ثبت أنّ القرآن أقوی فی باب الدّلالة من السّنة علی الأحکام،فإذا کان أقوی منها جاز نسخها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کما جاز نسخها بالسّنّة</w:t>
      </w:r>
      <w:r>
        <w:rPr>
          <w:rFonts w:eastAsia="IRNazanin" w:cs="IRNazanin"/>
          <w:color w:val="111111"/>
          <w:sz w:val="28"/>
          <w:szCs w:val="28"/>
          <w:rtl w:val="true"/>
          <w:lang w:bidi="fa-IR"/>
        </w:rPr>
        <w:t xml:space="preserve">] </w:t>
      </w:r>
      <w:r>
        <w:rPr>
          <w:rStyle w:val="FootnoteAnchor"/>
          <w:rtl w:val="true"/>
        </w:rPr>
        <w:footnoteReference w:id="1139"/>
      </w:r>
      <w:r>
        <w:rPr>
          <w:rFonts w:ascii="IRNazanin" w:hAnsi="IRNazanin" w:eastAsia="IRNazanin"/>
          <w:color w:val="111111"/>
          <w:sz w:val="28"/>
          <w:sz w:val="28"/>
          <w:szCs w:val="28"/>
          <w:rtl w:val="true"/>
          <w:lang w:bidi="fa-IR"/>
        </w:rPr>
        <w:t>الّتی هی دونها فی القول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ذهب إلی المنع من جواز نسخ القرآن بالسّنّة،و أجاز نسخ السّنّة بالقرآن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أمنع من ذلک من حیث التّساوی فی باب الدّلالة،بل امتنعت من ذلک للآیات الّتی دلّت علی المنع من ذلک،و إلاّ کان ذلک جائزا،و إن کان بعضه أدون من بعض،کما إذا کانا متساویین فی باب الدّلالة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ذهب إلی الجواز فی الموضعین کانت هذه الشّبهة عنه ساقطة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تعالی لو نسخ سنّة نبیّه علیه السّلام بآیة ینزّلها،لأمر نبیّه بأن یبیّن سنّة ثانیة ینسخ بها سنّة الأولی لئلا یلتبس النّسخ بالبیان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الآیة لا تخلو من أن تدلّ بظاهرها علی نسخ السّنّة،أو لا تدلّ بظاهرها علی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دلّ علی ذلک،فالنّسخ بها یقع و السّنّة تکون مؤکّدة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لم یدلّ إلاّ ببیان السّنّة جاز القول بالسّنّة،فإنّ السّنّة </w:t>
      </w:r>
      <w:r>
        <w:rPr>
          <w:rStyle w:val="FootnoteAnchor"/>
          <w:rtl w:val="true"/>
        </w:rPr>
        <w:footnoteReference w:id="1140"/>
      </w:r>
      <w:r>
        <w:rPr>
          <w:rFonts w:ascii="IRNazanin" w:hAnsi="IRNazanin" w:eastAsia="IRNazanin"/>
          <w:color w:val="111111"/>
          <w:sz w:val="28"/>
          <w:sz w:val="28"/>
          <w:szCs w:val="28"/>
          <w:rtl w:val="true"/>
          <w:lang w:bidi="fa-IR"/>
        </w:rPr>
        <w:t>تنسخ من حیث کانت بها یعلم نسخ السّنّة 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صحّ ذلک فما الّذی یحوج إلی بیان سنّة ثانیة،و الآیة دالّة بظاهرها علی نسخ السّنّة الأولی،و کیف یلتبس ذلک بالبیان؟و من حقّ البیان أن یکون بیانا لما لا یعرف المراد به بظاهره،و النّسخ بالضدّ منه،و من حقّ الدّلیل أن لا یتأخّر عن المبیّن، و النّسخ مخالف له</w:t>
      </w:r>
      <w:r>
        <w:rPr>
          <w:rFonts w:eastAsia="IRNazanin" w:cs="IRNazanin"/>
          <w:color w:val="111111"/>
          <w:sz w:val="28"/>
          <w:szCs w:val="28"/>
          <w:rtl w:val="true"/>
          <w:lang w:bidi="fa-IR"/>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لِتُبَیِّنَ لِلنّاسِ ما نُزِّلَ إِلَیْهِمْ  </w:t>
      </w:r>
      <w:r>
        <w:rPr>
          <w:rStyle w:val="FootnoteAnchor"/>
          <w:rtl w:val="true"/>
        </w:rPr>
        <w:footnoteReference w:id="1141"/>
      </w:r>
      <w:r>
        <w:rPr>
          <w:rFonts w:ascii="IRNazanin" w:hAnsi="IRNazanin" w:eastAsia="IRNazanin"/>
          <w:color w:val="111111"/>
          <w:sz w:val="28"/>
          <w:sz w:val="28"/>
          <w:szCs w:val="28"/>
          <w:rtl w:val="true"/>
          <w:lang w:bidi="fa-IR"/>
        </w:rPr>
        <w:t xml:space="preserve">لا یمنع من أن ینسخ سنّته بالقرآن، لأنّه لیس فی نسخها به إخراج لها من أن یکون قد بیّن ما أرید بها،و إنّما یبنی النّسخ </w:t>
      </w:r>
    </w:p>
    <w:p>
      <w:pPr>
        <w:pStyle w:val="BookText"/>
        <w:rPr/>
      </w:pPr>
      <w:r>
        <w:rPr>
          <w:rFonts w:ascii="IRNazanin" w:hAnsi="IRNazanin" w:eastAsia="IRNazanin"/>
          <w:color w:val="111111"/>
          <w:sz w:val="28"/>
          <w:sz w:val="28"/>
          <w:szCs w:val="28"/>
          <w:rtl w:val="true"/>
          <w:lang w:bidi="fa-IR"/>
        </w:rPr>
        <w:t>علی أنّ نظائر ما أرید بها زال حکمه فی المستقبل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یبیّن جواز نسخ السّنّة بالقرآن وقوع ذلک،و هو أنّ تأخیر الصّلوات عن أوقاتها فی الخوف کان هو الواجب أوّلا ثمّ نسخ ذلک المنع من تأخیرها بقوله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فَإِنْ خِفْتُمْ فَرِجالاً أَوْ رُکْباناً    </w:t>
      </w:r>
      <w:r>
        <w:rPr>
          <w:rStyle w:val="FootnoteAnchor"/>
          <w:rtl w:val="true"/>
        </w:rPr>
        <w:footnoteReference w:id="11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فأمّا نسخ الکتاب بالکتاب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وقع أیضا،و قد قدّمنا الأمثلة فی ذلک،و من ذلک أنّه کان حدّ الزّانیة الإمساک فی البیوت حتّی تموت بقوله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اللاّتِی یَأْتِینَ الْفاحِشَةَ مِنْ نِسائِکُمْ  </w:t>
      </w:r>
      <w:r>
        <w:rPr>
          <w:rStyle w:val="FootnoteAnchor"/>
          <w:rtl w:val="true"/>
        </w:rPr>
        <w:footnoteReference w:id="1143"/>
      </w:r>
      <w:r>
        <w:rPr>
          <w:rFonts w:ascii="Amiri" w:hAnsi="Amiri" w:eastAsia="Amiri" w:cs="Amiri"/>
          <w:color w:val="111111"/>
          <w:sz w:val="28"/>
          <w:sz w:val="28"/>
          <w:szCs w:val="28"/>
          <w:rtl w:val="true"/>
          <w:lang w:bidi="ar-SA"/>
        </w:rPr>
        <w:t xml:space="preserve">الآیة،و حدّ الرّجال الأذی،ثمّ نسخ ذلک بقوله اَلزّانِیَةُ وَ الزّانِی فَاجْلِدُوا کُلَّ واحِدٍ مِنْهُما مِائَةَ جَلْدَةٍ  </w:t>
      </w:r>
      <w:r>
        <w:rPr>
          <w:rStyle w:val="FootnoteAnchor"/>
          <w:rtl w:val="true"/>
        </w:rPr>
        <w:footnoteReference w:id="11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ذهب من خالفنا فی ذلک إلی أنّ ذلک نسخ عن المحصن بالرّجم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علی ما یذهب إلیه أصحابنا فإنّه یجتمع له الجلد و الرّجم جمیعا،و لا یسلّمون أنّ أحدهما منسوخ</w:t>
      </w:r>
      <w:r>
        <w:rPr>
          <w:rFonts w:eastAsia="IRNazanin" w:cs="IRNazanin"/>
          <w:color w:val="111111"/>
          <w:sz w:val="28"/>
          <w:szCs w:val="28"/>
          <w:rtl w:val="true"/>
          <w:lang w:bidi="fa-IR"/>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هذه جملة کافیة فی هذا الباب</w:t>
      </w:r>
      <w:r>
        <w:rPr>
          <w:rFonts w:eastAsia="IRNazanin" w:cs="IRNazanin"/>
          <w:color w:val="111111"/>
          <w:sz w:val="28"/>
          <w:szCs w:val="28"/>
          <w:rtl w:val="true"/>
          <w:lang w:bidi="fa-IR"/>
        </w:rPr>
        <w:t xml:space="preserve">. </w:t>
      </w:r>
      <w:bookmarkStart w:id="313" w:name="pg6519_49756"/>
    </w:p>
    <w:p>
      <w:pPr>
        <w:pStyle w:val="Heading4"/>
        <w:numPr>
          <w:ilvl w:val="3"/>
          <w:numId w:val="1"/>
        </w:numPr>
        <w:rPr/>
      </w:pPr>
      <w:bookmarkStart w:id="314" w:name="__RefHeading___Toc1757355_653776707"/>
      <w:bookmarkStart w:id="315" w:name="_Toc101"/>
      <w:bookmarkEnd w:id="313"/>
      <w:bookmarkEnd w:id="314"/>
      <w:r>
        <w:rPr>
          <w:rtl w:val="true"/>
        </w:rPr>
        <w:t>فصل</w:t>
      </w:r>
      <w:r>
        <w:rPr>
          <w:rtl w:val="true"/>
        </w:rPr>
        <w:t>-</w:t>
      </w:r>
      <w:r>
        <w:rPr/>
        <w:t>10</w:t>
      </w:r>
      <w:r>
        <w:rPr>
          <w:rtl w:val="true"/>
        </w:rPr>
        <w:t>:</w:t>
      </w:r>
      <w:r>
        <w:rPr>
          <w:rtl w:val="true"/>
        </w:rPr>
        <w:t>فی ذکر الطّریق الّذی یعرف به النّاسخ و المنسوخ،و معرفة تاریخهما</w:t>
      </w:r>
      <w:r>
        <w:rPr>
          <w:rtl w:val="true"/>
        </w:rPr>
        <w:t>»</w:t>
      </w:r>
      <w:bookmarkEnd w:id="315"/>
    </w:p>
    <w:p>
      <w:pPr>
        <w:pStyle w:val="BookText"/>
        <w:rPr/>
      </w:pPr>
      <w:r>
        <w:rPr>
          <w:rFonts w:ascii="IRNazanin" w:hAnsi="IRNazanin" w:eastAsia="IRNazanin"/>
          <w:color w:val="111111"/>
          <w:sz w:val="28"/>
          <w:sz w:val="28"/>
          <w:szCs w:val="28"/>
          <w:rtl w:val="true"/>
          <w:lang w:bidi="fa-IR"/>
        </w:rPr>
        <w:t>یعلم النّاسخ ناسخا و المنسوخ منسوخا بشیئین أحدهما أن یکون الثّانی منبئا عن النّسخ الأوّل لفظا،أو یقتضی ذلک من جهة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لهذین الوجهین تفصیل،و أمّا ما یقتضیه ذلک لفظا فعلی وجوه أحدها أن یرد الخطاب بأنّ الثّانی قد نسخ الأوّل،نحو ما روی أنّ رمضان نسخ عاشوراء </w:t>
      </w:r>
      <w:r>
        <w:rPr>
          <w:rStyle w:val="FootnoteAnchor"/>
          <w:rtl w:val="true"/>
        </w:rPr>
        <w:footnoteReference w:id="1145"/>
      </w:r>
      <w:r>
        <w:rPr>
          <w:rFonts w:ascii="IRNazanin" w:hAnsi="IRNazanin" w:eastAsia="IRNazanin"/>
          <w:color w:val="111111"/>
          <w:sz w:val="28"/>
          <w:sz w:val="28"/>
          <w:szCs w:val="28"/>
          <w:rtl w:val="true"/>
          <w:lang w:bidi="fa-IR"/>
        </w:rPr>
        <w:t xml:space="preserve">،و أنّ الزّکاة نسخت الحقوق الواجبة فی الأموال </w:t>
      </w:r>
      <w:r>
        <w:rPr>
          <w:rStyle w:val="FootnoteAnchor"/>
          <w:rtl w:val="true"/>
        </w:rPr>
        <w:footnoteReference w:id="1146"/>
      </w:r>
      <w:r>
        <w:rPr>
          <w:rFonts w:eastAsia="Times New Roman" w:cs="Times New Roman" w:ascii="Times New Roman" w:hAnsi="Times New Roman"/>
          <w:color w:val="111111"/>
          <w:sz w:val="28"/>
          <w:szCs w:val="28"/>
          <w:rtl w:val="true"/>
          <w:lang w:val="en-US" w:bidi="en-US"/>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ثانیها أن یرد بلفظ التّخفیف،نحو قوله تعالی اَلْآنَ خَفَّفَ اللّهُ عَنْکُمْ  </w:t>
      </w:r>
      <w:r>
        <w:rPr>
          <w:rStyle w:val="FootnoteAnchor"/>
          <w:rtl w:val="true"/>
        </w:rPr>
        <w:footnoteReference w:id="1147"/>
      </w:r>
      <w:r>
        <w:rPr>
          <w:rFonts w:ascii="Amiri" w:hAnsi="Amiri" w:eastAsia="Amiri" w:cs="Amiri"/>
          <w:color w:val="111111"/>
          <w:sz w:val="28"/>
          <w:sz w:val="28"/>
          <w:szCs w:val="28"/>
          <w:rtl w:val="true"/>
          <w:lang w:bidi="ar-SA"/>
        </w:rPr>
        <w:t xml:space="preserve">فی نسخ ثبات الواحد للعشرة بالواحد للاثنین،و نحو قوله تعالی أَ أَشْفَقْتُمْ أَنْ تُقَدِّمُوا بَیْنَ یَدَیْ نَجْواکُمْ صَدَقاتٍ فَإِذْ لَمْ تَفْعَلُوا وَ تابَ اللّهُ عَلَیْکُمْ  </w:t>
      </w:r>
      <w:r>
        <w:rPr>
          <w:rStyle w:val="FootnoteAnchor"/>
          <w:rtl w:val="true"/>
        </w:rPr>
        <w:footnoteReference w:id="1148"/>
      </w:r>
      <w:r>
        <w:rPr>
          <w:rFonts w:ascii="IRNazanin" w:hAnsi="IRNazanin" w:eastAsia="IRNazanin"/>
          <w:color w:val="111111"/>
          <w:sz w:val="28"/>
          <w:sz w:val="28"/>
          <w:szCs w:val="28"/>
          <w:rtl w:val="true"/>
          <w:lang w:bidi="fa-IR"/>
        </w:rPr>
        <w:t xml:space="preserve">فنبّه بذلک علی </w:t>
      </w:r>
    </w:p>
    <w:p>
      <w:pPr>
        <w:pStyle w:val="BookText"/>
        <w:rPr/>
      </w:pPr>
      <w:r>
        <w:rPr>
          <w:rFonts w:ascii="IRNazanin" w:hAnsi="IRNazanin" w:eastAsia="IRNazanin"/>
          <w:color w:val="111111"/>
          <w:sz w:val="28"/>
          <w:sz w:val="28"/>
          <w:szCs w:val="28"/>
          <w:rtl w:val="true"/>
          <w:lang w:bidi="fa-IR"/>
        </w:rPr>
        <w:t>وجوب إسقاط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ثالثها نحو ما روی عنه علیه السّلام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نهیتکم عن زیارة القبور أ لا فزوروها،و عن ادّخار لحوم الأضاحی فادّخروها</w:t>
      </w:r>
      <w:r>
        <w:rPr>
          <w:rFonts w:eastAsia="IRNazanin" w:cs="IRNazanin"/>
          <w:color w:val="111111"/>
          <w:sz w:val="28"/>
          <w:szCs w:val="28"/>
          <w:rtl w:val="true"/>
          <w:lang w:bidi="fa-IR"/>
        </w:rPr>
        <w:t xml:space="preserve">» </w:t>
      </w:r>
      <w:r>
        <w:rPr>
          <w:rStyle w:val="FootnoteAnchor"/>
          <w:rtl w:val="true"/>
        </w:rPr>
        <w:footnoteReference w:id="11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کلّ ذلک أدلّة تقتضی زوال الحکم الثّابت بنصّ متقدّم عن نظائر ذلک،علی وجه لولاه لکان ثابتا بالأوّل،فیجب أن یکون ناسخا له و الأوّل منسوخا به،و إن اختلفت عبارته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یعلم ذلک من جهة المعنی نحو أن یوجب الشّیء ثمّ یوجب ما یضادّه علی وجه لا یمکن الجمع بینهما بأیّ وجه علم ذلک من الألفاظ،فیعلم بذلک أنّه ناسخ للأوّل،فعلی هذا یجری هذا الباب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یعلم أیضا النّاسخ ناسخا ببیان إذا کان اللّفظ و المعنی لا ینبئان عن ذلک، و ذلک نحو ما یقوله الفقهاء من نسخ الوصیّة للوالدین و الأقربین بآیة المواریث،لأنّ بظاهر الآیة لا یعلم نسخ ذلک،و إنّما یعلم ذلک علی تسلیم بقوله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تعالی قد أعطی کلّ ذی حقّ حقّه فلا وصیّة لوارث</w:t>
      </w:r>
      <w:r>
        <w:rPr>
          <w:rFonts w:eastAsia="IRNazanin" w:cs="IRNazanin"/>
          <w:color w:val="111111"/>
          <w:sz w:val="28"/>
          <w:szCs w:val="28"/>
          <w:rtl w:val="true"/>
          <w:lang w:bidi="fa-IR"/>
        </w:rPr>
        <w:t xml:space="preserve">» </w:t>
      </w:r>
      <w:r>
        <w:rPr>
          <w:rStyle w:val="FootnoteAnchor"/>
          <w:rtl w:val="true"/>
        </w:rPr>
        <w:footnoteReference w:id="11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هذا و إن کان عندنا غیر صحیح،لأنّ عندنا تصحّ الوصیّة للوارث،فإنّما ذکرناه لأنّ ذلک وجه کان یمکن أن یقع به النّسخ</w:t>
      </w:r>
      <w:r>
        <w:rPr>
          <w:rFonts w:eastAsia="IRNazanin" w:cs="IRNazanin"/>
          <w:color w:val="111111"/>
          <w:sz w:val="28"/>
          <w:szCs w:val="28"/>
          <w:rtl w:val="true"/>
          <w:lang w:bidi="fa-IR"/>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طاوس </w:t>
      </w:r>
      <w:r>
        <w:rPr>
          <w:rStyle w:val="FootnoteAnchor"/>
          <w:rtl w:val="true"/>
        </w:rPr>
        <w:footnoteReference w:id="1151"/>
      </w:r>
      <w:r>
        <w:rPr>
          <w:rFonts w:ascii="IRNazanin" w:hAnsi="IRNazanin" w:eastAsia="IRNazanin"/>
          <w:color w:val="111111"/>
          <w:sz w:val="28"/>
          <w:sz w:val="28"/>
          <w:szCs w:val="28"/>
          <w:rtl w:val="true"/>
          <w:lang w:bidi="fa-IR"/>
        </w:rPr>
        <w:t>فذهب إلی أنّ الوالدین ثبت لهم الوصیّة إذا کانا کافرین،فلم ینسخ الآیة و إنّما خصّصها بالخبر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أمّا تاریخ النّاسخ و المنسوخ فیعرف من وجوه أحدها أن یکون فی لفظ النّاسخ ما یدلّ علی أنّه بعده مثل ما قدّمنا ذکره </w:t>
      </w:r>
      <w:r>
        <w:rPr>
          <w:rStyle w:val="FootnoteAnchor"/>
          <w:rtl w:val="true"/>
        </w:rPr>
        <w:footnoteReference w:id="11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 أن یکون النّاسخ مضافا إلی وقت أو غزاة یعلم أنّه بعد وقت المنسوخ</w:t>
      </w:r>
      <w:r>
        <w:rPr>
          <w:rFonts w:eastAsia="IRNazanin" w:cs="IRNazanin"/>
          <w:color w:val="111111"/>
          <w:sz w:val="28"/>
          <w:szCs w:val="28"/>
          <w:rtl w:val="true"/>
          <w:lang w:bidi="fa-IR"/>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 أن یکون المعلوم من حال الرّاوی لأحدهما أنّه صحب الرّسول صلّی اللّه علیه و آله و سلّم بعد ما صحبه الآخر،أو عند صحبته انقطعت صحبة الأوّل،أو المعلوم من حال الحکم الأوّل أنّه کان فی وقت قبل وقت صحبة الثّانی،و ذلک نحو ما روی فی حدیث قیس بن طلق أنّه جاء إلی النّبی صلّی اللّه علیه و آله و سلّم و هو یؤسّس المسجد،فسأله عن مسّ</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الذّکر،و معلوم من حال أبی هریرة أنّه صحب </w:t>
      </w:r>
    </w:p>
    <w:p>
      <w:pPr>
        <w:pStyle w:val="BookText"/>
        <w:rPr/>
      </w:pPr>
      <w:r>
        <w:rPr>
          <w:rFonts w:ascii="Amiri" w:hAnsi="Amiri" w:eastAsia="Amiri" w:cs="Amiri"/>
          <w:color w:val="111111"/>
          <w:sz w:val="28"/>
          <w:sz w:val="28"/>
          <w:szCs w:val="28"/>
          <w:rtl w:val="true"/>
          <w:lang w:bidi="ar-SA"/>
        </w:rPr>
        <w:t>النّبی صلّی اللّه علیه و آله و سلّم بعده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یعلم التّاریخ بقول الصّحابی بأن یقول أو یحکم أنّ أحد الحدیثین کان بعد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یجب،من حیث لم یجز أن ینسخ بقول الصّحابی الکتاب أ لا یعرف بقوله التّاریخ،لأنّ التّاریخ شرط فی صحّة النّسخ،فطرق العلم به الحکایة،فصحّ الرّجوع إلی قوله لأنّه لا یقع فیه لبس،کما صحّ إثبات الإحصان بالشّاهدین و إن لم یصحّ بهما الحکم بحدّ الزّنا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یجب إذا علمنا التّاریخ بقول الصّحابی أن نقلّده إذا أخبرنا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 نسخ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 یجب أن ننظر فیما أوصفه بأنّه منسوخ،فإن علمنا أنّه کما قال أخذنا به،و إلاّ وقفنا فیه،لأنّ ذلک یجوز دخول الشّبهة فیه،و لذلک لم یقبل کثیر من الفقهاء قول من قال من الصّحابة أنّ المسح علی الخفّین نسخ الکتاب </w:t>
      </w:r>
      <w:r>
        <w:rPr>
          <w:rStyle w:val="FootnoteAnchor"/>
          <w:rtl w:val="true"/>
        </w:rPr>
        <w:footnoteReference w:id="1153"/>
      </w:r>
      <w:r>
        <w:rPr>
          <w:rFonts w:ascii="IRNazanin" w:hAnsi="IRNazanin" w:eastAsia="IRNazanin"/>
          <w:color w:val="111111"/>
          <w:sz w:val="28"/>
          <w:sz w:val="28"/>
          <w:szCs w:val="28"/>
          <w:rtl w:val="true"/>
          <w:lang w:bidi="fa-IR"/>
        </w:rPr>
        <w:t>،لما علمنا أنّه لیس طریقة النّسخ،و کذلک لم یقبل قول 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الماء من الماء منسوخ</w:t>
      </w:r>
      <w:r>
        <w:rPr>
          <w:rFonts w:eastAsia="IRNazanin" w:cs="IRNazanin"/>
          <w:color w:val="111111"/>
          <w:sz w:val="28"/>
          <w:szCs w:val="28"/>
          <w:rtl w:val="true"/>
          <w:lang w:bidi="fa-IR"/>
        </w:rPr>
        <w:t xml:space="preserve">» </w:t>
      </w:r>
      <w:r>
        <w:rPr>
          <w:rStyle w:val="FootnoteAnchor"/>
          <w:rtl w:val="true"/>
        </w:rPr>
        <w:footnoteReference w:id="1154"/>
      </w:r>
      <w:r>
        <w:rPr>
          <w:rFonts w:eastAsia="Times New Roman" w:cs="Times New Roman" w:ascii="Times New Roman" w:hAnsi="Times New Roman"/>
          <w:color w:val="111111"/>
          <w:sz w:val="28"/>
          <w:szCs w:val="28"/>
          <w:rtl w:val="true"/>
          <w:lang w:val="en-US" w:bidi="en-US"/>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إذا قال الصّحابی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کذا و کذا کان حکما ثابتا من قبل و إنّه قد نسخ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لم یذکر ما به نسخ،فإنّ أبا عبد اللّه البصریّ حکی عن أبی الحسن </w:t>
      </w:r>
      <w:r>
        <w:rPr>
          <w:rStyle w:val="FootnoteAnchor"/>
          <w:rtl w:val="true"/>
        </w:rPr>
        <w:footnoteReference w:id="1155"/>
      </w:r>
      <w:r>
        <w:rPr>
          <w:rFonts w:ascii="IRNazanin" w:hAnsi="IRNazanin" w:eastAsia="IRNazanin"/>
          <w:color w:val="111111"/>
          <w:sz w:val="28"/>
          <w:sz w:val="28"/>
          <w:szCs w:val="28"/>
          <w:rtl w:val="true"/>
          <w:lang w:bidi="fa-IR"/>
        </w:rPr>
        <w:t>أنّه کان یرجع إلی قوله،و ذلک نحو قول ابن مسعود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حین ذکر له فی التّشهد التحیّات الزّاکیات فقال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أمره </w:t>
      </w:r>
      <w:r>
        <w:rPr>
          <w:rStyle w:val="FootnoteAnchor"/>
          <w:rtl w:val="true"/>
        </w:rPr>
        <w:footnoteReference w:id="1156"/>
      </w:r>
      <w:r>
        <w:rPr>
          <w:rFonts w:ascii="Amiri" w:hAnsi="Amiri" w:eastAsia="Amiri" w:cs="Amiri"/>
          <w:color w:val="111111"/>
          <w:sz w:val="28"/>
          <w:sz w:val="28"/>
          <w:szCs w:val="28"/>
          <w:rtl w:val="true"/>
          <w:lang w:bidi="ar-SA"/>
        </w:rPr>
        <w:t>مرة ثمّ نسخ بتشهّده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نحو ما روی عن ابن عمر،و ابن عبّاس فی الرّضاع أنّهما 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الواجب التّوقیت و أمّا الآن فلا</w:t>
      </w:r>
      <w:r>
        <w:rPr>
          <w:rFonts w:eastAsia="IRNazanin" w:cs="IRNazanin"/>
          <w:color w:val="111111"/>
          <w:sz w:val="28"/>
          <w:szCs w:val="28"/>
          <w:rtl w:val="true"/>
          <w:lang w:bidi="fa-IR"/>
        </w:rPr>
        <w:t xml:space="preserve">» </w:t>
      </w:r>
      <w:r>
        <w:rPr>
          <w:rStyle w:val="FootnoteAnchor"/>
          <w:rtl w:val="true"/>
        </w:rPr>
        <w:footnoteReference w:id="11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ذهب غیره </w:t>
      </w:r>
      <w:r>
        <w:rPr>
          <w:rStyle w:val="FootnoteAnchor"/>
          <w:rtl w:val="true"/>
        </w:rPr>
        <w:footnoteReference w:id="1158"/>
      </w:r>
      <w:r>
        <w:rPr>
          <w:rFonts w:ascii="IRNazanin" w:hAnsi="IRNazanin" w:eastAsia="IRNazanin"/>
          <w:color w:val="111111"/>
          <w:sz w:val="28"/>
          <w:sz w:val="28"/>
          <w:szCs w:val="28"/>
          <w:rtl w:val="true"/>
          <w:lang w:bidi="fa-IR"/>
        </w:rPr>
        <w:t xml:space="preserve">إلی أنّه لا یرجع إلی قول الصّحابی فی ذلک،لأنّه إذا جاز فیما صرّح بأنّه ناسخ أ لا یکون ناسخا فی الحقیقة،فإن اعتقد هو فیه ذلک فغیر ممتنع أن یطلق ذلک إطلاقا و لا یذکر ما لأجله قال أنّه منسوخ،و لو ذکره کان ممّا لا یقع النّسخ به </w:t>
      </w:r>
      <w:r>
        <w:rPr>
          <w:rStyle w:val="FootnoteAnchor"/>
          <w:rtl w:val="true"/>
        </w:rPr>
        <w:footnoteReference w:id="11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لو علم من حاله أنّه إنّما ذکر أنّه منسوخ لأمر لا یلتبس،لوجب الرّجوع إلی قوله</w:t>
      </w:r>
      <w:r>
        <w:rPr>
          <w:rFonts w:eastAsia="IRNazanin" w:cs="IRNazanin"/>
          <w:color w:val="111111"/>
          <w:sz w:val="28"/>
          <w:szCs w:val="28"/>
          <w:rtl w:val="true"/>
          <w:lang w:bidi="fa-IR"/>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یعلم التّاریخ،بأن یکون أحد الخبرین یقتضی حکما معلوما بغیر شرع، و الآخر یقتضی حکما شرعیّا،فیکون ذلک هو الطّاری علی الأوّل،نحو ما ذکر من </w:t>
      </w:r>
    </w:p>
    <w:p>
      <w:pPr>
        <w:pStyle w:val="BookText"/>
        <w:rPr/>
      </w:pPr>
      <w:r>
        <w:rPr>
          <w:rFonts w:ascii="Amiri" w:hAnsi="Amiri" w:eastAsia="Amiri" w:cs="Amiri"/>
          <w:color w:val="111111"/>
          <w:sz w:val="28"/>
          <w:sz w:val="28"/>
          <w:szCs w:val="28"/>
          <w:rtl w:val="true"/>
          <w:lang w:bidi="ar-SA"/>
        </w:rPr>
        <w:t xml:space="preserve">حدیث مسّ الذّکر </w:t>
      </w:r>
      <w:r>
        <w:rPr>
          <w:rStyle w:val="FootnoteAnchor"/>
          <w:rtl w:val="true"/>
        </w:rPr>
        <w:footnoteReference w:id="1160"/>
      </w:r>
      <w:r>
        <w:rPr>
          <w:rFonts w:ascii="IRNazanin" w:hAnsi="IRNazanin" w:eastAsia="IRNazanin"/>
          <w:color w:val="111111"/>
          <w:sz w:val="28"/>
          <w:sz w:val="28"/>
          <w:szCs w:val="28"/>
          <w:rtl w:val="true"/>
          <w:lang w:bidi="fa-IR"/>
        </w:rPr>
        <w:t>لأنّ وجوب الوضوء من مسّه هو الطّارئ،فیصحّ أن ینسخ به حدیث قیس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یعلم ذلک بأن یکون أحد الحدیثین یقتضی حکما شرعیّا معلوم من حاله أنّه المبتدأ به فی الشّرع،و الآخر یقتضی حکما ثابتا فیعلم أنّه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فالتّاریخ لا یعلم إلاّ بهذه الوجوه الّتی حصرناها أو ما قارنها </w:t>
      </w:r>
      <w:r>
        <w:rPr>
          <w:rStyle w:val="FootnoteAnchor"/>
          <w:rtl w:val="true"/>
        </w:rPr>
        <w:footnoteReference w:id="11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فأمّا إذا عدم التّاریخ،فقد بیّنا القول فی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Style w:val="FootnoteAnchor"/>
          <w:rtl w:val="true"/>
        </w:rPr>
        <w:footnoteReference w:id="1162"/>
      </w:r>
      <w:r>
        <w:rPr>
          <w:rFonts w:ascii="Amiri" w:hAnsi="Amiri" w:eastAsia="Amiri" w:cs="Amiri"/>
          <w:color w:val="111111"/>
          <w:sz w:val="28"/>
          <w:sz w:val="28"/>
          <w:szCs w:val="28"/>
          <w:rtl w:val="true"/>
          <w:lang w:bidi="ar-SA"/>
        </w:rPr>
        <w:t>باب الأخبار المتعارضة</w:t>
      </w:r>
      <w:r>
        <w:rPr>
          <w:rFonts w:eastAsia="Amiri" w:cs="Amiri" w:ascii="Amiri" w:hAnsi="Amiri"/>
          <w:color w:val="111111"/>
          <w:sz w:val="28"/>
          <w:szCs w:val="28"/>
          <w:rtl w:val="true"/>
          <w:lang w:bidi="ar-SA"/>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هذه الجملة کافیة فی هذا الباب</w:t>
      </w:r>
      <w:r>
        <w:rPr>
          <w:rFonts w:eastAsia="IRNazanin" w:cs="IRNazanin"/>
          <w:color w:val="111111"/>
          <w:sz w:val="28"/>
          <w:szCs w:val="28"/>
          <w:rtl w:val="true"/>
          <w:lang w:bidi="fa-IR"/>
        </w:rPr>
        <w:t xml:space="preserve">. </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16" w:name="pg6519_49763"/>
      <w:bookmarkStart w:id="317" w:name="pg6519_49763"/>
      <w:bookmarkEnd w:id="317"/>
    </w:p>
    <w:p>
      <w:pPr>
        <w:pStyle w:val="Heading3"/>
        <w:numPr>
          <w:ilvl w:val="2"/>
          <w:numId w:val="1"/>
        </w:numPr>
        <w:rPr/>
      </w:pPr>
      <w:bookmarkStart w:id="318" w:name="pg6519_49763"/>
      <w:bookmarkStart w:id="319" w:name="__RefHeading___Toc1757357_653776707"/>
      <w:bookmarkStart w:id="320" w:name="_Toc102"/>
      <w:bookmarkEnd w:id="318"/>
      <w:bookmarkEnd w:id="319"/>
      <w:r>
        <w:rPr>
          <w:rtl w:val="true"/>
        </w:rPr>
        <w:t>الباب الثّامن</w:t>
      </w:r>
      <w:r>
        <w:rPr>
          <w:rtl w:val="true"/>
        </w:rPr>
        <w:t xml:space="preserve">: </w:t>
      </w:r>
      <w:r>
        <w:rPr>
          <w:rtl w:val="true"/>
        </w:rPr>
        <w:t>الکلام فی الأفعال</w:t>
      </w:r>
      <w:bookmarkEnd w:id="320"/>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21" w:name="__RefHeading___Toc1757359_653776707"/>
      <w:bookmarkStart w:id="322" w:name="_Toc103"/>
      <w:bookmarkEnd w:id="321"/>
      <w:r>
        <w:rPr>
          <w:rtl w:val="true"/>
        </w:rPr>
        <w:t>اشارة</w:t>
      </w:r>
      <w:bookmarkEnd w:id="322"/>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23" w:name="pg6519_49765"/>
      <w:bookmarkStart w:id="324" w:name="pg6519_49765"/>
      <w:bookmarkEnd w:id="324"/>
    </w:p>
    <w:p>
      <w:pPr>
        <w:pStyle w:val="Heading4"/>
        <w:numPr>
          <w:ilvl w:val="3"/>
          <w:numId w:val="1"/>
        </w:numPr>
        <w:rPr/>
      </w:pPr>
      <w:bookmarkStart w:id="325" w:name="pg6519_49765"/>
      <w:bookmarkStart w:id="326" w:name="__RefHeading___Toc1757361_653776707"/>
      <w:bookmarkStart w:id="327" w:name="_Toc104"/>
      <w:bookmarkEnd w:id="325"/>
      <w:bookmarkEnd w:id="326"/>
      <w:r>
        <w:rPr>
          <w:rtl w:val="true"/>
        </w:rPr>
        <w:t>فصل</w:t>
      </w:r>
      <w:r>
        <w:rPr>
          <w:rtl w:val="true"/>
        </w:rPr>
        <w:t>-</w:t>
      </w:r>
      <w:r>
        <w:rPr/>
        <w:t>1</w:t>
      </w:r>
      <w:r>
        <w:rPr>
          <w:rtl w:val="true"/>
        </w:rPr>
        <w:t xml:space="preserve">: </w:t>
      </w:r>
      <w:r>
        <w:rPr>
          <w:rtl w:val="true"/>
        </w:rPr>
        <w:t>فی ذکر جملة من أحکام الأفعال، و ما یضاف إلیه،و اختلاف أحوالهم</w:t>
      </w:r>
      <w:r>
        <w:rPr>
          <w:rtl w:val="true"/>
        </w:rPr>
        <w:t>»</w:t>
      </w:r>
      <w:bookmarkEnd w:id="327"/>
    </w:p>
    <w:p>
      <w:pPr>
        <w:pStyle w:val="BookText"/>
        <w:rPr/>
      </w:pPr>
      <w:r>
        <w:rPr>
          <w:rFonts w:ascii="IRNazanin" w:hAnsi="IRNazanin" w:eastAsia="IRNazanin"/>
          <w:color w:val="111111"/>
          <w:sz w:val="28"/>
          <w:sz w:val="28"/>
          <w:szCs w:val="28"/>
          <w:rtl w:val="true"/>
          <w:lang w:bidi="fa-IR"/>
        </w:rPr>
        <w:t>إذا أردنا أن نبیّن أحکام الأفعال فلا بدّ من أن نبیّن أوّلا معنی الفعل و حدّه لیعلم ذلک،ثمّ نبیّن حکمه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فحدّ الفعل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حدث و قد کان مقدورا قبله،و هو علی ضربین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صفة له زائدة علی حدوثه،نحو کلام السّاهی،و النّائم،و حرکاته الّتی لا یتعدّاه</w:t>
      </w:r>
      <w:r>
        <w:rPr>
          <w:rFonts w:eastAsia="IRNazanin" w:cs="IRNazanin"/>
          <w:color w:val="111111"/>
          <w:sz w:val="28"/>
          <w:szCs w:val="28"/>
          <w:rtl w:val="true"/>
          <w:lang w:bidi="fa-IR"/>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الضّرب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صفة زائدة علی حدوثه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علی ضربین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أحدهما قبیح و الآخر 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فحد القبیح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کلّ فعل وقع من عالم بقبحه،أو متمکّن من العلم بذلک علی وجه کان یمکنه ألا یفعله،فیستحقّ به الذّم من العقلاء،و لا ینقسم ذلک فی کونه قبیحا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ربّما انقسمت أسماؤه إلی کفر،و فسق،و کبیرة،و صغیرة عند من قال بذلک </w:t>
      </w:r>
      <w:r>
        <w:rPr>
          <w:rStyle w:val="FootnoteAnchor"/>
          <w:rtl w:val="true"/>
        </w:rPr>
        <w:footnoteReference w:id="11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الحسن فینقسم ستّة أقسام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لیس له صفة زائدة علی حسنه،و حدّه ما یتساوی فعله و ترکه،فلا یستحق بفعله مدحا و لا بترکه ذمّا،و هو المسمّی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 ذلک،إلاّ أنّه لا یسمّی بذلک إلاّ إذا أعلم فاعله ذلک أو دلّ علیه،و لذلک لا یوصف فعل القدیم تعالی العقاب بالعصاة بأنّه مباح و إن کان بصفته،لما ذکرناه من أنّه لم یعلم و لم یدلّ علیه،بل هو عالم به لنفسه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له صفة زائدة علی حسنه،و حدّه ما یستحقّ بفعله المدح،و هو علی ضربین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یستحقّ بترکه الذّم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یستحقّ بترکه الذّم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لا یستحقّ بترکه الذّم هو المسمّی ندبا،و مستحبّا،و مرغّبا فیه،إلاّ أنّه لا یسمّی بذلک إلاّ إذا أعلم فاعله ذلک بمثل ما قلناه فی المباح،و ینقسم هذا القسم قسمین</w:t>
      </w:r>
      <w:r>
        <w:rPr>
          <w:rFonts w:eastAsia="IRNazanin" w:cs="IRNazanin"/>
          <w:color w:val="111111"/>
          <w:sz w:val="28"/>
          <w:szCs w:val="28"/>
          <w:rtl w:val="true"/>
          <w:lang w:bidi="fa-IR"/>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یکون نفعا واصلا إلی غیر فاعله،فیسمّی بأنّه تفضّل و إحسان، </w:t>
      </w:r>
    </w:p>
    <w:p>
      <w:pPr>
        <w:pStyle w:val="BookText"/>
        <w:rPr/>
      </w:pPr>
      <w:r>
        <w:rPr>
          <w:rFonts w:ascii="IRNazanin" w:hAnsi="IRNazanin" w:eastAsia="IRNazanin"/>
          <w:color w:val="111111"/>
          <w:sz w:val="28"/>
          <w:sz w:val="28"/>
          <w:szCs w:val="28"/>
          <w:rtl w:val="true"/>
          <w:lang w:bidi="fa-IR"/>
        </w:rPr>
        <w:t>و یتساوی فیه فعل القدیم و المحدث فی التّسمیة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القسم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یتعدّی إلی الغیر،و هو المسمّی بأنه ندب و مستحب علی ما قدّمناه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الّذی یستحقّ بترکه الذّم،فعلی ثلاثة أضرب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متی لم یفعله الفاعل و لا ما یقوم مقامه استحقّ الذّم،و هو المسمّی بأنّه واجب مخیّر فیه،و ذلک نحو الکفّارات الثلاث و ما أشبه ذلک،و قضاء الدّین، 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إذا لم یفعله بعینه استحقّ الذّم،و هو الموصوف بأنّه واجب مضیّق،و ذلک نحو ردّ الودیعة،و وجوب ردّ ما تناوله الغصب بعینه،و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إذا لم یفعله من وجب علیه و لا من یقوم فعله مقام فعله استحقّ الذّم،و ذلک المسمّی من فروض الکفایات نحو الصّلاة علی الأموات،و تغسیلهم، و دفنهم،و نحو الجهاد،و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قولنا فی الفعل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مفروض و واجب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فعبارتان عن معنی واحد،إلاّ أنّه لا یسمّی فرضا إلاّ إذا أعلم فاعله وجوبه،أو دلّ علیه کما قلناه فی المباح و النّدب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یعبّر بالفرض عمّا وقع فی الشّرع مقدّرا،و ذلک نحو 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ذلک من فرائض الصّدقة و المراد به مقادیرها،و نحو ما روی عنه علیه السّلام أنّه فرض صدقة الفطر صاعا من تمر </w:t>
      </w:r>
      <w:r>
        <w:rPr>
          <w:rStyle w:val="FootnoteAnchor"/>
          <w:rtl w:val="true"/>
        </w:rPr>
        <w:footnoteReference w:id="1164"/>
      </w:r>
      <w:r>
        <w:rPr>
          <w:rFonts w:ascii="IRNazanin" w:hAnsi="IRNazanin" w:eastAsia="IRNazanin"/>
          <w:color w:val="111111"/>
          <w:sz w:val="28"/>
          <w:sz w:val="28"/>
          <w:szCs w:val="28"/>
          <w:rtl w:val="true"/>
          <w:lang w:bidi="fa-IR"/>
        </w:rPr>
        <w:t>و المعنی بذلک أنّه قدّرها،و یحتمل أن یکون المراد به أنّه أوجبها</w:t>
      </w:r>
      <w:r>
        <w:rPr>
          <w:rFonts w:eastAsia="IRNazanin" w:cs="IRNazanin"/>
          <w:color w:val="111111"/>
          <w:sz w:val="28"/>
          <w:szCs w:val="28"/>
          <w:rtl w:val="true"/>
          <w:lang w:bidi="fa-IR"/>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قولنا فی الشّیء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سنّته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أنّ النبیّ علیه السّلام قد أمر بإدامته إذا کان یدیم فعله لیقتدی به،و هو مأخوذ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سننت الماء،إذا والیت بین صبّه </w:t>
      </w:r>
      <w:r>
        <w:rPr>
          <w:rStyle w:val="FootnoteAnchor"/>
          <w:rtl w:val="true"/>
        </w:rPr>
        <w:footnoteReference w:id="1165"/>
      </w:r>
      <w:r>
        <w:rPr>
          <w:rFonts w:ascii="IRNazanin" w:hAnsi="IRNazanin" w:eastAsia="IRNazanin"/>
          <w:color w:val="111111"/>
          <w:sz w:val="28"/>
          <w:sz w:val="28"/>
          <w:szCs w:val="28"/>
          <w:rtl w:val="true"/>
          <w:lang w:bidi="fa-IR"/>
        </w:rPr>
        <w:t xml:space="preserve">،و لا </w:t>
      </w:r>
    </w:p>
    <w:p>
      <w:pPr>
        <w:pStyle w:val="BookText"/>
        <w:rPr/>
      </w:pPr>
      <w:r>
        <w:rPr>
          <w:rFonts w:ascii="IRNazanin" w:hAnsi="IRNazanin" w:eastAsia="IRNazanin"/>
          <w:color w:val="111111"/>
          <w:sz w:val="28"/>
          <w:sz w:val="28"/>
          <w:szCs w:val="28"/>
          <w:rtl w:val="true"/>
          <w:lang w:bidi="fa-IR"/>
        </w:rPr>
        <w:t xml:space="preserve">فصل بین أن یکون واجبا،أو ندبا،أو مباحا،و ربّما استعمل </w:t>
      </w:r>
      <w:r>
        <w:rPr>
          <w:rStyle w:val="FootnoteAnchor"/>
          <w:rtl w:val="true"/>
        </w:rPr>
        <w:footnoteReference w:id="1166"/>
      </w:r>
      <w:r>
        <w:rPr>
          <w:rFonts w:ascii="IRNazanin" w:hAnsi="IRNazanin" w:eastAsia="IRNazanin"/>
          <w:color w:val="111111"/>
          <w:sz w:val="28"/>
          <w:sz w:val="28"/>
          <w:szCs w:val="28"/>
          <w:rtl w:val="true"/>
          <w:lang w:bidi="fa-IR"/>
        </w:rPr>
        <w:t>الفقهاء هذه اللّفظة فیما یکون مندوبا إلیه من الشّرعیّات لیفصلوا بینه و بین الواجب فیقولون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رکعتا الفجر سنّة،و صلاة اللّیل سنّة،و صلاة الغداة </w:t>
      </w:r>
      <w:r>
        <w:rPr>
          <w:rStyle w:val="FootnoteAnchor"/>
          <w:rtl w:val="true"/>
        </w:rPr>
        <w:footnoteReference w:id="1167"/>
      </w:r>
      <w:r>
        <w:rPr>
          <w:rFonts w:ascii="IRNazanin" w:hAnsi="IRNazanin" w:eastAsia="IRNazanin"/>
          <w:color w:val="111111"/>
          <w:sz w:val="28"/>
          <w:sz w:val="28"/>
          <w:szCs w:val="28"/>
          <w:rtl w:val="true"/>
          <w:lang w:bidi="fa-IR"/>
        </w:rPr>
        <w:t>فریضة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الأصل ما قدّمناه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الفعل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 جمیع مراتبه یقع من کلّ فاعل،قدیما کان أو محدثا،إلاّ أنّه یمنع من التّسمیة فی بعض الأقسام فی أفعال القدیم تعالی لما قدّمناه من الشرط المفقود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القبیح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 یختلف أحوال الفاعلین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فالقدیم تعالی لا یجوز أن یقع منه شیء من القبیح لعلمه بقبحه،و بأنّه غنیّ عنه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الأنبیاء علیهم السّلام فکذلک لا یقع منهم شیء من القبیح أصلا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الرّسل</w:t>
      </w:r>
      <w:r>
        <w:rPr>
          <w:rFonts w:eastAsia="IRNazanin" w:cs="IRNazanin"/>
          <w:color w:val="111111"/>
          <w:sz w:val="28"/>
          <w:szCs w:val="28"/>
          <w:rtl w:val="true"/>
          <w:lang w:bidi="fa-IR"/>
        </w:rPr>
        <w:t xml:space="preserve">) </w:t>
      </w:r>
      <w:r>
        <w:rPr>
          <w:rStyle w:val="FootnoteAnchor"/>
          <w:rtl w:val="true"/>
        </w:rPr>
        <w:footnoteReference w:id="1168"/>
      </w:r>
      <w:r>
        <w:rPr>
          <w:rFonts w:ascii="IRNazanin" w:hAnsi="IRNazanin" w:eastAsia="IRNazanin"/>
          <w:color w:val="111111"/>
          <w:sz w:val="28"/>
          <w:sz w:val="28"/>
          <w:szCs w:val="28"/>
          <w:rtl w:val="true"/>
          <w:lang w:bidi="fa-IR"/>
        </w:rPr>
        <w:t>سواء کانوا من البشر أو من الملائکة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کذلک حکم الأئمّة الحافظین </w:t>
      </w:r>
    </w:p>
    <w:p>
      <w:pPr>
        <w:pStyle w:val="BookText"/>
        <w:rPr/>
      </w:pPr>
      <w:r>
        <w:rPr>
          <w:rFonts w:ascii="Amiri" w:hAnsi="Amiri" w:eastAsia="Amiri" w:cs="Amiri"/>
          <w:color w:val="111111"/>
          <w:sz w:val="28"/>
          <w:sz w:val="28"/>
          <w:szCs w:val="28"/>
          <w:rtl w:val="true"/>
          <w:lang w:bidi="ar-SA"/>
        </w:rPr>
        <w:t>للشّرع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فأمّا من لیس بنبیّ و لا رسول و لا إمام،فإنّه یجوز أن یقع منه الفعل القبیح،إلاّ </w:t>
      </w:r>
    </w:p>
    <w:p>
      <w:pPr>
        <w:pStyle w:val="BookText"/>
        <w:rPr/>
      </w:pPr>
      <w:r>
        <w:rPr>
          <w:rFonts w:ascii="IRNazanin" w:hAnsi="IRNazanin" w:eastAsia="IRNazanin"/>
          <w:color w:val="111111"/>
          <w:sz w:val="28"/>
          <w:sz w:val="28"/>
          <w:szCs w:val="28"/>
          <w:rtl w:val="true"/>
          <w:lang w:bidi="fa-IR"/>
        </w:rPr>
        <w:t>من أخبر اللّه عنه أنّه لا یختار القبیح فیعلم ذلک من حاله،و سواء کانوا من البشر أو من الملائکة لا یختلف حالهم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لا یقع من الأنبیاء و المرسلین و الأئمّة علیهم السّلام ما ینفّر عن قبول أقوالهم و إن لم یکن ذلک قبیحا،و أمثلته کثیرة لا یحتاج إلی ذکرها هاهنا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یجوز أن تختصّ الأنبیاء بأفعال شرعیّة دون غیرهم،و کذلک یجوز فی آحاد الأئمّة علیهم السّلام أن یختصّ واحد منهم بشیء من الشّرع دون غیره</w:t>
      </w:r>
      <w:r>
        <w:rPr>
          <w:rFonts w:eastAsia="IRNazanin" w:cs="IRNazanin"/>
          <w:color w:val="111111"/>
          <w:sz w:val="28"/>
          <w:szCs w:val="28"/>
          <w:rtl w:val="true"/>
          <w:lang w:bidi="fa-IR"/>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فهذه جملة کافیة فی هذا الباب إن شاء اللّه تعالی</w:t>
      </w:r>
      <w:r>
        <w:rPr>
          <w:rFonts w:eastAsia="IRNazanin" w:cs="IRNazanin"/>
          <w:color w:val="111111"/>
          <w:sz w:val="28"/>
          <w:szCs w:val="28"/>
          <w:rtl w:val="true"/>
          <w:lang w:bidi="fa-IR"/>
        </w:rPr>
        <w:t xml:space="preserve">. </w:t>
      </w:r>
      <w:bookmarkStart w:id="328" w:name="pg6519_49771"/>
    </w:p>
    <w:p>
      <w:pPr>
        <w:pStyle w:val="Heading4"/>
        <w:numPr>
          <w:ilvl w:val="3"/>
          <w:numId w:val="1"/>
        </w:numPr>
        <w:rPr/>
      </w:pPr>
      <w:bookmarkStart w:id="329" w:name="__RefHeading___Toc1757363_653776707"/>
      <w:bookmarkStart w:id="330" w:name="_Toc105"/>
      <w:bookmarkEnd w:id="328"/>
      <w:bookmarkEnd w:id="329"/>
      <w:r>
        <w:rPr>
          <w:rtl w:val="true"/>
        </w:rPr>
        <w:t>فصل</w:t>
      </w:r>
      <w:r>
        <w:rPr>
          <w:rtl w:val="true"/>
        </w:rPr>
        <w:t>-</w:t>
      </w:r>
      <w:r>
        <w:rPr/>
        <w:t>2</w:t>
      </w:r>
      <w:r>
        <w:rPr>
          <w:rtl w:val="true"/>
        </w:rPr>
        <w:t>: «</w:t>
      </w:r>
      <w:r>
        <w:rPr>
          <w:rtl w:val="true"/>
        </w:rPr>
        <w:t>فی ذکر معنی التأسّی بالنّبیّ صلّی اللّه علیه و آله، و هل یجب اتّباعه عقلا أو سمعا؟و القول فیه</w:t>
      </w:r>
      <w:r>
        <w:rPr>
          <w:rtl w:val="true"/>
        </w:rPr>
        <w:t>»</w:t>
      </w:r>
      <w:bookmarkEnd w:id="33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ذکر معنی التأسّی بالنّبیّ صلّی اللّه علیه و آله، و هل یجب اتّباعه عقلا أو سمعا؟و القول فیه</w:t>
      </w:r>
      <w:r>
        <w:rPr>
          <w:rFonts w:eastAsia="IRNazanin" w:cs="IRNazanin"/>
          <w:color w:val="111111"/>
          <w:sz w:val="28"/>
          <w:szCs w:val="28"/>
          <w:rtl w:val="true"/>
          <w:lang w:bidi="fa-IR"/>
        </w:rPr>
        <w:t>»</w:t>
      </w:r>
      <w:r>
        <w:rPr>
          <w:rStyle w:val="FootnoteAnchor"/>
          <w:rtl w:val="true"/>
        </w:rPr>
        <w:footnoteReference w:id="1169"/>
      </w:r>
    </w:p>
    <w:p>
      <w:pPr>
        <w:pStyle w:val="BookText"/>
        <w:rPr/>
      </w:pPr>
      <w:r>
        <w:rPr>
          <w:rFonts w:ascii="Amiri" w:hAnsi="Amiri" w:eastAsia="Amiri" w:cs="Amiri"/>
          <w:color w:val="111111"/>
          <w:sz w:val="28"/>
          <w:sz w:val="28"/>
          <w:szCs w:val="28"/>
          <w:rtl w:val="true"/>
          <w:lang w:bidi="ar-SA"/>
        </w:rPr>
        <w:t>التّأسّی لا یکون إلاّ باعتبار شیئین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صورة الفعل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الوجه الّذی وقع علیه الفعل</w:t>
      </w:r>
      <w:r>
        <w:rPr>
          <w:rFonts w:eastAsia="IRNazanin" w:cs="IRNazanin"/>
          <w:color w:val="111111"/>
          <w:sz w:val="28"/>
          <w:szCs w:val="28"/>
          <w:rtl w:val="true"/>
          <w:lang w:bidi="fa-IR"/>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الّذی یدلّ علی ذلک أنّه صلّی اللّه علیه و آله و سلّم لو صلّی لم یکن لنا اتّباعه و التّأسّی به بأن نصوم أو نحجّ أو نعتکف،و إنّما کان کذلک لمخالفة أفعالنا لفعله صلّی اللّه علیه و آله و سلّم و کذلک لو صلّی علیه السّلام علی جهة النّدب لم یکن من صلّی علی جهة الوجوب متّبعا له،و کذلک إذا صلّی علی جهة الوجوب لم یکن من صلّی علی جهة النّدب متّبعا له و لا متأسّیا به،و إنّما کان کذلک لمخالفة فعلنا لفعله فی الوجه الّذی وقع علیه الفعل،و کذلک لو أخذ من إنسان دراهم علی جهة الزّکاة لم یکن من أخذ الدّراهم منه مثلا غصبا،أو عن ثمن مبیع متّبعا له،لمخالفة الوجهین علی ما قدّمناه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متی کان فعلنا مخالفا فی الوجه،کان ذلک مخالفة له کما لو خالف فعلنا لفعله فی الصّورة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بیّناه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کان یصحّ من جهة العقل أن یلزمنا جمیع أفعاله </w:t>
      </w:r>
    </w:p>
    <w:p>
      <w:pPr>
        <w:pStyle w:val="BookText"/>
        <w:rPr/>
      </w:pPr>
      <w:r>
        <w:rPr>
          <w:rFonts w:ascii="IRNazanin" w:hAnsi="IRNazanin" w:eastAsia="IRNazanin"/>
          <w:color w:val="111111"/>
          <w:sz w:val="28"/>
          <w:sz w:val="28"/>
          <w:szCs w:val="28"/>
          <w:rtl w:val="true"/>
          <w:lang w:bidi="fa-IR"/>
        </w:rPr>
        <w:t>الّتی یفعلها،و إن لم نراع وجوه ما یفعله،سواء فعله علی جهة الوجوب أو النّدب، و یکون واجبا علینا ذلک علی کلّ حال،لکنّ ذلک یحتاج إلی دلیل شرعیّ،و لم یدلّ دلیل علی ذلک أصلا،و لو دلّ الدّلیل علیه لما کان ذلک اتّباعا له و لا تأسّیا به،بل یکون واجبا علینا لقیام الدّلالة علی ذلک،لأنّه إذا فعل الفعل علی جهة الوجوب أو النّدب أو الإباحة،و فعلنا علی غیر ذلک الوجه لا نکون متّبعین له لما قلناه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ثبت أنّ معنی التّأسّی ما قلناه،وجب أن یراعی فیه حصول العلم بصورة الفعل و بالوجه الّذی حصل علیه الفعل لیصحّ لنا التأسّی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الوجه الّذی یقع علیه الفعل علی ضربین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یقارن الفعل،نحو نیّة الوجوب أو النّدب أو الإباحة،و هذا هو الّذی ینبئ عن هذا اللّفظ علی الحقیقة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المعنی الّذی له أن یفعله و إن لم یصحّ أن یکون مقارنا،و ذلک نحو أن یزیل النّجاسة عن ثوبه لأجل الصّلاة،و إنّما یکون الواحد منّا متّبعا له بأن یزیله لما له أزال،فأمّا من أزاله تنظیفا فلا یکون متّبعا له،و کذلک إن توضّأ لإزالة الحدث أو الصّلاة،فاتّباعه له إنّما یکون بأن یفعل علی هذا الوجه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فإنّما موافقته له علیه السّلام فی الفعل فیطلق علی 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یراد به مساواته فی صورة 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مساواته فی صورته،و فی الوجه الّذی وقع علیه الفعل،و هذا أظهر فی الاستعمال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مخالفته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یکون فی القول و الفعل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فمخالفته فی الفعل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أن یعلم بالدّلیل وجوب التأسّی به،فإذا لم یتأسّ به کان مخالفا له</w:t>
      </w:r>
      <w:r>
        <w:rPr>
          <w:rFonts w:eastAsia="IRNazanin" w:cs="IRNazanin"/>
          <w:color w:val="111111"/>
          <w:sz w:val="28"/>
          <w:szCs w:val="28"/>
          <w:rtl w:val="true"/>
          <w:lang w:bidi="fa-IR"/>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فأمّا إذا لم یدلّ الدّلیل علی ذلک فإنّ هذه اللّفظة لا تستعمل إلاّ علی ضرب من المجاز،و لذلک لا یقال أنّ الحائض خالفت النّبی صلّی اللّه علیه و آله و سلّم فی ترک الصّلاة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فأمّا مخالفته فی 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أنّ یأمرنا بفعل فلا نفعله،أو نفعل خلافه فنکون مخالفین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اتّباع المأموم للإمام فی الصّلاة،فعند أکثر الفقهاء </w:t>
      </w:r>
      <w:r>
        <w:rPr>
          <w:rStyle w:val="FootnoteAnchor"/>
          <w:rtl w:val="true"/>
        </w:rPr>
        <w:footnoteReference w:id="1170"/>
      </w:r>
      <w:r>
        <w:rPr>
          <w:rFonts w:ascii="IRNazanin" w:hAnsi="IRNazanin" w:eastAsia="IRNazanin"/>
          <w:color w:val="111111"/>
          <w:sz w:val="28"/>
          <w:sz w:val="28"/>
          <w:szCs w:val="28"/>
          <w:rtl w:val="true"/>
          <w:lang w:bidi="fa-IR"/>
        </w:rPr>
        <w:t>جار علی الوجه الّذی قدّمناه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أجاز أن یکون الإمام مؤدّیا فرضا،و المأموم أن یکون متنفّلا </w:t>
      </w:r>
      <w:r>
        <w:rPr>
          <w:rStyle w:val="FootnoteAnchor"/>
          <w:rtl w:val="true"/>
        </w:rPr>
        <w:footnoteReference w:id="1171"/>
      </w:r>
      <w:r>
        <w:rPr>
          <w:rFonts w:ascii="IRNazanin" w:hAnsi="IRNazanin" w:eastAsia="IRNazanin"/>
          <w:color w:val="111111"/>
          <w:sz w:val="28"/>
          <w:sz w:val="28"/>
          <w:szCs w:val="28"/>
          <w:rtl w:val="true"/>
          <w:lang w:bidi="fa-IR"/>
        </w:rPr>
        <w:t>، و لمن قال ذلک أن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إنّما قلت ذلک لدلیل دلّ علیه،و إلاّ فالظّاهر من اتّباعه یقتضی خلاف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اتّباعه لم یصحّ بأن یفعل </w:t>
      </w:r>
      <w:r>
        <w:rPr>
          <w:rStyle w:val="FootnoteAnchor"/>
          <w:rtl w:val="true"/>
        </w:rPr>
        <w:footnoteReference w:id="1172"/>
      </w:r>
      <w:r>
        <w:rPr>
          <w:rFonts w:ascii="IRNazanin" w:hAnsi="IRNazanin" w:eastAsia="IRNazanin"/>
          <w:color w:val="111111"/>
          <w:sz w:val="28"/>
          <w:sz w:val="28"/>
          <w:szCs w:val="28"/>
          <w:rtl w:val="true"/>
          <w:lang w:bidi="fa-IR"/>
        </w:rPr>
        <w:t>الفعل متقرّبا به أو بأن نوافق فی نیّة الصّلاة فقط دون وجوبها أو ندبها،فلیس ذلک نقضا لما قدّمناه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وصف من أنکر جواز التّأسّی به صلّی اللّه علیه و آله و سلّم فی أفعاله بأنّه مخالف،لکنّ هذا الخلاف یرجع إلی القول لا إلی الفعل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الّذی یدلّ علی أنّه لا یجب من جهة العقل التّأسّی به و اتّباعه فی أفعاله فهو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أنّ مصالح العباد یجوز أن تختلف فی الشّرعیّات کما ثبت فی کثیر من ذلک،أ لا تری أنّ الحائض یفارق حکمها حکم الطّاهر،و حکم الغنی یفارق </w:t>
      </w:r>
      <w:r>
        <w:rPr>
          <w:rStyle w:val="FootnoteAnchor"/>
          <w:rtl w:val="true"/>
        </w:rPr>
        <w:footnoteReference w:id="1173"/>
      </w:r>
      <w:r>
        <w:rPr>
          <w:rFonts w:ascii="IRNazanin" w:hAnsi="IRNazanin" w:eastAsia="IRNazanin"/>
          <w:color w:val="111111"/>
          <w:sz w:val="28"/>
          <w:sz w:val="28"/>
          <w:szCs w:val="28"/>
          <w:rtl w:val="true"/>
          <w:lang w:bidi="fa-IR"/>
        </w:rPr>
        <w:t>حکم الفقیر فی وجوب الحجّ و الزّکاة علیه،و کذلک یخالف حکم الصّحیح حکم العلیل فی کیفیّة أداء الصّلاة،و کذلک یخالف حکم المسافر حکم الحاضر،و أمثلة ذلک أکثر من أن تحصی</w:t>
      </w:r>
      <w:r>
        <w:rPr>
          <w:rFonts w:eastAsia="IRNazanin" w:cs="IRNazanin"/>
          <w:color w:val="111111"/>
          <w:sz w:val="28"/>
          <w:szCs w:val="28"/>
          <w:rtl w:val="true"/>
          <w:lang w:bidi="fa-IR"/>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إذا ثبت ذلک،فلا یمتنع أیضا أن تکون مصالح النّبی صلّی اللّه علیه و آله و سلّم تخصّه،و یکون حالنا بخلاف حاله،بل ربّما کانت مفسدة لنا حتّی متی فعلناها </w:t>
      </w:r>
    </w:p>
    <w:p>
      <w:pPr>
        <w:pStyle w:val="BookText"/>
        <w:rPr/>
      </w:pPr>
      <w:r>
        <w:rPr>
          <w:rFonts w:ascii="IRNazanin" w:hAnsi="IRNazanin" w:eastAsia="IRNazanin"/>
          <w:color w:val="111111"/>
          <w:sz w:val="28"/>
          <w:sz w:val="28"/>
          <w:szCs w:val="28"/>
          <w:rtl w:val="true"/>
          <w:lang w:bidi="fa-IR"/>
        </w:rPr>
        <w:t>کنّا مقبّحین،فإذا ثبت ذلک وجب الرّجوع فی مشارکتنا له فی ذلک إلی السّمع،فإن دلّ الدّلیل علیه حکم به،و إلاّ بقی علی الأصل علی ما بیّناه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یفارق أفعاله علیه السّلام فی هذا الباب أقواله،لأنّه بعث لیعرّفنا مصالحنا، و تعریفه لنا ذلک یکون بالقول،فلو لم نرجع إلی قوله لأدّی إلی خروجه من أن یکون رسولا،و لیس کذلک فعله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لأنّه إذا أمرنا بشیء فقد أراده منّا فیجب أن نفعله إن کان واجبا،و أن نرغب فیه إن کان ندبا،و لا یجب أن نفعل فعلا رأیناه یفعله لأنّ ذلک لا یدلّ علی أنّه أراده منّا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 علی ذلک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أفعاله تخصّه و لا تتعدّی إلی غیره إلاّ بدلیل و أقواله تتناول غیره،و إنّما یعلم أنّه داخل فیها بدلیل،فعلم بذلک الفرق بین القول و 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هذا المذهب یوجب علیکم القول بأن تجوّزوا مخالفته فی أفعاله الشّرعیّة </w:t>
      </w:r>
      <w:r>
        <w:rPr>
          <w:rStyle w:val="FootnoteAnchor"/>
          <w:rtl w:val="true"/>
        </w:rPr>
        <w:footnoteReference w:id="1174"/>
      </w:r>
      <w:r>
        <w:rPr>
          <w:rFonts w:ascii="IRNazanin" w:hAnsi="IRNazanin" w:eastAsia="IRNazanin"/>
          <w:color w:val="111111"/>
          <w:sz w:val="28"/>
          <w:sz w:val="28"/>
          <w:szCs w:val="28"/>
          <w:rtl w:val="true"/>
          <w:lang w:bidi="fa-IR"/>
        </w:rPr>
        <w:t>،و تجویز ذلک یقتضی التّنفیر عن قبول قوله،فیجب الحکم بفساده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خلاف أنّ النّبی علیه السّلام لو نصّ لنا علی أنّ لنا مخالفته فی أفعاله الشرعیّة لجاز و لم یوجب ذلک التّنفیر عن قبول قوله،فکذلک إذا دلّ العقل علی ما ذکرناه یجب القول بجوازه و لم یوجب ذلک التّنفیر عن قبول قوله،و کذلک لو خصّ بجمیع أفعاله لم یوجب التّنفیر عن قبول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صحّة ما قلناه یبیّن فساد قول من قال إنّ أفعاله علی الوجوب عقلا </w:t>
      </w:r>
      <w:r>
        <w:rPr>
          <w:rStyle w:val="FootnoteAnchor"/>
          <w:rtl w:val="true"/>
        </w:rPr>
        <w:footnoteReference w:id="11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الّذی یدلّ علی وجوب التّأسّی به فی جمیع أفعاله إلاّ ما خصّ به من جهة السّمع</w:t>
      </w:r>
      <w:r>
        <w:rPr>
          <w:rFonts w:eastAsia="Amiri" w:cs="Amiri" w:ascii="Amiri" w:hAnsi="Amiri"/>
          <w:color w:val="111111"/>
          <w:sz w:val="28"/>
          <w:szCs w:val="28"/>
          <w:rtl w:val="true"/>
          <w:lang w:bidi="ar-SA"/>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فممّا لا خلاف فیه بین الأمّة فی الرّجوع إلی أفعاله صلّی اللّه علیه و آله و سلّم فی تعرّف الأحکام فی الحوادث،کما أنّه یرجع إلی أقواله علیه السّلام فی مثل ذلک، فإذا صحّ ذلک فکما أنّ أقواله حجّة یجب أن تکون أفعاله أیضا حجّة،و لا خلاف فی </w:t>
      </w:r>
    </w:p>
    <w:p>
      <w:pPr>
        <w:pStyle w:val="BookText"/>
        <w:rPr/>
      </w:pPr>
      <w:r>
        <w:rPr>
          <w:rFonts w:ascii="IRNazanin" w:hAnsi="IRNazanin" w:eastAsia="IRNazanin"/>
          <w:color w:val="111111"/>
          <w:sz w:val="28"/>
          <w:sz w:val="28"/>
          <w:szCs w:val="28"/>
          <w:rtl w:val="true"/>
          <w:lang w:bidi="fa-IR"/>
        </w:rPr>
        <w:t>أنّه إذا فعل الفعل علی وجه الإباحة،و علم ذلک من حاله لا یجوز أن نفعله علی وجه الوجوب،و لا أن نحکم بوجوبه علینا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إنّما اختلفوا فی أفعاله الّتی لا تعلم علی أیّ وجه وقعت منه،هل نحکم بوجوب مثلها علینا أم لا </w:t>
      </w:r>
      <w:r>
        <w:rPr>
          <w:rStyle w:val="FootnoteAnchor"/>
          <w:rtl w:val="true"/>
        </w:rPr>
        <w:footnoteReference w:id="1176"/>
      </w:r>
      <w:r>
        <w:rPr>
          <w:rFonts w:ascii="IRNazanin" w:hAnsi="IRNazanin" w:eastAsia="IRNazanin"/>
          <w:color w:val="111111"/>
          <w:sz w:val="28"/>
          <w:sz w:val="28"/>
          <w:szCs w:val="28"/>
          <w:rtl w:val="true"/>
          <w:lang w:bidi="fa-IR"/>
        </w:rPr>
        <w:t>؟،و لم یختلفوا فی أنّ أفعاله الّتی هی عبادة نحو الصّلاة، و الصّیام،یجب التّأسّی به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اختلفوا فی ما عدا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فمنهم من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یجب التّأسّی به إلاّ بدلیل یخصّ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 من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ما دلّ علی وجوب التّأسی به فی بعضه یدلّ علی التّأسّی به فی سائره،فجمیع أفعاله سواء فی أنّه یتأسّی به،إلاّ ما استثنی 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قدّمناه یدلّ علی صحّة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کانَ لَکُمْ فِی رَسُولِ اللّهِ أُسْوَةٌ حَسَنَةٌ  </w:t>
      </w:r>
      <w:r>
        <w:rPr>
          <w:rStyle w:val="FootnoteAnchor"/>
          <w:rtl w:val="true"/>
        </w:rPr>
        <w:footnoteReference w:id="1177"/>
      </w:r>
      <w:r>
        <w:rPr>
          <w:rFonts w:ascii="IRNazanin" w:hAnsi="IRNazanin" w:eastAsia="IRNazanin"/>
          <w:color w:val="111111"/>
          <w:sz w:val="28"/>
          <w:sz w:val="28"/>
          <w:szCs w:val="28"/>
          <w:rtl w:val="true"/>
          <w:lang w:bidi="fa-IR"/>
        </w:rPr>
        <w:t>و قوله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فَاتَّبِعُوهُ   </w:t>
      </w:r>
      <w:r>
        <w:rPr>
          <w:rStyle w:val="FootnoteAnchor"/>
          <w:rtl w:val="true"/>
        </w:rPr>
        <w:footnoteReference w:id="1178"/>
      </w:r>
      <w:r>
        <w:rPr>
          <w:rFonts w:ascii="Amiri" w:hAnsi="Amiri" w:eastAsia="Amiri" w:cs="Amiri"/>
          <w:color w:val="111111"/>
          <w:sz w:val="28"/>
          <w:sz w:val="28"/>
          <w:szCs w:val="28"/>
          <w:rtl w:val="true"/>
          <w:lang w:bidi="ar-SA"/>
        </w:rPr>
        <w:t>یدلاّن علی أنّ لنا التّأسّی به و اتّباعه فیما یصحّ اتّباعه فیه من قول أو فعل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ما ظهر من حال الصّحابة من رجوعهم إلی أفعاله علیه السّلام،نحو ما روی عن عمر أنّه قبّل الحجر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أعلم إنّک حجر لا تضرّ و لا تنفع و لو لا أنّی رأیت رسول اللّه صلّی اللّه علیه و آله و سلّم قبّلک ما قبّلتک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رجوعهم إلی أزواجه علیه السّلام فی ثبوت ما کان یفعله لیفعلوه </w:t>
      </w:r>
      <w:r>
        <w:rPr>
          <w:rStyle w:val="FootnoteAnchor"/>
          <w:rtl w:val="true"/>
        </w:rPr>
        <w:footnoteReference w:id="1179"/>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یدلّ </w:t>
      </w:r>
    </w:p>
    <w:p>
      <w:pPr>
        <w:pStyle w:val="BookText"/>
        <w:rPr/>
      </w:pPr>
      <w:r>
        <w:rPr>
          <w:rFonts w:ascii="IRNazanin" w:hAnsi="IRNazanin" w:eastAsia="IRNazanin"/>
          <w:color w:val="111111"/>
          <w:sz w:val="28"/>
          <w:sz w:val="28"/>
          <w:szCs w:val="28"/>
          <w:rtl w:val="true"/>
          <w:lang w:bidi="fa-IR"/>
        </w:rPr>
        <w:t>علی ذلک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نحو ما روی عن أمّ سلمة أنّها سألت عن القبلة للصّائم فأجابت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رسول اللّه صلّی اللّه علیه و آله و سلّم کان یفعل ذلک</w:t>
      </w:r>
      <w:r>
        <w:rPr>
          <w:rFonts w:eastAsia="Amiri" w:cs="Amiri" w:ascii="Amiri" w:hAnsi="Amiri"/>
          <w:color w:val="111111"/>
          <w:sz w:val="28"/>
          <w:szCs w:val="28"/>
          <w:rtl w:val="true"/>
          <w:lang w:bidi="ar-SA"/>
        </w:rPr>
        <w:t xml:space="preserve">» </w:t>
      </w:r>
      <w:r>
        <w:rPr>
          <w:rStyle w:val="FootnoteAnchor"/>
          <w:rtl w:val="true"/>
        </w:rPr>
        <w:footnoteReference w:id="1180"/>
      </w:r>
      <w:r>
        <w:rPr>
          <w:rFonts w:ascii="IRNazanin" w:hAnsi="IRNazanin" w:eastAsia="IRNazanin"/>
          <w:color w:val="111111"/>
          <w:sz w:val="28"/>
          <w:sz w:val="28"/>
          <w:szCs w:val="28"/>
          <w:rtl w:val="true"/>
          <w:lang w:bidi="fa-IR"/>
        </w:rPr>
        <w:t>،فرجع السّائل إلیه 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اللّه غفر لنبیّه صلّی اللّه علیه و آله و سلّم ما تقدّم من ذنبه و ما تأخّر و لیس سبیله سبیل غیره،فأخبرت رسول اللّه صلّی اللّه علیه و آله و سلّم بذلک،فأنکر ذلک و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لأرجو أن أکون أخشاکم للّه</w:t>
      </w:r>
      <w:r>
        <w:rPr>
          <w:rFonts w:eastAsia="IRNazanin" w:cs="IRNazanin"/>
          <w:color w:val="111111"/>
          <w:sz w:val="28"/>
          <w:szCs w:val="28"/>
          <w:rtl w:val="true"/>
          <w:lang w:bidi="fa-IR"/>
        </w:rPr>
        <w:t xml:space="preserve">» </w:t>
      </w:r>
      <w:r>
        <w:rPr>
          <w:rStyle w:val="FootnoteAnchor"/>
          <w:rtl w:val="true"/>
        </w:rPr>
        <w:footnoteReference w:id="1181"/>
      </w:r>
      <w:r>
        <w:rPr>
          <w:rFonts w:ascii="IRNazanin" w:hAnsi="IRNazanin" w:eastAsia="IRNazanin"/>
          <w:color w:val="111111"/>
          <w:sz w:val="28"/>
          <w:sz w:val="28"/>
          <w:szCs w:val="28"/>
          <w:rtl w:val="true"/>
          <w:lang w:bidi="fa-IR"/>
        </w:rPr>
        <w:t>،یدلّ علی ذلک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 التأسّی به إنّما یکون فیما یعلم حکمه بفعله،فأمّا إذا کان قوله بیانا، أو کان تنفیذا،أو امتثالا لقول متقدّم فإنه یفعل ذلک،لأنّ القول قد دلّ علی وجوبه، لا لأنّه علیه السّلام فعله</w:t>
      </w:r>
      <w:r>
        <w:rPr>
          <w:rFonts w:eastAsia="IRNazanin" w:cs="IRNazanin"/>
          <w:color w:val="111111"/>
          <w:sz w:val="28"/>
          <w:szCs w:val="28"/>
          <w:rtl w:val="true"/>
          <w:lang w:bidi="fa-IR"/>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معنی لقول 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لنا أنّ نتأسّی به فی ذلک،کما أنّا لا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نتأسّی به فی العقلیّات،لأنّ ما له یفعل ذلک،و بالطّریق الّذی عرف به علیه السّلام وجوب الفعل،به نعرف وجوبه،فحاله کحالنا فی ذلک</w:t>
      </w:r>
      <w:r>
        <w:rPr>
          <w:rFonts w:eastAsia="IRNazanin" w:cs="IRNazanin"/>
          <w:color w:val="111111"/>
          <w:sz w:val="28"/>
          <w:szCs w:val="28"/>
          <w:rtl w:val="true"/>
          <w:lang w:bidi="fa-IR"/>
        </w:rPr>
        <w:t xml:space="preserve">. </w:t>
      </w:r>
      <w:bookmarkStart w:id="331" w:name="pg6519_49777"/>
    </w:p>
    <w:p>
      <w:pPr>
        <w:pStyle w:val="Heading4"/>
        <w:numPr>
          <w:ilvl w:val="3"/>
          <w:numId w:val="1"/>
        </w:numPr>
        <w:rPr/>
      </w:pPr>
      <w:bookmarkStart w:id="332" w:name="__RefHeading___Toc1757365_653776707"/>
      <w:bookmarkStart w:id="333" w:name="_Toc106"/>
      <w:bookmarkEnd w:id="331"/>
      <w:bookmarkEnd w:id="332"/>
      <w:r>
        <w:rPr>
          <w:rtl w:val="true"/>
        </w:rPr>
        <w:t>فصل</w:t>
      </w:r>
      <w:r>
        <w:rPr>
          <w:rtl w:val="true"/>
        </w:rPr>
        <w:t>-</w:t>
      </w:r>
      <w:r>
        <w:rPr/>
        <w:t>3</w:t>
      </w:r>
      <w:r>
        <w:rPr>
          <w:rtl w:val="true"/>
        </w:rPr>
        <w:t>: «</w:t>
      </w:r>
      <w:r>
        <w:rPr>
          <w:rtl w:val="true"/>
        </w:rPr>
        <w:t>فی الدّلالة علی أنّ أفعاله علیه و آله السّلام کلّها لیست علی الوجوب</w:t>
      </w:r>
      <w:r>
        <w:rPr>
          <w:rtl w:val="true"/>
        </w:rPr>
        <w:t>»</w:t>
      </w:r>
      <w:bookmarkEnd w:id="333"/>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ذهب مالک و أصحابه و طائفة من أصحاب الشّافعی إلی أنّ أفعال النبیّ صلّی اللّه علیه و آله و سلّم کلّها علی الوجوب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ذهب الباقون إلی أنّها لیست علی الوجوب،و اختلفوا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علی الإباحة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علی النّدب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موقوفة علی الدّلیل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ذهب المتکلّمون،و أبو الحسن الکرخی إلی أنّ أفعاله علیه السّلام علی أقسام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یکون بیانا لمجمل،فذلک فی حکم المبیّن،إن کان واجبا فعلی الوجوب،و إن کان ندبا فعلی النّدب،و إن کان مباحا فعلی الإباحة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یکون امتثالا للخطاب،و ذلک لا مدخل له فی هذا الباب،لأنّ الخطاب إذا کان یتناوله و یتناولنا علی العموم فعلینا امتثاله کما علیه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یکون فاعلا له علی ما یقتضیه العقل،أو یفعله لمصالح الدّنیا،و ذلک أیضا لا مدخل له فی هذا الباب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یفعله من الشّرعیّات،فهذا یجب أن یعلم الوجه الّذی علیه وقع فعله علیه السّلام فیتّبع فیه بأن یفعل علی ذلک الوجه،و لا یصحّ أن یقال فی جملتها إنّها علی الوجوب،أو علی النّدب،أو علی الإباحة </w:t>
      </w:r>
      <w:r>
        <w:rPr>
          <w:rStyle w:val="FootnoteAnchor"/>
          <w:rtl w:val="true"/>
        </w:rPr>
        <w:footnoteReference w:id="1182"/>
      </w:r>
      <w:r>
        <w:rPr>
          <w:rFonts w:eastAsia="Times New Roman" w:cs="Times New Roman" w:ascii="Times New Roman" w:hAnsi="Times New Roman"/>
          <w:color w:val="111111"/>
          <w:sz w:val="28"/>
          <w:szCs w:val="28"/>
          <w:rtl w:val="true"/>
          <w:lang w:val="en-US" w:bidi="en-US"/>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الّذی یدلّ علی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إنّا قد بیّنا أنّ ذلک لا یجب من جهة العقل فی الفصل الأوّل </w:t>
      </w:r>
      <w:r>
        <w:rPr>
          <w:rStyle w:val="FootnoteAnchor"/>
          <w:rtl w:val="true"/>
        </w:rPr>
        <w:footnoteReference w:id="1183"/>
      </w:r>
      <w:r>
        <w:rPr>
          <w:rFonts w:ascii="IRNazanin" w:hAnsi="IRNazanin" w:eastAsia="IRNazanin"/>
          <w:color w:val="111111"/>
          <w:sz w:val="28"/>
          <w:sz w:val="28"/>
          <w:szCs w:val="28"/>
          <w:rtl w:val="true"/>
          <w:lang w:bidi="fa-IR"/>
        </w:rPr>
        <w:t>،و أدلّة السّمع خالیة من ذلک،فینبغی أن ینتفی کونها علی الوجوب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یدلّ علی ذلک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فعله علیه السّلام إذا کان یقع علی وجوه کثیرة فلیس یخلو من أن یکون علی الوجوب من غیر اعتبار ذلک الوجه،فالواجب أن یحکم بوجوب الفعل علینا،و إن علمنا أنّه فعله علی طریق النّدب أو الإباحة،و هذا باطل بالإجماع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کانت علی الوجوب،بأن تعتبر الوجوه الّتی علیها یقع،فهذا تناقض لأنّ اعتبار وجوهه ینفی وجوب جمیعه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 علی ذلک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بظاهر فعله لا یعلم وجوبه علیه،فبأن لا یعلم وجوبه علینا أولی،و یخالف القول فی ذلک لأنّ القول منه علیه السّلام یعلم به وجوب ما تناوله علینا دونه من حیث کان أمرا لنا و یختصّ بنا دونه،و لیس کذلک فعله،لأنّا تبع له فیه،فإذا لم یدلّ علی وجوبه علیه،فبأن یدلّ علی وجوبه علینا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 علی ذلک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فعله علیه السّلام لا یدوم فی جمیع الأحوال،بل قد یترکه أحیانا کما یفعله أحیانا،و إذا صحّ ذلک فلیس بأن یحکم بوجوبه لأنّه فعله بأولی من أن یحکم بوجوب ترکه لأنّه ترکه،إذ القول فعل منه فهو بمنزلة الفعل فی ذلک،و یفارق ذلک الأمر الّذی لیس ترکه بمنزلته فیما یختصّ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معتمد ما نستدلّ به فی هذا الباب دون ما أکثر النّاس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من خالف فی هذا الباب </w:t>
      </w:r>
      <w:r>
        <w:rPr>
          <w:rStyle w:val="FootnoteAnchor"/>
          <w:rtl w:val="true"/>
        </w:rPr>
        <w:footnoteReference w:id="1184"/>
      </w:r>
      <w:r>
        <w:rPr>
          <w:rFonts w:ascii="IRNazanin" w:hAnsi="IRNazanin" w:eastAsia="IRNazanin"/>
          <w:color w:val="111111"/>
          <w:sz w:val="28"/>
          <w:sz w:val="28"/>
          <w:szCs w:val="28"/>
          <w:rtl w:val="true"/>
          <w:lang w:bidi="fa-IR"/>
        </w:rPr>
        <w:t>فلیس یخلو خلافه من 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ذلک یجب من جهة العقل من حیث کان نبیّا،أو من حیث کان فی مخالفته تنفیر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قال بذلک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بیّنا فی الفصل أنّه لا یمتنع أن یخالف حالنا لحاله فی المصالح،و ذلک یبطل ما قالوه</w:t>
      </w:r>
      <w:r>
        <w:rPr>
          <w:rFonts w:eastAsia="IRNazanin" w:cs="IRNazanin"/>
          <w:color w:val="111111"/>
          <w:sz w:val="28"/>
          <w:szCs w:val="28"/>
          <w:rtl w:val="true"/>
          <w:lang w:bidi="fa-IR"/>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یقول إنّ ذلک واجب لدلیل سمعی دلّ علی ذلک،فالواجب علینا أن نبیّن أنّ ما ادّعوه دلیلا أو تعلّقوا به لیس فیه دلالة علی حال،لأنّا لا ننکر أن یقوم علی وجوب ذلک دلیل،لکن لم یثبت ذلک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قد استدلّ القوم علی ذلک بأشیاء </w:t>
      </w:r>
      <w:r>
        <w:rPr>
          <w:rStyle w:val="FootnoteAnchor"/>
          <w:rtl w:val="true"/>
        </w:rPr>
        <w:footnoteReference w:id="11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فَلْیَحْذَرِ الَّذِینَ یُخالِفُونَ عَنْ أَمْرِهِ  </w:t>
      </w:r>
      <w:r>
        <w:rPr>
          <w:rStyle w:val="FootnoteAnchor"/>
          <w:rtl w:val="true"/>
        </w:rPr>
        <w:footnoteReference w:id="11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فحذّرنا عن مخالفته،و الأمر یتناول الفعل کما یتناول القول،لأنّ اللّه تعالی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یُدَبِّرُ الْأَمْرَ مِنَ السَّماءِ إِلَی الْأَرْضِ  </w:t>
      </w:r>
      <w:r>
        <w:rPr>
          <w:rStyle w:val="FootnoteAnchor"/>
          <w:rtl w:val="true"/>
        </w:rPr>
        <w:footnoteReference w:id="1187"/>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إِلَیْهِ یُرْجَعُ الْأَمْرُ کُلُّهُ  </w:t>
      </w:r>
      <w:r>
        <w:rPr>
          <w:rStyle w:val="FootnoteAnchor"/>
          <w:rtl w:val="true"/>
        </w:rPr>
        <w:footnoteReference w:id="1188"/>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أَمْرُ فِرْعَوْنَ بِرَشِیدٍ  </w:t>
      </w:r>
      <w:r>
        <w:rPr>
          <w:rStyle w:val="FootnoteAnchor"/>
          <w:rtl w:val="true"/>
        </w:rPr>
        <w:footnoteReference w:id="1189"/>
      </w:r>
      <w:r>
        <w:rPr>
          <w:rFonts w:ascii="IRNazanin" w:hAnsi="IRNazanin" w:eastAsia="IRNazanin"/>
          <w:color w:val="111111"/>
          <w:sz w:val="28"/>
          <w:sz w:val="28"/>
          <w:szCs w:val="28"/>
          <w:rtl w:val="true"/>
          <w:lang w:bidi="fa-IR"/>
        </w:rPr>
        <w:t>،إذا ثبت أنّ الأمر یتناول الفعل کما یتناول القول،وجب أن تکون أفعاله علیه السّلام علی الوجوب،و إلاّ لم یجب التّحذر من مخالفتها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عن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الآیة لا تدلّ علی ما قالوه من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لفظ الأمر موضوع فی الحقیقة للقول بدلالة ما قدّمناه فی أوّل الکتاب فی باب الأوامر </w:t>
      </w:r>
      <w:r>
        <w:rPr>
          <w:rStyle w:val="FootnoteAnchor"/>
          <w:rtl w:val="true"/>
        </w:rPr>
        <w:footnoteReference w:id="1190"/>
      </w:r>
      <w:r>
        <w:rPr>
          <w:rFonts w:ascii="Amiri" w:hAnsi="Amiri" w:eastAsia="Amiri" w:cs="Amiri"/>
          <w:color w:val="111111"/>
          <w:sz w:val="28"/>
          <w:sz w:val="28"/>
          <w:szCs w:val="28"/>
          <w:rtl w:val="true"/>
          <w:lang w:bidi="ar-SA"/>
        </w:rPr>
        <w:t>،و إذا صحّ ذلک لم یتناول الآیة الفعل،و ذلک یبطل التّعلّق بها،و ما تقدّم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تَجْعَلُوا دُعاءَ الرَّسُولِ بَیْنَکُمْ کَدُعاءِ بَعْضِکُمْ بَعْضاً  </w:t>
      </w:r>
      <w:r>
        <w:rPr>
          <w:rStyle w:val="FootnoteAnchor"/>
          <w:rtl w:val="true"/>
        </w:rPr>
        <w:footnoteReference w:id="1191"/>
      </w:r>
      <w:r>
        <w:rPr>
          <w:rFonts w:ascii="IRNazanin" w:hAnsi="IRNazanin" w:eastAsia="IRNazanin"/>
          <w:color w:val="111111"/>
          <w:sz w:val="28"/>
          <w:sz w:val="28"/>
          <w:szCs w:val="28"/>
          <w:rtl w:val="true"/>
          <w:lang w:bidi="fa-IR"/>
        </w:rPr>
        <w:t>یدلّ علی أنّ المراد بالآیة القول دون الفعل،و أنّه أراد ما ندبهم إلیه و أمرهم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قیل أنّ الهاء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أَمْرِهِ   </w:t>
      </w:r>
      <w:r>
        <w:rPr>
          <w:rStyle w:val="FootnoteAnchor"/>
          <w:rtl w:val="true"/>
        </w:rPr>
        <w:footnoteReference w:id="1192"/>
      </w:r>
      <w:r>
        <w:rPr>
          <w:rFonts w:ascii="IRNazanin" w:hAnsi="IRNazanin" w:eastAsia="IRNazanin"/>
          <w:color w:val="111111"/>
          <w:sz w:val="28"/>
          <w:sz w:val="28"/>
          <w:szCs w:val="28"/>
          <w:rtl w:val="true"/>
          <w:lang w:bidi="fa-IR"/>
        </w:rPr>
        <w:t>یرجع إلی أقرب المذکورین و هو اللّه تعالی،و إذا ثبت ذلک فحملها علی الرّسول علیه السّلام و رجوعها إلیه حتّی یمکن الاستدلال بها لا یصحّ</w:t>
      </w:r>
      <w:r>
        <w:rPr>
          <w:rFonts w:eastAsia="IRNazanin" w:cs="IRNazanin"/>
          <w:color w:val="111111"/>
          <w:sz w:val="28"/>
          <w:szCs w:val="28"/>
          <w:rtl w:val="true"/>
          <w:lang w:bidi="fa-IR"/>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إنّها </w:t>
      </w:r>
      <w:r>
        <w:rPr>
          <w:rStyle w:val="FootnoteAnchor"/>
          <w:rtl w:val="true"/>
        </w:rPr>
        <w:footnoteReference w:id="1193"/>
      </w:r>
      <w:r>
        <w:rPr>
          <w:rFonts w:ascii="IRNazanin" w:hAnsi="IRNazanin" w:eastAsia="IRNazanin"/>
          <w:color w:val="111111"/>
          <w:sz w:val="28"/>
          <w:sz w:val="28"/>
          <w:szCs w:val="28"/>
          <w:rtl w:val="true"/>
          <w:lang w:bidi="fa-IR"/>
        </w:rPr>
        <w:t xml:space="preserve">ترجع إلیهما،لأنّ الکنایة عن واحد،فکیف یحمل </w:t>
      </w:r>
    </w:p>
    <w:p>
      <w:pPr>
        <w:pStyle w:val="BookText"/>
        <w:rPr/>
      </w:pPr>
      <w:r>
        <w:rPr>
          <w:rFonts w:ascii="Amiri" w:hAnsi="Amiri" w:eastAsia="Amiri" w:cs="Amiri"/>
          <w:color w:val="111111"/>
          <w:sz w:val="28"/>
          <w:sz w:val="28"/>
          <w:szCs w:val="28"/>
          <w:rtl w:val="true"/>
          <w:lang w:bidi="ar-SA"/>
        </w:rPr>
        <w:t>علی الاثنین؟ 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فَلْیَحْذَرِ الَّذِینَ یُخالِفُونَ عَنْ أَمْرِهِ   لا یُمکن حمله علی العموم،و لا بدّ من کون القول مرادا به،و إذا وجب ذلک فلا یجوز أن یراد به الفعل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هذا إنّما یعتمده من ذهب إلی أنّ العبارة الواحدة لا یراد بها المعنیان المختلفان،و قد بیّنا أنّ الصّحیح خلاف ذلک،فالمعتمد إذا ما قدّمناه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یجری مجری ذلک أیضا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التّحذیر من المخالفة یقتضی وجوب الموافقة،و الموافقة له علیه السّلام فی الفعل تقتضی أن یفعل الفعل علی الوجه الّذی 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قدّمنا القول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یبطل کون أفعاله کلّها علی الوجوب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استدلّوا أیضا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فَاتَّبِعُوهُ   </w:t>
      </w:r>
      <w:r>
        <w:rPr>
          <w:rStyle w:val="FootnoteAnchor"/>
          <w:rtl w:val="true"/>
        </w:rPr>
        <w:footnoteReference w:id="1194"/>
      </w:r>
      <w:r>
        <w:rPr>
          <w:rFonts w:ascii="IRNazanin" w:hAnsi="IRNazanin" w:eastAsia="IRNazanin"/>
          <w:color w:val="111111"/>
          <w:sz w:val="28"/>
          <w:sz w:val="28"/>
          <w:szCs w:val="28"/>
          <w:rtl w:val="true"/>
          <w:lang w:bidi="fa-IR"/>
        </w:rPr>
        <w:t>،فإنّه أمرنا باتّباعه،و أمره تعالی علی الوجوب،فیجب کون اتّباعه فی أفعاله واجبا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فهذا یبطل ما قدّمناه من تفسیر الاتّباع،لأنّه قد بیّنا أنّ المتّبع له إنّما یکون متّبعا إذا فعله علی الوجه الّذی فعله،و متی فعله علی غیر ذلک الوجه لا یکون متّبعا بل یکون مخالفا،و یجری ذلک مجری أن یفعل فعلا آخر،لأنّ اختلاف الوجهین فی الفعل الواحد یجری مجری الفعلین </w:t>
      </w:r>
      <w:r>
        <w:rPr>
          <w:rStyle w:val="FootnoteAnchor"/>
          <w:rtl w:val="true"/>
        </w:rPr>
        <w:footnoteReference w:id="11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قال قوم فی الجواب عن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المتّبع فیه محذوف ذکره،لأنّه لا یصحّ اتّباعه فی أشیاء مختلفة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لیس بصحیح،لأنّ لقائل 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الظاهر یقتضی وجوب اتّباعه فی کلّما یصحّ أن یتّبع فیه</w:t>
      </w:r>
      <w:r>
        <w:rPr>
          <w:rFonts w:eastAsia="IRNazanin" w:cs="IRNazanin"/>
          <w:color w:val="111111"/>
          <w:sz w:val="28"/>
          <w:szCs w:val="28"/>
          <w:rtl w:val="true"/>
          <w:lang w:bidi="fa-IR"/>
        </w:rPr>
        <w:t>.</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استدلّوا أیضا بقوله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کانَ لَکُمْ فِی رَسُولِ اللّهِ أُسْوَةٌ حَسَنَةٌ  </w:t>
      </w:r>
      <w:r>
        <w:rPr>
          <w:rStyle w:val="FootnoteAnchor"/>
          <w:rtl w:val="true"/>
        </w:rPr>
        <w:footnoteReference w:id="1196"/>
      </w:r>
      <w:r>
        <w:rPr>
          <w:rFonts w:ascii="Amiri" w:hAnsi="Amiri" w:eastAsia="Amiri" w:cs="Amiri"/>
          <w:color w:val="111111"/>
          <w:sz w:val="28"/>
          <w:sz w:val="28"/>
          <w:szCs w:val="28"/>
          <w:rtl w:val="true"/>
          <w:lang w:bidi="ar-SA"/>
        </w:rPr>
        <w:t>، و أنّه إذا جعله أسوة لزمنا التّأسّی به،سیّما و قد قال فی سیاق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کانَ یَرْجُوا </w:t>
      </w:r>
    </w:p>
    <w:p>
      <w:pPr>
        <w:pStyle w:val="BookText"/>
        <w:rPr/>
      </w:pPr>
      <w:r>
        <w:rPr>
          <w:rFonts w:ascii="Amiri" w:hAnsi="Amiri" w:eastAsia="Amiri" w:cs="Amiri"/>
          <w:color w:val="111111"/>
          <w:sz w:val="28"/>
          <w:sz w:val="28"/>
          <w:szCs w:val="28"/>
          <w:rtl w:val="true"/>
          <w:lang w:bidi="ar-SA"/>
        </w:rPr>
        <w:t xml:space="preserve">اَللّهَ وَ الْیَوْمَ الْآخِرَ    </w:t>
      </w:r>
      <w:r>
        <w:rPr>
          <w:rStyle w:val="FootnoteAnchor"/>
          <w:rtl w:val="true"/>
        </w:rPr>
        <w:footnoteReference w:id="1197"/>
      </w:r>
      <w:r>
        <w:rPr>
          <w:rFonts w:ascii="IRNazanin" w:hAnsi="IRNazanin" w:eastAsia="IRNazanin"/>
          <w:color w:val="111111"/>
          <w:sz w:val="28"/>
          <w:sz w:val="28"/>
          <w:szCs w:val="28"/>
          <w:rtl w:val="true"/>
          <w:lang w:bidi="fa-IR"/>
        </w:rPr>
        <w:t>و هذا تهدید لمن ترک التّأسّی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أیضا یسقط بما قدّمناه من معنی التّأسّی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کانَ یَرْجُوا اللّهَ وَ الْیَوْمَ الْآخِرَ  </w:t>
      </w:r>
      <w:r>
        <w:rPr>
          <w:rStyle w:val="FootnoteAnchor"/>
          <w:rtl w:val="true"/>
        </w:rPr>
        <w:footnoteReference w:id="1198"/>
      </w:r>
      <w:r>
        <w:rPr>
          <w:rFonts w:ascii="IRNazanin" w:hAnsi="IRNazanin" w:eastAsia="IRNazanin"/>
          <w:color w:val="111111"/>
          <w:sz w:val="28"/>
          <w:sz w:val="28"/>
          <w:szCs w:val="28"/>
          <w:rtl w:val="true"/>
          <w:lang w:bidi="fa-IR"/>
        </w:rPr>
        <w:t>لیس بتهدید و لا وعید،لأنّ الرّجاء إنّما یکون فی المنافع،فکأنّه قال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لمن کان یرجو ثواب اللّه،و الثّواب قد یستحقّ بالنّدب کما یستحقّ بالواجب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قیل فی الجواب عن ذلک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سبحانه لمّا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کانَ لَکُمْ فِی رَسُولِ اللّهِ أُسْوَةٌ حَسَنَةٌ  </w:t>
      </w:r>
      <w:r>
        <w:rPr>
          <w:rStyle w:val="FootnoteAnchor"/>
          <w:rtl w:val="true"/>
        </w:rPr>
        <w:footnoteReference w:id="1199"/>
      </w:r>
      <w:r>
        <w:rPr>
          <w:rFonts w:ascii="IRNazanin" w:hAnsi="IRNazanin" w:eastAsia="IRNazanin"/>
          <w:color w:val="111111"/>
          <w:sz w:val="28"/>
          <w:sz w:val="28"/>
          <w:szCs w:val="28"/>
          <w:rtl w:val="true"/>
          <w:lang w:bidi="fa-IR"/>
        </w:rPr>
        <w:t>و لم یقل علیکم،دلّ علی أنّه یرغّبنا فی ذلک،و ذلک لا یقتضی 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الأوّل أقوی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استدلّوا أیضا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أَطِیعُوا اللّهَ وَ أَطِیعُوا الرَّسُولَ  </w:t>
      </w:r>
      <w:r>
        <w:rPr>
          <w:rStyle w:val="FootnoteAnchor"/>
          <w:rtl w:val="true"/>
        </w:rPr>
        <w:footnoteReference w:id="12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الاستدلال بذلک لا یصحّ،لأنّ طاعته لا تکون إلاّ بفعل ما أمر به،و لیس للفعل فی ذلک مدخل،إلاّ أن یقترن به قول یقتضی التّأسی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استدلّوا أیضا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آتاکُمُ الرَّسُولُ فَخُذُوهُ وَ ما نَهاکُمْ عَنْهُ فَانْتَهُوا  </w:t>
      </w:r>
      <w:r>
        <w:rPr>
          <w:rStyle w:val="FootnoteAnchor"/>
          <w:rtl w:val="true"/>
        </w:rPr>
        <w:footnoteReference w:id="12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التّعلّق بذلک أیضا لا یصحّ،لأنّ معنی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آتاکُمُ   ما أعطاکم و أدّی إلیکم،و ذلک لا یصحّ إلاّ فی القول الّذی نسمعه منه و نمتثله،لأنّ سمعنا له و حفظنا إیّاه و امتثالنا له یجری مجری ما تناولنا منه</w:t>
      </w:r>
      <w:r>
        <w:rPr>
          <w:rFonts w:eastAsia="IRNazanin" w:cs="IRNazanin"/>
          <w:color w:val="111111"/>
          <w:sz w:val="28"/>
          <w:szCs w:val="28"/>
          <w:rtl w:val="true"/>
          <w:lang w:bidi="fa-IR"/>
        </w:rPr>
        <w:t>.</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استدلّوا بأخبار رووها فی هذا الباب کلّها أخبار آحاد لا یصحّ الاعتماد علیها فی هذا الباب،و ما قلناه فی تأویل الآیات قد نبّه علی طریق القول فیها،نحو ما روی </w:t>
      </w:r>
    </w:p>
    <w:p>
      <w:pPr>
        <w:pStyle w:val="BookText"/>
        <w:rPr/>
      </w:pPr>
      <w:r>
        <w:rPr>
          <w:rFonts w:ascii="IRNazanin" w:hAnsi="IRNazanin" w:eastAsia="IRNazanin"/>
          <w:color w:val="111111"/>
          <w:sz w:val="28"/>
          <w:sz w:val="28"/>
          <w:szCs w:val="28"/>
          <w:rtl w:val="true"/>
          <w:lang w:bidi="fa-IR"/>
        </w:rPr>
        <w:t>عنه علیه السّلام أنّه خلع نعله فی الصّلاة فخلعوا نعالهم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شاکله </w:t>
      </w:r>
      <w:r>
        <w:rPr>
          <w:rStyle w:val="FootnoteAnchor"/>
          <w:rtl w:val="true"/>
        </w:rPr>
        <w:footnoteReference w:id="1202"/>
      </w:r>
      <w:r>
        <w:rPr>
          <w:rFonts w:ascii="IRNazanin" w:hAnsi="IRNazanin" w:eastAsia="IRNazanin"/>
          <w:color w:val="111111"/>
          <w:sz w:val="28"/>
          <w:sz w:val="28"/>
          <w:szCs w:val="28"/>
          <w:rtl w:val="true"/>
          <w:lang w:bidi="fa-IR"/>
        </w:rPr>
        <w:t>،لأنّ ذلک إنّما یدلّ علی أنّ ما فعلوه حسن یجوز فعله،و لا یدلّ علی أنّه واجب لا یجوز 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استدلّ بعضهم علی ذلک بأن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الفعل آکد من القول،لأنّه کان علیه السّلام إذا أراد تحقیق أمر فعل ذلک لیقتدی به،کذلک فعل فی غیر شیء من المناسک،و الوضوء،و الصّلاة،و غیرها،فبأن یکون الفعل علی الوجوب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یبطل بما قدّمناه،لأنّ القول یقتضی أنه قد أراد منّا ما یقتضیه و الفعل بخلافه،و إنّما یکون فعله تحقیقا للأمر إذا وقع عقیبه فیقع موقع التّأکید،و أمّا إذا کان مبتدأ فلا یصحّ ذلک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استدلّ بعضهم بأن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الوجوب أعلی مراتب الفعل،فإذا أعدمنا الدّلیل، علی أی حال فعله و علی أیّ وجه أوقعه لزمنا التّأسّی به فیه،فیجب أن نتّبعه علی الوجه الّذی هو أعلی مراتبه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کلام لیس تحته فائدة،لأنّ کون الوجوب دالا علی ما قاله لا یقتضی أنّ حالنا کحاله،و لا أنّ ما فعله واجب علینا،فما فی ذلک ممّا یتعلّق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فعله علی النّدب أو الإباحة،فقوله یبطل بمثل ما أبطلنا به قول من قال إنّه علی الوجوب سواء،فلا فائدة لیزداد القول فیه</w:t>
      </w:r>
      <w:r>
        <w:rPr>
          <w:rFonts w:eastAsia="IRNazanin" w:cs="IRNazanin"/>
          <w:color w:val="111111"/>
          <w:sz w:val="28"/>
          <w:szCs w:val="28"/>
          <w:rtl w:val="true"/>
          <w:lang w:bidi="fa-IR"/>
        </w:rPr>
        <w:t>.</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هذه جملة کافیة فی هذا الباب،و اللّه الموفّق للصّواب</w:t>
      </w:r>
      <w:r>
        <w:rPr>
          <w:rFonts w:eastAsia="IRNazanin" w:cs="IRNazanin"/>
          <w:color w:val="111111"/>
          <w:sz w:val="28"/>
          <w:szCs w:val="28"/>
          <w:rtl w:val="true"/>
          <w:lang w:bidi="fa-IR"/>
        </w:rPr>
        <w:t xml:space="preserve">. </w:t>
      </w:r>
      <w:bookmarkStart w:id="334" w:name="pg6519_49784"/>
    </w:p>
    <w:p>
      <w:pPr>
        <w:pStyle w:val="Heading4"/>
        <w:numPr>
          <w:ilvl w:val="3"/>
          <w:numId w:val="1"/>
        </w:numPr>
        <w:rPr/>
      </w:pPr>
      <w:bookmarkStart w:id="335" w:name="__RefHeading___Toc1757367_653776707"/>
      <w:bookmarkStart w:id="336" w:name="_Toc107"/>
      <w:bookmarkEnd w:id="334"/>
      <w:bookmarkEnd w:id="335"/>
      <w:r>
        <w:rPr>
          <w:rtl w:val="true"/>
        </w:rPr>
        <w:t>فصل</w:t>
      </w:r>
      <w:r>
        <w:rPr>
          <w:rtl w:val="true"/>
        </w:rPr>
        <w:t>-</w:t>
      </w:r>
      <w:r>
        <w:rPr/>
        <w:t>4</w:t>
      </w:r>
      <w:r>
        <w:rPr>
          <w:rtl w:val="true"/>
        </w:rPr>
        <w:t>: «</w:t>
      </w:r>
      <w:r>
        <w:rPr>
          <w:rtl w:val="true"/>
        </w:rPr>
        <w:t>فی ذکر الوجوه الّتی تقع علیها أفعاله علیه السّلام،و بیان الطّریق إلی معرفة ذلک</w:t>
      </w:r>
      <w:r>
        <w:rPr>
          <w:rtl w:val="true"/>
        </w:rPr>
        <w:t>»</w:t>
      </w:r>
      <w:bookmarkEnd w:id="336"/>
    </w:p>
    <w:p>
      <w:pPr>
        <w:pStyle w:val="BookText"/>
        <w:rPr/>
      </w:pPr>
      <w:r>
        <w:rPr>
          <w:rFonts w:ascii="IRNazanin" w:hAnsi="IRNazanin" w:eastAsia="IRNazanin"/>
          <w:color w:val="111111"/>
          <w:sz w:val="28"/>
          <w:sz w:val="28"/>
          <w:szCs w:val="28"/>
          <w:rtl w:val="true"/>
          <w:lang w:bidi="fa-IR"/>
        </w:rPr>
        <w:t>أفعال النّبی صلّی اللّه علیه و آله و سلّم علی ثلاثة أقسام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فعل،و ترک </w:t>
      </w:r>
      <w:r>
        <w:rPr>
          <w:rStyle w:val="FootnoteAnchor"/>
          <w:rtl w:val="true"/>
        </w:rPr>
        <w:footnoteReference w:id="1203"/>
      </w:r>
      <w:r>
        <w:rPr>
          <w:rFonts w:ascii="IRNazanin" w:hAnsi="IRNazanin" w:eastAsia="IRNazanin"/>
          <w:color w:val="111111"/>
          <w:sz w:val="28"/>
          <w:sz w:val="28"/>
          <w:szCs w:val="28"/>
          <w:rtl w:val="true"/>
          <w:lang w:bidi="fa-IR"/>
        </w:rPr>
        <w:t>،و إقرار للفاعل علی فعله،و هی أجمع علی ثلاثة أقسام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واجب،و ندب،و مباح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هو فعل له علیه السّلام ینقسم ثلاثة أقسام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بیان لما هو بیان له،و إلی امتثال الخطاب،و إلی ابتداء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هو بیان لمبیّن علی ضروب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المجمل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تخصیص العموم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ینقسم قسمة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قضاء علی الغیر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متعلّق بالغیر</w:t>
      </w:r>
      <w:r>
        <w:rPr>
          <w:rFonts w:eastAsia="IRNazanin" w:cs="IRNazanin"/>
          <w:color w:val="111111"/>
          <w:sz w:val="28"/>
          <w:szCs w:val="28"/>
          <w:rtl w:val="true"/>
          <w:lang w:bidi="fa-IR"/>
        </w:rPr>
        <w:t>.</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تعلّق له بأحد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لیس یخرج عن هذه الأقسام شیء من أفعاله الشّرعیّة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ما لا تعلّق له بالشّرع فلا طائل فی ذکره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نحن نبیّن الطّریق إلی معرفة کلّ واحد من هذه الأقسام،لأنّ معرفة طرقها تختلف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الّذی به یعلم أنّ فعله 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أن یعلم أنّ فعله تقدّمه ما یحتاج إلی بیان، و یعدم هناک قول یمکن أن یکون بیانا له،فیعلم حینئذ أنّ الّذی یمکن أن یبیّن ذلک به بیان،و إلاّ أدّی إلی عدم البیان مع الحاجة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یعلم ثبوت ما یحتاج إلی بیان،و نبّه علی أنّ ما فعله بیان له بقول أو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یعلم أنّ فعله تخصیص العموم،بأن یقتضی رفع ما یقتضیه العام،و قد تقدّم القول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قد مضی القول فیما یکون من فعله نسخا فی موضعه،و یعلم أنّ فعله بیان علی جهة الإباحة أو النّدب أو الوجوب بحسب ما یحصل لنا من العلم بالمبیّن، لأنّا بیّنا أنّ بیان الشّیء فی حکمه،و قد مضی القول فیه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أمّا </w:t>
      </w:r>
      <w:r>
        <w:rPr>
          <w:rStyle w:val="FootnoteAnchor"/>
          <w:rtl w:val="true"/>
        </w:rPr>
        <w:footnoteReference w:id="1204"/>
      </w:r>
      <w:r>
        <w:rPr>
          <w:rFonts w:ascii="IRNazanin" w:hAnsi="IRNazanin" w:eastAsia="IRNazanin"/>
          <w:color w:val="111111"/>
          <w:sz w:val="28"/>
          <w:sz w:val="28"/>
          <w:szCs w:val="28"/>
          <w:rtl w:val="true"/>
          <w:lang w:bidi="fa-IR"/>
        </w:rPr>
        <w:t>ما به یعلم أنّ فعله امتثال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فهو أن یتقدّم علمنا بخطاب یقتضی وجوب ذلک الفعل علیه علی الحدّ </w:t>
      </w:r>
      <w:r>
        <w:rPr>
          <w:rStyle w:val="FootnoteAnchor"/>
          <w:rtl w:val="true"/>
        </w:rPr>
        <w:footnoteReference w:id="1205"/>
      </w:r>
      <w:r>
        <w:rPr>
          <w:rFonts w:ascii="IRNazanin" w:hAnsi="IRNazanin" w:eastAsia="IRNazanin"/>
          <w:color w:val="111111"/>
          <w:sz w:val="28"/>
          <w:sz w:val="28"/>
          <w:szCs w:val="28"/>
          <w:rtl w:val="true"/>
          <w:lang w:bidi="fa-IR"/>
        </w:rPr>
        <w:t>الّذی فعله،فیعلم به أنّه امتثال للآیة،و کذلک القول إذا اقتضی النّدب أو الإباحة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یعلم به أنّ فعله ابتداء شرع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أن یعلم عدم هذین الوجهین،و أنّه لیس هناک قول یقتضی ما اقتضاه ذلک الفعل</w:t>
      </w:r>
      <w:r>
        <w:rPr>
          <w:rFonts w:eastAsia="IRNazanin" w:cs="IRNazanin"/>
          <w:color w:val="111111"/>
          <w:sz w:val="28"/>
          <w:szCs w:val="28"/>
          <w:rtl w:val="true"/>
          <w:lang w:bidi="fa-IR"/>
        </w:rPr>
        <w:t>.</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ما یعلم به فعله من ترکه،و الفصل بینهما،و بین إقراره غیره علی الفعل، فالّذی یجب أن یعلم فی ذلک حکم ترکه و إقراره لأنّ ما عداه لا إشکال فیه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أمّا ترکه لما یترکه،فقد یکون ترکا لأمر یخصّه،و لیس لذلک مدخل فی هذا الباب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یکون ترکا لفعل یقتضی بعض الخطاب وجوبه،فذلک تخصیص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ترک النّبی صلّی اللّه علیه و آله و سلّم قطع ید سارق أقلّ من ربع دینار مع أنّه لا وجه یقتضی لإسقاط قطعه،علم بذلک أنّ القدر الّذی سرق لا یستحقّ به القطع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إذا جوّزنا أن یکون ما له ترک قطعه أمر آخر،فلا یدلّ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ترک علیه السّلام الفعل فی وقت اقتضی القرآن وجوبه فیه،لعدّ ذلک نسخا أو تخصیصا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ترک علیه السّلام عند قیامه إلی الثّانیة الرّجوع إلی القعود،دلّ علی أنّه لیس من أرکان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ترکه الصلاة فی وقت لعذر،فلیس یدلّ علی سقوطه،بل یجوز أن یؤخّر إلی وقت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إقراره الغیر علی 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إن کان لم یتقدّم منه بیان قبحه،فإنّ إقراره یدلّ علی حسنه،لأنّه لو لم یکن حسنا لبیّنه قبل فعله فضلا عن ذلک فی حال فعله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کان قد تقدّم بیان قبحه نظر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کان قد علم من حاله أنّه یظنّ أنّه إذا أنکر ترک المنکر علیه فعله فلم ینکره، دلّ علی حسنه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لم یعلم ذلک من حاله نظر،فإن کان قبح ذلک مستفادا بالشّرع لا بالعقل، فإذا لم ینکره و لم یحصل ما یجری مجری الإنکار دلّ علی حسنه،لأنّه إذا کان قبیحا و یعلم قبحه من جهته فأقرّ علیه،أوهم أنّه منسوخ،فأدّی ترکه النّکیر لذلک إلی التّنفیر عن القبول منه،فعلی هذا یجب أن یجری إقراره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الطّریق الّذی به یعلم أنّ فعله مباح،فوجوه</w:t>
      </w:r>
      <w:r>
        <w:rPr>
          <w:rFonts w:eastAsia="Amiri" w:cs="Amiri" w:ascii="Amiri" w:hAnsi="Amiri"/>
          <w:color w:val="111111"/>
          <w:sz w:val="28"/>
          <w:szCs w:val="28"/>
          <w:rtl w:val="true"/>
          <w:lang w:bidi="ar-SA"/>
        </w:rPr>
        <w:t>:</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لو کان قبیحا لما فعله،فیعلم بذلک أنّه حسن،فإذا عدمنا الدّلیل علی وجوبه أو کونه ندبا علمنا أنّه مباح</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یعلم بقوله أنّه مباح بأن ینصّ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فعله بیانا لجملة تقتضی فعلا مباحا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أمّا الطّریق الّذی به یعرف </w:t>
      </w:r>
      <w:r>
        <w:rPr>
          <w:rStyle w:val="FootnoteAnchor"/>
          <w:rtl w:val="true"/>
        </w:rPr>
        <w:footnoteReference w:id="1206"/>
      </w:r>
      <w:r>
        <w:rPr>
          <w:rFonts w:ascii="IRNazanin" w:hAnsi="IRNazanin" w:eastAsia="IRNazanin"/>
          <w:color w:val="111111"/>
          <w:sz w:val="28"/>
          <w:sz w:val="28"/>
          <w:szCs w:val="28"/>
          <w:rtl w:val="true"/>
          <w:lang w:bidi="fa-IR"/>
        </w:rPr>
        <w:t>کون فعله ندبا فبأن یعلم أنّ ما فعله قربة شرعیّة، و یعلم ذلک بوجوه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بیانا للنّدب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ما یفعله علیه السّلام تارة فی وقت مخصوص،و یترکه أخری بلا عذر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یعلم أنّه قصد إلی فعله فی الصّلاة مرّة و لم یفعله أخری مع جواز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یعلم أنّه قد مدح علیه و لم یذمّ علی ترکه و لم ینکر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به یعلم أنّ فعله وقع علی جهة الوجوب فأشیاء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بیانا لواجب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ممّا لو لم یکن واجبا لما جاز أن یفعله،نحو أن یرکع فی الصّلاة رکوعین علی سبیل القصد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یفعله علی وجه قد صار إمارة للوجوب،نحو أن یؤذّن للصّلاة، و یأخذ من مال غیره بعد العدّ و الإحصاء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فبهذه الوجوه و ما شاکلها یعلم حال فعله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هو قضاء علی الغیر،فالحال فی أنّه قضاء علی الغیر ظاهر و یکون علی وجوه،لکنّ جمیعها سواء فی أنّ قضاءه یلزم المقضیّ علیه،هذا إذا کان حکما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کان جوابا لسؤال،فقد سوّغ و یجب أن یحکم فیه بوجوب أو غیره بحسب الدّلالة</w:t>
      </w:r>
      <w:r>
        <w:rPr>
          <w:rFonts w:eastAsia="IRNazanin" w:cs="IRNazanin"/>
          <w:color w:val="111111"/>
          <w:sz w:val="28"/>
          <w:szCs w:val="28"/>
          <w:rtl w:val="true"/>
          <w:lang w:bidi="fa-IR"/>
        </w:rPr>
        <w:t>.</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ما یتعلّق بالغیر من فعله،فنحو مدحه،و ذمّه،و عقابه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أمّا المدح،فإنّه یدلّ علی أنّ الممدوح علیه ندب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الذّم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یدلّ علی أنّ الفعل الّذی ذمّه علیه قبیح،فإنّ ذمّه لأنّه لم یفعل الفعل،أو ترکه دلّ علی وجوبه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عقابه الغیر علی بعض الأفعال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فإنّه یدلّ علی قبحه،و یدلّ مع ذلک علی أنّه کبیرة عند من قال بالصّغائر </w:t>
      </w:r>
      <w:r>
        <w:rPr>
          <w:rStyle w:val="FootnoteAnchor"/>
          <w:rtl w:val="true"/>
        </w:rPr>
        <w:footnoteReference w:id="1207"/>
      </w:r>
      <w:r>
        <w:rPr>
          <w:rFonts w:eastAsia="Times New Roman" w:cs="Times New Roman" w:ascii="Times New Roman" w:hAnsi="Times New Roman"/>
          <w:color w:val="111111"/>
          <w:sz w:val="28"/>
          <w:szCs w:val="28"/>
          <w:rtl w:val="true"/>
          <w:lang w:val="en-US" w:bidi="en-US"/>
        </w:rPr>
        <w:t>.</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فینبغی أن یجری مجری أفعاله علیه السّلام علی هذه الوجوه،و یتّبع فیها علی الوجه الّذی علیه یقع،و باللّه التّوفیق</w:t>
      </w:r>
      <w:r>
        <w:rPr>
          <w:rFonts w:eastAsia="IRNazanin" w:cs="IRNazanin"/>
          <w:color w:val="111111"/>
          <w:sz w:val="28"/>
          <w:szCs w:val="28"/>
          <w:rtl w:val="true"/>
          <w:lang w:bidi="fa-IR"/>
        </w:rPr>
        <w:t xml:space="preserve">. </w:t>
      </w:r>
      <w:bookmarkStart w:id="337" w:name="pg6519_49789"/>
    </w:p>
    <w:p>
      <w:pPr>
        <w:pStyle w:val="Heading4"/>
        <w:numPr>
          <w:ilvl w:val="3"/>
          <w:numId w:val="1"/>
        </w:numPr>
        <w:rPr/>
      </w:pPr>
      <w:bookmarkStart w:id="338" w:name="__RefHeading___Toc1757369_653776707"/>
      <w:bookmarkStart w:id="339" w:name="_Toc108"/>
      <w:bookmarkEnd w:id="337"/>
      <w:bookmarkEnd w:id="338"/>
      <w:r>
        <w:rPr>
          <w:rtl w:val="true"/>
        </w:rPr>
        <w:t>فصل</w:t>
      </w:r>
      <w:r>
        <w:rPr>
          <w:rtl w:val="true"/>
        </w:rPr>
        <w:t>-</w:t>
      </w:r>
      <w:r>
        <w:rPr/>
        <w:t>5</w:t>
      </w:r>
      <w:r>
        <w:rPr>
          <w:rtl w:val="true"/>
        </w:rPr>
        <w:t>: «</w:t>
      </w:r>
      <w:r>
        <w:rPr>
          <w:rtl w:val="true"/>
        </w:rPr>
        <w:t>فی ذکر أفعاله إذا اختلفت،هل یصحّ التّعارض فیها أم لا؟</w:t>
      </w:r>
      <w:r>
        <w:rPr>
          <w:rtl w:val="true"/>
        </w:rPr>
        <w:t>»</w:t>
      </w:r>
      <w:bookmarkEnd w:id="339"/>
    </w:p>
    <w:p>
      <w:pPr>
        <w:pStyle w:val="BookText"/>
        <w:rPr/>
      </w:pPr>
      <w:r>
        <w:rPr>
          <w:rFonts w:ascii="IRNazanin" w:hAnsi="IRNazanin" w:eastAsia="IRNazanin"/>
          <w:color w:val="111111"/>
          <w:sz w:val="28"/>
          <w:sz w:val="28"/>
          <w:szCs w:val="28"/>
          <w:rtl w:val="true"/>
          <w:lang w:bidi="fa-IR"/>
        </w:rPr>
        <w:t>لا یصحّ التّعارض فی أفعاله علیه السّلام لأنّ التّعارض إنّما یقع فی فعلین ضدّین،أو فعل الشّیء و ترکه،و نحن نعلم أنّه لا یقع منه علیه السّلام الفعلان الضدّان، و لا الفعل و ترکه فی حال واحدة،و إنّما یقع منه الفعل فی حال و ضدّه فی حال أخری، و ما یقع منه فی حالین و إن تضادّا فإنّه یمکن التّأسّی به فیهما،کما یمکن امتثال الأمر و النّهی إذا تضمّنا فعلین فی حالین،و ما هذه حاله لا یصحّ التّعارض فیه،فصار فعله فی هذا الباب مخالفا لقوله،و لهذا لا یصحّ نسخ فعله فی الحقیقة،و ذلک أنّ فعله الأوّل لا ینتظم الأوقات حتّی یکون فعله الثّانی رافعا ما لو لا رفعه له لتناوله الأوّل علی ما بیّناه من نسخ القول،لکنّ الأمر و إن کان کذلک فإنّ الفعل الأوّل إذا علم أنّه قد أرید به إدامته فی المستقبل صحّ کون ما بعده ناسخا له،و ذلک لأنّ الفعل إذا وقع بهذا الموقع جری مجری قول یتناول إیجاب الفعل فی الأوقات المستقبلة،فکما یصحّ النّسخ بقول هذا حاله فکذلک یصحّ نسخ الفعل إذا کانت هذه صفته،و قد بیّنا أنّ النّسخ قد یدخل فی غیر القول من أدلة الشّرع،کما یدخل فی القول،فإنّه یخالف التّخصیص الّذی من حقّه أن یتناول الفعل إلی غایة فقط</w:t>
      </w:r>
      <w:r>
        <w:rPr>
          <w:rFonts w:eastAsia="IRNazanin" w:cs="IRNazanin"/>
          <w:color w:val="111111"/>
          <w:sz w:val="28"/>
          <w:szCs w:val="28"/>
          <w:rtl w:val="true"/>
          <w:lang w:bidi="fa-IR"/>
        </w:rPr>
        <w:t>.</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لیس لأحد أن یعترض ما قدّمناه من نسخ الفعل بالفعل بأن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کیف یصحّ نسخ الأفعال و لیست بأفعال؟ </w:t>
      </w:r>
    </w:p>
    <w:p>
      <w:pPr>
        <w:pStyle w:val="BookText"/>
        <w:rPr/>
      </w:pPr>
      <w:r>
        <w:rPr>
          <w:rFonts w:ascii="IRNazanin" w:hAnsi="IRNazanin" w:eastAsia="IRNazanin"/>
          <w:color w:val="111111"/>
          <w:sz w:val="28"/>
          <w:sz w:val="28"/>
          <w:szCs w:val="28"/>
          <w:rtl w:val="true"/>
          <w:lang w:bidi="fa-IR"/>
        </w:rPr>
        <w:t>لأنّ ما بیّناه قد أسقط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تخصیص الفعل بالفعل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یصحّ لأنّ الفعل لا یتناول أشیاء یخصّ منها بعضها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من جهة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التّخصیص فی الفعل إنّما یکون بأن یعلم أنّ المراد بالفعل الأوّل جمیع المکلّفین و ذلک الفعل واجب،فإذا رأیناه قد أقرّ بعضهم علی ترکه أو مدحه علیه،علم أنّه مخصوص من جملتهم،و سواء کان المدح و الإقرار منه عقیب الفعل الأوّل أو بعده بزمان متراخ علی ما جوّزناه من تأخیر البیان عن وقت الخطاب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من أبی ذلک،فإنّه لا یجوز ذلک إلاّ إذا کان عقیب الفعل الأوّل علی بعد ذلک عنده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تخصیصه علیه السّلام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لا یصحّ لأنّ التّخصیص یدلّ علی أنّ المخصوص من الجملة لم یرد،و فعله علیه السّلام قد أنبأ عن أنّه مراد،فیستحیل تخصیصه نفسه فی الحال من هذا الوجه،فأمّا فی المستقبل فإنّه لا یمتنع ذلک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القول فی فعله و أمره إذا تضادّا و تعارضا،فإنّه یجب أن ینظر فیهما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کان القول متقدّما،و قد مضی الوقت الّذی یجب فعله فیه،ثمّ فعل علیه السّلام ما یعارض ذلک فهو نسخ،و ذلک نحو ترکه قتل شارب الخمر فی المرّة الرّابعة بعد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شربها الرّابعة فاقتلوه</w:t>
      </w:r>
      <w:r>
        <w:rPr>
          <w:rFonts w:eastAsia="IRNazanin" w:cs="IRNazanin"/>
          <w:color w:val="111111"/>
          <w:sz w:val="28"/>
          <w:szCs w:val="28"/>
          <w:rtl w:val="true"/>
          <w:lang w:bidi="fa-IR"/>
        </w:rPr>
        <w:t xml:space="preserve">» </w:t>
      </w:r>
      <w:r>
        <w:rPr>
          <w:rStyle w:val="FootnoteAnchor"/>
          <w:rtl w:val="true"/>
        </w:rPr>
        <w:footnoteReference w:id="1208"/>
      </w:r>
      <w:r>
        <w:rPr>
          <w:rFonts w:ascii="IRNazanin" w:hAnsi="IRNazanin" w:eastAsia="IRNazanin"/>
          <w:color w:val="111111"/>
          <w:sz w:val="28"/>
          <w:sz w:val="28"/>
          <w:szCs w:val="28"/>
          <w:rtl w:val="true"/>
          <w:lang w:bidi="fa-IR"/>
        </w:rPr>
        <w:t>علی ما یرویه مخالفونا،و إنّما ذکرناه مثلا لو ثبت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فعل ذلک قبل مجیء الوقت الّذی تعبّدنا بالفعل فیه،فلا یصحّ أن یکون نسخا،بل یجب حمله علی أنّه مخصوص،لأنّ النّسخ قبل الوقت لا یجوز</w:t>
      </w:r>
      <w:r>
        <w:rPr>
          <w:rFonts w:eastAsia="IRNazanin" w:cs="IRNazanin"/>
          <w:color w:val="111111"/>
          <w:sz w:val="28"/>
          <w:szCs w:val="28"/>
          <w:rtl w:val="true"/>
          <w:lang w:bidi="fa-IR"/>
        </w:rPr>
        <w:t>.</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فأمّا إذا تقدّم الفعل ثمّ وجد القول الّذی یقتضی رفع ما اقتضاه الفعل،فذلک نسخ لا محالة،لأنّه متأخّر عن حال استقرار الفرض</w:t>
      </w:r>
      <w:r>
        <w:rPr>
          <w:rFonts w:eastAsia="IRNazanin" w:cs="IRNazanin"/>
          <w:color w:val="111111"/>
          <w:sz w:val="28"/>
          <w:szCs w:val="28"/>
          <w:rtl w:val="true"/>
          <w:lang w:bidi="fa-IR"/>
        </w:rPr>
        <w:t xml:space="preserve">. </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لم نعلم المتقدّم من المتأخّر،و کان قوله یقتضی وجوب الفعل أو حظره، و کان فعله یقتضی خلاف ذلک،فالأخذ بالقول أولی،لأنّ فعله لا یتعدّاه إلاّ بدلیل، و من حقّ قوله أن یتعدّاه،و لا یصحّ أن یکون مقصورا علیه،فإذا صحّ ذلک و اجتمعا فالواجب أن یتمسّک بقوله و یحمل فعله علی أنّه مخصوص به،لأنّ قوله لا یصحّ قصره علیه،و یصحّ قصر فعله علیه،فإذا اجتمعا فبأن یتمسّک بالقول الّذی من حقّه أن یتناولنا أولی من الفعل،سیّما و قد ثبت أنّ أقواله علی الوجوب،و أنّ أفعاله موقوفة علی الدّلالة،و کلّ ذلک یوجب ترجیح قوله علیه السّلام علی فعله</w:t>
      </w:r>
      <w:r>
        <w:rPr>
          <w:rFonts w:eastAsia="IRNazanin" w:cs="IRNazanin"/>
          <w:color w:val="111111"/>
          <w:sz w:val="28"/>
          <w:szCs w:val="28"/>
          <w:rtl w:val="true"/>
          <w:lang w:bidi="fa-IR"/>
        </w:rPr>
        <w:t xml:space="preserve">. </w:t>
      </w:r>
      <w:bookmarkStart w:id="340" w:name="pg6519_49792"/>
    </w:p>
    <w:p>
      <w:pPr>
        <w:pStyle w:val="Heading4"/>
        <w:numPr>
          <w:ilvl w:val="3"/>
          <w:numId w:val="1"/>
        </w:numPr>
        <w:rPr/>
      </w:pPr>
      <w:bookmarkStart w:id="341" w:name="__RefHeading___Toc1757371_653776707"/>
      <w:bookmarkStart w:id="342" w:name="_Toc109"/>
      <w:bookmarkEnd w:id="340"/>
      <w:bookmarkEnd w:id="341"/>
      <w:r>
        <w:rPr>
          <w:rtl w:val="true"/>
        </w:rPr>
        <w:t>فصل</w:t>
      </w:r>
      <w:r>
        <w:rPr>
          <w:rtl w:val="true"/>
        </w:rPr>
        <w:t>-</w:t>
      </w:r>
      <w:r>
        <w:rPr/>
        <w:t>6</w:t>
      </w:r>
      <w:r>
        <w:rPr>
          <w:rtl w:val="true"/>
        </w:rPr>
        <w:t>: «</w:t>
      </w:r>
      <w:r>
        <w:rPr>
          <w:rtl w:val="true"/>
        </w:rPr>
        <w:t>فی أنّه علیه السّلام هل کان متعبّدا بشریعة من کان قبله من الأنبیاء أم لا؟</w:t>
      </w:r>
      <w:r>
        <w:rPr>
          <w:rtl w:val="true"/>
        </w:rPr>
        <w:t>»</w:t>
      </w:r>
      <w:bookmarkEnd w:id="342"/>
    </w:p>
    <w:p>
      <w:pPr>
        <w:pStyle w:val="BookText"/>
        <w:rPr/>
      </w:pPr>
      <w:r>
        <w:rPr>
          <w:rFonts w:ascii="IRNazanin" w:hAnsi="IRNazanin" w:eastAsia="IRNazanin"/>
          <w:color w:val="111111"/>
          <w:sz w:val="28"/>
          <w:sz w:val="28"/>
          <w:szCs w:val="28"/>
          <w:rtl w:val="true"/>
          <w:lang w:bidi="fa-IR"/>
        </w:rPr>
        <w:t>عندنا أنّ النّبی صلّی اللّه علیه و آله و سلّم لم یکن متعبّدا بشریعة من تقدّمه من الأنبیاء،لا قبل النّبوّة و لا بعدها،و أنّ جمیع ما تعبّد به کان شرعا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یقول أصحابنا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علیه السّلام قبل البعثة کان یوحی إلیه بأشیاء تخصّه، و کان یعمل بالوحی لا اتّباعا لشریعة قبله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الفقهاء فقد اختلفوا فی ذلک و المتکلّمون </w:t>
      </w:r>
      <w:r>
        <w:rPr>
          <w:rStyle w:val="FootnoteAnchor"/>
          <w:rtl w:val="true"/>
        </w:rPr>
        <w:footnoteReference w:id="12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فالّذی ذهب إلیه أکثر المتکلّمین من أهل العدل،و هو مذهب أبی علیّ و أبی هاشم أنّه لم یکن متعبّدا بشریعة من تقدّمه،و أنّ جمیع ما تعبّد به کان شرعا له دون من تقدّمه،و حکی أبو عبد اللّه عن أبی الحسن </w:t>
      </w:r>
      <w:r>
        <w:rPr>
          <w:rStyle w:val="FootnoteAnchor"/>
          <w:rtl w:val="true"/>
        </w:rPr>
        <w:footnoteReference w:id="1210"/>
      </w:r>
      <w:r>
        <w:rPr>
          <w:rFonts w:ascii="Amiri" w:hAnsi="Amiri" w:eastAsia="Amiri" w:cs="Amiri"/>
          <w:color w:val="111111"/>
          <w:sz w:val="28"/>
          <w:sz w:val="28"/>
          <w:szCs w:val="28"/>
          <w:rtl w:val="true"/>
          <w:lang w:bidi="ar-SA"/>
        </w:rPr>
        <w:t>أنّه ربّما نصّ هذا و ربّما نصّ خلافه</w:t>
      </w:r>
      <w:r>
        <w:rPr>
          <w:rFonts w:eastAsia="Amiri" w:cs="Amiri" w:ascii="Amiri" w:hAnsi="Amiri"/>
          <w:color w:val="111111"/>
          <w:sz w:val="28"/>
          <w:szCs w:val="28"/>
          <w:rtl w:val="true"/>
          <w:lang w:bidi="ar-SA"/>
        </w:rPr>
        <w:t>.</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العلماء 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کان متعبّدا بشریعة من تقدّمه،و اختلفوا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فمنهم 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تعبّد بشریعة إبراهیم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 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تعبّد بشریعة موسی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اختلف المتکلّمون فی أنّه علیه السّلام قبل البعثة هل کان متعبّدا بشیء من الشّرائع أم لا </w:t>
      </w:r>
      <w:r>
        <w:rPr>
          <w:rStyle w:val="FootnoteAnchor"/>
          <w:rtl w:val="true"/>
        </w:rPr>
        <w:footnoteReference w:id="1211"/>
      </w:r>
      <w:r>
        <w:rPr>
          <w:rFonts w:ascii="IRNazanin" w:hAnsi="IRNazanin" w:eastAsia="IRNazanin"/>
          <w:color w:val="111111"/>
          <w:sz w:val="28"/>
          <w:sz w:val="28"/>
          <w:szCs w:val="28"/>
          <w:rtl w:val="true"/>
          <w:lang w:bidi="fa-IR"/>
        </w:rPr>
        <w:t>؟ فمنهم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 علی أنّه کان متعبّدا بشریعة بعض من تقدّمه من الأنبیاء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Style w:val="FootnoteAnchor"/>
          <w:rtl w:val="true"/>
        </w:rPr>
        <w:footnoteReference w:id="1212"/>
      </w:r>
      <w:r>
        <w:rPr>
          <w:rFonts w:ascii="IRNazanin" w:hAnsi="IRNazanin" w:eastAsia="IRNazanin"/>
          <w:color w:val="111111"/>
          <w:sz w:val="28"/>
          <w:sz w:val="28"/>
          <w:szCs w:val="28"/>
          <w:rtl w:val="true"/>
          <w:lang w:bidi="fa-IR"/>
        </w:rPr>
        <w:t>قطع علی 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توقّف فی ذلک و جوّز کلا الأمرین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یدلّ علی ما ذهبنا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إجماع الفرقة المحقّة،لأنّه لا اختلاف بینهم فی ذلک،و إجماعها حجّة علی ما سندلّ </w:t>
      </w:r>
      <w:r>
        <w:rPr>
          <w:rStyle w:val="FootnoteAnchor"/>
          <w:rtl w:val="true"/>
        </w:rPr>
        <w:footnoteReference w:id="1213"/>
      </w:r>
      <w:r>
        <w:rPr>
          <w:rFonts w:ascii="IRNazanin" w:hAnsi="IRNazanin" w:eastAsia="IRNazanin"/>
          <w:color w:val="111111"/>
          <w:sz w:val="28"/>
          <w:sz w:val="28"/>
          <w:szCs w:val="28"/>
          <w:rtl w:val="true"/>
          <w:lang w:bidi="fa-IR"/>
        </w:rPr>
        <w:t>علیه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 علی ذلک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ثبت بالإجماع من أنّه علیه السّلام أفضل من سائر الأنبیاء،و لا یجوز أن یؤمر الفاضل باتّباع المفضول علی ما دللنا علیه فی غیر موضع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أین یعلم أنّه کان قبل النبوّة أفضل من سائر الأنبیاء؟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یخصّ أحد تفضیله علی سائر الأنبیاء بوقت دون وقت،فیجب أن یکون أفضل فی جمیع الأوقات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 علی ذلک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لو کان متعبّدا بشریعة من تقدّمه لوجب أن لا یضاف جمیع شریعته إلیه،لأنّ ما یکون فیه متعبّدا بشریعة من تقدّمه فإنّما یکون شرعا لذلک المتقدّم،و یکون فی حکم المؤدّی عنه،فکان </w:t>
      </w:r>
      <w:r>
        <w:rPr>
          <w:rStyle w:val="FootnoteAnchor"/>
          <w:rtl w:val="true"/>
        </w:rPr>
        <w:footnoteReference w:id="1214"/>
      </w:r>
      <w:r>
        <w:rPr>
          <w:rFonts w:ascii="IRNazanin" w:hAnsi="IRNazanin" w:eastAsia="IRNazanin"/>
          <w:color w:val="111111"/>
          <w:sz w:val="28"/>
          <w:sz w:val="28"/>
          <w:szCs w:val="28"/>
          <w:rtl w:val="true"/>
          <w:lang w:bidi="fa-IR"/>
        </w:rPr>
        <w:t>یجب ألاّ یضاف جمیع الشّرع إلیه، کما لا یضاف الشّرع إلی من یؤدّی عنه علیه السّلام لما کان مؤدّیا عنه علیه السّلام، و فی علمنا بإضافة جمیع الشّرع إلیه دلیل علی أنّه لم یکن متعبّدا بشرع من تقدّمه</w:t>
      </w:r>
      <w:r>
        <w:rPr>
          <w:rFonts w:eastAsia="IRNazanin" w:cs="IRNazanin"/>
          <w:color w:val="111111"/>
          <w:sz w:val="28"/>
          <w:szCs w:val="28"/>
          <w:rtl w:val="true"/>
          <w:lang w:bidi="fa-IR"/>
        </w:rPr>
        <w:t>.</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یدلّ علی ذلک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لو کان متعبّدا بشرع من تقدّم لم یخل من أن یکون </w:t>
      </w:r>
    </w:p>
    <w:p>
      <w:pPr>
        <w:pStyle w:val="BookText"/>
        <w:rPr/>
      </w:pPr>
      <w:r>
        <w:rPr>
          <w:rFonts w:ascii="IRNazanin" w:hAnsi="IRNazanin" w:eastAsia="IRNazanin"/>
          <w:color w:val="111111"/>
          <w:sz w:val="28"/>
          <w:sz w:val="28"/>
          <w:szCs w:val="28"/>
          <w:rtl w:val="true"/>
          <w:lang w:bidi="fa-IR"/>
        </w:rPr>
        <w:t>متعبّدا بشریعة موسی أو عیسی علیهما السّلام،لأنّ شریعة من قبلهما مندرسة، و هی مع ذلک منسوخة بشریعتها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w:t>
      </w:r>
      <w:r>
        <w:rPr>
          <w:rStyle w:val="FootnoteAnchor"/>
          <w:rtl w:val="true"/>
        </w:rPr>
        <w:footnoteReference w:id="1215"/>
      </w:r>
      <w:r>
        <w:rPr>
          <w:rFonts w:ascii="IRNazanin" w:hAnsi="IRNazanin" w:eastAsia="IRNazanin"/>
          <w:color w:val="111111"/>
          <w:sz w:val="28"/>
          <w:sz w:val="28"/>
          <w:szCs w:val="28"/>
          <w:rtl w:val="true"/>
          <w:lang w:bidi="fa-IR"/>
        </w:rPr>
        <w:t>متعبّدا بشریعة موسی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ذلک فاسد من حیث کانت شریعته منسوخة بشریعة عیسی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متعبّدا بشریعة عیسی علیه السّلام کان فاسدا </w:t>
      </w:r>
      <w:r>
        <w:rPr>
          <w:rStyle w:val="FootnoteAnchor"/>
          <w:rtl w:val="true"/>
        </w:rPr>
        <w:footnoteReference w:id="1216"/>
      </w:r>
      <w:r>
        <w:rPr>
          <w:rFonts w:ascii="IRNazanin" w:hAnsi="IRNazanin" w:eastAsia="IRNazanin"/>
          <w:color w:val="111111"/>
          <w:sz w:val="28"/>
          <w:sz w:val="28"/>
          <w:szCs w:val="28"/>
          <w:rtl w:val="true"/>
          <w:lang w:bidi="fa-IR"/>
        </w:rPr>
        <w:t>من 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شریعته قد انقطعت و اندرس نقلها و لم تتّصل کاتّصال نقل المعجزة الّتی تقتضی ما هی علیه نقلها،و إذا لم یتّصل لم یصحّ أن تعلم،و فی ذلک إخراج له من أن یکون متعبّدا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القول بذلک یبطل ما یعتمدون علیه من رجوعه علیه السّلام إلی التّوراة فی رجم الیهودیّین </w:t>
      </w:r>
      <w:r>
        <w:rPr>
          <w:rStyle w:val="FootnoteAnchor"/>
          <w:rtl w:val="true"/>
        </w:rPr>
        <w:footnoteReference w:id="1217"/>
      </w:r>
      <w:r>
        <w:rPr>
          <w:rFonts w:ascii="IRNazanin" w:hAnsi="IRNazanin" w:eastAsia="IRNazanin"/>
          <w:color w:val="111111"/>
          <w:sz w:val="28"/>
          <w:sz w:val="28"/>
          <w:szCs w:val="28"/>
          <w:rtl w:val="true"/>
          <w:lang w:bidi="fa-IR"/>
        </w:rPr>
        <w:t>،لأنّه کان یجب أن یرجع إلی الإنجیل دونها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 علی صحّة ما قلناه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الّذی یخالف فی ذلک لا یخلو قوله من أنّه تعبّد بشریعة موسی علیه السّلام بأن دعاه موسی علیه السّلام إلی شریعته ما لم ینسخ و الحجّة قائمة علیه بذلک،أو یقول إنّه تعبّد بشریعة موسی علیه السّلام بأن امر بالتّمسّک بها أمرا مبتدأ،و إن کان یحتاج أن یرجع إلیهم فی تعرّف ما یتمسّک به من شریعته،أو یقول إنّه تعبّد بشریعته بأن أمر بأشیاء قد کانت شریعة له و إنّ علمها هو من جهة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ذهبوا إلی ما قلنا أوّلا،فلیس یخلو من 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علیه السّلام کان یمکنه أن یعرف شریعتهم من غیر جهة اللّه تعالی،بل بالرّجوع إلیهم فی تعرّف ذلک،أو یقول ما کان یصحّ له ذلک و إنّما کان یعرف ذلک من قبل اللّه تعالی</w:t>
      </w:r>
      <w:r>
        <w:rPr>
          <w:rFonts w:eastAsia="IRNazanin" w:cs="IRNazanin"/>
          <w:color w:val="111111"/>
          <w:sz w:val="28"/>
          <w:szCs w:val="28"/>
          <w:rtl w:val="true"/>
          <w:lang w:bidi="fa-IR"/>
        </w:rPr>
        <w:t>.</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قالوا بالأوّل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خلاف فی المعنی،و الّذی یبطل قوله أشیاء</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استدلّ به أبو علیّ و أبو هاشم من أنّه علیه السّلام لو کان متعبّدا بشریعة من قبله لکان لا یتوقّف فی قصّة الظّهار </w:t>
      </w:r>
      <w:r>
        <w:rPr>
          <w:rStyle w:val="FootnoteAnchor"/>
          <w:rtl w:val="true"/>
        </w:rPr>
        <w:footnoteReference w:id="1218"/>
      </w:r>
      <w:r>
        <w:rPr>
          <w:rFonts w:ascii="IRNazanin" w:hAnsi="IRNazanin" w:eastAsia="IRNazanin"/>
          <w:color w:val="111111"/>
          <w:sz w:val="28"/>
          <w:sz w:val="28"/>
          <w:szCs w:val="28"/>
          <w:rtl w:val="true"/>
          <w:lang w:bidi="fa-IR"/>
        </w:rPr>
        <w:t xml:space="preserve">،و قصّة المیراث </w:t>
      </w:r>
      <w:r>
        <w:rPr>
          <w:rStyle w:val="FootnoteAnchor"/>
          <w:rtl w:val="true"/>
        </w:rPr>
        <w:footnoteReference w:id="1219"/>
      </w:r>
      <w:r>
        <w:rPr>
          <w:rFonts w:ascii="IRNazanin" w:hAnsi="IRNazanin" w:eastAsia="IRNazanin"/>
          <w:color w:val="111111"/>
          <w:sz w:val="28"/>
          <w:sz w:val="28"/>
          <w:szCs w:val="28"/>
          <w:rtl w:val="true"/>
          <w:lang w:bidi="fa-IR"/>
        </w:rPr>
        <w:t xml:space="preserve">،و قصّة الإفک </w:t>
      </w:r>
      <w:r>
        <w:rPr>
          <w:rStyle w:val="FootnoteAnchor"/>
          <w:rtl w:val="true"/>
        </w:rPr>
        <w:footnoteReference w:id="1220"/>
      </w:r>
      <w:r>
        <w:rPr>
          <w:rFonts w:ascii="IRNazanin" w:hAnsi="IRNazanin" w:eastAsia="IRNazanin"/>
          <w:color w:val="111111"/>
          <w:sz w:val="28"/>
          <w:sz w:val="28"/>
          <w:szCs w:val="28"/>
          <w:rtl w:val="true"/>
          <w:lang w:bidi="fa-IR"/>
        </w:rPr>
        <w:t>،علی نزول الوحی علیه،لأنّ هذه الحوادث معلوم أنّ لها أحکاما فی التّوراة ظاهرة فیما بینهم،فلو کان متعبّدا بذلک لرجع إلی التّوراة و 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بزعمهم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الرّجم،و لکان توقّفه علی الوحی یجری مجری توقّفه فی شیء قد بیّن له علی الوحی،و فی فساد ذلک دلیل علی أنّه لم یکن متعبّدا إلاّ بما ینزله اللّه تعالی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یجب أیضا أن یرجع الصّحابة فی معرفة الأحکام إلی التوراة و أهلها کرجوعهم إلی القرآن،و فی ترکهم ذلک دلیل علی أنّهم لم یتعبّدوا بذلک و لا النّبی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النّبی صلّی اللّه علیه و آله و سلّم صوّب معاذا فی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أجتهد رأیی</w:t>
      </w:r>
      <w:r>
        <w:rPr>
          <w:rFonts w:eastAsia="Amiri" w:cs="Amiri" w:ascii="Amiri" w:hAnsi="Amiri"/>
          <w:color w:val="111111"/>
          <w:sz w:val="28"/>
          <w:szCs w:val="28"/>
          <w:rtl w:val="true"/>
          <w:lang w:bidi="ar-SA"/>
        </w:rPr>
        <w:t xml:space="preserve">» </w:t>
      </w:r>
      <w:r>
        <w:rPr>
          <w:rStyle w:val="FootnoteAnchor"/>
          <w:rtl w:val="true"/>
        </w:rPr>
        <w:footnoteReference w:id="1221"/>
      </w:r>
      <w:r>
        <w:rPr>
          <w:rFonts w:ascii="IRNazanin" w:hAnsi="IRNazanin" w:eastAsia="IRNazanin"/>
          <w:color w:val="111111"/>
          <w:sz w:val="28"/>
          <w:sz w:val="28"/>
          <w:szCs w:val="28"/>
          <w:rtl w:val="true"/>
          <w:lang w:bidi="fa-IR"/>
        </w:rPr>
        <w:t>عند عدم الکتاب و السّنة،فلو کان متعبّدا بشریعتهم لعدّه فی جملة ذلک، و لنبّه معاذا علی خطئه بترک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أراد القسم الأخیر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فلیس فی ذلک خلاف،و لا یوجب ذلک أن یکون متعبّدا بشرع من تقدّم،لأنّ الأمر بمثل شریعتهم إذا ورد عن اللّه تعالی و بیّن المأمور به فذلک تعبّد من اللّه تعالی ابتداء،و لیس یجب إذا أمر بفعل تعبّد به موسی علیه السّلام أن یکون النّبی صلّی اللّه علیه و آله و سلّم متعبّدا بشریعته،لأنّه لا فصل بین أن یتعبّده بذلک الفعل بأن یذکره و یبیّن صفته،و بین أن یلزمه و یضیفه إلی موسی علیه السّلام،لأنّ فی الحالین جمیعا هو تعالی المتعبّد به</w:t>
      </w:r>
      <w:r>
        <w:rPr>
          <w:rFonts w:eastAsia="IRNazanin" w:cs="IRNazanin"/>
          <w:color w:val="111111"/>
          <w:sz w:val="28"/>
          <w:szCs w:val="28"/>
          <w:rtl w:val="true"/>
          <w:lang w:bidi="fa-IR"/>
        </w:rPr>
        <w:t>.</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من قال </w:t>
      </w:r>
      <w:r>
        <w:rPr>
          <w:rStyle w:val="FootnoteAnchor"/>
          <w:rtl w:val="true"/>
        </w:rPr>
        <w:footnoteReference w:id="12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علیه السّلام کان متعبّدا بشریعة موسی علیه السّلام،و قال </w:t>
      </w:r>
    </w:p>
    <w:p>
      <w:pPr>
        <w:pStyle w:val="BookText"/>
        <w:rPr/>
      </w:pPr>
      <w:r>
        <w:rPr>
          <w:rFonts w:ascii="IRNazanin" w:hAnsi="IRNazanin" w:eastAsia="IRNazanin"/>
          <w:color w:val="111111"/>
          <w:sz w:val="28"/>
          <w:sz w:val="28"/>
          <w:szCs w:val="28"/>
          <w:rtl w:val="true"/>
          <w:lang w:bidi="fa-IR"/>
        </w:rPr>
        <w:t xml:space="preserve">لأنّه لا یصحّ أن یعرف الشّریعة من جهته </w:t>
      </w:r>
      <w:r>
        <w:rPr>
          <w:rStyle w:val="FootnoteAnchor"/>
          <w:rtl w:val="true"/>
        </w:rPr>
        <w:footnoteReference w:id="1223"/>
      </w:r>
      <w:r>
        <w:rPr>
          <w:rFonts w:ascii="IRNazanin" w:hAnsi="IRNazanin" w:eastAsia="IRNazanin"/>
          <w:color w:val="111111"/>
          <w:sz w:val="28"/>
          <w:sz w:val="28"/>
          <w:szCs w:val="28"/>
          <w:rtl w:val="true"/>
          <w:lang w:bidi="fa-IR"/>
        </w:rPr>
        <w:t>،فقد ناقض،لأنّ التّعبّد بشریعته یقتضی صحّة العلم بها من جهته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فأمّا </w:t>
      </w:r>
      <w:r>
        <w:rPr>
          <w:rStyle w:val="FootnoteAnchor"/>
          <w:rtl w:val="true"/>
        </w:rPr>
        <w:footnoteReference w:id="1224"/>
      </w:r>
      <w:r>
        <w:rPr>
          <w:rFonts w:ascii="IRNazanin" w:hAnsi="IRNazanin" w:eastAsia="IRNazanin"/>
          <w:color w:val="111111"/>
          <w:sz w:val="28"/>
          <w:sz w:val="28"/>
          <w:szCs w:val="28"/>
          <w:rtl w:val="true"/>
          <w:lang w:bidi="fa-IR"/>
        </w:rPr>
        <w:t>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تعبّد بأشیاء من شریعته بأمر مبتدإ و أمر ثان یرجع فی معرفته ذلک إلیهم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فالّذی یدلّ علی بطلان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قدّمناه من الأدلّة،و إن کان هذا الوجه لا یقتضی کونه متعبّدا بشریعتهم إذا امر بذلک أمرا مبتدأ،لو صحّ ما ادّعوه،فکیف و ذلک لا یصحّ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اعلم أنّه لو لا ما قدّمناه من الدّلیل علی کونه أفضل الأنبیاء،ما کان یمتنع عقلا أن یتعبّد بمثل شریعتهم،لأنّ المصالح تختلف و تتّفق و کلا الأمرین یجوز فیها، فلا یمتنع أن یعلم اللّه تعالی أنّ صلاح النّبی الثّانی و صلاح أمّته بخلاف شریعة الأوّل فیتعبّده به،و علی هذا جرت سنّة اللّه تعالی فی أکثر الأنبیاء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یمتنع أیضا أن یعلم أنّ صلاح الثّانی و أمّته فی مثل شریعة الأوّل فیتعبّده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لأحد 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ذلک لا یجوز،لأنّه لو کان کذلک لم یکن فی بعثة النّبی الثّانی و إظهار المعجز علیه فائدة،لأنّ شریعته معلومة من جهة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إنّا إنّما نجوّز بعثة النّبی الثّانی بشریعة النّبی الأوّل إذا کانت تلک الشّریعة قد اندرست و صارت بحیث لا یعلم إلاّ من جهة النّبی الثّانی،أو بأن یکون النّبی الأوّل مبعوثا إلی قوم بأعیانهم و یبعث الثّانی إلی غیرهم،أو بأن یزاد فی شریعة الثّانی زیادة لا تعلم إلاّ من جهته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فبهذه الوجوه تخرج بعثته من أن تکون عبثا</w:t>
      </w:r>
      <w:r>
        <w:rPr>
          <w:rFonts w:eastAsia="IRNazanin" w:cs="IRNazanin"/>
          <w:color w:val="111111"/>
          <w:sz w:val="28"/>
          <w:szCs w:val="28"/>
          <w:rtl w:val="true"/>
          <w:lang w:bidi="fa-IR"/>
        </w:rPr>
        <w:t>.</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کیف یجری </w:t>
      </w:r>
      <w:r>
        <w:rPr>
          <w:rStyle w:val="FootnoteAnchor"/>
          <w:rtl w:val="true"/>
        </w:rPr>
        <w:footnoteReference w:id="1225"/>
      </w:r>
      <w:r>
        <w:rPr>
          <w:rFonts w:ascii="IRNazanin" w:hAnsi="IRNazanin" w:eastAsia="IRNazanin"/>
          <w:color w:val="111111"/>
          <w:sz w:val="28"/>
          <w:sz w:val="28"/>
          <w:szCs w:val="28"/>
          <w:rtl w:val="true"/>
          <w:lang w:bidi="fa-IR"/>
        </w:rPr>
        <w:t xml:space="preserve">هذا التّقدیر علی ما تعتقدون أنتم من أنّ کلّ شرع لا بدّ </w:t>
      </w:r>
    </w:p>
    <w:p>
      <w:pPr>
        <w:pStyle w:val="BookText"/>
        <w:rPr/>
      </w:pPr>
      <w:r>
        <w:rPr>
          <w:rFonts w:ascii="IRNazanin" w:hAnsi="IRNazanin" w:eastAsia="IRNazanin"/>
          <w:color w:val="111111"/>
          <w:sz w:val="28"/>
          <w:sz w:val="28"/>
          <w:szCs w:val="28"/>
          <w:rtl w:val="true"/>
          <w:lang w:bidi="fa-IR"/>
        </w:rPr>
        <w:t>له من حافظ معصوم لا یجوز علیه الغلط؟و إذا کان لا بدّ من ذلک علی مذهبکم فمتی اندرست الشّریعة أمکن الرّجوع إلیه فیها فلا یحتاج إلی نبیّ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إنّما نوجب حافظا للشّرع معصوما إذا علمنا ارتفاع الوحی و انقطاع النبوّة،و نحن نعلم أنّ التّواتر لا یمکن حفظ الشّرع به،لأنّه یجوز أن یصیر آحادا،فإذا لا بدّ لها من حافظ معصوم،و لیس کذلک فی الشّرائع المتقدّمة لأنّه لا یمتنع أن تکون تلک الشّرائع محفوظة بالتواتر،فمتی فرضنا أنّها صارت آحادا و بحیث لا ینقطع عذر المکلّفین بنقلها بعث اللّه تعالی نبیّا آخر یبیّنها و یستدرکها،هذا إذا فرضنا بقاء التّکلیف بالشّریعة الأوّلة علی من یجیء فیما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فأمّا إذا فرضنا أنّه یجوز أن یکون التّکلیف للشّریعة الأولی إذا صارت آحادا قد ارتفع و وجب التّمسّک بما فی العقل،فإنّ ذلک لا یجب أیضا معه أن یکون لها حافظ و لا بعث </w:t>
      </w:r>
      <w:r>
        <w:rPr>
          <w:rStyle w:val="FootnoteAnchor"/>
          <w:rtl w:val="true"/>
        </w:rPr>
        <w:footnoteReference w:id="1226"/>
      </w:r>
      <w:r>
        <w:rPr>
          <w:rFonts w:ascii="IRNazanin" w:hAnsi="IRNazanin" w:eastAsia="IRNazanin"/>
          <w:color w:val="111111"/>
          <w:sz w:val="28"/>
          <w:sz w:val="28"/>
          <w:szCs w:val="28"/>
          <w:rtl w:val="true"/>
          <w:lang w:bidi="fa-IR"/>
        </w:rPr>
        <w:t>نبیّ آخر،و کان یجوز أیضا أن یتعبّد بأخبار الآحاد إذا صارت الشّریعة إلی حدّ لا ینقل إلاّ من جهة الخبر الواحد،و کلّ ذلک مفقود فی شریعتنا،لأنّ الوحی قد ارتفع،و الرّسالة قد انقطعت،و التّکلیف باق إلی یوم القیامة،و العمل بخبر الواحد غیر صحیح علی ما بیّناه فیما مضی،فلو لم یکن لها معصوم،و التّواتر یجوز أن یصیر آحادا،کان ذلک یؤدّی إلی أنّ الشّرع غیر محفوظ أصلا،و ذلک لا یجوز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استدلّ من خالفنا علی صحّة قوله بأشیاء </w:t>
      </w:r>
      <w:r>
        <w:rPr>
          <w:rStyle w:val="FootnoteAnchor"/>
          <w:rtl w:val="true"/>
        </w:rPr>
        <w:footnoteReference w:id="12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لو لم یکن متعبّدا بشریعة من تقدّم لم یذکّی قبل بعثته،و لا یأکل اللّحم المذکّی،و لا کان یحجّ و یعتمر،و لا کان یرکب البهائم و یحمل علیها،لأنّ جمیع ذلک یحسن سمعا،و فی علمنا بأنّه کان یفعل ذلک دلیل علی صحّة ما قلناه</w:t>
      </w:r>
      <w:r>
        <w:rPr>
          <w:rFonts w:eastAsia="IRNazanin" w:cs="IRNazanin"/>
          <w:color w:val="111111"/>
          <w:sz w:val="28"/>
          <w:szCs w:val="28"/>
          <w:rtl w:val="true"/>
          <w:lang w:bidi="fa-IR"/>
        </w:rPr>
        <w:t>.</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هذا لا یلزمنا علی ما قرّرنا من مذهبنا فی هذا الباب </w:t>
      </w:r>
      <w:r>
        <w:rPr>
          <w:rStyle w:val="FootnoteAnchor"/>
          <w:rtl w:val="true"/>
        </w:rPr>
        <w:footnoteReference w:id="1228"/>
      </w:r>
      <w:r>
        <w:rPr>
          <w:rFonts w:ascii="IRNazanin" w:hAnsi="IRNazanin" w:eastAsia="IRNazanin"/>
          <w:color w:val="111111"/>
          <w:sz w:val="28"/>
          <w:sz w:val="28"/>
          <w:szCs w:val="28"/>
          <w:rtl w:val="true"/>
          <w:lang w:bidi="fa-IR"/>
        </w:rPr>
        <w:t>،لأنّا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 قبل بعثته </w:t>
      </w:r>
    </w:p>
    <w:p>
      <w:pPr>
        <w:pStyle w:val="BookText"/>
        <w:rPr/>
      </w:pPr>
      <w:r>
        <w:rPr>
          <w:rFonts w:ascii="IRNazanin" w:hAnsi="IRNazanin" w:eastAsia="IRNazanin"/>
          <w:color w:val="111111"/>
          <w:sz w:val="28"/>
          <w:sz w:val="28"/>
          <w:szCs w:val="28"/>
          <w:rtl w:val="true"/>
          <w:lang w:bidi="fa-IR"/>
        </w:rPr>
        <w:t xml:space="preserve">کان موحی </w:t>
      </w:r>
      <w:r>
        <w:rPr>
          <w:rStyle w:val="FootnoteAnchor"/>
          <w:rtl w:val="true"/>
        </w:rPr>
        <w:footnoteReference w:id="1229"/>
      </w:r>
      <w:r>
        <w:rPr>
          <w:rFonts w:ascii="IRNazanin" w:hAnsi="IRNazanin" w:eastAsia="IRNazanin"/>
          <w:color w:val="111111"/>
          <w:sz w:val="28"/>
          <w:sz w:val="28"/>
          <w:szCs w:val="28"/>
          <w:rtl w:val="true"/>
          <w:lang w:bidi="fa-IR"/>
        </w:rPr>
        <w:t>إلیه بما یخصّه،فلأجل ذلک کان یفعل ما یفعله من الأشیاء الّتی ذکروها إن صحّ منه فعلها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من وافقنا فی هذا المذهب و خالفنا فی هذه الطّریقة فإنّه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تذکیة البهائم،و فعله الحجّ و العمرة لو ثبت لدلّ،لکن ذلک لم یثبت،و ما یروی من ذلک فإنّما طریقه أخبار الآحاد لا یعوّل علیها فی هذا الباب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أکله لحم المذکّی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فحسن فی العقل،و لیس فیه دلیل علی ما قاله السّائل، لأنّه بمنزلة أکل سائر المباحات،و لم یثبت عنه علیه السّلام أنه کان یأمر بالتّذکیة لیأکل اللّحم فیسوغ التّعلّق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رکوب البهیمة و الحمل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فذلک یحسن عند کثیر منهم لما لها فی ذلک من المنافع الّتی یوصل إلیها من العلف و غیر ذلک،و یخالف الذّبح لأنّ الذّبح یقطعها عن المنافع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تعلّقوا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برجوعه علیه و آله السّلام إلی التوراة فی رجم الیهودیّین </w:t>
      </w:r>
      <w:r>
        <w:rPr>
          <w:rStyle w:val="FootnoteAnchor"/>
          <w:rtl w:val="true"/>
        </w:rPr>
        <w:footnoteReference w:id="12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ذلک لا یصح،لأنّ ذلک من أخبار الآحاد الّتی لا تعتمد فی هذا الباب،فلو کان کذلک لرجع إلی التوراة فی سائر الأحکام،و لما کان ینتظر الوحی علی ما بیّناه،و فی ترکه الرّجوع إلیها دلیل علی أنّه لم یرجع إلیها فی الرّجم إن صحّ ما قالوه،فسقط بذلک ما تعلّقوا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قیل فی الجواب عن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إنّما رجع إلیهم لأنّه کان قد أخبر أنّ فی التّوراة رجم الزّانی،فأراد أن یتحقّق صدقه لیدلّهم علی نبوّته بالرّجوع إلیهم،لا أنّه رجع إلیهم لیعرف ثبوت الرّجم من جهتهم</w:t>
      </w:r>
      <w:r>
        <w:rPr>
          <w:rFonts w:eastAsia="IRNazanin" w:cs="IRNazanin"/>
          <w:color w:val="111111"/>
          <w:sz w:val="28"/>
          <w:szCs w:val="28"/>
          <w:rtl w:val="true"/>
          <w:lang w:bidi="fa-IR"/>
        </w:rPr>
        <w:t>.</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رجوعه إلیهم لما قالوه لرجع فی غیره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لوجب أن یتعرّف هل الرّجم فی التّوراة علی کلّ زان أو هو علی محصن فقط؟و لوجب أن لا یقبل قول </w:t>
      </w:r>
    </w:p>
    <w:p>
      <w:pPr>
        <w:pStyle w:val="BookText"/>
        <w:rPr/>
      </w:pPr>
      <w:r>
        <w:rPr>
          <w:rFonts w:ascii="IRNazanin" w:hAnsi="IRNazanin" w:eastAsia="IRNazanin"/>
          <w:color w:val="111111"/>
          <w:sz w:val="28"/>
          <w:sz w:val="28"/>
          <w:szCs w:val="28"/>
          <w:rtl w:val="true"/>
          <w:lang w:bidi="fa-IR"/>
        </w:rPr>
        <w:t>الیهود الّذین رجع إلیهم لأن یقول مثلهم،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یقع العلم و لا هم علی صفة یقبل قولهم فی الدّیانات،و لما مدحهم فی أنّ ذلک فی التّوراة،لأنّه قد ظهر تحریفهم لکثیر منها،فدلّ جمیع ذلک علی بطلان تعلّقهم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تعلّقوا أیضا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اتَّبَعَ مِلَّةَ إِبْراهِیمَ حَنِیفاً   </w:t>
      </w:r>
      <w:r>
        <w:rPr>
          <w:rStyle w:val="FootnoteAnchor"/>
          <w:rtl w:val="true"/>
        </w:rPr>
        <w:footnoteReference w:id="1231"/>
      </w:r>
      <w:r>
        <w:rPr>
          <w:rFonts w:ascii="IRNazanin" w:hAnsi="IRNazanin" w:eastAsia="IRNazanin"/>
          <w:color w:val="111111"/>
          <w:sz w:val="28"/>
          <w:sz w:val="28"/>
          <w:szCs w:val="28"/>
          <w:rtl w:val="true"/>
          <w:lang w:bidi="fa-IR"/>
        </w:rPr>
        <w:t>،و بقوله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فَبِهُداهُمُ اقْتَدِهْ   </w:t>
      </w:r>
      <w:r>
        <w:rPr>
          <w:rStyle w:val="FootnoteAnchor"/>
          <w:rtl w:val="true"/>
        </w:rPr>
        <w:footnoteReference w:id="1232"/>
      </w:r>
      <w:r>
        <w:rPr>
          <w:rFonts w:ascii="Amiri" w:hAnsi="Amiri" w:eastAsia="Amiri" w:cs="Amiri"/>
          <w:color w:val="111111"/>
          <w:sz w:val="28"/>
          <w:sz w:val="28"/>
          <w:szCs w:val="28"/>
          <w:rtl w:val="true"/>
          <w:lang w:bidi="ar-SA"/>
        </w:rPr>
        <w:t>،و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أَنْزَلْنَا التَّوْراةَ فِیها هُدیً وَ نُورٌ یَحْکُمُ بِهَا النَّبِیُّونَ  </w:t>
      </w:r>
      <w:r>
        <w:rPr>
          <w:rStyle w:val="FootnoteAnchor"/>
          <w:rtl w:val="true"/>
        </w:rPr>
        <w:footnoteReference w:id="1233"/>
      </w:r>
      <w:r>
        <w:rPr>
          <w:rFonts w:ascii="IRNazanin" w:hAnsi="IRNazanin" w:eastAsia="IRNazanin"/>
          <w:color w:val="111111"/>
          <w:sz w:val="28"/>
          <w:sz w:val="28"/>
          <w:szCs w:val="28"/>
          <w:rtl w:val="true"/>
          <w:lang w:bidi="fa-IR"/>
        </w:rPr>
        <w:t>و هو علیه السّلام من جملتهم،و ذلک یقتضی صحّة ما قالوه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قیل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الملّة الّتی أمرنا باتّباعها فهو دین إبراهیم علیه السّلام،لأنّ الملّة هی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المراد بذلک التّوحید و العدل،یبیّن ذلک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یَرْغَبُ عَنْ مِلَّةِ إِبْراهِیمَ إِلاّ مَنْ سَفِهَ نَفْسَهُ  </w:t>
      </w:r>
      <w:r>
        <w:rPr>
          <w:rStyle w:val="FootnoteAnchor"/>
          <w:rtl w:val="true"/>
        </w:rPr>
        <w:footnoteReference w:id="1234"/>
      </w:r>
      <w:r>
        <w:rPr>
          <w:rFonts w:ascii="Amiri" w:hAnsi="Amiri" w:eastAsia="Amiri" w:cs="Amiri"/>
          <w:color w:val="111111"/>
          <w:sz w:val="28"/>
          <w:sz w:val="28"/>
          <w:szCs w:val="28"/>
          <w:rtl w:val="true"/>
          <w:lang w:bidi="ar-SA"/>
        </w:rPr>
        <w:t>و قد علمنا أنّ الملّة الّتی یستحقّ الرّاغب عنها هذا الوصف هی العقلیّات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فَبِهُداهُمُ اقْتَدِهْ  </w:t>
      </w:r>
      <w:r>
        <w:rPr>
          <w:rStyle w:val="FootnoteAnchor"/>
          <w:rtl w:val="true"/>
        </w:rPr>
        <w:footnoteReference w:id="1235"/>
      </w:r>
      <w:r>
        <w:rPr>
          <w:rFonts w:ascii="IRNazanin" w:hAnsi="IRNazanin" w:eastAsia="IRNazanin"/>
          <w:color w:val="111111"/>
          <w:sz w:val="28"/>
          <w:sz w:val="28"/>
          <w:szCs w:val="28"/>
          <w:rtl w:val="true"/>
          <w:lang w:bidi="fa-IR"/>
        </w:rPr>
        <w:t>فإنّه أراد بذلک أدلّتهم الّتی تدلّ علی العقلیّات،لأنّ ذلک هو الّذی یضاف إلیهم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فاما الشّریعة فقوله هو الدلیل فیها، فالإضافة لا تصحّ فیها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فِیها هُدیً وَ نُورٌ یَحْکُمُ بِهَا النَّبِیُّونَ  </w:t>
      </w:r>
      <w:r>
        <w:rPr>
          <w:rStyle w:val="FootnoteAnchor"/>
          <w:rtl w:val="true"/>
        </w:rPr>
        <w:footnoteReference w:id="123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فالمراد به ما قدّمناه،یدلّ علی ذلک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یَحْکُمُ بِهَا النَّبِیُّونَ   فظاهر ذلک یقتضی أنّ کلّ من کان قبل موسی علیه السّلام قد حکم بذلک،و لا یصحّ مع ذلک حمله علی الشّرعیّات</w:t>
      </w:r>
      <w:r>
        <w:rPr>
          <w:rFonts w:eastAsia="Amiri" w:cs="Amiri" w:ascii="Amiri" w:hAnsi="Amiri"/>
          <w:color w:val="111111"/>
          <w:sz w:val="28"/>
          <w:szCs w:val="28"/>
          <w:rtl w:val="true"/>
          <w:lang w:bidi="ar-SA"/>
        </w:rPr>
        <w:t>.</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فهذه جملة کافیة فی هذا الباب</w:t>
      </w:r>
      <w:r>
        <w:rPr>
          <w:rFonts w:eastAsia="IRNazanin" w:cs="IRNazanin"/>
          <w:color w:val="111111"/>
          <w:sz w:val="28"/>
          <w:szCs w:val="28"/>
          <w:rtl w:val="true"/>
          <w:lang w:bidi="fa-IR"/>
        </w:rPr>
        <w:t xml:space="preserve">. </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43" w:name="pg6519_49801"/>
      <w:bookmarkStart w:id="344" w:name="pg6519_49801"/>
      <w:bookmarkEnd w:id="344"/>
    </w:p>
    <w:p>
      <w:pPr>
        <w:pStyle w:val="Heading3"/>
        <w:numPr>
          <w:ilvl w:val="2"/>
          <w:numId w:val="1"/>
        </w:numPr>
        <w:rPr/>
      </w:pPr>
      <w:bookmarkStart w:id="345" w:name="pg6519_49801"/>
      <w:bookmarkStart w:id="346" w:name="__RefHeading___Toc1757373_653776707"/>
      <w:bookmarkStart w:id="347" w:name="_Toc110"/>
      <w:bookmarkEnd w:id="345"/>
      <w:bookmarkEnd w:id="346"/>
      <w:r>
        <w:rPr>
          <w:rtl w:val="true"/>
        </w:rPr>
        <w:t>الباب التّاسع</w:t>
      </w:r>
      <w:r>
        <w:rPr>
          <w:rtl w:val="true"/>
        </w:rPr>
        <w:t xml:space="preserve">: </w:t>
      </w:r>
      <w:r>
        <w:rPr>
          <w:rtl w:val="true"/>
        </w:rPr>
        <w:t>الکلام فی الإجماع</w:t>
      </w:r>
      <w:bookmarkEnd w:id="347"/>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48" w:name="__RefHeading___Toc1757375_653776707"/>
      <w:bookmarkStart w:id="349" w:name="_Toc111"/>
      <w:bookmarkEnd w:id="348"/>
      <w:r>
        <w:rPr>
          <w:rtl w:val="true"/>
        </w:rPr>
        <w:t>اشارة</w:t>
      </w:r>
      <w:bookmarkEnd w:id="349"/>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50" w:name="pg6519_49803"/>
      <w:bookmarkStart w:id="351" w:name="pg6519_49803"/>
      <w:bookmarkEnd w:id="351"/>
    </w:p>
    <w:p>
      <w:pPr>
        <w:pStyle w:val="Heading4"/>
        <w:numPr>
          <w:ilvl w:val="3"/>
          <w:numId w:val="1"/>
        </w:numPr>
        <w:rPr/>
      </w:pPr>
      <w:bookmarkStart w:id="352" w:name="pg6519_49803"/>
      <w:bookmarkStart w:id="353" w:name="__RefHeading___Toc1757377_653776707"/>
      <w:bookmarkStart w:id="354" w:name="_Toc112"/>
      <w:bookmarkEnd w:id="352"/>
      <w:bookmarkEnd w:id="353"/>
      <w:r>
        <w:rPr>
          <w:rtl w:val="true"/>
        </w:rPr>
        <w:t>فصل</w:t>
      </w:r>
      <w:r>
        <w:rPr>
          <w:rtl w:val="true"/>
        </w:rPr>
        <w:t>-</w:t>
      </w:r>
      <w:r>
        <w:rPr/>
        <w:t>1</w:t>
      </w:r>
      <w:r>
        <w:rPr>
          <w:rtl w:val="true"/>
        </w:rPr>
        <w:t>: «</w:t>
      </w:r>
      <w:r>
        <w:rPr>
          <w:rtl w:val="true"/>
        </w:rPr>
        <w:t>فی ذکر اختلاف النّاس فی الإجماع هل هو دلیل أم لا؟</w:t>
      </w:r>
      <w:r>
        <w:rPr>
          <w:rtl w:val="true"/>
        </w:rPr>
        <w:t>»</w:t>
      </w:r>
      <w:bookmarkEnd w:id="354"/>
    </w:p>
    <w:p>
      <w:pPr>
        <w:pStyle w:val="BookText"/>
        <w:rPr/>
      </w:pPr>
      <w:r>
        <w:rPr>
          <w:rFonts w:ascii="IRNazanin" w:hAnsi="IRNazanin" w:eastAsia="IRNazanin"/>
          <w:color w:val="111111"/>
          <w:sz w:val="28"/>
          <w:sz w:val="28"/>
          <w:szCs w:val="28"/>
          <w:rtl w:val="true"/>
          <w:lang w:bidi="fa-IR"/>
        </w:rPr>
        <w:t xml:space="preserve">ذهب المتکلّمون بأجمعهم،و الفقهاء بأسرهم علی اختلاف مذاهبهم </w:t>
      </w:r>
      <w:r>
        <w:rPr>
          <w:rStyle w:val="FootnoteAnchor"/>
          <w:rtl w:val="true"/>
        </w:rPr>
        <w:footnoteReference w:id="1237"/>
      </w:r>
      <w:r>
        <w:rPr>
          <w:rFonts w:ascii="Amiri" w:hAnsi="Amiri" w:eastAsia="Amiri" w:cs="Amiri"/>
          <w:color w:val="111111"/>
          <w:sz w:val="28"/>
          <w:sz w:val="28"/>
          <w:szCs w:val="28"/>
          <w:rtl w:val="true"/>
          <w:lang w:bidi="ar-SA"/>
        </w:rPr>
        <w:t>إلی أنّ الإجماع حجّة</w:t>
      </w:r>
      <w:r>
        <w:rPr>
          <w:rFonts w:eastAsia="Amiri" w:cs="Amiri" w:ascii="Amiri" w:hAnsi="Amiri"/>
          <w:color w:val="111111"/>
          <w:sz w:val="28"/>
          <w:szCs w:val="28"/>
          <w:rtl w:val="true"/>
          <w:lang w:bidi="ar-SA"/>
        </w:rPr>
        <w:t>.</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حکی عن النظّام،و جعفر بن حرب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جعفر بن مبشّر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أنّهم قالوا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الإجماع لیس بحجّة </w:t>
      </w:r>
      <w:r>
        <w:rPr>
          <w:rStyle w:val="FootnoteAnchor"/>
          <w:rtl w:val="true"/>
        </w:rPr>
        <w:footnoteReference w:id="12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اختلف من قال إنّه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فمنهم من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حجّة من جهة العقل و هم الشّذاذ </w:t>
      </w:r>
      <w:r>
        <w:rPr>
          <w:rStyle w:val="FootnoteAnchor"/>
          <w:rtl w:val="true"/>
        </w:rPr>
        <w:footnoteReference w:id="12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ذهب الجمهور الأعظم و السّواد الأکثر إلی أنّ طریق کونه حجّة السّمع،دون العقل </w:t>
      </w:r>
      <w:r>
        <w:rPr>
          <w:rStyle w:val="FootnoteAnchor"/>
          <w:rtl w:val="true"/>
        </w:rPr>
        <w:footnoteReference w:id="1240"/>
      </w:r>
      <w:r>
        <w:rPr>
          <w:rFonts w:ascii="IRNazanin" w:hAnsi="IRNazanin" w:eastAsia="IRNazanin"/>
          <w:color w:val="111111"/>
          <w:sz w:val="28"/>
          <w:sz w:val="28"/>
          <w:szCs w:val="28"/>
          <w:rtl w:val="true"/>
          <w:lang w:bidi="fa-IR"/>
        </w:rPr>
        <w:t>،ثمّ اختلفوا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فذهب داود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کثیر من أصحاب الظّاهر إلی أنّ إجماع الصّحابة هو الحجّة دون غیرهم من أهل الأعصار </w:t>
      </w:r>
      <w:r>
        <w:rPr>
          <w:rStyle w:val="FootnoteAnchor"/>
          <w:rtl w:val="true"/>
        </w:rPr>
        <w:footnoteReference w:id="12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ذهب مالک و من تابعة </w:t>
      </w:r>
      <w:r>
        <w:rPr>
          <w:rStyle w:val="FootnoteAnchor"/>
          <w:rtl w:val="true"/>
        </w:rPr>
        <w:footnoteReference w:id="1242"/>
      </w:r>
      <w:r>
        <w:rPr>
          <w:rFonts w:ascii="IRNazanin" w:hAnsi="IRNazanin" w:eastAsia="IRNazanin"/>
          <w:color w:val="111111"/>
          <w:sz w:val="28"/>
          <w:sz w:val="28"/>
          <w:szCs w:val="28"/>
          <w:rtl w:val="true"/>
          <w:lang w:bidi="fa-IR"/>
        </w:rPr>
        <w:t>إلی أنّ الإجماع المراعی هو إجماع أهل المدینة دون غیرهم،غیر أنّه حجّة فی کلّ عصر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ذهب الباقون </w:t>
      </w:r>
      <w:r>
        <w:rPr>
          <w:rStyle w:val="FootnoteAnchor"/>
          <w:rtl w:val="true"/>
        </w:rPr>
        <w:footnoteReference w:id="1243"/>
      </w:r>
      <w:r>
        <w:rPr>
          <w:rFonts w:ascii="IRNazanin" w:hAnsi="IRNazanin" w:eastAsia="IRNazanin"/>
          <w:color w:val="111111"/>
          <w:sz w:val="28"/>
          <w:sz w:val="28"/>
          <w:szCs w:val="28"/>
          <w:rtl w:val="true"/>
          <w:lang w:bidi="fa-IR"/>
        </w:rPr>
        <w:t>إلی أنّ الإجماع حجّة فی کلّ عصر،و لا یختصّ ذلک بعصر الصّحابة و لا بإجماع أهل المدینة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نذهب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الأمّة لا یجوز أن تجتمع علی خطأ،و أنّ ما یجمع علیه لا یکون إلاّ حجّة،لأنّ عندنا أنّه لا یخلو عصر من الأعصار من إمام معصوم حافظ للشّرع،یکون قوله حجّة،یجب الرّجوع إلیه،کما یجب الرّجوع إلی قول الرّسول علیه السّلام،و قد دللنا علی ذلک فی کتابنا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تلخیص الشّافی</w:t>
      </w:r>
      <w:r>
        <w:rPr>
          <w:rFonts w:eastAsia="IRNazanin" w:cs="IRNazanin"/>
          <w:color w:val="111111"/>
          <w:sz w:val="28"/>
          <w:szCs w:val="28"/>
          <w:rtl w:val="true"/>
          <w:lang w:bidi="fa-IR"/>
        </w:rPr>
        <w:t xml:space="preserve">» </w:t>
      </w:r>
      <w:r>
        <w:rPr>
          <w:rStyle w:val="FootnoteAnchor"/>
          <w:rtl w:val="true"/>
        </w:rPr>
        <w:footnoteReference w:id="1244"/>
      </w:r>
      <w:r>
        <w:rPr>
          <w:rFonts w:ascii="IRNazanin" w:hAnsi="IRNazanin" w:eastAsia="IRNazanin"/>
          <w:color w:val="111111"/>
          <w:sz w:val="28"/>
          <w:sz w:val="28"/>
          <w:szCs w:val="28"/>
          <w:rtl w:val="true"/>
          <w:lang w:bidi="fa-IR"/>
        </w:rPr>
        <w:t>و استوفینا کلّما یسأل عن ذلک من الأسئلة،و إذا ثبت ذلک،فمتی اجتمعت الأمّة علی قول فلا بدّ من کونها حجّة لدخول الإمام المعصوم فی جملتها</w:t>
      </w:r>
      <w:r>
        <w:rPr>
          <w:rFonts w:eastAsia="IRNazanin" w:cs="IRNazanin"/>
          <w:color w:val="111111"/>
          <w:sz w:val="28"/>
          <w:szCs w:val="28"/>
          <w:rtl w:val="true"/>
          <w:lang w:bidi="fa-IR"/>
        </w:rPr>
        <w:t>.</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متی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جوّزوا أن یکون الإمام منفردا عن إجماعهم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 فرضنا انفراد الإمام عن الإجماع فإنّ ذلک لا یکون إجماعا،بل لو انفرد واحد من العلماء عند من خالفنا من الإجماع أخلّ ذلک بإجماعهم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المراعی فی باب الحجّة قول الإمام المعصوم فلا فائدة فی أن یقولوا أنّ الإجماع حجّة أو تعتبروا ذلک،بل ینبغی أن یقولوا أنّ الحجّة قول الإمام و لا یذکرون 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 و إن کان علی ما تضمّنه السّؤال،فإنّ لاعتبارنا الإجماع فائدة معلومة و هی أنّه قد لا یتعیّن لنا قول الإمام فی کثیر من الأوقات فیحتاج حینئذ إلی اعتبار الإجماع لیعلم بإجماعهم أنّ قول المعصوم علیه السّلام داخل فیهم،و لو تعیّن لنا قول المعصوم الّذی هو الحجّة لقطعنا علی أنّ قوله هو الحجّة،و لم نعتبر سواه علی حال من الأحوال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متی فرضنا أنّ الزّمان یخلو من معصوم حافظ للشّرع لم یکن الإجماع حجّة علی وجه من الوجوه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یدلّ علی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دلیل علی کونهم حجّة لا من جهة العقل و لا من جهة الشّرع،و إذا لم یکن دلیل وجب القطع علی نفی کونه حجّة،لفقد ما یدلّ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نحن نتّبع ما یعتمده الخصوم فی هذا الباب من جهة العقل و الشّرع معا،و نبیّن أنّه لا دلالة فی شیء من ذلک اعتمد من قال أنّهم حجّة من جهة العقل،علی أنّهم مع کثرتهم و انتشارهم فی البلاد و اختلاف آرائهم و بعد همّهم لا یجوز أن یجمعوا علی خطأ،و لو جاز ذلک لجاز أن یتّفقوا علی أکل طعام واحد،و لبس لباس واحد،و فعل واحد،و أن یأتی الشّعراء الکثیرون بقصیدة واحدة فی معنی واحد و غرض واحد، و کلّ ذلک یعلم بطلانه ضرورة،و فی صحّة ذلک دلیل علی أنّهم لا یجمعون علی خطأ</w:t>
      </w:r>
      <w:r>
        <w:rPr>
          <w:rFonts w:eastAsia="IRNazanin" w:cs="IRNazanin"/>
          <w:color w:val="111111"/>
          <w:sz w:val="28"/>
          <w:szCs w:val="28"/>
          <w:rtl w:val="true"/>
          <w:lang w:bidi="fa-IR"/>
        </w:rPr>
        <w:t>.</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هذا لیس لشیء،لأن جمیع ما ذکروه لا یشبه مسألة الإجماع،لأنّ جمیعه تابع للدواعی و الآراء و اختلاف الهمم،و العادة مانعة من اتّفاقهم فی الدّواعی و الآراء </w:t>
      </w:r>
    </w:p>
    <w:p>
      <w:pPr>
        <w:pStyle w:val="BookText"/>
        <w:rPr/>
      </w:pPr>
      <w:r>
        <w:rPr>
          <w:rFonts w:ascii="IRNazanin" w:hAnsi="IRNazanin" w:eastAsia="IRNazanin"/>
          <w:color w:val="111111"/>
          <w:sz w:val="28"/>
          <w:sz w:val="28"/>
          <w:szCs w:val="28"/>
          <w:rtl w:val="true"/>
          <w:lang w:bidi="fa-IR"/>
        </w:rPr>
        <w:t xml:space="preserve">فی الأمثلة الّتی ذکروها،و لیس </w:t>
      </w:r>
      <w:r>
        <w:rPr>
          <w:rStyle w:val="FootnoteAnchor"/>
          <w:rtl w:val="true"/>
        </w:rPr>
        <w:footnoteReference w:id="1245"/>
      </w:r>
      <w:r>
        <w:rPr>
          <w:rFonts w:ascii="IRNazanin" w:hAnsi="IRNazanin" w:eastAsia="IRNazanin"/>
          <w:color w:val="111111"/>
          <w:sz w:val="28"/>
          <w:sz w:val="28"/>
          <w:szCs w:val="28"/>
          <w:rtl w:val="true"/>
          <w:lang w:bidi="fa-IR"/>
        </w:rPr>
        <w:t>مسألة الإجماع من هذا الباب،لأنّه یجوز أن تدخل علیهم الشّبهة فیعتقدوا فیما لیس بدلیل أنّه دلیل فیجمعوا علیه،و قد دخلت الشّبهة فی مثل أمّتنا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أکثر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فیما یتعلّق بباب الدّیانات،أ لا تری أنّ الیهود و النّصاری و من خالف الإسلام قد اتّفقوا علی إبطال الإسلام،و تکذیب نبیّنا علیه السّلام و هم أکثر من المسلمین أضعافا مضاعفة،و لیس إجماعهم علی ذلک دلیلا علی بطلان الإسلام،لأنّهم إنّما أجمعوا لدخول الشّبهة علیهم،و أنّهم لم یمنعوا النّظر فی الطّریق الموجبة </w:t>
      </w:r>
      <w:r>
        <w:rPr>
          <w:rStyle w:val="FootnoteAnchor"/>
          <w:rtl w:val="true"/>
        </w:rPr>
        <w:footnoteReference w:id="1246"/>
      </w:r>
      <w:r>
        <w:rPr>
          <w:rFonts w:ascii="Amiri" w:hAnsi="Amiri" w:eastAsia="Amiri" w:cs="Amiri"/>
          <w:color w:val="111111"/>
          <w:sz w:val="28"/>
          <w:sz w:val="28"/>
          <w:szCs w:val="28"/>
          <w:rtl w:val="true"/>
          <w:lang w:bidi="ar-SA"/>
        </w:rPr>
        <w:t>للقول بصحّة الإسلام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فکذلک القول فی إجماع الأمّة،علی أنّ ذلک إذا دلّ الدّلیل علی کونه حجّة و ثبت ذلک،فأمّا قبل ثبوته فنحن فی سبر </w:t>
      </w:r>
      <w:r>
        <w:rPr>
          <w:rStyle w:val="FootnoteAnchor"/>
          <w:rtl w:val="true"/>
        </w:rPr>
        <w:footnoteReference w:id="1247"/>
      </w:r>
      <w:r>
        <w:rPr>
          <w:rFonts w:ascii="IRNazanin" w:hAnsi="IRNazanin" w:eastAsia="IRNazanin"/>
          <w:color w:val="111111"/>
          <w:sz w:val="28"/>
          <w:sz w:val="28"/>
          <w:szCs w:val="28"/>
          <w:rtl w:val="true"/>
          <w:lang w:bidi="fa-IR"/>
        </w:rPr>
        <w:t>ذلک،فالمنع منه غیر 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جاز علیهم الخطأ فیما یجمعون علیه،لجاز علی المتواترین الخطأ فیما یخبرون به،لأنّ الأمّة بأجمعها أکثر من قوم متواترین ینقطع بنقلهم الحجّة،و لو جاز ذلک علی </w:t>
      </w:r>
      <w:r>
        <w:rPr>
          <w:rStyle w:val="FootnoteAnchor"/>
          <w:rtl w:val="true"/>
        </w:rPr>
        <w:footnoteReference w:id="1248"/>
      </w:r>
      <w:r>
        <w:rPr>
          <w:rFonts w:ascii="IRNazanin" w:hAnsi="IRNazanin" w:eastAsia="IRNazanin"/>
          <w:color w:val="111111"/>
          <w:sz w:val="28"/>
          <w:sz w:val="28"/>
          <w:szCs w:val="28"/>
          <w:rtl w:val="true"/>
          <w:lang w:bidi="fa-IR"/>
        </w:rPr>
        <w:t>المتواترین أدّی ذلک إلی أن لا نثق بشیء من الأخبار، و لا نعلم شیئا نقلوه،و ذلک یؤدّی إلی ما یعلم ضرورة خلافه</w:t>
      </w:r>
      <w:r>
        <w:rPr>
          <w:rFonts w:eastAsia="IRNazanin" w:cs="IRNazanin"/>
          <w:color w:val="111111"/>
          <w:sz w:val="28"/>
          <w:szCs w:val="28"/>
          <w:rtl w:val="true"/>
          <w:lang w:bidi="fa-IR"/>
        </w:rPr>
        <w:t>.</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التّواتر لم یکن حجّة من حیث أنّه لا یجوز فیهم الخطأ،و إنّما کان حجّة لأنّهم نقلوا نقلا یوجب العلم الضّروری عند من قال بذلک،أو علما لا یتخالج فیه الشکوک عند من قال بالاکتساب،فالحجّة فی نقلهم بحصول العلم بما نقلوه لا بمجرّد النّقل،و کان یجوز أن لا ینقلوا ما نقلوه إمّا خطأ أو عمدا،فیخرج خبرهم من أن یکون موجبا للعلم،فیلحق حینئذ بباب الإجماع الّذی نحن فی اعتبار کونه حجّة أم لا،و هذا بیّن لا إشکال فیه،و لم یعتمد هذه الطّریقة إلاّ شذّاذ من القائلین بالإجماع،و المحصّلون منهم عوّلوا علی أدلّة السّمع فی هذا الباب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نحن نذکر ما اعتمدوه </w:t>
      </w:r>
      <w:r>
        <w:rPr>
          <w:rStyle w:val="FootnoteAnchor"/>
          <w:rtl w:val="true"/>
        </w:rPr>
        <w:footnoteReference w:id="1249"/>
      </w:r>
      <w:r>
        <w:rPr>
          <w:rFonts w:ascii="IRNazanin" w:hAnsi="IRNazanin" w:eastAsia="IRNazanin"/>
          <w:color w:val="111111"/>
          <w:sz w:val="28"/>
          <w:sz w:val="28"/>
          <w:szCs w:val="28"/>
          <w:rtl w:val="true"/>
          <w:lang w:bidi="fa-IR"/>
        </w:rPr>
        <w:t>و نتکلّم علیه إن شاء اللّه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أحد ما اعتمدوا علیه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تعالی وَ مَنْ یُشاقِقِ الرَّسُولَ مِنْ بَعْدِ ما تَبَیَّنَ لَهُ الْهُدی وَ یَتَّبِعْ غَیْرَ سَبِیلِ الْمُؤْمِنِینَ نُوَلِّهِ ما تَوَلّی وَ نُصْلِهِ جَهَنَّمَ وَ ساءَتْ مَصِیراً  </w:t>
      </w:r>
      <w:r>
        <w:rPr>
          <w:rStyle w:val="FootnoteAnchor"/>
          <w:rtl w:val="true"/>
        </w:rPr>
        <w:footnoteReference w:id="12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فتوعّد اللّه تعالی علی اتّباع غیر سبیل المؤمنین،کما توعّد علی مشاققة الرّسول صلّی اللّه علیه و آله و سلّم فلو لا أنّهم حجّة یجب اتّباعهم فیما أجمعوا علیه و إلاّ لم یجز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الکلام علی هذه الآیة من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فی أصحابنا من ذهب إلی أنّ الألف و اللاّم لا یقتضیان الاستغراق و الشّمول،بل هما مشترکان لهما و لغیرهما </w:t>
      </w:r>
      <w:r>
        <w:rPr>
          <w:rStyle w:val="FootnoteAnchor"/>
          <w:rtl w:val="true"/>
        </w:rPr>
        <w:footnoteReference w:id="1251"/>
      </w:r>
      <w:r>
        <w:rPr>
          <w:rFonts w:ascii="IRNazanin" w:hAnsi="IRNazanin" w:eastAsia="IRNazanin"/>
          <w:color w:val="111111"/>
          <w:sz w:val="28"/>
          <w:sz w:val="28"/>
          <w:szCs w:val="28"/>
          <w:rtl w:val="true"/>
          <w:lang w:bidi="fa-IR"/>
        </w:rPr>
        <w:t>،فإذا کان کذلک کانت الآیة کالمجملة یحتاج إلی بیان،و یحتمل أن یکون أرید بها جمیع المؤمنین،و یحتمل أن یکون أراد بعضهم،و لا یمکن حملها علی الجمیع لفقد دلالة الخصوص لأنّ لقائل أن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أحملها علی الأقلّ لفقد الدّلیل علی أنّ المراد بها الکلّ،و إذا جاز أن یکون المراد بها بعضهم فلیسوا بأن یحملوا علی بعض المؤمنین بأولی منّا إذا حملناها علی الأئمّة من آل محمّد علیهم السّلام و یسقط بذلک غرضهم،و نحن نکون أحقّ من حیث قام الدّلیل علی عصمتهم و طهارتهم،و أمّنّا وقوع الخطأ من جهتهم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لفظة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 محتملة،بل هی تقتضی الوحدة و لا یجب حملها علی کلّ سبیل،فکیف یمکن الاستدلال بها علی أنّ کلّ سبیل المؤمنین صواب فیجب اتّباعه؟ و لیس لهم أن یقولوا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فقدنا دلیل الاختصاص حملناها علی العموم</w:t>
      </w:r>
      <w:r>
        <w:rPr>
          <w:rFonts w:eastAsia="IRNazanin" w:cs="IRNazanin"/>
          <w:color w:val="111111"/>
          <w:sz w:val="28"/>
          <w:szCs w:val="28"/>
          <w:rtl w:val="true"/>
          <w:lang w:bidi="fa-IR"/>
        </w:rPr>
        <w:t>.</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 لقائل 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فقدنا دلالة العموم حملناها علی الخصوص،کما قلناه </w:t>
      </w:r>
    </w:p>
    <w:p>
      <w:pPr>
        <w:pStyle w:val="BookText"/>
        <w:rPr/>
      </w:pPr>
      <w:r>
        <w:rPr>
          <w:rFonts w:ascii="IRNazanin" w:hAnsi="IRNazanin" w:eastAsia="IRNazanin"/>
          <w:color w:val="111111"/>
          <w:sz w:val="28"/>
          <w:sz w:val="28"/>
          <w:szCs w:val="28"/>
          <w:rtl w:val="true"/>
          <w:lang w:bidi="fa-IR"/>
        </w:rPr>
        <w:t>فی الوجه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تعالی توعّد علی اتّباع غیر سبیلهم،و لیس فی ذلک دلالة علی وجوب اتّباع سبیلهم،فیجب أن یکون اتّباع سبیلهم موقوفا علی الدّلالة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لهم أن یقولوا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الوعید لمّا علّقه تعالی باتّباع غیر سبیلهم حلّ محلّ أن یعلّقه بالعدول علی سبیل المؤمنین و ترک اتّباعهم،فی أنّه یقتضی لا محالة أنّ اتّباع سبیل المؤمنین صواب،و أنّ الوعید واجب لترکه و مفارقته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ذلک أنّ هذا دعوی محضة </w:t>
      </w:r>
      <w:r>
        <w:rPr>
          <w:rStyle w:val="FootnoteAnchor"/>
          <w:rtl w:val="true"/>
        </w:rPr>
        <w:footnoteReference w:id="1252"/>
      </w:r>
      <w:r>
        <w:rPr>
          <w:rFonts w:ascii="IRNazanin" w:hAnsi="IRNazanin" w:eastAsia="IRNazanin"/>
          <w:color w:val="111111"/>
          <w:sz w:val="28"/>
          <w:sz w:val="28"/>
          <w:szCs w:val="28"/>
          <w:rtl w:val="true"/>
          <w:lang w:bidi="fa-IR"/>
        </w:rPr>
        <w:t>،لأنّه لا یمتنع أن یکون اتّباع غیر سبیلهم محرّما،و اتّباع سبیلهم مباحا أو محرّما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یبیّن ذلک أنّه لو صرّح بما تأوّلناه حتّی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اتّباع غیر سبیل المؤمنین محظور علیکم،و اتّباع سبیلهم یجوز أن یکون قبیحا و غیر قبیح فاعلموا فیه بحسب الدّلالة،أو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اتّباع سبیلهم مباح لکم،لساغ هذا الکلام و لم یتناقض،و إذا کان سائغا بطل قول 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النّهی عن اتّباع غیر سبیلهم موجب لاتّباع سبیلهم،و أنّه یجری مجری التّحریم،لمفارقة سبیلهم و العدول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لهم أن یقولوا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من لم یتّبع غیر سبیل المؤمنین فلا بدّ من أن یکون متّبعا لسبیلهم،فمن هاهنا حکمنا بأنّ النّهی عن أحد الأمرین إیجاب للآخر،و ذلک أنّ بین الأمرین واسطة،و قد یجوز أن یخرج المکلّف من اتّباع غیر سبیلهم و اتّباع سبیلهم معا بأن لا یکون متّبعا سبیل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لهم أن یقولوا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هاهنا بمعنی إلاّ،فکأنّه قال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یتّبع إلاّ سبیل المؤمنین</w:t>
      </w:r>
      <w:r>
        <w:rPr>
          <w:rFonts w:eastAsia="IRNazanin" w:cs="IRNazanin"/>
          <w:color w:val="111111"/>
          <w:sz w:val="28"/>
          <w:szCs w:val="28"/>
          <w:rtl w:val="true"/>
          <w:lang w:bidi="fa-IR"/>
        </w:rPr>
        <w:t>).</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 أحدنا لو قال لغیره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أکل غیر طعامی فله العقوبة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،فالمتعارف من ذلک </w:t>
      </w:r>
    </w:p>
    <w:p>
      <w:pPr>
        <w:pStyle w:val="BookText"/>
        <w:rPr/>
      </w:pPr>
      <w:r>
        <w:rPr>
          <w:rFonts w:ascii="IRNazanin" w:hAnsi="IRNazanin" w:eastAsia="IRNazanin"/>
          <w:color w:val="111111"/>
          <w:sz w:val="28"/>
          <w:sz w:val="28"/>
          <w:szCs w:val="28"/>
          <w:rtl w:val="true"/>
          <w:lang w:bidi="fa-IR"/>
        </w:rPr>
        <w:t>أنّ أکل طعامه مخالف لذلک،و أنّ العقوبة إنّما تتعلّق بخروجه عن أن یکون أکلا لطعامه،لأنّ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هاهنا لیس بواجب أن یکون 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الموضوعة للاستثناء، بل جائز أن یکون بمعنی خلاف،فکأنّه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یتّبع خلاف سبیل المؤمنین و ما هو غیر سبیلهم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یرد لا یتّبع إلاّ سبیلهم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 القائل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أکل غیر طعامی عاقبته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یفهم من ظاهر لفظه و مجرّده إیجاب أکل طعامه،بل المفهوم حظر أکل کلّما هو غیر لطعامه،و حال طعامه فی الحظر و الإباحة و الإیجاب موقوفة علی الدّلیل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أقلّ أحوال هذا اللّفظ عند من ذهب إلی أنّ لفظة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مشترکة بین الاستثناء و غیره،و أنّ ظاهرها لا یفید أحد الأمرین،أن یکون محتملا لما ذکرناه من حظر أکل غیر طعامه،و محتملا لإیجاب أکل طعامه،و وضع لفظه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 لفظة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یکون فی بعض المواضع یفهم عن مستعمل هذه اللّفظة إیجاب أکل طعامه لا بمجرّد اللّفظ،بل بأن یعرف قصده إلی الإیجاب أو بغیر ذلک من دلائل الحال،و لو لا ذلک لما حسن أن یقول القائل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أکل غیر طعامی عاقبته،و من أکل طعامی أیضا عاقبته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یجب أن یکون نقضا،أو جاریا مجری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أکل إلاّ طعامی عاقبته،و من أکل طعامی عاقبته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حسن ذلک مع استعمال لفظة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یحسن مع استعمال لفظة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علی صحّة ما قلناه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لم یکن اتّباع سبیل المؤمنین حجّة و صوابا لکان حاله فی أنّه قد یکون صوابا أو خطأ بحسب قیام الدّلالة علی ذلک حال اتّباع غیر سبیلهم فی أنّه قد یکون صوابا أو خطأ،و لو کان کذلک لم یصحّ أن یعلّق الوعید باتّباع غیر سبیلهم دون اتّباع سبیلهم،فکان یبطل معنی الکلام</w:t>
      </w:r>
      <w:r>
        <w:rPr>
          <w:rFonts w:eastAsia="IRNazanin" w:cs="IRNazanin"/>
          <w:color w:val="111111"/>
          <w:sz w:val="28"/>
          <w:szCs w:val="28"/>
          <w:rtl w:val="true"/>
          <w:lang w:bidi="fa-IR"/>
        </w:rPr>
        <w:t>.</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غیر منکر أن یعلّق الوعید باتّباع غیر سبیلهم،من حیث علم أنّ ذلک لا یکون إلاّ خطأ،و یکون اتّباع سبیلهم ممّا یجوز أن یکون خطأ و صوابا،و لو لم یکن کذلک و کان الأمران متساویین لجاز أن یعلّق الوعید بأحدهما دون الآخر،و یکون الصّلاح للمکلّفین أن یعلموا حظر اتّباع غیر سبیلهم بهذا اللّفظ،و یعلموا مساواة اتّباع </w:t>
      </w:r>
    </w:p>
    <w:p>
      <w:pPr>
        <w:pStyle w:val="BookText"/>
        <w:rPr/>
      </w:pPr>
      <w:r>
        <w:rPr>
          <w:rFonts w:ascii="IRNazanin" w:hAnsi="IRNazanin" w:eastAsia="IRNazanin"/>
          <w:color w:val="111111"/>
          <w:sz w:val="28"/>
          <w:sz w:val="28"/>
          <w:szCs w:val="28"/>
          <w:rtl w:val="true"/>
          <w:lang w:bidi="fa-IR"/>
        </w:rPr>
        <w:t>سبیلهم له فی الحظر بدلیل آخر،کما یقوله أکثر خصومنا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سائمة الغنم الزکاة</w:t>
      </w:r>
      <w:r>
        <w:rPr>
          <w:rFonts w:eastAsia="IRNazanin" w:cs="IRNazanin"/>
          <w:color w:val="111111"/>
          <w:sz w:val="28"/>
          <w:szCs w:val="28"/>
          <w:rtl w:val="true"/>
          <w:lang w:bidi="fa-IR"/>
        </w:rPr>
        <w:t xml:space="preserve">» </w:t>
      </w:r>
      <w:r>
        <w:rPr>
          <w:rStyle w:val="FootnoteAnchor"/>
          <w:rtl w:val="true"/>
        </w:rPr>
        <w:footnoteReference w:id="1253"/>
      </w:r>
      <w:r>
        <w:rPr>
          <w:rFonts w:ascii="IRNazanin" w:hAnsi="IRNazanin" w:eastAsia="IRNazanin"/>
          <w:color w:val="111111"/>
          <w:sz w:val="28"/>
          <w:sz w:val="28"/>
          <w:szCs w:val="28"/>
          <w:rtl w:val="true"/>
          <w:lang w:bidi="fa-IR"/>
        </w:rPr>
        <w:t>لا یجب أن یفهم منه دفع الزّکاة عمّا لیس بسائم،و مفارقة حاله لحال السّائمة،بل یجوز أن یکون الحکم واحدا،و یعلم فی السّائمة بهذا القول،و فی غیرها بدلیل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ذلک یجری مجری قول أحدنا لغیره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تتّبع غیر سبیل الصّالحین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أنّه بعث علی اتّباع سبیل الصّالحین،و ألا یخرج عن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 فی هذا المثال کالقول فیما تقدّم،و ظاهر اللّفظ و إطلاقه لا یدلّ علی وجوب اتّباع طریقة الصّالحین و یحثّ علیها،و ما یعلم لا من حیث ظاهر اللّفظ خارج عمّا نحن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أنّ أحدنا قال بدلا من ذکر الصّالحین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یتّبع غیر طریقة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یجب أن یفهم من إطلاقه إیجاب اتّباع طریقته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لا أنّ الأمر فیما تقدّم علی ما قلناه دون ما ادّعاه السّائل،لوجب فیمن قال لغیره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تضرب غیر زیدا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زیدا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مناقضا فی کلامه،من حیث کان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تضرب غیر زیدا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إیجابا لضربه 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زیدا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حظرا لذلک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العلم بصحّة هذا القول من مستعمله،و أنّه غیر جار مجری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اضرب زیدا و لا تضربه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دلالة علی استقامة تأویلنا للآیة</w:t>
      </w:r>
      <w:r>
        <w:rPr>
          <w:rFonts w:eastAsia="IRNazanin" w:cs="IRNazanin"/>
          <w:color w:val="111111"/>
          <w:sz w:val="28"/>
          <w:szCs w:val="28"/>
          <w:rtl w:val="true"/>
          <w:lang w:bidi="fa-IR"/>
        </w:rPr>
        <w:t>.</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رابعها </w:t>
      </w:r>
      <w:r>
        <w:rPr>
          <w:rStyle w:val="FootnoteAnchor"/>
          <w:rtl w:val="true"/>
        </w:rPr>
        <w:footnoteReference w:id="12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تعالی حذّر من مخالفة سبیل المؤمنین و علّق الکلام بصفة من کان مؤمنا،فمن أین لخصومنا أنّهم لا یخرجون عن کونهم مؤمنین إذا خرجوا عن الإیمان خرجوا عن الصّفة الّتی تعلّق الوعید بخلاف من کان علیها؟ و لیس له أن یقول </w:t>
      </w:r>
      <w:r>
        <w:rPr>
          <w:rStyle w:val="FootnoteAnchor"/>
          <w:rtl w:val="true"/>
        </w:rPr>
        <w:footnoteReference w:id="12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یصحّ أن یتوعّد اللّه تعالی وعیدا </w:t>
      </w:r>
      <w:r>
        <w:rPr>
          <w:rStyle w:val="FootnoteAnchor"/>
          <w:rtl w:val="true"/>
        </w:rPr>
        <w:footnoteReference w:id="1256"/>
      </w:r>
      <w:r>
        <w:rPr>
          <w:rFonts w:ascii="IRNazanin" w:hAnsi="IRNazanin" w:eastAsia="IRNazanin"/>
          <w:color w:val="111111"/>
          <w:sz w:val="28"/>
          <w:sz w:val="28"/>
          <w:szCs w:val="28"/>
          <w:rtl w:val="true"/>
          <w:lang w:bidi="fa-IR"/>
        </w:rPr>
        <w:t xml:space="preserve">مطلقا علی العدول </w:t>
      </w:r>
    </w:p>
    <w:p>
      <w:pPr>
        <w:pStyle w:val="BookText"/>
        <w:rPr/>
      </w:pPr>
      <w:r>
        <w:rPr>
          <w:rFonts w:ascii="IRNazanin" w:hAnsi="IRNazanin" w:eastAsia="IRNazanin"/>
          <w:color w:val="111111"/>
          <w:sz w:val="28"/>
          <w:sz w:val="28"/>
          <w:szCs w:val="28"/>
          <w:rtl w:val="true"/>
          <w:lang w:bidi="fa-IR"/>
        </w:rPr>
        <w:t>عن اتّباع سبیل المؤمنین،إلاّ و ذلک ممکن فی کلّ حال،و لا یصحّ دخوله فی أن یکون ممکنا إلاّ بأن یثبت فی کلّ عصر جماعة من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یبیّن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کما توعّد علی العدول عن اتّباع سبیلهم،فکذلک توعّد علی مشاقّة الرّسول صلّی اللّه علیه و آله و سلّم فإذا وجب فی کلّ حال صحّة المشاقّة لیصحّ الوعید المذکور،فکذلک یجب أن یصحّ فی کلّ حال اتّباع سبیلهم و العدول عنها،لأنّه لیس یجب من حیث توعّد تعالی توعّدا مطلقا علی العدول عن اتّباع سبیل المؤمنین،ثبوت مؤمنین فی کلّ عصر،إنّما </w:t>
      </w:r>
      <w:r>
        <w:rPr>
          <w:rStyle w:val="FootnoteAnchor"/>
          <w:rtl w:val="true"/>
        </w:rPr>
        <w:footnoteReference w:id="1257"/>
      </w:r>
      <w:r>
        <w:rPr>
          <w:rFonts w:ascii="IRNazanin" w:hAnsi="IRNazanin" w:eastAsia="IRNazanin"/>
          <w:color w:val="111111"/>
          <w:sz w:val="28"/>
          <w:sz w:val="28"/>
          <w:szCs w:val="28"/>
          <w:rtl w:val="true"/>
          <w:lang w:bidi="fa-IR"/>
        </w:rPr>
        <w:t>تقتضی الآیة التّحذیر من العدول عن اتّباعهم إذا وجدوا و تمکّن من اتّباعهم و ترکه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لسنا نعلم من أیّ وجه ظنّ أن التّوعّد علی الفعل یقتضی إمکانه فی کلّ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لیس هذا ممّا یدخل فیه عندنا شبهة علی متکلّم،و نحن نعلم أنّ البشارة بنبیّنا علیه السّلام قد تقدّمت علی لسان من سلفت نبوّته کموسی علیه السّلام و عیسی و غیرهما من الأنبیاء علیهم السّلام،و قد أمر اللّه تعالی أممهم باتّباعه و تصدیقه و أشار لهم إلی صفاته </w:t>
      </w:r>
      <w:r>
        <w:rPr>
          <w:rStyle w:val="FootnoteAnchor"/>
          <w:rtl w:val="true"/>
        </w:rPr>
        <w:footnoteReference w:id="1258"/>
      </w:r>
      <w:r>
        <w:rPr>
          <w:rFonts w:ascii="IRNazanin" w:hAnsi="IRNazanin" w:eastAsia="IRNazanin"/>
          <w:color w:val="111111"/>
          <w:sz w:val="28"/>
          <w:sz w:val="28"/>
          <w:szCs w:val="28"/>
          <w:rtl w:val="true"/>
          <w:lang w:bidi="fa-IR"/>
        </w:rPr>
        <w:t xml:space="preserve">و علاماته،و توعّدهم علی مخالفته و تکذیبه،و لم یکن ما توعّد </w:t>
      </w:r>
      <w:r>
        <w:rPr>
          <w:rStyle w:val="FootnoteAnchor"/>
          <w:rtl w:val="true"/>
        </w:rPr>
        <w:footnoteReference w:id="1259"/>
      </w:r>
      <w:r>
        <w:rPr>
          <w:rFonts w:ascii="IRNazanin" w:hAnsi="IRNazanin" w:eastAsia="IRNazanin"/>
          <w:color w:val="111111"/>
          <w:sz w:val="28"/>
          <w:sz w:val="28"/>
          <w:szCs w:val="28"/>
          <w:rtl w:val="true"/>
          <w:lang w:bidi="fa-IR"/>
        </w:rPr>
        <w:t xml:space="preserve">علیه من مخالفته و أوجبه من تصدیقه و اتّباعه ممکنا فی کلّ وقت، و لا مانعا </w:t>
      </w:r>
      <w:r>
        <w:rPr>
          <w:rStyle w:val="FootnoteAnchor"/>
          <w:rtl w:val="true"/>
        </w:rPr>
        <w:footnoteReference w:id="1260"/>
      </w:r>
      <w:r>
        <w:rPr>
          <w:rFonts w:ascii="IRNazanin" w:hAnsi="IRNazanin" w:eastAsia="IRNazanin"/>
          <w:color w:val="111111"/>
          <w:sz w:val="28"/>
          <w:sz w:val="28"/>
          <w:szCs w:val="28"/>
          <w:rtl w:val="true"/>
          <w:lang w:bidi="fa-IR"/>
        </w:rPr>
        <w:t>من إطلاق الوعید</w:t>
      </w:r>
      <w:r>
        <w:rPr>
          <w:rFonts w:eastAsia="IRNazanin" w:cs="IRNazanin"/>
          <w:color w:val="111111"/>
          <w:sz w:val="28"/>
          <w:szCs w:val="28"/>
          <w:rtl w:val="true"/>
          <w:lang w:bidi="fa-IR"/>
        </w:rPr>
        <w:t>.</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قال شیخهم أبو هاشم،و تبعه علی هذه المقالة جمیع أصحابه </w:t>
      </w:r>
      <w:r>
        <w:rPr>
          <w:rStyle w:val="FootnoteAnchor"/>
          <w:rtl w:val="true"/>
        </w:rPr>
        <w:footnoteReference w:id="12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اَلسّارِقُ وَ السّارِقَةُ فَاقْطَعُوا أَیْدِیَهُما جَزاءً بِما کَسَبا نَکالاً مِنَ اللّهِ  </w:t>
      </w:r>
      <w:r>
        <w:rPr>
          <w:rStyle w:val="FootnoteAnchor"/>
          <w:rtl w:val="true"/>
        </w:rPr>
        <w:footnoteReference w:id="1262"/>
      </w:r>
      <w:r>
        <w:rPr>
          <w:rFonts w:ascii="IRNazanin" w:hAnsi="IRNazanin" w:eastAsia="IRNazanin"/>
          <w:color w:val="111111"/>
          <w:sz w:val="28"/>
          <w:sz w:val="28"/>
          <w:szCs w:val="28"/>
          <w:rtl w:val="true"/>
          <w:lang w:bidi="fa-IR"/>
        </w:rPr>
        <w:t xml:space="preserve">الآیة، </w:t>
      </w:r>
    </w:p>
    <w:p>
      <w:pPr>
        <w:pStyle w:val="BookText"/>
        <w:rPr/>
      </w:pPr>
      <w:r>
        <w:rPr>
          <w:rFonts w:ascii="IRNazanin" w:hAnsi="IRNazanin" w:eastAsia="IRNazanin"/>
          <w:color w:val="111111"/>
          <w:sz w:val="28"/>
          <w:sz w:val="28"/>
          <w:szCs w:val="28"/>
          <w:rtl w:val="true"/>
          <w:lang w:bidi="fa-IR"/>
        </w:rPr>
        <w:t>لا یقتضی ثبوت من یستحقّ القطع علی سبیل النّکال،و لو لم یقع التّمکّن أبدا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الوقوف علی من هذه حاله لما أخلّ بفائدة الآیة،و عوّل فی قطع من یقطع من السّرّاق المشهود علیهم أو المقرّین علی 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إذا </w:t>
      </w:r>
      <w:r>
        <w:rPr>
          <w:rStyle w:val="FootnoteAnchor"/>
          <w:rtl w:val="true"/>
        </w:rPr>
        <w:footnoteReference w:id="1263"/>
      </w:r>
      <w:r>
        <w:rPr>
          <w:rFonts w:ascii="IRNazanin" w:hAnsi="IRNazanin" w:eastAsia="IRNazanin"/>
          <w:color w:val="111111"/>
          <w:sz w:val="28"/>
          <w:sz w:val="28"/>
          <w:szCs w:val="28"/>
          <w:rtl w:val="true"/>
          <w:lang w:bidi="fa-IR"/>
        </w:rPr>
        <w:t>صحّ هذا،فکیف یجب من حیث أطلق الوعید علی العدول عن اتّباع سبیل المؤمنین،وجود مؤمنین فی کل عصر؟و ما المانع من أن یکون الوعید یتعلّق بحال مقدّرة،کأنّه تعالی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تتّبعوا غَیْرَ سَبِیلِ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حصلوا و وجدوا؟ فعلم بذلک بطلان ما تعلّق به السّائل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خامسها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تعالی توعّد علی اتّباع غیر سبیلهم علی تسلیم عموم المؤمنین و السّبیل،فإنّ الآیة لا تدلّ علی وجوب اتّباعهم فی کلّ عصر،بل هو کالمجمل المفتقر إلی بیان،فلا یصحّ التّعلّق بظاهره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لأحد 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إنّنی أحمله علی کلّ عصر من حیث لم یکن اللّفظ مختصّا بعصر دون عصر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لأنّ هذه الدّعوی نظیرة الدّعوی المتقدّمة الّتی بیّنا فسادها</w:t>
      </w:r>
      <w:r>
        <w:rPr>
          <w:rFonts w:eastAsia="Amiri" w:cs="Amiri" w:ascii="Amiri" w:hAnsi="Amiri"/>
          <w:color w:val="111111"/>
          <w:sz w:val="28"/>
          <w:szCs w:val="28"/>
          <w:rtl w:val="true"/>
          <w:lang w:bidi="ar-SA"/>
        </w:rPr>
        <w:t>.</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لیس لأحد 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أعلم وجوب اتّباعهم فی الأعصار کلّها بما عملت به وجوب اتّباع النّبی علیه السّلام فی کلّ عصر،فما قدح فی عموم أحد الأمرین قدح فی عموم الآخر،لأنّا لا نعلم عموم وجوب اتّباع الرّسول علیه السّلام فی کلّ عصر بظاهر الخطاب،بل بدلالة لا یمکن دفعها،فمن ادّعی فی عموم وجوب اتّباع المؤمنین دلالة فلیحضرها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له 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لم یکن فیها تخصیص وقت دون وقت وجب حملها علی جمیع الأعصار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لأنّ لمخالفه 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إذا لم یکن فیها دلیل علی عموم الأعصار،وجب حملها علی أهل عصر واحد،و هو حال زمن الصّحابة علی ما ذهب إلیه داود </w:t>
      </w:r>
      <w:r>
        <w:rPr>
          <w:rStyle w:val="FootnoteAnchor"/>
          <w:rtl w:val="true"/>
        </w:rPr>
        <w:footnoteReference w:id="1264"/>
      </w:r>
      <w:r>
        <w:rPr>
          <w:rFonts w:ascii="IRNazanin" w:hAnsi="IRNazanin" w:eastAsia="IRNazanin"/>
          <w:color w:val="111111"/>
          <w:sz w:val="28"/>
          <w:sz w:val="28"/>
          <w:szCs w:val="28"/>
          <w:rtl w:val="true"/>
          <w:lang w:bidi="fa-IR"/>
        </w:rPr>
        <w:t xml:space="preserve">،و إلاّ فما الفصل؟ و سادسها </w:t>
      </w:r>
      <w:r>
        <w:rPr>
          <w:rStyle w:val="FootnoteAnchor"/>
          <w:rtl w:val="true"/>
        </w:rPr>
        <w:footnoteReference w:id="12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قوله تعالی اَلْمُؤْمِنِینَ   لا یخلو أن یرید به المصدّقین بالرّسول صلّی اللّه علیه و آله و سلّم أو المستحقّین للثّواب علی اللّه تعالی </w:t>
      </w:r>
      <w:r>
        <w:rPr>
          <w:rStyle w:val="FootnoteAnchor"/>
          <w:rtl w:val="true"/>
        </w:rPr>
        <w:footnoteReference w:id="1266"/>
      </w:r>
      <w:r>
        <w:rPr>
          <w:rFonts w:ascii="IRNazanin" w:hAnsi="IRNazanin" w:eastAsia="IRNazanin"/>
          <w:color w:val="111111"/>
          <w:sz w:val="28"/>
          <w:sz w:val="28"/>
          <w:szCs w:val="28"/>
          <w:rtl w:val="true"/>
          <w:lang w:bidi="fa-IR"/>
        </w:rPr>
        <w:t>،فإن کان الأوّل بطل،لأنّ الآیة تقتضی التّعظیم و المدح لمن تعلّقت به من حیث أوجب اتّباعه، و لا یجوز أن یتوجّه إلی من لا یستحقّ التّعظیم و المدح،و فی الأمّة من یقطع علی کفره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أنّه لا یستحقّ شیئا منهما،و لأنّه کان یجب لو کان المراد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المصدّقین دون المستحقّین للثّواب أنّ یعتبر فی الإجماع دخول کلّ مصدّق فی شرق و غرب،فبهذا یعلم تعذّره،و عموم القول یقتضیه،و لیس یذهب أکثر المخالفین إلیه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أراد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مستحقّی الثّواب و المدح و التّعظیم،فمن أین ثبوت مؤمنین </w:t>
      </w:r>
      <w:r>
        <w:rPr>
          <w:rStyle w:val="FootnoteAnchor"/>
          <w:rtl w:val="true"/>
        </w:rPr>
        <w:footnoteReference w:id="1267"/>
      </w:r>
      <w:r>
        <w:rPr>
          <w:rFonts w:ascii="IRNazanin" w:hAnsi="IRNazanin" w:eastAsia="IRNazanin"/>
          <w:color w:val="111111"/>
          <w:sz w:val="28"/>
          <w:sz w:val="28"/>
          <w:szCs w:val="28"/>
          <w:rtl w:val="true"/>
          <w:lang w:bidi="fa-IR"/>
        </w:rPr>
        <w:t>بهذه الصّفة فی کلّ عصر یجب اتّباعهم؟ و یجب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ألا یثبت الإجماع إلاّ بعد القطع علی أنّ کلّ مستحق للثّواب فی برّ و بحر و سهل و جبل قد دخل فیه،لأنّ عموم القول یقتضیه،و هذا یؤدّی إلی أن لا </w:t>
      </w:r>
    </w:p>
    <w:p>
      <w:pPr>
        <w:pStyle w:val="BookText"/>
        <w:rPr/>
      </w:pPr>
      <w:r>
        <w:rPr>
          <w:rFonts w:ascii="IRNazanin" w:hAnsi="IRNazanin" w:eastAsia="IRNazanin"/>
          <w:color w:val="111111"/>
          <w:sz w:val="28"/>
          <w:sz w:val="28"/>
          <w:szCs w:val="28"/>
          <w:rtl w:val="true"/>
          <w:lang w:bidi="fa-IR"/>
        </w:rPr>
        <w:t>یثبت الإجماع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إن حمل علی بعض المؤمنین،و علی من عرفناه دون من لم نعرفه،جاز حمله </w:t>
      </w:r>
      <w:r>
        <w:rPr>
          <w:rStyle w:val="FootnoteAnchor"/>
          <w:rtl w:val="true"/>
        </w:rPr>
        <w:footnoteReference w:id="1268"/>
      </w:r>
      <w:r>
        <w:rPr>
          <w:rFonts w:ascii="IRNazanin" w:hAnsi="IRNazanin" w:eastAsia="IRNazanin"/>
          <w:color w:val="111111"/>
          <w:sz w:val="28"/>
          <w:sz w:val="28"/>
          <w:szCs w:val="28"/>
          <w:rtl w:val="true"/>
          <w:lang w:bidi="fa-IR"/>
        </w:rPr>
        <w:t>علی طائفة من المؤمنین و هم أئمّتنا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سابعها </w:t>
      </w:r>
      <w:r>
        <w:rPr>
          <w:rStyle w:val="FootnoteAnchor"/>
          <w:rtl w:val="true"/>
        </w:rPr>
        <w:footnoteReference w:id="12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إنّا لو تجاوزنا عن جمیع ما ذکرناه،لم یکن فی الآیة دلالة تتناول الخلاف فی الحقیقة،لأنّه جاز </w:t>
      </w:r>
      <w:r>
        <w:rPr>
          <w:rStyle w:val="FootnoteAnchor"/>
          <w:rtl w:val="true"/>
        </w:rPr>
        <w:footnoteReference w:id="1270"/>
      </w:r>
      <w:r>
        <w:rPr>
          <w:rFonts w:ascii="IRNazanin" w:hAnsi="IRNazanin" w:eastAsia="IRNazanin"/>
          <w:color w:val="111111"/>
          <w:sz w:val="28"/>
          <w:sz w:val="28"/>
          <w:szCs w:val="28"/>
          <w:rtl w:val="true"/>
          <w:lang w:bidi="fa-IR"/>
        </w:rPr>
        <w:t xml:space="preserve">أن یکون تعالی إنّما أمر </w:t>
      </w:r>
      <w:r>
        <w:rPr>
          <w:rStyle w:val="FootnoteAnchor"/>
          <w:rtl w:val="true"/>
        </w:rPr>
        <w:footnoteReference w:id="1271"/>
      </w:r>
      <w:r>
        <w:rPr>
          <w:rFonts w:ascii="IRNazanin" w:hAnsi="IRNazanin" w:eastAsia="IRNazanin"/>
          <w:color w:val="111111"/>
          <w:sz w:val="28"/>
          <w:sz w:val="28"/>
          <w:szCs w:val="28"/>
          <w:rtl w:val="true"/>
          <w:lang w:bidi="fa-IR"/>
        </w:rPr>
        <w:t xml:space="preserve">باتّباع المؤمنین من حیث ثبت بالعقول أنّ فی جملة المؤمنین فی کلّ عصر إماما معصوما لا یجوز علیه الخطأ، و إذا جاز ما ذکرناه سقط غرضهم فی الاستدلال علی صحّة الإجماع،لأنّهم إنّما أجروا </w:t>
      </w:r>
      <w:r>
        <w:rPr>
          <w:rStyle w:val="FootnoteAnchor"/>
          <w:rtl w:val="true"/>
        </w:rPr>
        <w:footnoteReference w:id="1272"/>
      </w:r>
      <w:r>
        <w:rPr>
          <w:rFonts w:ascii="IRNazanin" w:hAnsi="IRNazanin" w:eastAsia="IRNazanin"/>
          <w:color w:val="111111"/>
          <w:sz w:val="28"/>
          <w:sz w:val="28"/>
          <w:szCs w:val="28"/>
          <w:rtl w:val="true"/>
          <w:lang w:bidi="fa-IR"/>
        </w:rPr>
        <w:t>بذلک إلی أن یصحّ الإجماع،و تنحفظ الشّریعة،و یستغنی به عن الإمام،و إذا کان ما استدلّوا به علی صحّة الإجماع یحتمل ما ذکرناه،بطل التّعلّق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اللّه تعالی توعّد علی مشاقّة الرّسول صلّی اللّه علیه و آله و سلّم و اتّباع غیر سبیل المؤمنین علی وجه الجمع بینهما،فمن أین أنّه لو انفرد اتّباع غیر سبیلهم عن المشاقّة استحقّ به الوعید</w:t>
      </w:r>
      <w:r>
        <w:rPr>
          <w:rFonts w:eastAsia="IRNazanin" w:cs="IRNazanin"/>
          <w:color w:val="111111"/>
          <w:sz w:val="28"/>
          <w:szCs w:val="28"/>
          <w:rtl w:val="true"/>
          <w:lang w:bidi="fa-IR"/>
        </w:rPr>
        <w:t>.</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لیس لهم أن یقولوا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مشاقّة الرّسول صلّی اللّه علیه و آله و سلّم ممّا کان بانفرادها یستحقّ بها الوعید،فکذلک اتّباع غیر سبیل المؤمنین،و لو جاز أن لا یستحقّ علیه العقاب و یذکر مع مشاقّة الرّسول صلّی اللّه علیه و آله و سلّم و تعلّق الوعید به، لجاز أن یضاف إلی مشاقّة الرّسول صلّی اللّه علیه و آله و سلّم شیء من المباحات مثل الأکل و الشّرب و غیر ذلک،و تعلّق الوعید به،فلمّا لم یجز ذلک علم أنّ اتّباع غیر سبیلهم یجب أن یستحقّ الوعید به علی الانفراد،و ذلک إنّا لا نعلم بظاهر الآیة أنّ </w:t>
      </w:r>
    </w:p>
    <w:p>
      <w:pPr>
        <w:pStyle w:val="BookText"/>
        <w:rPr/>
      </w:pPr>
      <w:r>
        <w:rPr>
          <w:rFonts w:ascii="IRNazanin" w:hAnsi="IRNazanin" w:eastAsia="IRNazanin"/>
          <w:color w:val="111111"/>
          <w:sz w:val="28"/>
          <w:sz w:val="28"/>
          <w:szCs w:val="28"/>
          <w:rtl w:val="true"/>
          <w:lang w:bidi="fa-IR"/>
        </w:rPr>
        <w:t>مشاقّة الرّسول صلّی اللّه علیه و آله و سلّم یستحقّ بها الوعید إذا انفردت عن اتّباع غیر سبیل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خلّینا و ظاهر الآیة لما علّقنا الوعید إلاّ علی من جمع بینهما،لکنّا علمنا بالدّلیل أنّ مشاقّة الرّسول صلّی اللّه علیه و آله و سلّم یستحقّ بها علی الانفراد الوعید، فلأجل ذلک قلنا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ضمّ المباحات إلی مشاقّة الرّسول صلّی اللّه علیه و آله و سلّم فإنّما لم یجز لأنّا قد علمنا أنّ حکم المباحات عند الانضمام حکمها عند الانفراد فی أنّه لا یستحقّ بها الوعید،و قد کان یجوز أن یستحقّ بها الوعید إذا انضمّ إلی المشاقّة،و لم یکن ذلک بأبعد من شیئین مباحین علی الانفراد،فإذا جمع بینهما صارا محظورین،أ لا تری أنّه یجوز للحرّ المسلم العقد علی ثلاث من النّسوة علی الانفراد،و علی امرأتین أیضا علی الانفراد،و لا یجوز له أن یجمع فی عقد واحد ثلاثا و ثنتین لأنّ ذلک محظور و لذلک نظائر کثیرة فی الشّرع،لکنّ هذا و إن کان جائزا علمنا أنّه لم یثبت،لأنّا علمنا أنّ فعل شیء من المباحات من الأکل و الشّرب و إن انضمّ إلی مشاقّة الرّسول صلّی اللّه علیه و آله و سلّم فإنّه لا یستحقّ به الوعید،فلأجل ذلک لم یجز ضمّ ذلک إلی المشاقّة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تعلّقوا أیضا بقوله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کَذلِکَ جَعَلْناکُمْ أُمَّةً وَسَطاً   </w:t>
      </w:r>
      <w:r>
        <w:rPr>
          <w:rStyle w:val="FootnoteAnchor"/>
          <w:rtl w:val="true"/>
        </w:rPr>
        <w:footnoteReference w:id="12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الوسط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العدل،و لا یکون هذه حالهم إلاّ و هم خیار،لأنّ الوسط من کلّ شیء هو المعتدل منه،و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أَوْسَطُهُمْ أَ لَمْ أَقُلْ لَکُمْ  </w:t>
      </w:r>
      <w:r>
        <w:rPr>
          <w:rStyle w:val="FootnoteAnchor"/>
          <w:rtl w:val="true"/>
        </w:rPr>
        <w:footnoteReference w:id="1274"/>
      </w:r>
      <w:r>
        <w:rPr>
          <w:rFonts w:ascii="IRNazanin" w:hAnsi="IRNazanin" w:eastAsia="IRNazanin"/>
          <w:color w:val="111111"/>
          <w:sz w:val="28"/>
          <w:sz w:val="28"/>
          <w:szCs w:val="28"/>
          <w:rtl w:val="true"/>
          <w:lang w:bidi="fa-IR"/>
        </w:rPr>
        <w:t>المراد به خیرهم،و علی هذا الوجه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علیه السّلام من أوسط العرب،یعنی بذلک من خیرهم</w:t>
      </w:r>
      <w:r>
        <w:rPr>
          <w:rFonts w:eastAsia="IRNazanin" w:cs="IRNazanin"/>
          <w:color w:val="111111"/>
          <w:sz w:val="28"/>
          <w:szCs w:val="28"/>
          <w:rtl w:val="true"/>
          <w:lang w:bidi="fa-IR"/>
        </w:rPr>
        <w:t>.</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أیضا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جعلهم کذلک لیکونوا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شُهَداءَ عَلَی النّاسِ  </w:t>
      </w:r>
      <w:r>
        <w:rPr>
          <w:rStyle w:val="FootnoteAnchor"/>
          <w:rtl w:val="true"/>
        </w:rPr>
        <w:footnoteReference w:id="1275"/>
      </w:r>
      <w:r>
        <w:rPr>
          <w:rFonts w:ascii="IRNazanin" w:hAnsi="IRNazanin" w:eastAsia="IRNazanin"/>
          <w:color w:val="111111"/>
          <w:sz w:val="28"/>
          <w:sz w:val="28"/>
          <w:szCs w:val="28"/>
          <w:rtl w:val="true"/>
          <w:lang w:bidi="fa-IR"/>
        </w:rPr>
        <w:t xml:space="preserve">کما أنّه علیه </w:t>
      </w:r>
    </w:p>
    <w:p>
      <w:pPr>
        <w:pStyle w:val="BookText"/>
        <w:rPr/>
      </w:pPr>
      <w:r>
        <w:rPr>
          <w:rFonts w:ascii="IRNazanin" w:hAnsi="IRNazanin" w:eastAsia="IRNazanin"/>
          <w:color w:val="111111"/>
          <w:sz w:val="28"/>
          <w:sz w:val="28"/>
          <w:szCs w:val="28"/>
          <w:rtl w:val="true"/>
          <w:lang w:bidi="fa-IR"/>
        </w:rPr>
        <w:t>السلام شهید علیهم،فکما أنّه لا یکون شهیدا إلاّ و قوله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حجّة</w:t>
      </w:r>
      <w:r>
        <w:rPr>
          <w:rFonts w:eastAsia="IRNazanin" w:cs="IRNazanin"/>
          <w:color w:val="111111"/>
          <w:sz w:val="28"/>
          <w:szCs w:val="28"/>
          <w:rtl w:val="true"/>
          <w:lang w:bidi="fa-IR"/>
        </w:rPr>
        <w:t xml:space="preserve">] </w:t>
      </w:r>
      <w:r>
        <w:rPr>
          <w:rStyle w:val="FootnoteAnchor"/>
          <w:rtl w:val="true"/>
        </w:rPr>
        <w:footnoteReference w:id="1276"/>
      </w:r>
      <w:r>
        <w:rPr>
          <w:rFonts w:ascii="IRNazanin" w:hAnsi="IRNazanin" w:eastAsia="IRNazanin"/>
          <w:color w:val="111111"/>
          <w:sz w:val="28"/>
          <w:sz w:val="28"/>
          <w:szCs w:val="28"/>
          <w:rtl w:val="true"/>
          <w:lang w:bidi="fa-IR"/>
        </w:rPr>
        <w:t>فکذلک القول فیهم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الآیة لا تدلّ أیضا علی ما یدّعونه،لأنّه لا یصحّ أن یکون المراد بها جمیع الأمّة المصدّقة بالرّسول صلّی اللّه علیه و آله و سلّم أو بعضها،و قد علمنا أنّه لا یجوز أن یرید جمیعها،لأنّ کثیرا منها لیس بخیار،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عدول</w:t>
      </w:r>
      <w:r>
        <w:rPr>
          <w:rFonts w:eastAsia="IRNazanin" w:cs="IRNazanin"/>
          <w:color w:val="111111"/>
          <w:sz w:val="28"/>
          <w:szCs w:val="28"/>
          <w:rtl w:val="true"/>
          <w:lang w:bidi="fa-IR"/>
        </w:rPr>
        <w:t xml:space="preserve">] </w:t>
      </w:r>
      <w:r>
        <w:rPr>
          <w:rStyle w:val="FootnoteAnchor"/>
          <w:rtl w:val="true"/>
        </w:rPr>
        <w:footnoteReference w:id="1277"/>
      </w:r>
      <w:r>
        <w:rPr>
          <w:rFonts w:ascii="IRNazanin" w:hAnsi="IRNazanin" w:eastAsia="IRNazanin"/>
          <w:color w:val="111111"/>
          <w:sz w:val="28"/>
          <w:sz w:val="28"/>
          <w:szCs w:val="28"/>
          <w:rtl w:val="true"/>
          <w:lang w:bidi="fa-IR"/>
        </w:rPr>
        <w:t xml:space="preserve">،و لا یجوز من الحکیم تعالی أن یصف جماعة بأنّهم خیار عدول و فیهم من لیس بعدل،و لا خیّر </w:t>
      </w:r>
      <w:r>
        <w:rPr>
          <w:rStyle w:val="FootnoteAnchor"/>
          <w:rtl w:val="true"/>
        </w:rPr>
        <w:footnoteReference w:id="1278"/>
      </w:r>
      <w:r>
        <w:rPr>
          <w:rFonts w:ascii="IRNazanin" w:hAnsi="IRNazanin" w:eastAsia="IRNazanin"/>
          <w:color w:val="111111"/>
          <w:sz w:val="28"/>
          <w:sz w:val="28"/>
          <w:szCs w:val="28"/>
          <w:rtl w:val="true"/>
          <w:lang w:bidi="fa-IR"/>
        </w:rPr>
        <w:t xml:space="preserve">، و هذا ممّا یوافقنا علیه أکثر من خالفنا </w:t>
      </w:r>
      <w:r>
        <w:rPr>
          <w:rStyle w:val="FootnoteAnchor"/>
          <w:rtl w:val="true"/>
        </w:rPr>
        <w:footnoteReference w:id="12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إن کان أراد بعضها،لم یخل ذلک البعض أن یکون جمیع المؤمنین المستحقّین للثّواب،و یکون بعض منهم غیر 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کان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فلا دلالة توجب عمومها فی الکلّ دون حملها علی بعض غیر معیّن،لأنّه لا لفظ هاهنا من الألفاظ الّتی تدّعی للعموم کما هو فی الآیة المتقدّمة </w:t>
      </w:r>
      <w:r>
        <w:rPr>
          <w:rStyle w:val="FootnoteAnchor"/>
          <w:rtl w:val="true"/>
        </w:rPr>
        <w:footnoteReference w:id="12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إن کان المراد بعضا معیّنا،خرجت الآیة من أن تکون فیها دلالة لخصومنا علی الخلاف بیننا و بینهم</w:t>
      </w:r>
      <w:r>
        <w:rPr>
          <w:rFonts w:eastAsia="IRNazanin" w:cs="IRNazanin"/>
          <w:color w:val="111111"/>
          <w:sz w:val="28"/>
          <w:szCs w:val="28"/>
          <w:rtl w:val="true"/>
          <w:lang w:bidi="fa-IR"/>
        </w:rPr>
        <w:t>.</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لم یکن بعض المؤمنین بأن یقتضی تناولها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Style w:val="FootnoteAnchor"/>
          <w:rtl w:val="true"/>
        </w:rPr>
        <w:footnoteReference w:id="1281"/>
      </w:r>
      <w:r>
        <w:rPr>
          <w:rFonts w:ascii="IRNazanin" w:hAnsi="IRNazanin" w:eastAsia="IRNazanin"/>
          <w:color w:val="111111"/>
          <w:sz w:val="28"/>
          <w:sz w:val="28"/>
          <w:szCs w:val="28"/>
          <w:rtl w:val="true"/>
          <w:lang w:bidi="fa-IR"/>
        </w:rPr>
        <w:t xml:space="preserve">أولی من بعض فساغ </w:t>
      </w:r>
      <w:r>
        <w:rPr>
          <w:rStyle w:val="FootnoteAnchor"/>
          <w:rtl w:val="true"/>
        </w:rPr>
        <w:footnoteReference w:id="1282"/>
      </w:r>
      <w:r>
        <w:rPr>
          <w:rFonts w:ascii="IRNazanin" w:hAnsi="IRNazanin" w:eastAsia="IRNazanin"/>
          <w:color w:val="111111"/>
          <w:sz w:val="28"/>
          <w:sz w:val="28"/>
          <w:szCs w:val="28"/>
          <w:rtl w:val="true"/>
          <w:lang w:bidi="fa-IR"/>
        </w:rPr>
        <w:t xml:space="preserve">لنا أن نقصرها علی الأئمّة من آل محمّد علیهم السّلام،و یکون قولنا أثبت فی الآیة من کلّ قول لقیام الدّلالة علی عصمة من عدلنا بها إلیه </w:t>
      </w:r>
      <w:r>
        <w:rPr>
          <w:rStyle w:val="FootnoteAnchor"/>
          <w:rtl w:val="true"/>
        </w:rPr>
        <w:footnoteReference w:id="1283"/>
      </w:r>
      <w:r>
        <w:rPr>
          <w:rFonts w:ascii="IRNazanin" w:hAnsi="IRNazanin" w:eastAsia="IRNazanin"/>
          <w:color w:val="111111"/>
          <w:sz w:val="28"/>
          <w:sz w:val="28"/>
          <w:szCs w:val="28"/>
          <w:rtl w:val="true"/>
          <w:lang w:bidi="fa-IR"/>
        </w:rPr>
        <w:t>و طهارته،و تمییزه من کلّ الأمّة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فإن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إطلاق القول یقتضی دخول کلّ الأمّة فیه،لو لا الدّلالة الّتی دلّت من حیث الوصف المخصوص علی تخصیص من یستحقّ </w:t>
      </w:r>
      <w:r>
        <w:rPr>
          <w:rStyle w:val="FootnoteAnchor"/>
          <w:rtl w:val="true"/>
        </w:rPr>
        <w:footnoteReference w:id="1284"/>
      </w:r>
      <w:r>
        <w:rPr>
          <w:rFonts w:ascii="IRNazanin" w:hAnsi="IRNazanin" w:eastAsia="IRNazanin"/>
          <w:color w:val="111111"/>
          <w:sz w:val="28"/>
          <w:sz w:val="28"/>
          <w:szCs w:val="28"/>
          <w:rtl w:val="true"/>
          <w:lang w:bidi="fa-IR"/>
        </w:rPr>
        <w:t xml:space="preserve">المدح منهم و الثّواب،فإذا خرج من لا یستحقّهما بدلیل وجب عمومها فی کلّ المستحقّین للثّواب و المدح، لأنّه لیس هی بأن تتناول بعضها </w:t>
      </w:r>
      <w:r>
        <w:rPr>
          <w:rStyle w:val="FootnoteAnchor"/>
          <w:rtl w:val="true"/>
        </w:rPr>
        <w:footnoteReference w:id="1285"/>
      </w:r>
      <w:r>
        <w:rPr>
          <w:rFonts w:ascii="IRNazanin" w:hAnsi="IRNazanin" w:eastAsia="IRNazanin"/>
          <w:color w:val="111111"/>
          <w:sz w:val="28"/>
          <w:sz w:val="28"/>
          <w:szCs w:val="28"/>
          <w:rtl w:val="true"/>
          <w:lang w:bidi="fa-IR"/>
        </w:rPr>
        <w:t>أولی من 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إطلاق القول لا یقتضی کلّ الأمّة علی أصلنا حتّی یلزم إذا أخرجنا من لا یستحقّ الثّواب منه أن لا یخرج غیره،و لو اقتضی ذلک و وجب تعلیق الآیة بکلّ من عدا الخارجین من استحقاق الثّواب،لوجب القضاء بعمومها فی جمیع من کان بهذه الصفة فی سائر الأعصار،لأنّ ظاهر العموم یقتضیه علی مذهب من قال به، فکان لا یسوغ حمل القول علی إجماع کلّ عصر </w:t>
      </w:r>
      <w:r>
        <w:rPr>
          <w:rStyle w:val="FootnoteAnchor"/>
          <w:rtl w:val="true"/>
        </w:rPr>
        <w:footnoteReference w:id="1286"/>
      </w:r>
      <w:r>
        <w:rPr>
          <w:rFonts w:ascii="IRNazanin" w:hAnsi="IRNazanin" w:eastAsia="IRNazanin"/>
          <w:color w:val="111111"/>
          <w:sz w:val="28"/>
          <w:sz w:val="28"/>
          <w:szCs w:val="28"/>
          <w:rtl w:val="true"/>
          <w:lang w:bidi="fa-IR"/>
        </w:rPr>
        <w:t>،و هذا یبطل الغرض فی الاحتجاج بالآیة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لأحد 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کیف یکون اجتماع جمیع أهل الأعصار علی الشّهادة حجّة </w:t>
      </w:r>
      <w:r>
        <w:rPr>
          <w:rStyle w:val="FootnoteAnchor"/>
          <w:rtl w:val="true"/>
        </w:rPr>
        <w:footnoteReference w:id="1287"/>
      </w:r>
      <w:r>
        <w:rPr>
          <w:rFonts w:ascii="IRNazanin" w:hAnsi="IRNazanin" w:eastAsia="IRNazanin"/>
          <w:color w:val="111111"/>
          <w:sz w:val="28"/>
          <w:sz w:val="28"/>
          <w:szCs w:val="28"/>
          <w:rtl w:val="true"/>
          <w:lang w:bidi="fa-IR"/>
        </w:rPr>
        <w:t xml:space="preserve">،و لا یکون إجماع أهل کلّ عصر حجّة و صوابا </w:t>
      </w:r>
      <w:r>
        <w:rPr>
          <w:rStyle w:val="FootnoteAnchor"/>
          <w:rtl w:val="true"/>
        </w:rPr>
        <w:footnoteReference w:id="1288"/>
      </w:r>
      <w:r>
        <w:rPr>
          <w:rFonts w:ascii="IRNazanin" w:hAnsi="IRNazanin" w:eastAsia="IRNazanin"/>
          <w:color w:val="111111"/>
          <w:sz w:val="28"/>
          <w:sz w:val="28"/>
          <w:szCs w:val="28"/>
          <w:rtl w:val="true"/>
          <w:lang w:bidi="fa-IR"/>
        </w:rPr>
        <w:t>؟ فإنّه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إجماع أهل کلّ عصر حجّة،و لیس إجماع کلّ فرقة من فرقها حجّة </w:t>
      </w:r>
      <w:r>
        <w:rPr>
          <w:rStyle w:val="FootnoteAnchor"/>
          <w:rtl w:val="true"/>
        </w:rPr>
        <w:footnoteReference w:id="1289"/>
      </w:r>
      <w:r>
        <w:rPr>
          <w:rFonts w:eastAsia="Times New Roman" w:cs="Times New Roman" w:ascii="Times New Roman" w:hAnsi="Times New Roman"/>
          <w:color w:val="111111"/>
          <w:sz w:val="28"/>
          <w:szCs w:val="28"/>
          <w:rtl w:val="true"/>
          <w:lang w:val="en-US" w:bidi="en-US"/>
        </w:rPr>
        <w:t>.</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بأیّ شیء یشهد جمیعهم،و هم لا یصحّ أن یشاهدوا کلّهم شیئا واحدا فیشهدوا به؟ </w:t>
      </w:r>
    </w:p>
    <w:p>
      <w:pPr>
        <w:pStyle w:val="BookText"/>
        <w:rPr/>
      </w:pPr>
      <w:r>
        <w:rPr>
          <w:rFonts w:ascii="IRNazanin" w:hAnsi="IRNazanin" w:eastAsia="IRNazanin"/>
          <w:color w:val="111111"/>
          <w:sz w:val="28"/>
          <w:sz w:val="28"/>
          <w:szCs w:val="28"/>
          <w:rtl w:val="true"/>
          <w:lang w:bidi="fa-IR"/>
        </w:rPr>
        <w:t>قیل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تصحّ الشّهادة بما لا یشاهد من المعلومات،کشهادتنا بتوحید اللّه تعالی،و عدله،و نبوّة أنبیائه،إلی غیر ذلک ممّا یکثر تعداده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قیل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فعلی من تکون الشّهادة إذا کان جمیع أهل الأعصار هم الشّهداء </w:t>
      </w:r>
      <w:r>
        <w:rPr>
          <w:rStyle w:val="FootnoteAnchor"/>
          <w:rtl w:val="true"/>
        </w:rPr>
        <w:footnoteReference w:id="1290"/>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تکون شهادتهم علی من لا یستحقّ ثوابا،و لا یدخل تحت القول من الأمّة؟، و یصحّ أیضا أن یشهدوا علی باقی الأمم الخارجین عن الملّة،و کلّ هذا غیر مستبعد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یمکن أیضا أن یقال فی أصل تأویل 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جَعَلْناکُمْ أُمَّةً وَسَطاً  </w:t>
      </w:r>
      <w:r>
        <w:rPr>
          <w:rStyle w:val="FootnoteAnchor"/>
          <w:rtl w:val="true"/>
        </w:rPr>
        <w:footnoteReference w:id="1291"/>
      </w:r>
      <w:r>
        <w:rPr>
          <w:rFonts w:ascii="IRNazanin" w:hAnsi="IRNazanin" w:eastAsia="IRNazanin"/>
          <w:color w:val="111111"/>
          <w:sz w:val="28"/>
          <w:sz w:val="28"/>
          <w:szCs w:val="28"/>
          <w:rtl w:val="true"/>
          <w:lang w:bidi="fa-IR"/>
        </w:rPr>
        <w:t>إذا سلّم أنّ المراد به جعلناکم عدولا خیارا،لا یدلّ أیضا علی ما یرید الخصم،لأنّه لم یبیّن هل جعلهم عدولا فی کلّ أقوالهم و أفعالهم،أو فی بعضها؟ فالقول محتمل و ممکن أن یکون تعالی أراد أنّهم عدول فیما یشهدون به فی الآخرة، أو فی بعض الأحوال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رجع راجع إلی 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إطلاق القول یقتضی العموم و لیس هو بأن یحمل علی بعض الأحوال أو الأمور </w:t>
      </w:r>
      <w:r>
        <w:rPr>
          <w:rStyle w:val="FootnoteAnchor"/>
          <w:rtl w:val="true"/>
        </w:rPr>
        <w:footnoteReference w:id="1292"/>
      </w:r>
      <w:r>
        <w:rPr>
          <w:rFonts w:ascii="IRNazanin" w:hAnsi="IRNazanin" w:eastAsia="IRNazanin"/>
          <w:color w:val="111111"/>
          <w:sz w:val="28"/>
          <w:sz w:val="28"/>
          <w:szCs w:val="28"/>
          <w:rtl w:val="true"/>
          <w:lang w:bidi="fa-IR"/>
        </w:rPr>
        <w:t xml:space="preserve">أولی من بعض،فقد مضی الکلام علی ما یشبه هذا مستقصی </w:t>
      </w:r>
      <w:r>
        <w:rPr>
          <w:rStyle w:val="FootnoteAnchor"/>
          <w:rtl w:val="true"/>
        </w:rPr>
        <w:footnoteReference w:id="12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فأمّا حملهم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النّبی صلّی اللّه علیه و آله و سلّم فی باب الشّهادة و کونه حجّة فیها،فلم یکن قول النّبی صلّی اللّه علیه و آله و سلّم حجّة من حیث کان شهیدا،بل من حیث کان نبیّا و معصوما،فتشبیه أحد الأمرین بالآخر من البعید</w:t>
      </w:r>
      <w:r>
        <w:rPr>
          <w:rFonts w:eastAsia="IRNazanin" w:cs="IRNazanin"/>
          <w:color w:val="111111"/>
          <w:sz w:val="28"/>
          <w:szCs w:val="28"/>
          <w:rtl w:val="true"/>
          <w:lang w:bidi="fa-IR"/>
        </w:rPr>
        <w:t>.</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ممّا یسقط التّعلیق </w:t>
      </w:r>
      <w:r>
        <w:rPr>
          <w:rStyle w:val="FootnoteAnchor"/>
          <w:rtl w:val="true"/>
        </w:rPr>
        <w:footnoteReference w:id="1294"/>
      </w:r>
      <w:r>
        <w:rPr>
          <w:rFonts w:ascii="Amiri" w:hAnsi="Amiri" w:eastAsia="Amiri" w:cs="Amiri"/>
          <w:color w:val="111111"/>
          <w:sz w:val="28"/>
          <w:sz w:val="28"/>
          <w:szCs w:val="28"/>
          <w:rtl w:val="true"/>
          <w:lang w:bidi="ar-SA"/>
        </w:rPr>
        <w:t>بالآیة أیضا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لِتَکُونُوا شُهَداءَ عَلَی النّاسِ   ،یقتضی حصول کلّ واحد منهم بهذه الصفة،لأنّ ما جری هذا المجری من </w:t>
      </w:r>
    </w:p>
    <w:p>
      <w:pPr>
        <w:pStyle w:val="BookText"/>
        <w:rPr/>
      </w:pPr>
      <w:r>
        <w:rPr>
          <w:rFonts w:ascii="IRNazanin" w:hAnsi="IRNazanin" w:eastAsia="IRNazanin"/>
          <w:color w:val="111111"/>
          <w:sz w:val="28"/>
          <w:sz w:val="28"/>
          <w:szCs w:val="28"/>
          <w:rtl w:val="true"/>
          <w:lang w:bidi="fa-IR"/>
        </w:rPr>
        <w:t>الأوصاف لا بدّ أن یکون حال الواحد فیه کحال الجماعة،أ لا تری أنّه لا یسوغ أن یقال فی جماعة أنّهم مؤمنون إلاّ و کلّ واحد منهم مؤمن،کذلک لا یسوغ أن یقال فی جماعة أنّه شهداء إلاّ و کلّ واحد منهم شهید،لأنّ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جمع شهید،کما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مؤمن،و هذا یوجب أن یکون کلّ واحد من الأمّة حجّة مقطوعا علی صواب فعله و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لم یکن هذا مذهبا لأحد و کان استدلال الخصم بالآیة یوجبه،فسد قولهم و وجب صرف الآیة إلی جماعة یکون کلّ واحد منهم شهیدا و حجّة،و هم الأئمّة علیهم السّلام الّذین قد ثبت عصمتهم و طهارتهم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أنّ الآیة لو تجاوزنا عن جمیع ما ذکرناه فیها،لا یقتضی کون جمیع أقوال الأمّة و أفعالها حجّة،لأنّها غیر مانعة من وقوع الصّغائر الّتی لا تسقط العدالة </w:t>
      </w:r>
      <w:r>
        <w:rPr>
          <w:rStyle w:val="FootnoteAnchor"/>
          <w:rtl w:val="true"/>
        </w:rPr>
        <w:footnoteReference w:id="1295"/>
      </w:r>
      <w:r>
        <w:rPr>
          <w:rFonts w:ascii="IRNazanin" w:hAnsi="IRNazanin" w:eastAsia="IRNazanin"/>
          <w:color w:val="111111"/>
          <w:sz w:val="28"/>
          <w:sz w:val="28"/>
          <w:szCs w:val="28"/>
          <w:rtl w:val="true"/>
          <w:lang w:bidi="fa-IR"/>
        </w:rPr>
        <w:t xml:space="preserve">منهم، فإن أمکن تمییز الصّغائر من غیرها کانوا حجّة فیما قطع علیه،و إن لم یمکن و علم فی الجملة أنّ الخطأ الّذی یکون کبیرا و یؤثّر فی العدالة مأمون منهم و غیر واقع من جهتهم،و أنّ ما عداه مجوّز </w:t>
      </w:r>
      <w:r>
        <w:rPr>
          <w:rStyle w:val="FootnoteAnchor"/>
          <w:rtl w:val="true"/>
        </w:rPr>
        <w:footnoteReference w:id="1296"/>
      </w:r>
      <w:r>
        <w:rPr>
          <w:rFonts w:ascii="IRNazanin" w:hAnsi="IRNazanin" w:eastAsia="IRNazanin"/>
          <w:color w:val="111111"/>
          <w:sz w:val="28"/>
          <w:sz w:val="28"/>
          <w:szCs w:val="28"/>
          <w:rtl w:val="true"/>
          <w:lang w:bidi="fa-IR"/>
        </w:rPr>
        <w:t>علیهم،فسقط بما ذکرناه تعلّق المخالف بالآیة فی نصرة الإجماع</w:t>
      </w:r>
      <w:r>
        <w:rPr>
          <w:rFonts w:eastAsia="IRNazanin" w:cs="IRNazanin"/>
          <w:color w:val="111111"/>
          <w:sz w:val="28"/>
          <w:szCs w:val="28"/>
          <w:rtl w:val="true"/>
          <w:lang w:bidi="fa-IR"/>
        </w:rPr>
        <w:t>.</w:t>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لیس لأحد أن یقول </w:t>
      </w:r>
      <w:r>
        <w:rPr>
          <w:rStyle w:val="FootnoteAnchor"/>
          <w:rtl w:val="true"/>
        </w:rPr>
        <w:footnoteReference w:id="12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کونهم عدولا کالعلّة و السّبب فی کونهم شهداء، و إنّه قد صحّ فی العقل </w:t>
      </w:r>
      <w:r>
        <w:rPr>
          <w:rStyle w:val="FootnoteAnchor"/>
          <w:rtl w:val="true"/>
        </w:rPr>
        <w:footnoteReference w:id="1298"/>
      </w:r>
      <w:r>
        <w:rPr>
          <w:rFonts w:ascii="IRNazanin" w:hAnsi="IRNazanin" w:eastAsia="IRNazanin"/>
          <w:color w:val="111111"/>
          <w:sz w:val="28"/>
          <w:sz w:val="28"/>
          <w:szCs w:val="28"/>
          <w:rtl w:val="true"/>
          <w:lang w:bidi="fa-IR"/>
        </w:rPr>
        <w:t xml:space="preserve">أنّه لا یجوز أن ینصب للشهادة إلاّ من یعلم عدالته،أو تعرف الأمارات </w:t>
      </w:r>
      <w:r>
        <w:rPr>
          <w:rStyle w:val="FootnoteAnchor"/>
          <w:rtl w:val="true"/>
        </w:rPr>
        <w:footnoteReference w:id="1299"/>
      </w:r>
      <w:r>
        <w:rPr>
          <w:rFonts w:ascii="Amiri" w:hAnsi="Amiri" w:eastAsia="Amiri" w:cs="Amiri"/>
          <w:color w:val="111111"/>
          <w:sz w:val="28"/>
          <w:sz w:val="28"/>
          <w:szCs w:val="28"/>
          <w:rtl w:val="true"/>
          <w:lang w:bidi="ar-SA"/>
        </w:rPr>
        <w:t xml:space="preserve">الّتی تقتضی غالب الظّن،و صحّ أنّ من ینصبه لغالب الظّن </w:t>
      </w:r>
      <w:r>
        <w:rPr>
          <w:rStyle w:val="FootnoteAnchor"/>
          <w:rtl w:val="true"/>
        </w:rPr>
        <w:footnoteReference w:id="1300"/>
      </w:r>
      <w:r>
        <w:rPr>
          <w:rFonts w:ascii="IRNazanin" w:hAnsi="IRNazanin" w:eastAsia="IRNazanin"/>
          <w:color w:val="111111"/>
          <w:sz w:val="28"/>
          <w:sz w:val="28"/>
          <w:szCs w:val="28"/>
          <w:rtl w:val="true"/>
          <w:lang w:bidi="fa-IR"/>
        </w:rPr>
        <w:t>إذا تولّی اللّه تعالی نصبه یجب أن یعلم من حاله ما یظنّه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إذا ثبت ذلک،لم یخل من أن یکونوا حجّة فیما یشهدون أو لا یکونوا،فإن لم یکونوا </w:t>
      </w:r>
      <w:r>
        <w:rPr>
          <w:rStyle w:val="FootnoteAnchor"/>
          <w:rtl w:val="true"/>
        </w:rPr>
        <w:footnoteReference w:id="1301"/>
      </w:r>
      <w:r>
        <w:rPr>
          <w:rFonts w:ascii="IRNazanin" w:hAnsi="IRNazanin" w:eastAsia="IRNazanin"/>
          <w:color w:val="111111"/>
          <w:sz w:val="28"/>
          <w:sz w:val="28"/>
          <w:szCs w:val="28"/>
          <w:rtl w:val="true"/>
          <w:lang w:bidi="fa-IR"/>
        </w:rPr>
        <w:t xml:space="preserve">حجّة بطلت شهادتهم لأنّ من حقّ الشّاهد إذا أخبر عمّا یشهد به أن یکون خبره حقّا،و إن لم یجر مجری الشّهادة،فلا بدّ من أن یکون قولهم صحیحا،و لا یکون کذلک إلاّ و هم حجّة،و لیس بعض أقوالهم و أفعالهم بذلک أولی من بعض،و ذلک أنّه لو سلّم لهم جمیع ما ذکروه </w:t>
      </w:r>
      <w:r>
        <w:rPr>
          <w:rStyle w:val="FootnoteAnchor"/>
          <w:rtl w:val="true"/>
        </w:rPr>
        <w:footnoteReference w:id="1302"/>
      </w:r>
      <w:r>
        <w:rPr>
          <w:rFonts w:ascii="IRNazanin" w:hAnsi="IRNazanin" w:eastAsia="IRNazanin"/>
          <w:color w:val="111111"/>
          <w:sz w:val="28"/>
          <w:sz w:val="28"/>
          <w:szCs w:val="28"/>
          <w:rtl w:val="true"/>
          <w:lang w:bidi="fa-IR"/>
        </w:rPr>
        <w:t xml:space="preserve">و لم یلزم أن یکونوا حجّة فی جمیع أقوالهم و أفعالهم، لأنّ أکثر ما تدلّ علیه الآیة فیهم أن یکونوا عدولا رشّحوا </w:t>
      </w:r>
      <w:r>
        <w:rPr>
          <w:rStyle w:val="FootnoteAnchor"/>
          <w:rtl w:val="true"/>
        </w:rPr>
        <w:footnoteReference w:id="1303"/>
      </w:r>
      <w:r>
        <w:rPr>
          <w:rFonts w:ascii="IRNazanin" w:hAnsi="IRNazanin" w:eastAsia="IRNazanin"/>
          <w:color w:val="111111"/>
          <w:sz w:val="28"/>
          <w:sz w:val="28"/>
          <w:szCs w:val="28"/>
          <w:rtl w:val="true"/>
          <w:lang w:bidi="fa-IR"/>
        </w:rPr>
        <w:t>للشّهادة،فالواجب أن ینفی عنهم ما جرح شهادتهم و أثّر فی عدالتهم دون ما لم یکن بهذه المنزلة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کانت الصّغائر علی مذهبهم غیر مخرجة عن العدالة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یجب بمقتضی الآیة نفیها عنهم،و بطل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لیس بعض أقوالهم و أفعالهم بذلک أولی من 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لأنّا قد بیّنا فرق ما بین الأفعال المسقطة للعدالة و الأفعال الّتی لا تسقطها</w:t>
      </w:r>
      <w:r>
        <w:rPr>
          <w:rFonts w:eastAsia="IRNazanin" w:cs="IRNazanin"/>
          <w:color w:val="111111"/>
          <w:sz w:val="28"/>
          <w:szCs w:val="28"/>
          <w:rtl w:val="true"/>
          <w:lang w:bidi="fa-IR"/>
        </w:rPr>
        <w:t>.</w:t>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یقال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لیس الرّسول علیه و آله السّلام مع کونه شهیدا لا یمنع من وقوع الصّغائر منه،فهلا جاز ذلک فی الأمّة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لیس لهم أن یقولوا </w:t>
      </w:r>
      <w:r>
        <w:rPr>
          <w:rStyle w:val="FootnoteAnchor"/>
          <w:rtl w:val="true"/>
        </w:rPr>
        <w:footnoteReference w:id="130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حالهم مخالفة لحال الرّسول </w:t>
      </w:r>
      <w:r>
        <w:rPr>
          <w:rStyle w:val="FootnoteAnchor"/>
          <w:rtl w:val="true"/>
        </w:rPr>
        <w:footnoteReference w:id="1305"/>
      </w:r>
      <w:r>
        <w:rPr>
          <w:rFonts w:ascii="IRNazanin" w:hAnsi="IRNazanin" w:eastAsia="IRNazanin"/>
          <w:color w:val="111111"/>
          <w:sz w:val="28"/>
          <w:sz w:val="28"/>
          <w:szCs w:val="28"/>
          <w:rtl w:val="true"/>
          <w:lang w:bidi="fa-IR"/>
        </w:rPr>
        <w:t xml:space="preserve">،لأنّه ما نجوّزه علیه من الصّغائر لا یخرج ما یؤدّیه عن اللّه تعالی ممّا هو الحجّة فیه من أن یکون متمیّزا، فیصحّ کونه حجّة،و لیس کذلک لو جوّزنا علی الأمّة الخطأ فی بعض ما تقوله و تفعله لأنّ ذلک یوجب خروج کلّ ما یجمع علیه </w:t>
      </w:r>
      <w:r>
        <w:rPr>
          <w:rStyle w:val="FootnoteAnchor"/>
          <w:rtl w:val="true"/>
        </w:rPr>
        <w:footnoteReference w:id="1306"/>
      </w:r>
      <w:r>
        <w:rPr>
          <w:rFonts w:ascii="IRNazanin" w:hAnsi="IRNazanin" w:eastAsia="IRNazanin"/>
          <w:color w:val="111111"/>
          <w:sz w:val="28"/>
          <w:sz w:val="28"/>
          <w:szCs w:val="28"/>
          <w:rtl w:val="true"/>
          <w:lang w:bidi="fa-IR"/>
        </w:rPr>
        <w:t xml:space="preserve">من أن یکون حجّة،لأنّ الطّریقة فی الجمع </w:t>
      </w:r>
      <w:r>
        <w:rPr>
          <w:rStyle w:val="FootnoteAnchor"/>
          <w:rtl w:val="true"/>
        </w:rPr>
        <w:footnoteReference w:id="1307"/>
      </w:r>
      <w:r>
        <w:rPr>
          <w:rFonts w:ascii="IRNazanin" w:hAnsi="IRNazanin" w:eastAsia="IRNazanin"/>
          <w:color w:val="111111"/>
          <w:sz w:val="28"/>
          <w:sz w:val="28"/>
          <w:szCs w:val="28"/>
          <w:rtl w:val="true"/>
          <w:lang w:bidi="fa-IR"/>
        </w:rPr>
        <w:t xml:space="preserve">واحدة،فیسقط بما ذکرناه،لأنه إذا کان تجویز الصّغائر علی الرّسول </w:t>
      </w:r>
      <w:r>
        <w:rPr>
          <w:rStyle w:val="FootnoteAnchor"/>
          <w:rtl w:val="true"/>
        </w:rPr>
        <w:footnoteReference w:id="1308"/>
      </w:r>
      <w:r>
        <w:rPr>
          <w:rFonts w:ascii="IRNazanin" w:hAnsi="IRNazanin" w:eastAsia="IRNazanin"/>
          <w:color w:val="111111"/>
          <w:sz w:val="28"/>
          <w:sz w:val="28"/>
          <w:szCs w:val="28"/>
          <w:rtl w:val="true"/>
          <w:lang w:bidi="fa-IR"/>
        </w:rPr>
        <w:t xml:space="preserve">لا یخرجه فیما یؤدّیه من أن یکون حجّة و یتمیّز ذلک للمکلّف،فکذلک إذا کانت الآیة ممّا تقتضی کون الأمّة عدولا فیجب نفی ما أثّر فی عدالتهم،و القطع علی انتفاء </w:t>
      </w:r>
      <w:r>
        <w:rPr>
          <w:rStyle w:val="FootnoteAnchor"/>
          <w:rtl w:val="true"/>
        </w:rPr>
        <w:footnoteReference w:id="1309"/>
      </w:r>
      <w:r>
        <w:rPr>
          <w:rFonts w:ascii="IRNazanin" w:hAnsi="IRNazanin" w:eastAsia="IRNazanin"/>
          <w:color w:val="111111"/>
          <w:sz w:val="28"/>
          <w:sz w:val="28"/>
          <w:szCs w:val="28"/>
          <w:rtl w:val="true"/>
          <w:lang w:bidi="fa-IR"/>
        </w:rPr>
        <w:t xml:space="preserve">الکبیر من المعاصی </w:t>
      </w:r>
      <w:r>
        <w:rPr>
          <w:rStyle w:val="FootnoteAnchor"/>
          <w:rtl w:val="true"/>
        </w:rPr>
        <w:footnoteReference w:id="1310"/>
      </w:r>
      <w:r>
        <w:rPr>
          <w:rFonts w:ascii="IRNazanin" w:hAnsi="IRNazanin" w:eastAsia="IRNazanin"/>
          <w:color w:val="111111"/>
          <w:sz w:val="28"/>
          <w:sz w:val="28"/>
          <w:szCs w:val="28"/>
          <w:rtl w:val="true"/>
          <w:lang w:bidi="fa-IR"/>
        </w:rPr>
        <w:t xml:space="preserve">عنهم،و تجویز ما عدا هذا علیهم،و لا یخرج </w:t>
      </w:r>
      <w:r>
        <w:rPr>
          <w:rStyle w:val="FootnoteAnchor"/>
          <w:rtl w:val="true"/>
        </w:rPr>
        <w:footnoteReference w:id="1311"/>
      </w:r>
      <w:r>
        <w:rPr>
          <w:rFonts w:ascii="IRNazanin" w:hAnsi="IRNazanin" w:eastAsia="IRNazanin"/>
          <w:color w:val="111111"/>
          <w:sz w:val="28"/>
          <w:sz w:val="28"/>
          <w:szCs w:val="28"/>
          <w:rtl w:val="true"/>
          <w:lang w:bidi="fa-IR"/>
        </w:rPr>
        <w:t>هذا التّجویز من أن یکونوا حجّة،فیما لو کان خطأ لکان کبیرا</w:t>
      </w:r>
      <w:r>
        <w:rPr>
          <w:rFonts w:eastAsia="IRNazanin" w:cs="IRNazanin"/>
          <w:color w:val="111111"/>
          <w:sz w:val="28"/>
          <w:szCs w:val="28"/>
          <w:rtl w:val="true"/>
          <w:lang w:bidi="fa-IR"/>
        </w:rPr>
        <w:t>.</w:t>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یصحّ تمییز ذلک علی وجه،فإنّ فی المعاصی ما یقطع علی کونها کبائر، و لو لم یکن إلی تمییزه سبیل لصحّ الکلام أیضا من حیث کان الواجب علینا اعتقاد نفی الکبائر عنهم و تجویز الصّغائر،و أنّ شهادتهم بما لو لم یکن حقّا لکانت الشّهادة به کبیرة لا تقع منهم،و إن جاز وقوع ما لم یبلغ هذه المنزلة،و یکون هذا الاعتقاد مما یجب علینا علی سبیل الجملة،و إن تعذّر علینا تفصیل أفعالهم </w:t>
      </w:r>
      <w:r>
        <w:rPr>
          <w:rStyle w:val="FootnoteAnchor"/>
          <w:rtl w:val="true"/>
        </w:rPr>
        <w:footnoteReference w:id="1312"/>
      </w:r>
      <w:r>
        <w:rPr>
          <w:rFonts w:ascii="IRNazanin" w:hAnsi="IRNazanin" w:eastAsia="IRNazanin"/>
          <w:color w:val="111111"/>
          <w:sz w:val="28"/>
          <w:sz w:val="28"/>
          <w:szCs w:val="28"/>
          <w:rtl w:val="true"/>
          <w:lang w:bidi="fa-IR"/>
        </w:rPr>
        <w:t xml:space="preserve">الّتی یکونون فیها </w:t>
      </w:r>
    </w:p>
    <w:p>
      <w:pPr>
        <w:pStyle w:val="BookText"/>
        <w:rPr/>
      </w:pPr>
      <w:r>
        <w:rPr>
          <w:rFonts w:ascii="Amiri" w:hAnsi="Amiri" w:eastAsia="Amiri" w:cs="Amiri"/>
          <w:color w:val="111111"/>
          <w:sz w:val="28"/>
          <w:sz w:val="28"/>
          <w:szCs w:val="28"/>
          <w:rtl w:val="true"/>
          <w:lang w:bidi="ar-SA"/>
        </w:rPr>
        <w:t xml:space="preserve">حجّة مما خالفها </w:t>
      </w:r>
      <w:r>
        <w:rPr>
          <w:rStyle w:val="FootnoteAnchor"/>
          <w:rtl w:val="true"/>
        </w:rPr>
        <w:footnoteReference w:id="1313"/>
      </w:r>
      <w:r>
        <w:rPr>
          <w:rFonts w:ascii="IRNazanin" w:hAnsi="IRNazanin" w:eastAsia="IRNazanin"/>
          <w:color w:val="111111"/>
          <w:sz w:val="28"/>
          <w:sz w:val="28"/>
          <w:szCs w:val="28"/>
          <w:rtl w:val="true"/>
          <w:lang w:bidi="fa-IR"/>
        </w:rPr>
        <w:t>لا سیّما و شهادتهم لیست عندنا،فیجب علینا تمییز خطأهم من صوابهم،و إنّما هی عند اللّه تعالی،و إذا کانت عنده جاز أن یکون الواجب علینا هذا الاعتقاد الّذی ذکرناه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قیل </w:t>
      </w:r>
      <w:r>
        <w:rPr>
          <w:rStyle w:val="FootnoteAnchor"/>
          <w:rtl w:val="true"/>
        </w:rPr>
        <w:footnoteReference w:id="13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المراد بالآیة الشّهادة فی الآخرة،و إنّما هو القول بالحقّ و الإخبار بالصّدق 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 اللّهُ أَنَّهُ لا إِلهَ إِلاّ هُوَ وَ الْمَلائِکَةُ وَ أُولُوا الْعِلْمِ  </w:t>
      </w:r>
      <w:r>
        <w:rPr>
          <w:rStyle w:val="FootnoteAnchor"/>
          <w:rtl w:val="true"/>
        </w:rPr>
        <w:footnoteReference w:id="1315"/>
      </w:r>
      <w:r>
        <w:rPr>
          <w:rFonts w:ascii="IRNazanin" w:hAnsi="IRNazanin" w:eastAsia="IRNazanin"/>
          <w:color w:val="111111"/>
          <w:sz w:val="28"/>
          <w:sz w:val="28"/>
          <w:szCs w:val="28"/>
          <w:rtl w:val="true"/>
          <w:lang w:bidi="fa-IR"/>
        </w:rPr>
        <w:t>و کلّ من قال حقّا فهو شاهد به،و لیس هذا من باب الشّهادة الّتی تؤدّی أو تتحمّل بسبیل،و إن کانوا مع شهادتهم بالحقّ یشهدون فی الآخرة بأعمال العباد، فیجب فی کلّ ما أجمعوا علیه قولا أن یکون حقّا،و فعلهم یقوم مقام قولهم،فیجب أن یکون هذا حاله،لأنّهم إذا أجمعوا علی الشّیء فعلا و أظهروه إظهار ما یعتقد أنّه حقّ حلّ محلّ الخبر،و هذا یوجب أنّه لا فرق بین الصّغیر و الکبیر فی هذا الباب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غیر مؤثّر فیما قدحنا به فی الاستدلال بالآیة،لأنّ التّعلّق فی </w:t>
      </w:r>
      <w:r>
        <w:rPr>
          <w:rStyle w:val="FootnoteAnchor"/>
          <w:rtl w:val="true"/>
        </w:rPr>
        <w:footnoteReference w:id="1316"/>
      </w:r>
      <w:r>
        <w:rPr>
          <w:rFonts w:ascii="IRNazanin" w:hAnsi="IRNazanin" w:eastAsia="IRNazanin"/>
          <w:color w:val="111111"/>
          <w:sz w:val="28"/>
          <w:sz w:val="28"/>
          <w:szCs w:val="28"/>
          <w:rtl w:val="true"/>
          <w:lang w:bidi="fa-IR"/>
        </w:rPr>
        <w:t>الآیة إنّما هو بکونهم عدولا لا بلفظ الشّهادة،لأنّ التّعلّق لو کان بالشّهادة لم یکن فی الکلام شبهة من حیث کانت الشّهادة لا تدلّ بنفسها علی کونها حجّة کما تدلّ العدالة</w:t>
      </w:r>
      <w:r>
        <w:rPr>
          <w:rFonts w:eastAsia="IRNazanin" w:cs="IRNazanin"/>
          <w:color w:val="111111"/>
          <w:sz w:val="28"/>
          <w:szCs w:val="28"/>
          <w:rtl w:val="true"/>
          <w:lang w:bidi="fa-IR"/>
        </w:rPr>
        <w:t>.</w:t>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لو تعلّق متعلّق بکونهم شهودا و یذکر شهادتهم،لم نجد بدّا من اعتبار العدالة و الرّجوع إلیها،و إذا کانت الصّغائر لا تؤثّر فی العدالة و لا یمتنع وقوعها علی مذهب المعتزلة </w:t>
      </w:r>
      <w:r>
        <w:rPr>
          <w:rStyle w:val="FootnoteAnchor"/>
          <w:rtl w:val="true"/>
        </w:rPr>
        <w:footnoteReference w:id="1317"/>
      </w:r>
      <w:r>
        <w:rPr>
          <w:rFonts w:ascii="IRNazanin" w:hAnsi="IRNazanin" w:eastAsia="IRNazanin"/>
          <w:color w:val="111111"/>
          <w:sz w:val="28"/>
          <w:sz w:val="28"/>
          <w:szCs w:val="28"/>
          <w:rtl w:val="true"/>
          <w:lang w:bidi="fa-IR"/>
        </w:rPr>
        <w:t xml:space="preserve">من العدل المقبول الشّهادة،فما الموجب من الآیة نفیها عن الأمّة؟،و لا فرق فیما ذکرناه بین أن یکونوا شهداء فی الدنیا و الآخرة معا،و بین أن یکونوا شهداء </w:t>
      </w:r>
    </w:p>
    <w:p>
      <w:pPr>
        <w:pStyle w:val="BookText"/>
        <w:rPr/>
      </w:pPr>
      <w:r>
        <w:rPr>
          <w:rFonts w:ascii="IRNazanin" w:hAnsi="IRNazanin" w:eastAsia="IRNazanin"/>
          <w:color w:val="111111"/>
          <w:sz w:val="28"/>
          <w:sz w:val="28"/>
          <w:szCs w:val="28"/>
          <w:rtl w:val="true"/>
          <w:lang w:bidi="fa-IR"/>
        </w:rPr>
        <w:t xml:space="preserve">فی الآخرة دون الدّنیا </w:t>
      </w:r>
      <w:r>
        <w:rPr>
          <w:rStyle w:val="FootnoteAnchor"/>
          <w:rtl w:val="true"/>
        </w:rPr>
        <w:footnoteReference w:id="13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استدلّوا أیضا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کُنْتُمْ خَیْرَ أُمَّةٍ أُخْرِجَتْ لِلنّاسِ تَأْمُرُونَ بِالْمَعْرُوفِ وَ تَنْهَوْنَ عَنِ الْمُنْکَرِ  </w:t>
      </w:r>
      <w:r>
        <w:rPr>
          <w:rStyle w:val="FootnoteAnchor"/>
          <w:rtl w:val="true"/>
        </w:rPr>
        <w:footnoteReference w:id="13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وصف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الأمّة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تأمر بالمعروف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تنهی عن المنکر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یجوز أن یقع منها خطأ،لأنّ ذلک یخرجها من کونها خیارا، و یخرجها أیضا من کونها آمرة بالمعروف و ناهیة عن المنکر،إلاّ أن تکون آمرة بالمنکر و ناهیة عن المعروف،و لا ملجأ من ذلک إلاّ بالامتناع من وقوع شیء من القبائح من جهتهم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الکلام علی هذا الدّلیل مثل الکلام علی الآیة الّتی ذکرناها قبل هذه الآیة علی حدّ واحد من المنازعة فی أن تکون لفظة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تستحقّ الجمع و الشّمول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مع التّسلیم أنّها تشتمل جمیع أهل الأعصار دون أهل کلّ عصر،و فی أنّها لا یجوز أن یوصفوا بأنّهم خیار إلاّ و کلّ واحد منهم بهذه الصّفة،و فی أنّ أکثر ما تقتضیه الآیة أن لا یقع منهم ما یخرجهم من کونهم خیارا من الکبائر،و لا یجب من ذلک إلاّ یقع منهم الصّغیر الّذی یتحبّط </w:t>
      </w:r>
      <w:r>
        <w:rPr>
          <w:rStyle w:val="FootnoteAnchor"/>
          <w:rtl w:val="true"/>
        </w:rPr>
        <w:footnoteReference w:id="1320"/>
      </w:r>
      <w:r>
        <w:rPr>
          <w:rFonts w:ascii="IRNazanin" w:hAnsi="IRNazanin" w:eastAsia="IRNazanin"/>
          <w:color w:val="111111"/>
          <w:sz w:val="28"/>
          <w:sz w:val="28"/>
          <w:szCs w:val="28"/>
          <w:rtl w:val="true"/>
          <w:lang w:bidi="fa-IR"/>
        </w:rPr>
        <w:t>عقابه،و لا یخرجهم من کونهم بهذه الصّفة،فالکلام فی الآیتین علی حدّ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یقال فی هذه الآیة و فی الّتی تقدّمت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المراد بها قوم معیّنون لما یتضمّنان من حرف الإشارة فی المخاطبین،و لیس فیهما ما یقتضی لفظ العموم،لأنّ ألفاظ العموم معلومة،و لیس فیهما شیء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رجعوا إلی أن یقولوا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المراد به ما دون الاستغراق لبیّن</w:t>
      </w:r>
      <w:r>
        <w:rPr>
          <w:rFonts w:eastAsia="IRNazanin" w:cs="IRNazanin"/>
          <w:color w:val="111111"/>
          <w:sz w:val="28"/>
          <w:szCs w:val="28"/>
          <w:rtl w:val="true"/>
          <w:lang w:bidi="fa-IR"/>
        </w:rPr>
        <w:t>.</w:t>
      </w:r>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لو کان المراد بها الاستغراق لبیّن،و إذا تقابل القولان سقط </w:t>
      </w:r>
    </w:p>
    <w:p>
      <w:pPr>
        <w:pStyle w:val="BookText"/>
        <w:rPr/>
      </w:pPr>
      <w:r>
        <w:rPr>
          <w:rFonts w:ascii="IRNazanin" w:hAnsi="IRNazanin" w:eastAsia="IRNazanin"/>
          <w:color w:val="111111"/>
          <w:sz w:val="28"/>
          <w:sz w:val="28"/>
          <w:szCs w:val="28"/>
          <w:rtl w:val="true"/>
          <w:lang w:bidi="fa-IR"/>
        </w:rPr>
        <w:t>الاحتجاج بالآیة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 ما یسأل عن هذه الطّعون فقد مضی الجواب عنه فی الآیة المتقدّمة فلا وجه لتکراره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استدلّوا أیضا بقوله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اتَّبِعْ سَبِیلَ مَنْ أَنابَ إِلَیَّ   </w:t>
      </w:r>
      <w:r>
        <w:rPr>
          <w:rStyle w:val="FootnoteAnchor"/>
          <w:rtl w:val="true"/>
        </w:rPr>
        <w:footnoteReference w:id="13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فأوجب اللّه تعالی اتّباع سبیل من أناب إلیه و هم المؤمنون،لأنّهم هم المختصّون بهذه الطّریقة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الکلام فی هذه الآیة کالکلام فی الآیة </w:t>
      </w:r>
      <w:r>
        <w:rPr>
          <w:rStyle w:val="FootnoteAnchor"/>
          <w:rtl w:val="true"/>
        </w:rPr>
        <w:footnoteReference w:id="1322"/>
      </w:r>
      <w:r>
        <w:rPr>
          <w:rFonts w:ascii="IRNazanin" w:hAnsi="IRNazanin" w:eastAsia="IRNazanin"/>
          <w:color w:val="111111"/>
          <w:sz w:val="28"/>
          <w:sz w:val="28"/>
          <w:szCs w:val="28"/>
          <w:rtl w:val="true"/>
          <w:lang w:bidi="fa-IR"/>
        </w:rPr>
        <w:t xml:space="preserve">المتقدّمة،و أکثر ما اعترضنا به علیها فهو اعتراض علی هذه الآیة أیضا </w:t>
      </w:r>
      <w:r>
        <w:rPr>
          <w:rStyle w:val="FootnoteAnchor"/>
          <w:rtl w:val="true"/>
        </w:rPr>
        <w:footnoteReference w:id="13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ممّا یخصّ بهذه </w:t>
      </w:r>
      <w:r>
        <w:rPr>
          <w:rStyle w:val="FootnoteAnchor"/>
          <w:rtl w:val="true"/>
        </w:rPr>
        <w:footnoteReference w:id="1324"/>
      </w:r>
      <w:r>
        <w:rPr>
          <w:rFonts w:ascii="IRNazanin" w:hAnsi="IRNazanin" w:eastAsia="IRNazanin"/>
          <w:color w:val="111111"/>
          <w:sz w:val="28"/>
          <w:sz w:val="28"/>
          <w:szCs w:val="28"/>
          <w:rtl w:val="true"/>
          <w:lang w:bidi="fa-IR"/>
        </w:rPr>
        <w:t>الآیة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حقیقتها فی اللّغة هی الرّجوع </w:t>
      </w:r>
      <w:r>
        <w:rPr>
          <w:rStyle w:val="FootnoteAnchor"/>
          <w:rtl w:val="true"/>
        </w:rPr>
        <w:footnoteReference w:id="1325"/>
      </w:r>
      <w:r>
        <w:rPr>
          <w:rFonts w:ascii="IRNazanin" w:hAnsi="IRNazanin" w:eastAsia="IRNazanin"/>
          <w:color w:val="111111"/>
          <w:sz w:val="28"/>
          <w:sz w:val="28"/>
          <w:szCs w:val="28"/>
          <w:rtl w:val="true"/>
          <w:lang w:bidi="fa-IR"/>
        </w:rPr>
        <w:t>،و إنّما یستعمل فی التّائب من حیث رجع عن المعصیة إلی الطّاعة،و لیس یصحّ إجراؤها علی المتمسّک بطریقة واحدة لم یرجع إلیها من غیرها علی سبیل الحقیقة،و لو استعمل فیمن ذکرناه لکان مستعملها متجوّزا عند جمیع أهل اللّغة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کانت حقیقة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اللّغة هی الرّجوع لم یصحّ إجراء قوله تعالی</w:t>
      </w:r>
      <w:r>
        <w:rPr>
          <w:rFonts w:eastAsia="IRNazanin" w:cs="IRNazanin"/>
          <w:color w:val="111111"/>
          <w:sz w:val="28"/>
          <w:szCs w:val="28"/>
          <w:rtl w:val="true"/>
          <w:lang w:bidi="fa-IR"/>
        </w:rPr>
        <w:t>:</w:t>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اتَّبِعْ سَبِیلَ مَنْ أَنابَ   </w:t>
      </w:r>
      <w:r>
        <w:rPr>
          <w:rStyle w:val="FootnoteAnchor"/>
          <w:rtl w:val="true"/>
        </w:rPr>
        <w:footnoteReference w:id="1326"/>
      </w:r>
      <w:r>
        <w:rPr>
          <w:rFonts w:ascii="IRNazanin" w:hAnsi="IRNazanin" w:eastAsia="IRNazanin"/>
          <w:color w:val="111111"/>
          <w:sz w:val="28"/>
          <w:sz w:val="28"/>
          <w:szCs w:val="28"/>
          <w:rtl w:val="true"/>
          <w:lang w:bidi="fa-IR"/>
        </w:rPr>
        <w:t xml:space="preserve">علی جمیع المؤمنین حتّی یعمّ بها من کان متمسّکا بالإیمان و غیر خارج عن غیره إلیه،و من رجع إلی اعتقاده و أناب إلیه بعد أن کان علی غیره،لأنّا لو فعلنا ذلک لکنّا عادلین باللّفظة عن حقیقتها من غیر ضرورة،فالواجب أن یکون ظاهرها متناولا للتّائبین من المؤمنین الّذین أنابوا إلی الإیمان و فارقوا غیره،و إذا </w:t>
      </w:r>
    </w:p>
    <w:p>
      <w:pPr>
        <w:pStyle w:val="BookText"/>
        <w:rPr/>
      </w:pPr>
      <w:r>
        <w:rPr>
          <w:rFonts w:ascii="IRNazanin" w:hAnsi="IRNazanin" w:eastAsia="IRNazanin"/>
          <w:color w:val="111111"/>
          <w:sz w:val="28"/>
          <w:sz w:val="28"/>
          <w:szCs w:val="28"/>
          <w:rtl w:val="true"/>
          <w:lang w:bidi="fa-IR"/>
        </w:rPr>
        <w:t xml:space="preserve">تناولت هذا </w:t>
      </w:r>
      <w:r>
        <w:rPr>
          <w:rStyle w:val="FootnoteAnchor"/>
          <w:rtl w:val="true"/>
        </w:rPr>
        <w:footnoteReference w:id="1327"/>
      </w:r>
      <w:r>
        <w:rPr>
          <w:rFonts w:ascii="IRNazanin" w:hAnsi="IRNazanin" w:eastAsia="IRNazanin"/>
          <w:color w:val="111111"/>
          <w:sz w:val="28"/>
          <w:sz w:val="28"/>
          <w:szCs w:val="28"/>
          <w:rtl w:val="true"/>
          <w:lang w:bidi="fa-IR"/>
        </w:rPr>
        <w:t xml:space="preserve">لم تکن دلالة علی مکان الخلاف بیننا و بین خصومنا فی الإجماع </w:t>
      </w:r>
      <w:r>
        <w:rPr>
          <w:rStyle w:val="FootnoteAnchor"/>
          <w:rtl w:val="true"/>
        </w:rPr>
        <w:footnoteReference w:id="13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استدلّوا أیضا بقوله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تَنازَعْتُمْ فِی شَیْءٍ فَرُدُّوهُ إِلَی اللّهِ وَ الرَّسُولِ  </w:t>
      </w:r>
      <w:r>
        <w:rPr>
          <w:rStyle w:val="FootnoteAnchor"/>
          <w:rtl w:val="true"/>
        </w:rPr>
        <w:footnoteReference w:id="13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فأوجب علینا الرّدّ إلی الکتاب و السّنّة عند التّنازع،فیجب إذا ارتفع التّنازع ألاّ یجب الرّدّ،و لا یسقط وجوب الرّد إلیهما إلاّ لکونه حجّة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الکلام علی هذه الآیة من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هذا خطاب لجماعة مواجهین بالخطاب،و لیس فیها لفظ یقتضی الاستغراق لجمیع الأمّة،و إذا لم یکن فیها ذلک لم یکن لأحد أن یحملها علی الاستغراق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لهم أن یقولوا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نحملها علی الجمیع لفقد الدّلالة علی أنّ المراد به الأقلّ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 لقائل 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نحملها علی الأقلّ لفقد الدّلالة علی أنّ المراد بها الاستغراق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أکثر ما فی الآیة أن تفید أنّ عند وجود التّنازع یجب الرّدّ إلی الکتاب و السّنّة،و لیس فیها ذکر ما یرتفع التنازع فیه إلاّ من حیث دلیل الخطاب الّذی أکثر من خالفنا یبطله،و فرّق من فرّق بین تعلیق الحکم بالصّفة و بینه إذا علّق بشرط فاسد لما بیّناه فیما تقدّم من هذا الکتاب</w:t>
      </w:r>
      <w:r>
        <w:rPr>
          <w:rFonts w:eastAsia="IRNazanin" w:cs="IRNazanin"/>
          <w:color w:val="111111"/>
          <w:sz w:val="28"/>
          <w:szCs w:val="28"/>
          <w:rtl w:val="true"/>
          <w:lang w:bidi="fa-IR"/>
        </w:rPr>
        <w:t>.</w:t>
      </w:r>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ثالثها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ما یرتفع التّنازع فیه لا بدّ من أن یکون مردودا إلی الکتاب و السّنّة، لأنّهم لا یجمعون إلاّ عن دلیل،و لا یخلو ذلک الدّلیل من الکتاب و السّنّة،فکأنّهم فی حال وجود التّنازع یجب علیهم الردّ و عند ارتفاعه یکون قد ردّوا،فلا فرق بین وجود التّنازع و بین ارتفاعه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رابعها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المراد بالآیة أنّه یجب الرّدّ إلی الکتاب و السّنّة فیما طریقة العلم، لأنّه لو کان فیما طریقه العمل و کان المنازعون مجتهدین فیما تنازعوا فیه لم یجب علیهم الرّدّ،و إنّما یجب علیهم الرّد علی کلّ حال إذا کان ما اختلفوا فیه لا یسوغ الخلاف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جملة کافیة فی إبطال التّعلّق بهذه الآیة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استدلّ بعضهم علی صحّة الإجماع بقوله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مِمَّنْ خَلَقْنا أُمَّةٌ یَهْدُونَ بِالْحَقِّ وَ بِهِ یَعْدِلُونَ   </w:t>
      </w:r>
      <w:r>
        <w:rPr>
          <w:rStyle w:val="FootnoteAnchor"/>
          <w:rtl w:val="true"/>
        </w:rPr>
        <w:footnoteReference w:id="13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فأخبر اللّه تعالی أنّ فیمن خلق أمّة تهدی بالحقّ،و هذا یؤمننا من اجتماعهم علی ضلال و کفر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الکلام علی هذه الآیة أیضا من وجوه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أخبر عمّن خلق فیما مضی لأنّ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خَلَقْنا   یفید المضی فی الأزمان،فمن أین لهم أنّ ذلک حکمهم فی المستقبل من الزّمان؟ و لیس لهم أن یقولوا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یَهْدُونَ بِالْحَقِّ   یفید الاستقبال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ذلک أنّ هذه اللّفظة تصلح للحال و الاستقبال،و إذا صلحت لذلک فلا یمتنع أن یکون أرید بها الحال،فکأنّه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ممّن خلقنا أمّة هادیة بالحقّ عادلة به</w:t>
      </w:r>
      <w:r>
        <w:rPr>
          <w:rFonts w:eastAsia="IRNazanin" w:cs="IRNazanin"/>
          <w:color w:val="111111"/>
          <w:sz w:val="28"/>
          <w:szCs w:val="28"/>
          <w:rtl w:val="true"/>
          <w:lang w:bidi="fa-IR"/>
        </w:rPr>
        <w:t>).</w:t>
      </w:r>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ثانیها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أُمَّةٌ  یقع علی الواحد و علی جماعة،و یقع علی جمیع الأمّة علی وجه الاستغراق،أ لا تری أنّ اللّه تعالی وصف إبراهیم علیه السّلام بأنّه کان أمّة و هو واحد،و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وَرَدَ ماءَ مَدْیَنَ وَجَدَ عَلَیْهِ أُمَّةً مِنَ النّاسِ   </w:t>
      </w:r>
      <w:r>
        <w:rPr>
          <w:rStyle w:val="FootnoteAnchor"/>
          <w:rtl w:val="true"/>
        </w:rPr>
        <w:footnoteReference w:id="1331"/>
      </w:r>
      <w:r>
        <w:rPr>
          <w:rFonts w:ascii="IRNazanin" w:hAnsi="IRNazanin" w:eastAsia="IRNazanin"/>
          <w:color w:val="111111"/>
          <w:sz w:val="28"/>
          <w:sz w:val="28"/>
          <w:szCs w:val="28"/>
          <w:rtl w:val="true"/>
          <w:lang w:bidi="fa-IR"/>
        </w:rPr>
        <w:t>أرید به جماعة،و إذا کان الأمر علی ذلک فمن أین للخصم أنّ المراد به جمیع الأمّة؟ و ثالثها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لا یمتنع أن یکون أراد اللّه تعالی بقوله أمّة النّبی صلّی اللّه علیه و آله و سلّم أو من یجری قوله مجری قول النّبی صلّی اللّه علیه و آله و سلّم فی کونه حجّة </w:t>
      </w:r>
    </w:p>
    <w:p>
      <w:pPr>
        <w:pStyle w:val="BookText"/>
        <w:rPr/>
      </w:pPr>
      <w:r>
        <w:rPr>
          <w:rFonts w:ascii="IRNazanin" w:hAnsi="IRNazanin" w:eastAsia="IRNazanin"/>
          <w:color w:val="111111"/>
          <w:sz w:val="28"/>
          <w:sz w:val="28"/>
          <w:szCs w:val="28"/>
          <w:rtl w:val="true"/>
          <w:lang w:bidi="fa-IR"/>
        </w:rPr>
        <w:t>و موجبا للعلم،و إذا احتمل ذلک لم یکن للخصم الاحتجاج بالآیة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استدلّوا أیضا علی صحّة الإجماع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روی عن النّبی صلّی اللّه علیه و آله و سلّم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تجتمع أمّتی علی خطأ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بلفظ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 اللّه لیجمع أمّتی علی الخطأ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کونوا مع الجماعة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 اللّه علی الجماعة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أشبه ذلک من الألفاظ</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الأخبار لا یصحّ التّعلّق بها،لأنّها کلّها أخبار آحاد لا توجب علما،و هذه مسألة طریقها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لهم أن یقولوا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الأمّة قد تلقّتها بالقبول و عملت 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لأنّا أوّلا نسلّم أنّ الأمّة کلّها تلقّتها بالقبول</w:t>
      </w:r>
      <w:r>
        <w:rPr>
          <w:rFonts w:eastAsia="Amiri" w:cs="Amiri" w:ascii="Amiri" w:hAnsi="Amiri"/>
          <w:color w:val="111111"/>
          <w:sz w:val="28"/>
          <w:szCs w:val="28"/>
          <w:rtl w:val="true"/>
          <w:lang w:bidi="ar-SA"/>
        </w:rPr>
        <w:t>.</w:t>
      </w:r>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سلّمنا ذلک لم یکن أیضا فیها حجّة،لأنّ کلامنا فی صحّة الإجماع الّذی لا یثبت إلاّ بعد ثبوت الخبر،و الخبر لا یصحّ حتّی یثبت أنّهم لا یجمعون علی خطأ</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لیس لهم أن یقولوا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قد عملوا بهذه الأخبار و عوّلوا فی صحّة الإجماع علیها فی کلّ 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جرت عادتهم ألا یقبلوا ما جری هذا المجری و لا یعملوا به،إلاّ إذا کان قاطعا لعذرهم لأنّا أوّلا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نسلّم أنّهم استدلّوا علی صحّة الإجماع بهذه الأخبار،و لا یمتنع أن یکونوا اعتمدوا فی صحّة الإجماع علی الآیات الّتی ذکرناها و إن کانوا مخطئین فی صحّة الاستدلال بها،فمن أین أنّهم استدلّوا بها علی صحّة الإجماع؟ و لو سلّم لهم أنّهم استدلّوا،جاز أن یکونوا مخطئین فی الاستدلال بها،و یکونوا اعتقدوا أنّها قاطعة للعذر،و إن لم یکن کذلک لضرب من الشّبهة دخلت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ما جرت عادتهم فیما یجری هذا المجری أن یقبلوا إلاّ الصّحیح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سلّمنا غایة ما یقترحونه لم یکن فیه أکثر من أن لا یستدلّوا إلاّ بما یعتقدون صحّته،و أنّه طریق للعلم،فمن أین أنّ ما اعتقدوه صحیح؟و ذلک لا یثبت إلاّ بعد صحّة الخبر أو غیره من الأدلّة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سلّم من جمیع ذلک،لجاز أن یحمل الخبر علی طائفة من الأمّة و هم الأئمّة من آل محمّد علیهم السّلام لأنّ لفظة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یفید الاستغراق علی ما مضی القول فیه،و ذلک أولی من حیث دلّت الدّلالة علی عصمتهم من القبائح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حمله علی جمیع الأمّة لفقد الدّلالة علی أنّ المراد بعض الأمّة</w:t>
      </w:r>
      <w:r>
        <w:rPr>
          <w:rFonts w:eastAsia="IRNazanin" w:cs="IRNazanin"/>
          <w:color w:val="111111"/>
          <w:sz w:val="28"/>
          <w:szCs w:val="28"/>
          <w:rtl w:val="true"/>
          <w:lang w:bidi="fa-IR"/>
        </w:rPr>
        <w:t>.</w:t>
      </w:r>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لغیرهم 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أحمل الخبر علی جمیع الأمّة من لدن النّبی إلی أن تقوم السّاعة من حیث أنّ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یشملهم و یتناولهم،فمن أین أنّ إجماع کلّ عصر حجّة؟ علی أنّه قد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الخبر الأوّل لا یمتنع أن یکون راویه سمع من النّبی صلّی اللّه علیه و آله و سلّم مجزوما،و یکون المراد النّهی لهم عن أن یجمعوا علی خطأ، و لیس من عادة أصحاب الحدیث ضبط الإعراب فیما یجری هذا المجری،و إذا کان </w:t>
      </w:r>
    </w:p>
    <w:p>
      <w:pPr>
        <w:pStyle w:val="BookText"/>
        <w:rPr/>
      </w:pPr>
      <w:r>
        <w:rPr>
          <w:rFonts w:ascii="IRNazanin" w:hAnsi="IRNazanin" w:eastAsia="IRNazanin"/>
          <w:color w:val="111111"/>
          <w:sz w:val="28"/>
          <w:sz w:val="28"/>
          <w:szCs w:val="28"/>
          <w:rtl w:val="true"/>
          <w:lang w:bidi="fa-IR"/>
        </w:rPr>
        <w:t>ذلک محتملا سقط أیضا الاحتجاج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الخبر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 اللّه لیجمع أمّتی علی خطاء</w:t>
      </w:r>
      <w:r>
        <w:rPr>
          <w:rFonts w:eastAsia="IRNazanin" w:cs="IRNazanin"/>
          <w:color w:val="111111"/>
          <w:sz w:val="28"/>
          <w:szCs w:val="28"/>
          <w:rtl w:val="true"/>
          <w:lang w:bidi="fa-IR"/>
        </w:rPr>
        <w:t xml:space="preserve">» </w:t>
      </w:r>
      <w:r>
        <w:rPr>
          <w:rStyle w:val="FootnoteAnchor"/>
          <w:rtl w:val="true"/>
        </w:rPr>
        <w:footnoteReference w:id="1332"/>
      </w:r>
      <w:r>
        <w:rPr>
          <w:rFonts w:ascii="IRNazanin" w:hAnsi="IRNazanin" w:eastAsia="IRNazanin"/>
          <w:color w:val="111111"/>
          <w:sz w:val="28"/>
          <w:sz w:val="28"/>
          <w:szCs w:val="28"/>
          <w:rtl w:val="true"/>
          <w:lang w:bidi="fa-IR"/>
        </w:rPr>
        <w:t>فصحیح و لا یجیء من ذلک أنّه لا یجمعون علی خطأ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لهم أن یقولوا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لا اختصاص فیه لأمّتنا بذلک دون سائر الأمم، لأنّ اللّه تعالی لا یجمع سائر الأمم علی الخطأ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أنّه و إن کان الأمر علی ما قالوه،فلا یمتنع أن یخصّ هؤلاء بالذّکر،و من عداهم یعلم أنّ حالهم کحالهم بدلیل آخر،و لذلک نظائر کثیرة فی القرآن و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أنّ هذا هو القول بدلیل الخطاب الّذی لا یعتمده أکثر من خالفنا </w:t>
      </w:r>
      <w:r>
        <w:rPr>
          <w:rStyle w:val="FootnoteAnchor"/>
          <w:rtl w:val="true"/>
        </w:rPr>
        <w:footnoteReference w:id="1333"/>
      </w:r>
      <w:r>
        <w:rPr>
          <w:rFonts w:eastAsia="Times New Roman" w:cs="Times New Roman" w:ascii="Times New Roman" w:hAnsi="Times New Roman"/>
          <w:color w:val="111111"/>
          <w:sz w:val="28"/>
          <w:szCs w:val="28"/>
          <w:rtl w:val="true"/>
          <w:lang w:val="en-US" w:bidi="en-US"/>
        </w:rPr>
        <w:t>.</w:t>
      </w:r>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فهذه جملة کافیة فی الکلام علی الآیات و الأخبار الّتی اعتمدوها فی نصرة الإجماع علی ما یذهبون إلیه</w:t>
      </w:r>
      <w:r>
        <w:rPr>
          <w:rFonts w:eastAsia="IRNazanin" w:cs="IRNazanin"/>
          <w:color w:val="111111"/>
          <w:sz w:val="28"/>
          <w:szCs w:val="28"/>
          <w:rtl w:val="true"/>
          <w:lang w:bidi="fa-IR"/>
        </w:rPr>
        <w:t xml:space="preserve">. </w:t>
      </w:r>
      <w:bookmarkStart w:id="355" w:name="pg6519_49830"/>
    </w:p>
    <w:p>
      <w:pPr>
        <w:pStyle w:val="Heading4"/>
        <w:numPr>
          <w:ilvl w:val="3"/>
          <w:numId w:val="1"/>
        </w:numPr>
        <w:rPr/>
      </w:pPr>
      <w:bookmarkStart w:id="356" w:name="__RefHeading___Toc1757379_653776707"/>
      <w:bookmarkStart w:id="357" w:name="_Toc113"/>
      <w:bookmarkEnd w:id="355"/>
      <w:bookmarkEnd w:id="356"/>
      <w:r>
        <w:rPr>
          <w:rtl w:val="true"/>
        </w:rPr>
        <w:t>فصل</w:t>
      </w:r>
      <w:r>
        <w:rPr>
          <w:rtl w:val="true"/>
        </w:rPr>
        <w:t>-</w:t>
      </w:r>
      <w:r>
        <w:rPr/>
        <w:t>2</w:t>
      </w:r>
      <w:r>
        <w:rPr>
          <w:rtl w:val="true"/>
        </w:rPr>
        <w:t xml:space="preserve">: </w:t>
      </w:r>
      <w:r>
        <w:rPr>
          <w:rtl w:val="true"/>
        </w:rPr>
        <w:t>فی کیفیّة العلم بالإجماع،و من یعتبر قوله فیه</w:t>
      </w:r>
      <w:bookmarkEnd w:id="357"/>
    </w:p>
    <w:p>
      <w:pPr>
        <w:pStyle w:val="BookText"/>
        <w:rPr/>
      </w:pPr>
      <w:r>
        <w:rPr>
          <w:rFonts w:ascii="IRNazanin" w:hAnsi="IRNazanin" w:eastAsia="IRNazanin"/>
          <w:color w:val="111111"/>
          <w:sz w:val="28"/>
          <w:sz w:val="28"/>
          <w:szCs w:val="28"/>
          <w:rtl w:val="true"/>
          <w:lang w:bidi="fa-IR"/>
        </w:rPr>
        <w:t>إذا کان المعتبر فی باب کونهم حجّة،قول الإمام المعصوم علیه السّلام، فالطّریق إلی معرفة قوله شیئان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السّماع منه،و المشاهدة لقوله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النّقل عنه بما یوجب العلم،فیعلم بذلک أیضا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إذا تعیّن لنا قول الإمام علیه السّلام،فإذا لم یتعیّن لنا قول الإمام و لا ینقل عنه نقلا یوجب العلم،و یکون قوله فی جملة أقوال الأمّة غیر متمیّز منها،فإنّه یحتاج أن ینظر فی أحوال المختلفین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فکلّ من خالف ممّن یعرف نسبه،و یعلم منشأه،و عرف أنّه لیس بالإمام الّذی دلّ الدّلیل علی عصمته و کونه حجّة،وجب إطراح قوله و ألاّ یعتدّ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تعتبر أقوال الّذی لا یعرف نسبهم،لجواز أن یکون کلّ واحد منهم الإمام الّذی هو الحجّة،و تعتبر أقوالهم فی باب کونهم حجّة</w:t>
      </w:r>
      <w:r>
        <w:rPr>
          <w:rFonts w:eastAsia="IRNazanin" w:cs="IRNazanin"/>
          <w:color w:val="111111"/>
          <w:sz w:val="28"/>
          <w:szCs w:val="28"/>
          <w:rtl w:val="true"/>
          <w:lang w:bidi="fa-IR"/>
        </w:rPr>
        <w:t>.</w:t>
      </w:r>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 هذا التّقدیر هل تراعون قول من خالفکم فی الأصول،أم تراعون قول من وافقکم فیها؟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نراعی قول من خالفنا فی شیء من الأصول من التّوحید،و العدل، </w:t>
      </w:r>
    </w:p>
    <w:p>
      <w:pPr>
        <w:pStyle w:val="BookText"/>
        <w:rPr/>
      </w:pPr>
      <w:r>
        <w:rPr>
          <w:rFonts w:ascii="IRNazanin" w:hAnsi="IRNazanin" w:eastAsia="IRNazanin"/>
          <w:color w:val="111111"/>
          <w:sz w:val="28"/>
          <w:sz w:val="28"/>
          <w:szCs w:val="28"/>
          <w:rtl w:val="true"/>
          <w:lang w:bidi="fa-IR"/>
        </w:rPr>
        <w:t>و الإمامة،و الإرجاع</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 ذلک لأنّ جمیع ذلک معلوم بالأدلّة الصّحیحة الّتی لا یجوز خلافها،و لا بدّ أن یکون الإمام قائلا بها،و إذا کان لا بدّ أن یکون قائلا بها فمن خالف الإمامیّة فی شیء من هذه الأصول فینبغی أن یکون قوله مطرحا،و یکون ذلک أبلغ من إطراح قول من علمنا نسبه،لأنّ التّعیین بخلاف الحقّ مثل التّعیین بالنّسب، بل ذلک آکد لأنّه معلوم من طریق لا یحتمل 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لا یجوز أن یکون الإمام المعصوم علیه السّلام مظهرا لبعض هذه المذاهب المخالفة لمذاهب الإمامیّة لضرب من التّقیّة علی ما تجوّزون علیه؟و إن کان قوله حقّا فیما یرجع إلی الفروع،فلا یجب أن یقطعوا علی أنّ المعتبر قول الإمامیّة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یجب إطراح قول من خالف فی الأصول إذا علم أنه قائل به تدیّنا و معتقدا،فأمّا إذا جوّزنا أنّه قائل به لضرب من التّقیّة فیجب أن لا یطرح قوله،و یعتبر قوله و قول من جوّزنا ذلک فیه مع أقوال المظهرین للحقّ لیصحّ لنا العلم بدخول قول الإمام علیه السّلام فی جملة أقوالهم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قولکم إذا اختلفت الإمامیّة فی مسألة،کیف یعلمون أنّ قول الإمام علیه السّلام داخل فی جملة أقوال بعضها دون بعض؟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اختلفت الإمامیّة فی مسألة نظرنا فی تلک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کان علیها دلالة توجب العلم من کتاب أو سنّة مقطوع بها تدلّ علی صحّة بعض أقوال المختلفین،قطعنا علی أنّ قول المعصوم موافق لذلک القول و مطابق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لم یکن علی أحد الأقوال دلیل یوجب العلم نظرنا فی أحوال المختلفین</w:t>
      </w:r>
      <w:r>
        <w:rPr>
          <w:rFonts w:eastAsia="IRNazanin" w:cs="IRNazanin"/>
          <w:color w:val="111111"/>
          <w:sz w:val="28"/>
          <w:szCs w:val="28"/>
          <w:rtl w:val="true"/>
          <w:lang w:bidi="fa-IR"/>
        </w:rPr>
        <w:t>:</w:t>
      </w:r>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کان ممّن عرفناه بعینه و نسبه قائلا بقول و الباقون قائلون بالقول الآخر،لم </w:t>
      </w:r>
    </w:p>
    <w:p>
      <w:pPr>
        <w:pStyle w:val="BookText"/>
        <w:rPr/>
      </w:pPr>
      <w:r>
        <w:rPr>
          <w:rFonts w:ascii="IRNazanin" w:hAnsi="IRNazanin" w:eastAsia="IRNazanin"/>
          <w:color w:val="111111"/>
          <w:sz w:val="28"/>
          <w:sz w:val="28"/>
          <w:szCs w:val="28"/>
          <w:rtl w:val="true"/>
          <w:lang w:bidi="fa-IR"/>
        </w:rPr>
        <w:t>نعتبر قول من عرفناه،لأنّا نعلم أنّه لیس فیهم الإمام المعصوم الّذی قوله 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کان فی الفریقین أقوام لا نعرف أعیانهم،و لا أنسابهم و هم مع ذلک مختلفون،کانت المسألة من باب ما نکون فیها مخیّرین بأیّ القولین شئنا أخذنا، و یجری ذلک مجری الخبرین المتعارضین الّذین لا ترجیح لأحدهما علی الآخر علی ما مضی القول فیما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قلنا ذلک،لأنّه لو کان الحقّ فی أحدهما لوجب أن یکون ممّا یمکن الوصول إلیه،فلمّا لم یکن دلّ علی أنّه من باب التّخییر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متی فرضنا أن یکون الحقّ فی واحد من الأقوال،و لم یکن هناک ما یمیّز ذلک القول من غیره،فلا یجوز للإمام المعصوم الاستتار،و وجب علیه أن یظهر و یبیّن الحقّ فی تلک المسألة،أو یعلم بعض ثقاته الّذین یسکن إلیهم الحقّ من تلک الأقوال حتّی یؤدّی ذلک إلی الأمّة،و یقترن بقوله علم معجز یدلّ علی صدقه،لأنّه متی لم یکن کذلک لم یحسن التّکلیف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علمنا ببقاء التّکلیف و عدم ظهوره،أو ظهور من یجری مجراه دلیل علی أنّ ذلک لم یتّفق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أن یختلف الإمامیّة علی قولین یکون أحد القولین قول الإمام و الباقون قولهم علی خلافه،و متی أجزتم ذلک کان فی ذلک تعیین الإمام و تمییزه و ذلک لا تقولونه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امتنعتم من ذلک قیل 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المانع من ذلک؟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نقول فی ذلک أنّه لا یمتنع ما فرض فی السّؤال علی وجه،و یمتنع علی وجه،فالجائز من ذلک هو أن یجمع کلّ من عدّ الإمام علی قول إذا لم نعرفهم کلّهم بأسمائهم،و نجوّز أن یکون الإمام فیهم و من جملتهم،و نجوّز أیضا مع ذلک أن یکون المنفرد الّذی قال بالقول الأخیر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لا یؤدّی إلی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بعین الإمام و تمییزه</w:t>
      </w:r>
      <w:r>
        <w:rPr>
          <w:rFonts w:eastAsia="IRNazanin" w:cs="IRNazanin"/>
          <w:color w:val="111111"/>
          <w:sz w:val="28"/>
          <w:szCs w:val="28"/>
          <w:rtl w:val="true"/>
          <w:lang w:bidi="fa-IR"/>
        </w:rPr>
        <w:t>.</w:t>
      </w:r>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الّذی لا یجوز،أن تکون الجماعة الّذین خالفوا الواحد معروفین بأسمائهم و أنسابهم،لأنّه متی کان کذلک علم به أنّ الإمام هو الآخر،و ذلک ینافی غیبته علیه </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اتّفق ما أجزتموه من القسمین کیف یکون قولکم فیه؟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 اتّفق ذلک و کان علی القول الّذی انفرد به الإمام علیه السّلام دلیل من کتاب أو سنّة مقطوع بها لم یجب علیه الظّهور و لا الدّلالة علی ذلک،لأنّ ما هو موجود من دلیل الکتاب و السنّة کاف فی باب إزاحة التّکلیف،و متی لم یکن علی القول الّذی انفرد به دلیل علی ما قلناه وجب علیه الظّهور أو إظهار من یبیّن الحقّ فی تلک المسألة علی ما قد مضی القول فیه،و إلاّ لم یحسن التّکلیف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ینقض هذا ما قدّمناه من اختلاف الطّائفة علی قولین،و لا یکون لأحد القولین ترجیح علی الآخر،و لا دلیل علی أنّ المعصوم مع أحدهما،بأن قلنا نکون مخیّرین فی العمل بأیّ القولین شئنا،لأنّ هذه المسألة مفروضة إذا کان الحقّ فیما عند الإمام دون غیره من الأقوال،و یکون من الأمور المضیّقة،و إنّما یجوز ما قدّمناه أولا إذا کان من باب ما یجوز التّخییر فیه،و لا تنافی بین المسألتین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المرتضی علیّ بن الحسین الموسوی قدّس اللّه روحه أخیرا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یجوز أن یکون الحقّ فیما عند الإمام،و الأقوال الأخر یکون کلّها باطلة،و لا یجب علیه الظّهور،لأنّه إذا کنّا نحن السّبب فی استتاره،فکلّما یفوتنا من الانتفاع به و بتصرّفه و بما معه من الأحکام نکون قد أتینا من قبل نفوسنا فیه،و لو أزلنا سبب الاستتار لظهر و انتفعنا به،و أدّی إلینا الحقّ الّذی عنده</w:t>
      </w:r>
      <w:r>
        <w:rPr>
          <w:rFonts w:eastAsia="IRNazanin" w:cs="IRNazanin"/>
          <w:color w:val="111111"/>
          <w:sz w:val="28"/>
          <w:szCs w:val="28"/>
          <w:rtl w:val="true"/>
          <w:lang w:bidi="fa-IR"/>
        </w:rPr>
        <w:t xml:space="preserve">» </w:t>
      </w:r>
      <w:r>
        <w:rPr>
          <w:rStyle w:val="FootnoteAnchor"/>
          <w:rtl w:val="true"/>
        </w:rPr>
        <w:footnoteReference w:id="1334"/>
      </w:r>
      <w:r>
        <w:rPr>
          <w:rFonts w:eastAsia="Times New Roman" w:cs="Times New Roman" w:ascii="Times New Roman" w:hAnsi="Times New Roman"/>
          <w:color w:val="111111"/>
          <w:sz w:val="28"/>
          <w:szCs w:val="28"/>
          <w:rtl w:val="true"/>
          <w:lang w:val="en-US" w:bidi="en-US"/>
        </w:rPr>
        <w:t>.</w:t>
      </w:r>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عندی غیر صحیح،لأنّه یؤدّی إلی أن لا یصحّ الاحتجاج بإجماع الطّائفة أصلا،لأنّا لا نعلم دخول الإمام فیها إلاّ بالاعتبار الّذی بیّناه،فمتی جوّزنا انفراده علیه السّلام بالقول و لا یجب ظهوره،منع ذلک من الاحتجاج بالإجماع</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فإن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تعلمون إجماع الإمامیّة علی مسألة و هم منتشرون فی أطراف الأرض،و فی البلاد الّتی یکاد ینقطع خبر أهلها عن البلاد الأخری،و هل هذا إلاّ متعذّر مستحیل؟ قیل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السّائل عن هذا السّؤال لا یخلو من أن یرید به الطّعن فی الإجماع علی کلّ حال،فإنّ ذلک ممّا لا یصحّ العلم به علی حال،أو یرید بذلک اختصاص الإمامیّة بهذا السّؤال دون 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أراد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فقوله یسقط،لأنّ من هو فی أطراف الأرض و فی البلاد البعیدة أخبارهم متّصلة و خاصّة العلماء منهم،لأنّ الّذین تراعی أقوالهم هم العلماء دون العامّة الّذین لا یعتبرون فی هذا الباب،و لهذا لا یشکّ </w:t>
      </w:r>
      <w:r>
        <w:rPr>
          <w:rStyle w:val="FootnoteAnchor"/>
          <w:rtl w:val="true"/>
        </w:rPr>
        <w:footnoteReference w:id="1335"/>
      </w:r>
      <w:r>
        <w:rPr>
          <w:rFonts w:ascii="IRNazanin" w:hAnsi="IRNazanin" w:eastAsia="IRNazanin"/>
          <w:color w:val="111111"/>
          <w:sz w:val="28"/>
          <w:sz w:val="28"/>
          <w:szCs w:val="28"/>
          <w:rtl w:val="true"/>
          <w:lang w:bidi="fa-IR"/>
        </w:rPr>
        <w:t xml:space="preserve">أحد من العلماء فی الأرض من یعتقد الفرض فی غسل أعضاء الطّهارة مرتین مرتین </w:t>
      </w:r>
      <w:r>
        <w:rPr>
          <w:rStyle w:val="FootnoteAnchor"/>
          <w:rtl w:val="true"/>
        </w:rPr>
        <w:footnoteReference w:id="1336"/>
      </w:r>
      <w:r>
        <w:rPr>
          <w:rFonts w:ascii="IRNazanin" w:hAnsi="IRNazanin" w:eastAsia="IRNazanin"/>
          <w:color w:val="111111"/>
          <w:sz w:val="28"/>
          <w:sz w:val="28"/>
          <w:szCs w:val="28"/>
          <w:rtl w:val="true"/>
          <w:lang w:bidi="fa-IR"/>
        </w:rPr>
        <w:t xml:space="preserve">،بل نعلم </w:t>
      </w:r>
      <w:r>
        <w:rPr>
          <w:rStyle w:val="FootnoteAnchor"/>
          <w:rtl w:val="true"/>
        </w:rPr>
        <w:footnoteReference w:id="1337"/>
      </w:r>
      <w:r>
        <w:rPr>
          <w:rFonts w:ascii="IRNazanin" w:hAnsi="IRNazanin" w:eastAsia="IRNazanin"/>
          <w:color w:val="111111"/>
          <w:sz w:val="28"/>
          <w:sz w:val="28"/>
          <w:szCs w:val="28"/>
          <w:rtl w:val="true"/>
          <w:lang w:bidi="fa-IR"/>
        </w:rPr>
        <w:t>إجماع العلماء فی جمیع المواضع علی أنّ الفرض واحد من الغسلات،و کذلک نعلم أنّه لیس فی الأمّة من یورّث المال إذا اجتمع جدّ و أخ للأخ دون الجدّ،لأنّ المتقرّر بین العلماء و الّذین أجمعوا علیه القول بأنّ المال إمّا للجدّ کلّه أو بینهما،و لا یقول أحد أنّ المال للأخ دون الجدّ،و نظائر ذلک کثیرة جدّاً من المسائل الّتی یعلم إجماع العلماء علیها، فمن أراد بهذا السّؤال إحالة ذلک فقد أبطل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أراد اختصاص الإمامیّة بالسّؤال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فذلک لا یخصّهم لأنّ علی کلّ من اعتبر الإجماع مثل هذا السّؤال،بل إن کان ذلک محالا فی الإمامیّة لانتشارهم فی البلدان، کان ذلک فی المسلمین کلّهم أشدّ استحالة،لأنّهم أکثر و أشدّ انتشارا،فعلم بذلک أنّ السّؤال ساقط علی الوجهین معا</w:t>
      </w:r>
      <w:r>
        <w:rPr>
          <w:rFonts w:eastAsia="IRNazanin" w:cs="IRNazanin"/>
          <w:color w:val="111111"/>
          <w:sz w:val="28"/>
          <w:szCs w:val="28"/>
          <w:rtl w:val="true"/>
          <w:lang w:bidi="fa-IR"/>
        </w:rPr>
        <w:t>.</w:t>
      </w:r>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الّذی یجب أن یعتبر قوله إذا لم یتمیّز قول الإمام المعصوم،أم قول </w:t>
      </w:r>
    </w:p>
    <w:p>
      <w:pPr>
        <w:pStyle w:val="BookText"/>
        <w:rPr/>
      </w:pPr>
      <w:r>
        <w:rPr>
          <w:rFonts w:ascii="IRNazanin" w:hAnsi="IRNazanin" w:eastAsia="IRNazanin"/>
          <w:color w:val="111111"/>
          <w:sz w:val="28"/>
          <w:sz w:val="28"/>
          <w:szCs w:val="28"/>
          <w:rtl w:val="true"/>
          <w:lang w:bidi="fa-IR"/>
        </w:rPr>
        <w:t>جمیع الإمامیّة،أم قول العلماء منهم؟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لم یتمیّز قول المعصوم یجب أن یراعی قول العلماء الّذین یعرفون الأصول و الفروع دون العامّة و المقلّدین،و إنّما قلنا ذلک لأنّ الّذی قوله حجّة إذا کان هو الإمام المعصوم،و کان هو عالما بجمیع أحکام الشّریعة،و لا بدّ أن یکون عالما بالأصول،فیجب أن یکون المراعی من یشتبه حاله بحاله علیه السّلام،و من لا یعرف الأصول و لا الفروع یعلم منه أنّه لیس بإمام،و إذا علم أنّه لیس بإمام معصوم وجب إطراح قوله و لا یلتفت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لأحد 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یؤدّی إلی أنّ أصحاب الحدیث و الفقهاء الّذین لا یعرفون الأصول أن لا یعتدّ بأقوالهم،و فی ذلک إسقاط لقول أکثرهم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یلزم ذلک،لأنّ الفقهاء و أصحاب الحدیث علی ضربین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ضرب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یعلم أنّه لا یعرف الأصول،و لا کثیرا من الفروع </w:t>
      </w:r>
      <w:r>
        <w:rPr>
          <w:rStyle w:val="FootnoteAnchor"/>
          <w:rtl w:val="true"/>
        </w:rPr>
        <w:footnoteReference w:id="1338"/>
      </w:r>
      <w:r>
        <w:rPr>
          <w:rFonts w:ascii="IRNazanin" w:hAnsi="IRNazanin" w:eastAsia="IRNazanin"/>
          <w:color w:val="111111"/>
          <w:sz w:val="28"/>
          <w:sz w:val="28"/>
          <w:szCs w:val="28"/>
          <w:rtl w:val="true"/>
          <w:lang w:bidi="fa-IR"/>
        </w:rPr>
        <w:t>فإنّ ذلک لا محالة یجب إطراح قوله،لأنّه قد علم أنّه لیس بإمام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الضّرب الآخر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یعلم ذلک من حالهم،بل یجوز أن یکونوا مع کونهم متظاهرین بالحدیث و الفقه قیّمین بالأصول و عارفین بها،فإذا شککنا فی حالهم وجب اعتبار أقوالهم لجواز أن یکون الإمام فی جملتهم</w:t>
      </w:r>
      <w:r>
        <w:rPr>
          <w:rFonts w:eastAsia="IRNazanin" w:cs="IRNazanin"/>
          <w:color w:val="111111"/>
          <w:sz w:val="28"/>
          <w:szCs w:val="28"/>
          <w:rtl w:val="true"/>
          <w:lang w:bidi="fa-IR"/>
        </w:rPr>
        <w:t>.</w:t>
      </w:r>
    </w:p>
    <w:p>
      <w:pPr>
        <w:sectPr>
          <w:footerReference w:type="default" r:id="rId6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الّذی یجب أن یراعی أقوالهم فیه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لا یصحّ أن یعلم إلاّ من جهة السّمع،لأنّ ما لا یعلم وجود المعصوم قبل حصول العلم به لا یصحّ أن یعلم بقول الأمّة الّتی قول المعصوم داخل فیها و ذلک مثل التّوحید،و العدل،و جمیع صفات القدیم،لأنّ العلم بأنّ هاهنا معصوما یفتقر إلی تقدّم هذه العلوم،و متی لم یتقدّم لا یمکننا أن نعلم أنّ هاهنا معصوما،لأنّ ذلک فرع علی حکمة اللّه تعالی و عدله،و أنّه لا بدّ أن یزیح علّة المکلّفین بنصب رئیس لهم معصوم،و ذلک لا یمکن أن یعلم بالإجماع علی حال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أمّا </w:t>
      </w:r>
      <w:r>
        <w:rPr>
          <w:rStyle w:val="FootnoteAnchor"/>
          <w:rtl w:val="true"/>
        </w:rPr>
        <w:footnoteReference w:id="1339"/>
      </w:r>
      <w:r>
        <w:rPr>
          <w:rFonts w:ascii="IRNazanin" w:hAnsi="IRNazanin" w:eastAsia="IRNazanin"/>
          <w:color w:val="111111"/>
          <w:sz w:val="28"/>
          <w:sz w:val="28"/>
          <w:szCs w:val="28"/>
          <w:rtl w:val="true"/>
          <w:lang w:bidi="fa-IR"/>
        </w:rPr>
        <w:t>النبوّة فقد کان یصحّ أن یعلم بإجماع الأمّة الّذین قول المعصوم داخل فی جملتها،لأنّ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یفتقر </w:t>
      </w:r>
      <w:r>
        <w:rPr>
          <w:rStyle w:val="FootnoteAnchor"/>
          <w:rtl w:val="true"/>
        </w:rPr>
        <w:footnoteReference w:id="1340"/>
      </w:r>
      <w:r>
        <w:rPr>
          <w:rFonts w:ascii="IRNazanin" w:hAnsi="IRNazanin" w:eastAsia="IRNazanin"/>
          <w:color w:val="111111"/>
          <w:sz w:val="28"/>
          <w:sz w:val="28"/>
          <w:szCs w:val="28"/>
          <w:rtl w:val="true"/>
          <w:lang w:bidi="fa-IR"/>
        </w:rPr>
        <w:t>إلی العلم بالنبوّة،لأنّا إذا علمنا أنّ اللّه تعالی حکیم و عدل لا بدّ أن نعلم أنّه یزیح علّة المکلّفین فی التّکلیف بنصب رئیس معصوم لهم لیکونوا متمکّنین و مزاحی العلّة فیما کلّفوه،فإذا علمنا ذلک،و أجمعوا علی نبوّة شخص،یعلم بإجماعهم نبوّته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یصحّ هذا القول و الإمام لا یعرف عینه إلاّ بنصّ الرّسول صلّی اللّه علیه و آله و سلّم لأنّ اللّه تعالی یعلّمه ذلک بالوحی،و الإمام لا یوحی إلیه،فیعلم أنّه إمام،فکیف یدّعی أنّه إمام،و کیف یعلم صحّة دعواه؟ قیل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العلم بکونه إماما،فقد یحصل لنا بالعلم المعجز الّذی یظهره اللّه تعالی علی یده،یتضمّن تصدیقه فیما یدّعیه و یدّعی هو أنّه الإمام المعصوم الّذی لا یخلو الزّمان منه،و إظهار المعجزات یجوز عندنا علی الأئمّة و الصّالحین أیضا،و قد دللنا علی ذلک فی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تلخیص الشّافی</w:t>
      </w:r>
      <w:r>
        <w:rPr>
          <w:rFonts w:eastAsia="IRNazanin" w:cs="IRNazanin"/>
          <w:color w:val="111111"/>
          <w:sz w:val="28"/>
          <w:szCs w:val="28"/>
          <w:rtl w:val="true"/>
          <w:lang w:bidi="fa-IR"/>
        </w:rPr>
        <w:t xml:space="preserve">» </w:t>
      </w:r>
      <w:r>
        <w:rPr>
          <w:rStyle w:val="FootnoteAnchor"/>
          <w:rtl w:val="true"/>
        </w:rPr>
        <w:footnoteReference w:id="13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فأمّا الإمام نفسه فإنّما یعلم کونه إماما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کان ممّن لا یوحی إلیه علی ما </w:t>
      </w:r>
      <w:r>
        <w:rPr>
          <w:rStyle w:val="FootnoteAnchor"/>
          <w:rtl w:val="true"/>
        </w:rPr>
        <w:footnoteReference w:id="1342"/>
      </w:r>
      <w:r>
        <w:rPr>
          <w:rFonts w:ascii="IRNazanin" w:hAnsi="IRNazanin" w:eastAsia="IRNazanin"/>
          <w:color w:val="111111"/>
          <w:sz w:val="28"/>
          <w:sz w:val="28"/>
          <w:szCs w:val="28"/>
          <w:rtl w:val="true"/>
          <w:lang w:bidi="fa-IR"/>
        </w:rPr>
        <w:t>فی السّؤال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بقول نبیّ یتقدّمه،ثمّ ینصّ هو علی من بعده،و کذلک فی مستقبل الأوقات، فإذا أجمعوا علی قول کان معصوم العصر فیه علی نبوّة نبیّ آخر علم صحّة نبوّته،و لا یحتاج إلی علم معجز،بل کان ذلک کافیا فی العلم بصدقة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یجوز أن یکون الإمام الأوّل نبیّا،لأنّه لا تنافی بین المنزلتین،بل یصحّ اجتماعهما،و إذا جاز ذلک فإذا فرضنا أنّ أوّل الأئمّة نبی جاز أن یعلم إمامة من بعده، و کذلک نبوّة من یأتی فی المستقبل بنصّ علیه أو باعتبار الإجماع الّذی یدخل فیهم</w:t>
      </w:r>
      <w:r>
        <w:rPr>
          <w:rFonts w:eastAsia="IRNazanin" w:cs="IRNazanin"/>
          <w:color w:val="111111"/>
          <w:sz w:val="28"/>
          <w:szCs w:val="28"/>
          <w:rtl w:val="true"/>
          <w:lang w:bidi="fa-IR"/>
        </w:rPr>
        <w:t>.</w:t>
      </w:r>
    </w:p>
    <w:p>
      <w:pPr>
        <w:sectPr>
          <w:footerReference w:type="default" r:id="rId6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القول یؤدّی إلی أنّ العقل لا ینفکّ من السّمع،لأنّه إذا کان لا بدّ </w:t>
      </w:r>
    </w:p>
    <w:p>
      <w:pPr>
        <w:pStyle w:val="BookText"/>
        <w:rPr/>
      </w:pPr>
      <w:r>
        <w:rPr>
          <w:rFonts w:ascii="IRNazanin" w:hAnsi="IRNazanin" w:eastAsia="IRNazanin"/>
          <w:color w:val="111111"/>
          <w:sz w:val="28"/>
          <w:sz w:val="28"/>
          <w:szCs w:val="28"/>
          <w:rtl w:val="true"/>
          <w:lang w:bidi="fa-IR"/>
        </w:rPr>
        <w:t>للمکلفین من إمام معصوم فی کلّ حال و فی أوّل حال التکلیف،و لا بدّ لهم من إمام و لا یعلم کونه إماما إلاّ بنبوّته أو بنبوّة من تقدّمه فینصّ علیه،فقد صار التکلیف لا ینفکّ من السّمع،و ذلک یأباه کثیر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أصحابنا من قال بذلک،فعلی مذهبه سقط السّؤال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لم یجوز أن یخلو العقل من السّمع</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،فإنّما یرید بذلک السّمع الشّرع الّذی یتضمّن العبادات و الأحکام،فأمّا سمعا یتضمّن الدّلالة علی عین الإمام المعصوم فإنّه لا یجیز أحد من الطّائفة خلوّ التّکلیف منه،و علی هذا المذهب أیضا قد سقط السّؤال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کیفیّة إجماعهم فیکون علی ضروب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یجمعوا علی مسألة قولا،فیعلم بذلک صحّة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یجمعوا علیها فعلا،فیعلم بذلک أیضا صحّتها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یجمعوا علیها قولا و فعلا،بأن یقول بعضهم و یفعل بعضهم،فیعلم بذلک أیضا صحّتها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 بدّ </w:t>
      </w:r>
      <w:r>
        <w:rPr>
          <w:rStyle w:val="FootnoteAnchor"/>
          <w:rtl w:val="true"/>
        </w:rPr>
        <w:footnoteReference w:id="1343"/>
      </w:r>
      <w:r>
        <w:rPr>
          <w:rFonts w:ascii="IRNazanin" w:hAnsi="IRNazanin" w:eastAsia="IRNazanin"/>
          <w:color w:val="111111"/>
          <w:sz w:val="28"/>
          <w:sz w:val="28"/>
          <w:szCs w:val="28"/>
          <w:rtl w:val="true"/>
          <w:lang w:bidi="fa-IR"/>
        </w:rPr>
        <w:t>فی هذه الوجوه کلّها أن یعلم أنّهم لم یجمعوا علی ذلک بضرب من التّقیّة،لأنّ ما یوجب التّقیّة یحمل علی إظهار القول بغیر الحقّ،و کذلک یحمل علی کلّ فعل و إن کان الحقّ فی خلافه،فلذلک شرطنا فیه ارتفاع التّقیّة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یعلم رضاهم بالمسألة و اعتقادهم بصحّتها،فإنّ ذلک أیضا یدلّ علی صحّتها</w:t>
      </w:r>
      <w:r>
        <w:rPr>
          <w:rFonts w:eastAsia="IRNazanin" w:cs="IRNazanin"/>
          <w:color w:val="111111"/>
          <w:sz w:val="28"/>
          <w:szCs w:val="28"/>
          <w:rtl w:val="true"/>
          <w:lang w:bidi="fa-IR"/>
        </w:rPr>
        <w:t>.</w:t>
      </w:r>
    </w:p>
    <w:p>
      <w:pPr>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الوجه لا یحتاج أن یعلم معه زوال التّقیّة،لأنّ الرّضا من أفعال القلوب، و التّقیّة لا تحمل علی ذلک،و إنّما تحمل علی أفعال الجوارح</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لا یجوز أن یجمعوا علی الذّهاب عمّا یجب أن یعلموه،لأنّ الإمام یجب عندنا أن یکون عالما بجمیع ما نصب فیه و جعل حاکما فیه،فلا یجوز أن یکون أمر یجب أن یعلم فلا یعلمونه کلّهم،لأنّ ذلک یؤدّی إلی نقض کون الإمام عالما بجمیع الأحکام،و یؤدّی أیضا إلی نقض کون المعصوم فی جملتهم،لأنّ المعصوم لا یجوز أن یخلّ بما تجب معرفته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ما لا یجب العلم به،فلا یمتنع أن یذهب عن جمیعهم،لأنّه لیس هاهنا وجه یوجب علمهم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المراعی فی إجماع الطّائفة بإجماع العلماء بالأصول و الفروع،فلا ینبغی أن یعتبر قول من لیس هو من جملة العلماء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کان هناک من لا یعلم حاله،و هل هو عالم بذلک أم لا؟و یکون قوله مخالفا لقول الباقین،فینبغی أن یکون خلافه خلافا،لأنّا لا نأمن أن یکون ممّن یعلم جمیع ذلک،و إذا جوّزنا أن یکون عالما بجمیع ذلک،جوّزنا أن یکون إماما،و إذا جوّزناه إماما لم یمکن إسقاط 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 الطّائفة إذا اختلفت علی قولین،و جوّزنا کون المعصوم داخلا فی کلّ واحد من الفریقین،فإنّ ذلک لا یکون إجماعا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لأصحابنا فی ذلک مذهبان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منهم من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تکافأ الفریقان،و لم یکن مع أحدهما دلیل یوجب العلم،أو یدلّ علی أنّ المعصوم داخل معهم فیه،سقطا جمیعا،و وجب التّمسّک بمقتضی العقل من حظر أو إباحة علی اختلاف مذاهبهم</w:t>
      </w:r>
      <w:r>
        <w:rPr>
          <w:rFonts w:eastAsia="IRNazanin" w:cs="IRNazanin"/>
          <w:color w:val="111111"/>
          <w:sz w:val="28"/>
          <w:szCs w:val="28"/>
          <w:rtl w:val="true"/>
          <w:lang w:bidi="fa-IR"/>
        </w:rPr>
        <w:t>.</w:t>
      </w:r>
    </w:p>
    <w:p>
      <w:pPr>
        <w:sectPr>
          <w:footerReference w:type="default" r:id="rId6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المذهب لیس بقویّ عندی،لأنّهم إذا اختلفوا علی قولین علم أنّ قول الإمام موافق لأحدهما لا محالة،لأنّه لا یجوز أن یکون قوله خارجا عن القولین،لأنّ ذلک ینقض کونهم مجمعین علی قولین،و إذا علمنا دخول قول الإمام فی جملة القولین،کیف یجوز اطراحهما و العمل بمقتضی العقل؟و لو جاز ذلک لجاز ان یتعیّن أیضا قول الإمام،و مع ذلک یجوز لنا ترکه و العمل بما فی العقل،و ذلک باطل بالاتّفاق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منهم من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مخیّرون فی الأخذ بأیّ القولین شئنا،و یجری ذلک مجری خبرین تعارضا،و لا یکون لأحدهما مزیّة علی الآخر،فإنّا نکون مخیّرین فی العمل بهما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الّذی یقوی فی نفسی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متی قیل بالمذهب الأوّل،فمتی فرض إجماعهم بعد ذلک علی أحد القولین کان جائزا،و یعلم بإجماعهم صحّة ذلک القول،و أنّ الآخر لم یکن صحیحا،و وجب المصیر إلی ما أجمعوا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متی قلنا بالمذهب الأخیر،لم یجز أن یجمعوا علی أحد القولین،لأنّهم لو أجمعوا علی أحدهما لدلّ ذلک علی أنّ القول الآخر باطل،و قد قلنا إنّهم مخیّرون فی العمل بأیّهما شاءوا،و إجماعهم علی أحدهما ینقض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لسنا ممّن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إنّهم یقولون بالقولین اجتهادا ثمّ یؤدّی اجتهادهم إلی أحد القولین فیجمعوا علیه،لأنّ ذلک إنّما یصحّ علی مذهب من یقول بالإجماع،و لم یراع قول المعصوم الّذی نراعیه </w:t>
      </w:r>
      <w:r>
        <w:rPr>
          <w:rStyle w:val="FootnoteAnchor"/>
          <w:rtl w:val="true"/>
        </w:rPr>
        <w:footnoteReference w:id="13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فأمّا إذا أجمعوا علی قول،فلا یجوز أن یراعی الخلاف الّذی یحدث بعده،لأنّ بالإجماع الأوّل علم قول المعصوم فی تلک المسألة،و إذا علم علم أنّه هو الحجّة، فکلّ قول یخالفه یجب أن یحکم بفساده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إذا أجمعوا علی قولین،فإحداث القول الثّالث و الرّابع ینبغی أن یکون فاسدا،لأنّ قول المعصوم موافق للقولین،و القول الثّالث و الرابع بخلافه،فینبغی أن یحکم بفساده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یجوز أن تجمع الأمّة علی مسألتین مخطئة فیهما،لا علی مذهبنا و لا علی مذهب من خالفنا</w:t>
      </w:r>
      <w:r>
        <w:rPr>
          <w:rFonts w:eastAsia="IRNazanin" w:cs="IRNazanin"/>
          <w:color w:val="111111"/>
          <w:sz w:val="28"/>
          <w:szCs w:val="28"/>
          <w:rtl w:val="true"/>
          <w:lang w:bidi="fa-IR"/>
        </w:rPr>
        <w:t>:</w:t>
      </w:r>
    </w:p>
    <w:p>
      <w:pPr>
        <w:sectPr>
          <w:footerReference w:type="default" r:id="rId6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فأمّا علی مذهبنا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فلأنّه لا بدّ أن یکون قول الإمام مع أحدهما،و لا یجوز مع ذلک أن یکون خطأ</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أمّا علی مذهب مخالفینا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یجوز ذلک،قالوا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النبیّ علیه السّلام نفی عنهم الخطأ خطأ عامّا،و لم یخصّ واحدا دون ما زاد علیه،فوجب نفیهما معا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لأنّ فی ضمن ذلک الإجماع علی نفیهما القول بما هو الحقّ</w:t>
      </w:r>
      <w:r>
        <w:rPr>
          <w:rFonts w:eastAsia="IRNazanin" w:cs="IRNazanin"/>
          <w:color w:val="111111"/>
          <w:sz w:val="28"/>
          <w:szCs w:val="28"/>
          <w:rtl w:val="true"/>
          <w:lang w:bidi="fa-IR"/>
        </w:rPr>
        <w:t>.</w:t>
      </w:r>
    </w:p>
    <w:p>
      <w:pPr>
        <w:sectPr>
          <w:footerReference w:type="default" r:id="rId6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تفترق الأمّة فرقتین،فرقة تقول المال للأخ دون الجدّ،فذلک خطأ لا محالة،و الأخری تقول إنّ النّصف للجدّ لا محالة علی جمیع الأحوال،لأنّ فی القول بهذین المذهبین خروجا عن الإجماع الّذی هو أنّ المال إمّا للجدّ کلّه أو هو کواحد منهم </w:t>
      </w:r>
      <w:r>
        <w:rPr>
          <w:rStyle w:val="FootnoteAnchor"/>
          <w:rtl w:val="true"/>
        </w:rPr>
        <w:footnoteReference w:id="1345"/>
      </w:r>
      <w:r>
        <w:rPr>
          <w:rFonts w:ascii="IRNazanin" w:hAnsi="IRNazanin" w:eastAsia="IRNazanin"/>
          <w:color w:val="111111"/>
          <w:sz w:val="28"/>
          <w:sz w:val="28"/>
          <w:szCs w:val="28"/>
          <w:rtl w:val="true"/>
          <w:lang w:bidi="fa-IR"/>
        </w:rPr>
        <w:t>،و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فاسد</w:t>
      </w:r>
      <w:r>
        <w:rPr>
          <w:rFonts w:eastAsia="IRNazanin" w:cs="IRNazanin"/>
          <w:color w:val="111111"/>
          <w:sz w:val="28"/>
          <w:szCs w:val="28"/>
          <w:rtl w:val="true"/>
          <w:lang w:bidi="fa-IR"/>
        </w:rPr>
        <w:t xml:space="preserve">] </w:t>
      </w:r>
      <w:r>
        <w:rPr>
          <w:rStyle w:val="FootnoteAnchor"/>
          <w:rtl w:val="true"/>
        </w:rPr>
        <w:footnoteReference w:id="1346"/>
      </w:r>
      <w:r>
        <w:rPr>
          <w:rFonts w:ascii="Amiri" w:hAnsi="Amiri" w:eastAsia="Amiri" w:cs="Amiri"/>
          <w:color w:val="111111"/>
          <w:sz w:val="28"/>
          <w:sz w:val="28"/>
          <w:szCs w:val="28"/>
          <w:rtl w:val="true"/>
          <w:lang w:bidi="ar-SA"/>
        </w:rPr>
        <w:t>بالاتّفاق</w:t>
      </w:r>
      <w:r>
        <w:rPr>
          <w:rFonts w:eastAsia="Amiri" w:cs="Amiri" w:ascii="Amiri" w:hAnsi="Amiri"/>
          <w:color w:val="111111"/>
          <w:sz w:val="28"/>
          <w:szCs w:val="28"/>
          <w:rtl w:val="true"/>
          <w:lang w:bidi="ar-SA"/>
        </w:rPr>
        <w:t xml:space="preserve">. </w:t>
      </w:r>
      <w:bookmarkStart w:id="358" w:name="pg6519_49841"/>
    </w:p>
    <w:p>
      <w:pPr>
        <w:pStyle w:val="Heading4"/>
        <w:numPr>
          <w:ilvl w:val="3"/>
          <w:numId w:val="1"/>
        </w:numPr>
        <w:rPr/>
      </w:pPr>
      <w:bookmarkStart w:id="359" w:name="__RefHeading___Toc1757381_653776707"/>
      <w:bookmarkStart w:id="360" w:name="_Toc114"/>
      <w:bookmarkEnd w:id="358"/>
      <w:bookmarkEnd w:id="359"/>
      <w:r>
        <w:rPr>
          <w:rtl w:val="true"/>
        </w:rPr>
        <w:t>فصل</w:t>
      </w:r>
      <w:r>
        <w:rPr>
          <w:rtl w:val="true"/>
        </w:rPr>
        <w:t>-</w:t>
      </w:r>
      <w:r>
        <w:rPr/>
        <w:t>3</w:t>
      </w:r>
      <w:r>
        <w:rPr>
          <w:rtl w:val="true"/>
        </w:rPr>
        <w:t>: «</w:t>
      </w:r>
      <w:r>
        <w:rPr>
          <w:rtl w:val="true"/>
        </w:rPr>
        <w:t>فیما یتفرّع علی الإجماع،من حیث کان إجماعا عند من قال بذلک،کیف القول فیه علی ما نذهب إلیه؟</w:t>
      </w:r>
      <w:r>
        <w:rPr>
          <w:rtl w:val="true"/>
        </w:rPr>
        <w:t>»</w:t>
      </w:r>
      <w:bookmarkEnd w:id="360"/>
    </w:p>
    <w:p>
      <w:pPr>
        <w:pStyle w:val="BookText"/>
        <w:rPr/>
      </w:pPr>
      <w:r>
        <w:rPr>
          <w:rFonts w:ascii="IRNazanin" w:hAnsi="IRNazanin" w:eastAsia="IRNazanin"/>
          <w:color w:val="111111"/>
          <w:sz w:val="28"/>
          <w:sz w:val="28"/>
          <w:szCs w:val="28"/>
          <w:rtl w:val="true"/>
          <w:lang w:bidi="fa-IR"/>
        </w:rPr>
        <w:t>فمن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أنّهم إذا أجمعوا علی الاستدلال بدلیل أو دلیلین هل یجوز أن یستدلّ بغیر ما استدلّوا به أم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فالّذی نذهب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لا یستبعد </w:t>
      </w:r>
      <w:r>
        <w:rPr>
          <w:rStyle w:val="FootnoteAnchor"/>
          <w:rtl w:val="true"/>
        </w:rPr>
        <w:footnoteReference w:id="1347"/>
      </w:r>
      <w:r>
        <w:rPr>
          <w:rFonts w:ascii="IRNazanin" w:hAnsi="IRNazanin" w:eastAsia="IRNazanin"/>
          <w:color w:val="111111"/>
          <w:sz w:val="28"/>
          <w:sz w:val="28"/>
          <w:szCs w:val="28"/>
          <w:rtl w:val="true"/>
          <w:lang w:bidi="fa-IR"/>
        </w:rPr>
        <w:t xml:space="preserve">أن یستدلّ بدلیل آخر إذا کان ممّا یوجب العلم،إمّا من جهة عقل </w:t>
      </w:r>
      <w:r>
        <w:rPr>
          <w:rStyle w:val="FootnoteAnchor"/>
          <w:rtl w:val="true"/>
        </w:rPr>
        <w:footnoteReference w:id="1348"/>
      </w:r>
      <w:r>
        <w:rPr>
          <w:rFonts w:ascii="IRNazanin" w:hAnsi="IRNazanin" w:eastAsia="IRNazanin"/>
          <w:color w:val="111111"/>
          <w:sz w:val="28"/>
          <w:sz w:val="28"/>
          <w:szCs w:val="28"/>
          <w:rtl w:val="true"/>
          <w:lang w:bidi="fa-IR"/>
        </w:rPr>
        <w:t>،أو قرآن،أو سنّة مقطوع بها،و إنّما قلنا ذلک لأنّ إجماعهم علی الاستدلال بدلیل إنّما یدلّ علی صحّة ذلک الدّلیل و کونه موجبا للعلم،و ذلک لا یمنع من أن یکون هناک دلیل آخر لم یجمعوا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إلاّ أن نفرض المسألة فیقال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أجمعوا علی أنّه لا دلیل سواه،هل یجوز الاستدلال بدلیل آخر؟ فنقول حینئذ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ذلک لا یجوز،لأنّ إجماعهم علی أنّه لا دلیل غیر ما استدلّوا به یوجب العلم،بأنّ ما عدا ذلک الدّلیل شبهة،فلا یصحّ الاستدلال بها</w:t>
      </w:r>
      <w:r>
        <w:rPr>
          <w:rFonts w:eastAsia="IRNazanin" w:cs="IRNazanin"/>
          <w:color w:val="111111"/>
          <w:sz w:val="28"/>
          <w:szCs w:val="28"/>
          <w:rtl w:val="true"/>
          <w:lang w:bidi="fa-IR"/>
        </w:rPr>
        <w:t>.</w:t>
      </w:r>
    </w:p>
    <w:p>
      <w:pPr>
        <w:sectPr>
          <w:footerReference w:type="default" r:id="rId6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کان هناک دلیل آخر لما وسع المعصوم ألا یبیّنه و یترک الاستدلال </w:t>
      </w:r>
    </w:p>
    <w:p>
      <w:pPr>
        <w:pStyle w:val="BookText"/>
        <w:rPr/>
      </w:pPr>
      <w:r>
        <w:rPr>
          <w:rFonts w:ascii="IRNazanin" w:hAnsi="IRNazanin" w:eastAsia="IRNazanin"/>
          <w:color w:val="111111"/>
          <w:sz w:val="28"/>
          <w:sz w:val="28"/>
          <w:szCs w:val="28"/>
          <w:rtl w:val="true"/>
          <w:lang w:bidi="fa-IR"/>
        </w:rPr>
        <w:t>به حتّی یستدرکه إنسان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یجب أن یبیّن المعصوم ما یقف إزاحة العلّة علیه،و قد بیّن ما هو دلیل موجب للعلم و هو ما أجمعوا علیه،فأمّا غیره من الأدلّة فقد سبق بیانه من اللّه تعالی و من الرّسول،و جاز أن لا یجدّد المعصوم بیانه،و إنّما یجب علیه بیان ما لا یکون هناک ما یقوم مقامه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فعلی هذا کان یجوز أن لا یبیّن أیضا ما قد بیّنه </w:t>
      </w:r>
      <w:r>
        <w:rPr>
          <w:rStyle w:val="FootnoteAnchor"/>
          <w:rtl w:val="true"/>
        </w:rPr>
        <w:footnoteReference w:id="1349"/>
      </w:r>
      <w:r>
        <w:rPr>
          <w:rFonts w:ascii="IRNazanin" w:hAnsi="IRNazanin" w:eastAsia="IRNazanin"/>
          <w:color w:val="111111"/>
          <w:sz w:val="28"/>
          <w:sz w:val="28"/>
          <w:szCs w:val="28"/>
          <w:rtl w:val="true"/>
          <w:lang w:bidi="fa-IR"/>
        </w:rPr>
        <w:t xml:space="preserve">و أجمعوا علیه،لأنّ هناک ما یقوم مقامه فی إزاحة العلّة،و هو الّذی استدلّ به من بعده </w:t>
      </w:r>
      <w:r>
        <w:rPr>
          <w:rStyle w:val="FootnoteAnchor"/>
          <w:rtl w:val="true"/>
        </w:rPr>
        <w:footnoteReference w:id="13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 نقول،و لو لم نبیّن أصلا شیئا إذا کان هناک طریق للمکلّف إلی علم ما کلّفه لکان ذلک جائزا سائغا،و إنّما یجب علیه بیان ما هو موقوف علیه،و لا یکون هناک ما یقوم مقامه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إذا أجمعوا علی العمل بمخبر خبر هل یقطع علی صحّة ذلک الخبر أم لا؟،و هل یعلم أنّهم قالوا ما قالوه لأجل الخبر أم لا؟ فالّذی نقوله فی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 إذا أجمعوا علی العمل بمخبر خبر،و کان الخبر من أخبار الآحاد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إذا کان من باب المتواتر فهو یوجب العلم فلا یحتاج إلی الإجماع فیکون قرینة فی صحّته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یحتاج أن ینظر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أجمعوا علی أنّهم قالوا ما قالوه لأجل ذلک الخبر،قطعنا بذلک علی أنّ الخبر صحیح صدق</w:t>
      </w:r>
      <w:r>
        <w:rPr>
          <w:rFonts w:eastAsia="IRNazanin" w:cs="IRNazanin"/>
          <w:color w:val="111111"/>
          <w:sz w:val="28"/>
          <w:szCs w:val="28"/>
          <w:rtl w:val="true"/>
          <w:lang w:bidi="fa-IR"/>
        </w:rPr>
        <w:t>.</w:t>
      </w:r>
    </w:p>
    <w:p>
      <w:pPr>
        <w:sectPr>
          <w:footerReference w:type="default" r:id="rId6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إن لم یظهر لنا من أین قالوه،و لا ینصّوا لنا علی ذلک،فإنّا نعلم بإجماعهم أنّ ما تضمّنه الخبر صحیح،و لا یعلم بذلک صحّة الخبر،لأنّه لا یمتنع أن یکونوا قالوا بما وافق مخبر الخبر بدلیل آخر،أو خبر آخر أقوی منه فی باب العلم،أو سمعوه من الإمام المعصوم علیه السّلام فأجمعوا علیه و لم ینقلوا ما لأجله أجمعوا اتّکالا علی </w:t>
      </w:r>
    </w:p>
    <w:p>
      <w:pPr>
        <w:pStyle w:val="BookText"/>
        <w:rPr/>
      </w:pPr>
      <w:r>
        <w:rPr>
          <w:rFonts w:ascii="IRNazanin" w:hAnsi="IRNazanin" w:eastAsia="IRNazanin"/>
          <w:color w:val="111111"/>
          <w:sz w:val="28"/>
          <w:sz w:val="28"/>
          <w:szCs w:val="28"/>
          <w:rtl w:val="true"/>
          <w:lang w:bidi="fa-IR"/>
        </w:rPr>
        <w:t>الإجماع،و کلّ ذلک جائز فیجب بذلک التّوقّف فی هذا الخبر و لا یقطع علی صحّته، و یجوز کونه صدقا و کذبا،و إن قطعنا علی أنّ مخبره صحیح یجب العمل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متی فرضنا علی أنّهم أجمعوا علی أنّه لیس هناک ما لأجله أجمعوا علی ما أجمعوا علیه غیر هذا الخبر،فإنّ هذا یوجب القطع علی صحّة ذلک الخبر،لأنّ ذلک یجری مجری أن یقولوا أجمعنا لأجل هذا الخبر،لأنّه لا فرق بین أن یسندوا إجماعهم إلی الخبر بعینه فیعلم به صحّته،و من </w:t>
      </w:r>
      <w:r>
        <w:rPr>
          <w:rStyle w:val="FootnoteAnchor"/>
          <w:rtl w:val="true"/>
        </w:rPr>
        <w:footnoteReference w:id="1351"/>
      </w:r>
      <w:r>
        <w:rPr>
          <w:rFonts w:ascii="IRNazanin" w:hAnsi="IRNazanin" w:eastAsia="IRNazanin"/>
          <w:color w:val="111111"/>
          <w:sz w:val="28"/>
          <w:sz w:val="28"/>
          <w:szCs w:val="28"/>
          <w:rtl w:val="true"/>
          <w:lang w:bidi="fa-IR"/>
        </w:rPr>
        <w:t xml:space="preserve">أن ینفوا إسنادهم </w:t>
      </w:r>
      <w:r>
        <w:rPr>
          <w:rStyle w:val="FootnoteAnchor"/>
          <w:rtl w:val="true"/>
        </w:rPr>
        <w:footnoteReference w:id="1352"/>
      </w:r>
      <w:r>
        <w:rPr>
          <w:rFonts w:ascii="IRNazanin" w:hAnsi="IRNazanin" w:eastAsia="IRNazanin"/>
          <w:color w:val="111111"/>
          <w:sz w:val="28"/>
          <w:sz w:val="28"/>
          <w:szCs w:val="28"/>
          <w:rtl w:val="true"/>
          <w:lang w:bidi="fa-IR"/>
        </w:rPr>
        <w:t>إلی سواه فإنّ به یعلم أیضا صحّته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یجوز أن یجمعوا علی مخبر خبر ثمّ لا ینقلوه أصلا،و هو أصل لصحّة إجماعهم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ذلک لأنّ إجماعهم أقوی من ذلک،لأنّه مقطوع به و لا یحتمل التّأویل،و لو نقلوا ذلک الخبر لکان یجوز أن یصیر خبرا واحدا فیخرج بذلک من باب کونه دلالة إلی أن یوجب غلبة الظّن،فیعلم بذلک أنّ الإجماع 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ذلک </w:t>
      </w:r>
      <w:r>
        <w:rPr>
          <w:rStyle w:val="FootnoteAnchor"/>
          <w:rtl w:val="true"/>
        </w:rPr>
        <w:footnoteReference w:id="13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 إذا ظهر بین الطّائفة و لم یعرف له مخالف،هل یدلّ ذلک علی أنّه إجماع منهم علی صحّته أم لا؟ فالّذی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القول إذا ظهر بین الطّائفة،و لم یعرف له مخالف،احتاج أن ینظر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جوّزنا أن یکون قول من نجوّزه معصوما بخلافه،لا ینبغی أن نقطع علی صحّته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لم نجوّز أن یکون قول المعصوم بخلافه،قطعنا علی صحّة ذلک القول</w:t>
      </w:r>
      <w:r>
        <w:rPr>
          <w:rFonts w:eastAsia="IRNazanin" w:cs="IRNazanin"/>
          <w:color w:val="111111"/>
          <w:sz w:val="28"/>
          <w:szCs w:val="28"/>
          <w:rtl w:val="true"/>
          <w:lang w:bidi="fa-IR"/>
        </w:rPr>
        <w:t>.</w:t>
      </w:r>
    </w:p>
    <w:p>
      <w:pPr>
        <w:sectPr>
          <w:footerReference w:type="default" r:id="rId6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أی طریق لنا إلی أن نعلم أنّ قول المعصوم یوافقه أو یخالفه؟ </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نعلم ذلک بأن یکون هناک دلیل یوجب العلم یدلّ علی صحّة ذلک، فیعلم به أنّ القول موافق لقول المعصوم لمطابقته للدّلیل الموجب للعلم،و إذا کان هناک دلیل یدلّ علی خلاف ذلک القول علمنا أنّ المعصوم قوله یخالفه،و إذا خالفه وجب القطع علی بطلان ذلک القول</w:t>
      </w:r>
      <w:r>
        <w:rPr>
          <w:rFonts w:eastAsia="IRNazanin" w:cs="IRNazanin"/>
          <w:color w:val="111111"/>
          <w:sz w:val="28"/>
          <w:szCs w:val="28"/>
          <w:rtl w:val="true"/>
          <w:lang w:bidi="fa-IR"/>
        </w:rPr>
        <w:t>.</w:t>
      </w:r>
    </w:p>
    <w:p>
      <w:pPr>
        <w:sectPr>
          <w:footerReference w:type="default" r:id="rId6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عدمنا الطّریقین معا،و لم نجد ما یدلّ علی صحّة ذلک القول</w:t>
      </w:r>
      <w:r>
        <w:rPr>
          <w:rFonts w:eastAsia="IRNazanin" w:cs="IRNazanin"/>
          <w:color w:val="111111"/>
          <w:sz w:val="28"/>
          <w:szCs w:val="28"/>
          <w:rtl w:val="true"/>
          <w:lang w:bidi="fa-IR"/>
        </w:rPr>
        <w:t xml:space="preserve">] </w:t>
      </w:r>
      <w:r>
        <w:rPr>
          <w:rStyle w:val="FootnoteAnchor"/>
          <w:rtl w:val="true"/>
        </w:rPr>
        <w:footnoteReference w:id="1354"/>
      </w:r>
      <w:r>
        <w:rPr>
          <w:rFonts w:ascii="IRNazanin" w:hAnsi="IRNazanin" w:eastAsia="IRNazanin"/>
          <w:color w:val="111111"/>
          <w:sz w:val="28"/>
          <w:sz w:val="28"/>
          <w:szCs w:val="28"/>
          <w:rtl w:val="true"/>
          <w:lang w:bidi="fa-IR"/>
        </w:rPr>
        <w:t>و لا علی فساده،وجب القطع علی صحّة ذلک القول،و أنّه موافق لقول المعصوم،لأنّه لو کان قول المعصوم مخالفا له،لوجب أن یظهره و إلاّ کان یقبح التّکلیف الّذی ذلک القول لطف فیه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علمنا خلاف ذلک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من قال من أصحابنا </w:t>
      </w:r>
      <w:r>
        <w:rPr>
          <w:rStyle w:val="FootnoteAnchor"/>
          <w:rtl w:val="true"/>
        </w:rPr>
        <w:footnoteReference w:id="1355"/>
      </w:r>
      <w:r>
        <w:rPr>
          <w:rFonts w:ascii="IRNazanin" w:hAnsi="IRNazanin" w:eastAsia="IRNazanin"/>
          <w:color w:val="111111"/>
          <w:sz w:val="28"/>
          <w:sz w:val="28"/>
          <w:szCs w:val="28"/>
          <w:rtl w:val="true"/>
          <w:lang w:bidi="fa-IR"/>
        </w:rPr>
        <w:t>علی ما حکیناه عنهم فیما 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لا یجب علی المعصوم إظهار ما علیه من حیث إنّ من سبّب غیبته هو المسبّب لفوت ما یتعلّق بمصلحته فیکون قد أتی فیه من قبل نفسه،کما أنّ ما یفوته من الانتفاع بتصرّف الإمام و أمره و نهیه قد أتی فیه من قبل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ینبغی 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أن یتوقّف فی ذلک القول،و یجوز کونه موافقا لقول الإمام و مخالفا له،و یرجع فی العمل إلی ما یقتضیه العقل حتّی یقوم دلیل یدلّ علی وجوب انتقاله عنه</w:t>
      </w:r>
      <w:r>
        <w:rPr>
          <w:rFonts w:eastAsia="IRNazanin" w:cs="IRNazanin"/>
          <w:color w:val="111111"/>
          <w:sz w:val="28"/>
          <w:szCs w:val="28"/>
          <w:rtl w:val="true"/>
          <w:lang w:bidi="fa-IR"/>
        </w:rPr>
        <w:t>.</w:t>
      </w:r>
    </w:p>
    <w:p>
      <w:pPr>
        <w:sectPr>
          <w:footerReference w:type="default" r:id="rId6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هذه الطّریقة غیر مرضیة عندی،لأنّها تؤدّی إلی أن لا یستدلّ بإجماع الطّائفة أصلا،لجواز أن یکون قول الإمام مخالفا لها،و مع ذلک لا یجب علیه إظهار ما عنده،و قد علمنا خلاف ذلک</w:t>
      </w:r>
      <w:r>
        <w:rPr>
          <w:rFonts w:eastAsia="IRNazanin" w:cs="IRNazanin"/>
          <w:color w:val="111111"/>
          <w:sz w:val="28"/>
          <w:szCs w:val="28"/>
          <w:rtl w:val="true"/>
          <w:lang w:bidi="fa-IR"/>
        </w:rPr>
        <w:t xml:space="preserve">. </w:t>
      </w:r>
    </w:p>
    <w:p>
      <w:pPr>
        <w:sectPr>
          <w:footerReference w:type="default" r:id="rId6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61" w:name="pg6519_49847"/>
      <w:bookmarkStart w:id="362" w:name="pg6519_49847"/>
      <w:bookmarkEnd w:id="362"/>
    </w:p>
    <w:p>
      <w:pPr>
        <w:pStyle w:val="Heading3"/>
        <w:numPr>
          <w:ilvl w:val="2"/>
          <w:numId w:val="1"/>
        </w:numPr>
        <w:rPr/>
      </w:pPr>
      <w:bookmarkStart w:id="363" w:name="pg6519_49847"/>
      <w:bookmarkStart w:id="364" w:name="__RefHeading___Toc1757383_653776707"/>
      <w:bookmarkStart w:id="365" w:name="_Toc115"/>
      <w:bookmarkEnd w:id="363"/>
      <w:bookmarkEnd w:id="364"/>
      <w:r>
        <w:rPr>
          <w:rtl w:val="true"/>
        </w:rPr>
        <w:t>الباب العاشر</w:t>
      </w:r>
      <w:r>
        <w:rPr>
          <w:rtl w:val="true"/>
        </w:rPr>
        <w:t xml:space="preserve">: </w:t>
      </w:r>
      <w:r>
        <w:rPr>
          <w:rtl w:val="true"/>
        </w:rPr>
        <w:t>الکلام فی القیاس</w:t>
      </w:r>
      <w:bookmarkEnd w:id="365"/>
    </w:p>
    <w:p>
      <w:pPr>
        <w:sectPr>
          <w:footerReference w:type="default" r:id="rId6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66" w:name="__RefHeading___Toc1757385_653776707"/>
      <w:bookmarkStart w:id="367" w:name="_Toc116"/>
      <w:bookmarkEnd w:id="366"/>
      <w:r>
        <w:rPr>
          <w:rtl w:val="true"/>
        </w:rPr>
        <w:t>اشارة</w:t>
      </w:r>
      <w:bookmarkEnd w:id="367"/>
    </w:p>
    <w:p>
      <w:pPr>
        <w:sectPr>
          <w:footerReference w:type="default" r:id="rId6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68" w:name="pg6519_49849"/>
      <w:bookmarkStart w:id="369" w:name="pg6519_49849"/>
      <w:bookmarkEnd w:id="369"/>
    </w:p>
    <w:p>
      <w:pPr>
        <w:pStyle w:val="Heading4"/>
        <w:numPr>
          <w:ilvl w:val="3"/>
          <w:numId w:val="1"/>
        </w:numPr>
        <w:rPr/>
      </w:pPr>
      <w:bookmarkStart w:id="370" w:name="pg6519_49849"/>
      <w:bookmarkStart w:id="371" w:name="__RefHeading___Toc1757387_653776707"/>
      <w:bookmarkStart w:id="372" w:name="_Toc117"/>
      <w:bookmarkEnd w:id="370"/>
      <w:bookmarkEnd w:id="371"/>
      <w:r>
        <w:rPr>
          <w:rtl w:val="true"/>
        </w:rPr>
        <w:t>فصل</w:t>
      </w:r>
      <w:r>
        <w:rPr>
          <w:rtl w:val="true"/>
        </w:rPr>
        <w:t>-</w:t>
      </w:r>
      <w:r>
        <w:rPr/>
        <w:t>1</w:t>
      </w:r>
      <w:r>
        <w:rPr>
          <w:rtl w:val="true"/>
        </w:rPr>
        <w:t>: «</w:t>
      </w:r>
      <w:r>
        <w:rPr>
          <w:rtl w:val="true"/>
        </w:rPr>
        <w:t>فی ذکر حقیقة القیاس،و اختلاف النّاس فی ورود العبادة به</w:t>
      </w:r>
      <w:r>
        <w:rPr>
          <w:rtl w:val="true"/>
        </w:rPr>
        <w:t>»</w:t>
      </w:r>
      <w:bookmarkEnd w:id="372"/>
    </w:p>
    <w:p>
      <w:pPr>
        <w:pStyle w:val="BookText"/>
        <w:rPr/>
      </w:pPr>
      <w:r>
        <w:rPr>
          <w:rFonts w:ascii="IRNazanin" w:hAnsi="IRNazanin" w:eastAsia="IRNazanin"/>
          <w:color w:val="111111"/>
          <w:sz w:val="28"/>
          <w:sz w:val="28"/>
          <w:szCs w:val="28"/>
          <w:rtl w:val="true"/>
          <w:lang w:bidi="fa-IR"/>
        </w:rPr>
        <w:t>حدّ القیاس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إثبات مثل حکم المقیس علیه فی المقیس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فرق فی ذلک بین أن یکون القیاس عقلیّا أو شرعیّا،و إنّما یختلفان من وجوه أخر سنذکرها،لا تؤثّر فی أنّ الحقیقة ما قلناه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یدلّ علی صحّة ما قلناه من الحدّ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الإنسان متی أثبت للفرع مثل حکم الأصل کان قایسا،و متی لم یثبت له مثل حکمه و إن علم جمیع صفاته لا یکون قایسا،فعلم بذلک أنّ الحقیقة ما قلناه</w:t>
      </w:r>
      <w:r>
        <w:rPr>
          <w:rFonts w:eastAsia="IRNazanin" w:cs="IRNazanin"/>
          <w:color w:val="111111"/>
          <w:sz w:val="28"/>
          <w:szCs w:val="28"/>
          <w:rtl w:val="true"/>
          <w:lang w:bidi="fa-IR"/>
        </w:rPr>
        <w:t>.</w:t>
      </w:r>
    </w:p>
    <w:p>
      <w:pPr>
        <w:sectPr>
          <w:footerReference w:type="default" r:id="rId6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الإثبات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الّذی ذکرناه لأمر یرجع إلی عرف الشّرع،عبارة عن العلم و ما جری مجراه من الاعتقاد،ثمّ الخبر تابع لذلک،و هو فی أصل اللّغة </w:t>
      </w:r>
      <w:r>
        <w:rPr>
          <w:rStyle w:val="FootnoteAnchor"/>
          <w:rtl w:val="true"/>
        </w:rPr>
        <w:footnoteReference w:id="1356"/>
      </w:r>
      <w:r>
        <w:rPr>
          <w:rFonts w:ascii="IRNazanin" w:hAnsi="IRNazanin" w:eastAsia="IRNazanin"/>
          <w:color w:val="111111"/>
          <w:sz w:val="28"/>
          <w:sz w:val="28"/>
          <w:szCs w:val="28"/>
          <w:rtl w:val="true"/>
          <w:lang w:bidi="fa-IR"/>
        </w:rPr>
        <w:t xml:space="preserve">عبارة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الإیجاب</w:t>
      </w:r>
      <w:r>
        <w:rPr>
          <w:rFonts w:eastAsia="IRNazanin" w:cs="IRNazanin"/>
          <w:color w:val="111111"/>
          <w:sz w:val="28"/>
          <w:szCs w:val="28"/>
          <w:rtl w:val="true"/>
          <w:lang w:bidi="fa-IR"/>
        </w:rPr>
        <w:t xml:space="preserve">» </w:t>
      </w:r>
      <w:r>
        <w:rPr>
          <w:rStyle w:val="FootnoteAnchor"/>
          <w:rtl w:val="true"/>
        </w:rPr>
        <w:footnoteReference w:id="1357"/>
      </w:r>
      <w:r>
        <w:rPr>
          <w:rFonts w:ascii="IRNazanin" w:hAnsi="IRNazanin" w:eastAsia="IRNazanin"/>
          <w:color w:val="111111"/>
          <w:sz w:val="28"/>
          <w:sz w:val="28"/>
          <w:szCs w:val="28"/>
          <w:rtl w:val="true"/>
          <w:lang w:bidi="fa-IR"/>
        </w:rPr>
        <w:t>،کما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أثبتّ السّهم فی القرطاس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أوجبته،ثمّ یعبّر عن الاعتقاد،و الظنّ،و الخبر </w:t>
      </w:r>
      <w:r>
        <w:rPr>
          <w:rStyle w:val="FootnoteAnchor"/>
          <w:rtl w:val="true"/>
        </w:rPr>
        <w:footnoteReference w:id="1358"/>
      </w:r>
      <w:r>
        <w:rPr>
          <w:rFonts w:ascii="IRNazanin" w:hAnsi="IRNazanin" w:eastAsia="IRNazanin"/>
          <w:color w:val="111111"/>
          <w:sz w:val="28"/>
          <w:sz w:val="28"/>
          <w:szCs w:val="28"/>
          <w:rtl w:val="true"/>
          <w:lang w:bidi="fa-IR"/>
        </w:rPr>
        <w:t>،لکن بعرف الشّرع یجب أن یقصر علی ما قلناه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فی النّاس 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 القیاس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إثبات مثل حکم الأصل فی الفرع بعلّة جامعة بینهما</w:t>
      </w:r>
      <w:r>
        <w:rPr>
          <w:rFonts w:eastAsia="IRNazanin" w:cs="IRNazanin"/>
          <w:color w:val="111111"/>
          <w:sz w:val="28"/>
          <w:szCs w:val="28"/>
          <w:rtl w:val="true"/>
          <w:lang w:bidi="fa-IR"/>
        </w:rPr>
        <w:t xml:space="preserve">» </w:t>
      </w:r>
      <w:r>
        <w:rPr>
          <w:rStyle w:val="FootnoteAnchor"/>
          <w:rtl w:val="true"/>
        </w:rPr>
        <w:footnoteReference w:id="13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هذا أیضا نظیر لما قلناه غیر أنّ ما قلناه من العبارة أخصر </w:t>
      </w:r>
      <w:r>
        <w:rPr>
          <w:rStyle w:val="FootnoteAnchor"/>
          <w:rtl w:val="true"/>
        </w:rPr>
        <w:footnoteReference w:id="1360"/>
      </w:r>
      <w:r>
        <w:rPr>
          <w:rFonts w:ascii="Amiri" w:hAnsi="Amiri" w:eastAsia="Amiri" w:cs="Amiri"/>
          <w:color w:val="111111"/>
          <w:sz w:val="28"/>
          <w:sz w:val="28"/>
          <w:szCs w:val="28"/>
          <w:rtl w:val="true"/>
          <w:lang w:bidi="ar-SA"/>
        </w:rPr>
        <w:t>،لأنّ قولنا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المقیس و المقیس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،یغنی عن ذکر علّة جامعة بینهما،لأنّ لفظة المقیس تتضمّن أنّه جمع بینهما بعلّة فلا یحتاج أن یذکر فی اللّفظ،لأنّه متی لم یکن جمع بینهما بعلّة لا یکون ذلک قیاسا</w:t>
      </w:r>
      <w:r>
        <w:rPr>
          <w:rFonts w:eastAsia="IRNazanin" w:cs="IRNazanin"/>
          <w:color w:val="111111"/>
          <w:sz w:val="28"/>
          <w:szCs w:val="28"/>
          <w:rtl w:val="true"/>
          <w:lang w:bidi="fa-IR"/>
        </w:rPr>
        <w:t>.</w:t>
      </w:r>
    </w:p>
    <w:p>
      <w:pPr>
        <w:sectPr>
          <w:footerReference w:type="default" r:id="rId6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أکثر الفقهاء و الأصولیّون فی حدّ القیاس</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أحسن الألفاظ ما قلناه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للقیاس شروط و 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لا بدّ أن یکون الأصل الّذی هو المقیس علیه و حکمه معلومین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یعلم أیضا الفرع الّذی هو المقیس،و الشّبه الّذی ألحق أحدهما بالآخر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القیاس عقلیّا فلا بدّ من کون العلّة فی الأصل معلومة کونها علّة،و إن کان شرعیّا أجازه الفقهاء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أثبت القیاس أن تکون مظنونة،و یخالف القیاس العقلی السّمعی فیما یرجع إلی أحکام العلّة،لأنّ العلّة العقلیّة موجبة مؤثّرة تأثیر الإیجاب،و السّمعیّة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من قال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لیست کذلک،بل هی تابعة للدّواعی و المصالح المتعلّقة بالاختیار، و لا دخول للإیجاب فیما یجری هذا المجری،و هی فی القیاس العقلی لا تکون إلاّ معلومة،و فی السّمع لا یجب أن تکون معلومة،بل یجوز أن تکون مظنونة،و متی علمت فی العقلی و علّق الحکم بها،و لم یحتجّ فی تعلیق الحکم علیها إلی دلیل مستأنف،و لیس کذلک علّة السّمع فإنّها عند أکثرهم لا یکفی فی تعلیق الحکم بها فی کلّ موضع أن تعلم،بل یحتاج فیها إلی التّعبّد بالقیاس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علّة السّمع قد تکون أیضا مجموع أشیاء،و قد یحتاج إلی شروط فی کونها علّة،و قد یکون علّة فی وقت دون وقت،و فی عین دون أخری،و الوقت واحد،عند من أجاز تخصیص العلّة،و قد تکون العلّة الواحدة علّة لأحکام کثیرة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هذا و أشباهه تفارق فیه علّة العقل لعلّة الشّرع</w:t>
      </w:r>
      <w:r>
        <w:rPr>
          <w:rFonts w:eastAsia="IRNazanin" w:cs="IRNazanin"/>
          <w:color w:val="111111"/>
          <w:sz w:val="28"/>
          <w:szCs w:val="28"/>
          <w:rtl w:val="true"/>
          <w:lang w:bidi="fa-IR"/>
        </w:rPr>
        <w:t>.</w:t>
      </w:r>
    </w:p>
    <w:p>
      <w:pPr>
        <w:sectPr>
          <w:footerReference w:type="default" r:id="rId6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اختلف </w:t>
      </w:r>
      <w:r>
        <w:rPr>
          <w:rStyle w:val="FootnoteAnchor"/>
          <w:rtl w:val="true"/>
        </w:rPr>
        <w:footnoteReference w:id="1361"/>
      </w:r>
      <w:r>
        <w:rPr>
          <w:rFonts w:ascii="IRNazanin" w:hAnsi="IRNazanin" w:eastAsia="IRNazanin"/>
          <w:color w:val="111111"/>
          <w:sz w:val="28"/>
          <w:sz w:val="28"/>
          <w:szCs w:val="28"/>
          <w:rtl w:val="true"/>
          <w:lang w:bidi="fa-IR"/>
        </w:rPr>
        <w:t>النّاس فی القیاس فی الشّریعة،فمنهم من نفاه،و منهم من أثبته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اختلف من نفاه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أحال ورود العبادة به جملة،و أنکر أن یکون طریقا لمعرفة شیء من الأحکام،و ربّما أحال من حیث تعلّق بالظّن </w:t>
      </w:r>
      <w:r>
        <w:rPr>
          <w:rStyle w:val="FootnoteAnchor"/>
          <w:rtl w:val="true"/>
        </w:rPr>
        <w:footnoteReference w:id="1362"/>
      </w:r>
      <w:r>
        <w:rPr>
          <w:rFonts w:ascii="IRNazanin" w:hAnsi="IRNazanin" w:eastAsia="IRNazanin"/>
          <w:color w:val="111111"/>
          <w:sz w:val="28"/>
          <w:sz w:val="28"/>
          <w:szCs w:val="28"/>
          <w:rtl w:val="true"/>
          <w:lang w:bidi="fa-IR"/>
        </w:rPr>
        <w:t>الّذی یخطئ و یصیب،أو من حیث یؤدّی إلی تضادّ الأحکام و تناقضها</w:t>
      </w:r>
      <w:r>
        <w:rPr>
          <w:rFonts w:eastAsia="IRNazanin" w:cs="IRNazanin"/>
          <w:color w:val="111111"/>
          <w:sz w:val="28"/>
          <w:szCs w:val="28"/>
          <w:rtl w:val="true"/>
          <w:lang w:bidi="fa-IR"/>
        </w:rPr>
        <w:t>.</w:t>
      </w:r>
    </w:p>
    <w:p>
      <w:pPr>
        <w:sectPr>
          <w:footerReference w:type="default" r:id="rId6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أبطله من حیث لا سبیل إلی العلم بما له یثبت الحکم فی الأصل، و لا إلی غلبة الظّن فی ذلک لفقد دلالة و إمارة تقتضیه،و هذه الطّریقة الّتی کان ینصرها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الشّیخ المفید رحمه اللّه </w:t>
      </w:r>
      <w:r>
        <w:rPr>
          <w:rStyle w:val="FootnoteAnchor"/>
          <w:rtl w:val="true"/>
        </w:rPr>
        <w:footnoteReference w:id="13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أجاز التّعبّد به،و نفاه </w:t>
      </w:r>
      <w:r>
        <w:rPr>
          <w:rStyle w:val="FootnoteAnchor"/>
          <w:rtl w:val="true"/>
        </w:rPr>
        <w:footnoteReference w:id="1364"/>
      </w:r>
      <w:r>
        <w:rPr>
          <w:rFonts w:ascii="IRNazanin" w:hAnsi="IRNazanin" w:eastAsia="IRNazanin"/>
          <w:color w:val="111111"/>
          <w:sz w:val="28"/>
          <w:sz w:val="28"/>
          <w:szCs w:val="28"/>
          <w:rtl w:val="true"/>
          <w:lang w:bidi="fa-IR"/>
        </w:rPr>
        <w:t>من حیث وقعت الشّریعة علی وجه لا یسوغ معه القیاس،و هذه الطّریقة محکیّة عن النّظام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ذهب بعض أصحاب الظّاهر من داود و غیرهم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أنّه لا یجوز أن یقتصر اللّه تعالی بالمکلّف علی أدون البیانین رتبة مع قدرته علی أعلاهما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نفاه مع إجازته ورود العبادة به،من حیث لم یثبت التّعبد به،أو من حیث ورد السّمع بخلافه </w:t>
      </w:r>
      <w:r>
        <w:rPr>
          <w:rStyle w:val="FootnoteAnchor"/>
          <w:rtl w:val="true"/>
        </w:rPr>
        <w:footnoteReference w:id="13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فأمّا من أثبته فاختلفوا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أثبته عقلا،و هم شذّاذ غیر محصّلین </w:t>
      </w:r>
      <w:r>
        <w:rPr>
          <w:rStyle w:val="FootnoteAnchor"/>
          <w:rtl w:val="true"/>
        </w:rPr>
        <w:footnoteReference w:id="1366"/>
      </w:r>
      <w:r>
        <w:rPr>
          <w:rFonts w:eastAsia="Times New Roman" w:cs="Times New Roman" w:ascii="Times New Roman" w:hAnsi="Times New Roman"/>
          <w:color w:val="111111"/>
          <w:sz w:val="28"/>
          <w:szCs w:val="28"/>
          <w:rtl w:val="true"/>
          <w:lang w:val="en-US" w:bidi="en-US"/>
        </w:rPr>
        <w:t>.</w:t>
      </w:r>
    </w:p>
    <w:p>
      <w:pPr>
        <w:sectPr>
          <w:footerReference w:type="default" r:id="rId6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أثبته سمعا و زعم أنّ العقل لا یدلّ علی ثبوته،و هم المحصّلون من مثبتی القیاس،و فیهم الکثرة من الفقهاء و المتکلّمین </w:t>
      </w:r>
      <w:r>
        <w:rPr>
          <w:rStyle w:val="FootnoteAnchor"/>
          <w:rtl w:val="true"/>
        </w:rPr>
        <w:footnoteReference w:id="1367"/>
      </w:r>
      <w:r>
        <w:rPr>
          <w:rFonts w:ascii="IRNazanin" w:hAnsi="IRNazanin" w:eastAsia="IRNazanin"/>
          <w:color w:val="111111"/>
          <w:sz w:val="28"/>
          <w:sz w:val="28"/>
          <w:szCs w:val="28"/>
          <w:rtl w:val="true"/>
          <w:lang w:bidi="fa-IR"/>
        </w:rPr>
        <w:t>،و کلامهم أقوی شبهة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الّذی نذهب إلیه،و هو الّذی اختاره المرتضی رحمه اللّه </w:t>
      </w:r>
      <w:r>
        <w:rPr>
          <w:rStyle w:val="FootnoteAnchor"/>
          <w:rtl w:val="true"/>
        </w:rPr>
        <w:footnoteReference w:id="1368"/>
      </w:r>
      <w:r>
        <w:rPr>
          <w:rFonts w:ascii="IRNazanin" w:hAnsi="IRNazanin" w:eastAsia="IRNazanin"/>
          <w:color w:val="111111"/>
          <w:sz w:val="28"/>
          <w:sz w:val="28"/>
          <w:szCs w:val="28"/>
          <w:rtl w:val="true"/>
          <w:lang w:bidi="fa-IR"/>
        </w:rPr>
        <w:t>فی کتابه فی إبطال القیاس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القیاس محظور استعماله فی الشّریعة،لأنّ العبادة لم تأت به،و هو ممّا لو کان جائزا فی العقل مفتقر فی صحّة استعماله فی الشّرع إلی السّمع القاطع للعذر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یلحق بهذا فی القوّة الطّریقة الّتی کان ینصرها شیخنا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من منع حصول الظّن و فقد الأمارات الّتی یحصل عندها الظّن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ذکر المرتضی رحمه اللّه أنّ لهذه الطّریقة بعض القوّة </w:t>
      </w:r>
      <w:r>
        <w:rPr>
          <w:rStyle w:val="FootnoteAnchor"/>
          <w:rtl w:val="true"/>
        </w:rPr>
        <w:footnoteReference w:id="1369"/>
      </w:r>
      <w:r>
        <w:rPr>
          <w:rFonts w:eastAsia="Times New Roman" w:cs="Times New Roman" w:ascii="Times New Roman" w:hAnsi="Times New Roman"/>
          <w:color w:val="111111"/>
          <w:sz w:val="28"/>
          <w:szCs w:val="28"/>
          <w:rtl w:val="true"/>
          <w:lang w:val="en-US" w:bidi="en-US"/>
        </w:rPr>
        <w:t>.</w:t>
      </w:r>
    </w:p>
    <w:p>
      <w:pPr>
        <w:sectPr>
          <w:footerReference w:type="default" r:id="rId6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نحن نتکلّم علی هذه المذاهب کلّها علی وجه الاختصار،ثمّ نبیّن نصرة ما اخترناه من بعد إن شاء اللّه</w:t>
      </w:r>
      <w:r>
        <w:rPr>
          <w:rFonts w:eastAsia="IRNazanin" w:cs="IRNazanin"/>
          <w:color w:val="111111"/>
          <w:sz w:val="28"/>
          <w:szCs w:val="28"/>
          <w:rtl w:val="true"/>
          <w:lang w:bidi="fa-IR"/>
        </w:rPr>
        <w:t xml:space="preserve">. </w:t>
      </w:r>
      <w:bookmarkStart w:id="373" w:name="pg6519_49855"/>
    </w:p>
    <w:p>
      <w:pPr>
        <w:pStyle w:val="Heading4"/>
        <w:numPr>
          <w:ilvl w:val="3"/>
          <w:numId w:val="1"/>
        </w:numPr>
        <w:rPr/>
      </w:pPr>
      <w:bookmarkStart w:id="374" w:name="__RefHeading___Toc1757389_653776707"/>
      <w:bookmarkStart w:id="375" w:name="_Toc118"/>
      <w:bookmarkEnd w:id="373"/>
      <w:bookmarkEnd w:id="374"/>
      <w:r>
        <w:rPr>
          <w:rtl w:val="true"/>
        </w:rPr>
        <w:t>فصل</w:t>
      </w:r>
      <w:r>
        <w:rPr>
          <w:rtl w:val="true"/>
        </w:rPr>
        <w:t>-</w:t>
      </w:r>
      <w:r>
        <w:rPr/>
        <w:t>2</w:t>
      </w:r>
      <w:r>
        <w:rPr>
          <w:rtl w:val="true"/>
        </w:rPr>
        <w:t>: «</w:t>
      </w:r>
      <w:r>
        <w:rPr>
          <w:rtl w:val="true"/>
        </w:rPr>
        <w:t>فی الکلام علی من أحال القیاس عقلا علی اختلاف عللهم</w:t>
      </w:r>
      <w:r>
        <w:rPr>
          <w:rtl w:val="true"/>
        </w:rPr>
        <w:t>»</w:t>
      </w:r>
      <w:bookmarkEnd w:id="375"/>
    </w:p>
    <w:p>
      <w:pPr>
        <w:pStyle w:val="BookText"/>
        <w:rPr/>
      </w:pPr>
      <w:r>
        <w:rPr>
          <w:rFonts w:ascii="IRNazanin" w:hAnsi="IRNazanin" w:eastAsia="IRNazanin"/>
          <w:color w:val="111111"/>
          <w:sz w:val="28"/>
          <w:sz w:val="28"/>
          <w:szCs w:val="28"/>
          <w:rtl w:val="true"/>
          <w:lang w:bidi="fa-IR"/>
        </w:rPr>
        <w:t xml:space="preserve">أمّا من أحاله عقلا </w:t>
      </w:r>
      <w:r>
        <w:rPr>
          <w:rStyle w:val="FootnoteAnchor"/>
          <w:rtl w:val="true"/>
        </w:rPr>
        <w:footnoteReference w:id="1370"/>
      </w:r>
      <w:r>
        <w:rPr>
          <w:rFonts w:ascii="IRNazanin" w:hAnsi="IRNazanin" w:eastAsia="IRNazanin"/>
          <w:color w:val="111111"/>
          <w:sz w:val="28"/>
          <w:sz w:val="28"/>
          <w:szCs w:val="28"/>
          <w:rtl w:val="true"/>
          <w:lang w:bidi="fa-IR"/>
        </w:rPr>
        <w:t>من حیث لا یمکن أن یکون طریقا لمعرفة الأحکام، فنحن إذا بیّنا أنّ ذلک ممکن جری مجری سائر الأدلّة من النّصوص و غیرها من الکتاب و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یدلّ علی صحّة معرفة الأحکام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فرق فی صحّة معرفتنا بتحریم النّبیذ المسکر بین أن ینصّ اللّه علی تحریم المسکر من الأنبذة،و بین أن ینصّ علی تحریم الخمر و ینصّ علی أنّ العلّة فی تحریمها شدّتها،أو یدلّنا بدلیل غیر النّص علی أنّه حرّم الخمر لهذه العلّة،أو ینصب لنا أمارة تغلب عند نظرنا فیها ظنّنا أنّ تحریمها لهذه العلّة،مع إیجاب القیاس علینا فی الوجوه کلّها،لأنّ بکلّ طریق من هذه الطّرق نصل إلی المعرفة بتحریم النّبیذ،فمن دفع جواز العبادة بأحدها کمن دفع جواز ورودها بسائرها</w:t>
      </w:r>
      <w:r>
        <w:rPr>
          <w:rFonts w:eastAsia="IRNazanin" w:cs="IRNazanin"/>
          <w:color w:val="111111"/>
          <w:sz w:val="28"/>
          <w:szCs w:val="28"/>
          <w:rtl w:val="true"/>
          <w:lang w:bidi="fa-IR"/>
        </w:rPr>
        <w:t>.</w:t>
      </w:r>
    </w:p>
    <w:p>
      <w:pPr>
        <w:sectPr>
          <w:footerReference w:type="default" r:id="rId6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لما ذکرناه أمثال فی العقلیّات،لأنّه لا فرق فی العلم بوجوب تجنّب سلوک بعض الطّرق بین أن نعلم فیه سبعا مشاهدة،و بین أن نعلمه بخبر یوجب العلم،أو </w:t>
      </w:r>
    </w:p>
    <w:p>
      <w:pPr>
        <w:pStyle w:val="BookText"/>
        <w:rPr/>
      </w:pPr>
      <w:r>
        <w:rPr>
          <w:rFonts w:ascii="IRNazanin" w:hAnsi="IRNazanin" w:eastAsia="IRNazanin"/>
          <w:color w:val="111111"/>
          <w:sz w:val="28"/>
          <w:sz w:val="28"/>
          <w:szCs w:val="28"/>
          <w:rtl w:val="true"/>
          <w:lang w:bidi="fa-IR"/>
        </w:rPr>
        <w:t>بخبر یقتضی الظّنّ،و الأفضل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Style w:val="FootnoteAnchor"/>
          <w:rtl w:val="true"/>
        </w:rPr>
        <w:footnoteReference w:id="1371"/>
      </w:r>
      <w:r>
        <w:rPr>
          <w:rFonts w:ascii="IRNazanin" w:hAnsi="IRNazanin" w:eastAsia="IRNazanin"/>
          <w:color w:val="111111"/>
          <w:sz w:val="28"/>
          <w:sz w:val="28"/>
          <w:szCs w:val="28"/>
          <w:rtl w:val="true"/>
          <w:lang w:bidi="fa-IR"/>
        </w:rPr>
        <w:t xml:space="preserve">جمیع ذلک فی الحکم،الّذی ذکرناه،ما </w:t>
      </w:r>
      <w:r>
        <w:rPr>
          <w:rStyle w:val="FootnoteAnchor"/>
          <w:rtl w:val="true"/>
        </w:rPr>
        <w:footnoteReference w:id="1372"/>
      </w:r>
      <w:r>
        <w:rPr>
          <w:rFonts w:ascii="IRNazanin" w:hAnsi="IRNazanin" w:eastAsia="IRNazanin"/>
          <w:color w:val="111111"/>
          <w:sz w:val="28"/>
          <w:sz w:val="28"/>
          <w:szCs w:val="28"/>
          <w:rtl w:val="true"/>
          <w:lang w:bidi="fa-IR"/>
        </w:rPr>
        <w:t>بین أن ینصّ لنا علی صفة الطّریق الّذی فیه السّبع،أو ینصب لنا أمارة علی تلک الصّفة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فأمّا من أحاله من حیث تعلّق بالظّنّ الّذی یخطئ و یصیب،فینتقض قوله بکثیر من الأحکام فی العقل و الشّرع یتعلّق بالظّن،أ لا تری أنّا نعلم فی العقل </w:t>
      </w:r>
      <w:r>
        <w:rPr>
          <w:rStyle w:val="FootnoteAnchor"/>
          <w:rtl w:val="true"/>
        </w:rPr>
        <w:footnoteReference w:id="1373"/>
      </w:r>
      <w:r>
        <w:rPr>
          <w:rFonts w:ascii="Amiri" w:hAnsi="Amiri" w:eastAsia="Amiri" w:cs="Amiri"/>
          <w:color w:val="111111"/>
          <w:sz w:val="28"/>
          <w:sz w:val="28"/>
          <w:szCs w:val="28"/>
          <w:rtl w:val="true"/>
          <w:lang w:bidi="ar-SA"/>
        </w:rPr>
        <w:t xml:space="preserve">حسن التّجارة عند ظنّ الرّبح،و نعلم قبحها عند الظّن للخسران </w:t>
      </w:r>
      <w:r>
        <w:rPr>
          <w:rStyle w:val="FootnoteAnchor"/>
          <w:rtl w:val="true"/>
        </w:rPr>
        <w:footnoteReference w:id="1374"/>
      </w:r>
      <w:r>
        <w:rPr>
          <w:rFonts w:ascii="IRNazanin" w:hAnsi="IRNazanin" w:eastAsia="IRNazanin"/>
          <w:color w:val="111111"/>
          <w:sz w:val="28"/>
          <w:sz w:val="28"/>
          <w:szCs w:val="28"/>
          <w:rtl w:val="true"/>
          <w:lang w:bidi="fa-IR"/>
        </w:rPr>
        <w:t xml:space="preserve">،و نعلم قبح سلوک الطّریق عند غلبة الظّنّ بأنّ فیه سبعا أو لصّا أو ما یجری مجراهما،و نعلم وجوب النّظر </w:t>
      </w:r>
      <w:r>
        <w:rPr>
          <w:rStyle w:val="FootnoteAnchor"/>
          <w:rtl w:val="true"/>
        </w:rPr>
        <w:footnoteReference w:id="1375"/>
      </w:r>
      <w:r>
        <w:rPr>
          <w:rFonts w:ascii="IRNazanin" w:hAnsi="IRNazanin" w:eastAsia="IRNazanin"/>
          <w:color w:val="111111"/>
          <w:sz w:val="28"/>
          <w:sz w:val="28"/>
          <w:szCs w:val="28"/>
          <w:rtl w:val="true"/>
          <w:lang w:bidi="fa-IR"/>
        </w:rPr>
        <w:t xml:space="preserve">فی طریق معرفة اللّه تعالی عند دعاء الدّاعی،أو الخاطر </w:t>
      </w:r>
      <w:r>
        <w:rPr>
          <w:rStyle w:val="FootnoteAnchor"/>
          <w:rtl w:val="true"/>
        </w:rPr>
        <w:footnoteReference w:id="1376"/>
      </w:r>
      <w:r>
        <w:rPr>
          <w:rFonts w:ascii="IRNazanin" w:hAnsi="IRNazanin" w:eastAsia="IRNazanin"/>
          <w:color w:val="111111"/>
          <w:sz w:val="28"/>
          <w:sz w:val="28"/>
          <w:szCs w:val="28"/>
          <w:rtl w:val="true"/>
          <w:lang w:bidi="fa-IR"/>
        </w:rPr>
        <w:t>الّذی یحصل عنده الظّنّ و الخوف،و وجوب معرفة الرّسل و النّظر فی معجزاتهم علی هذا الوجه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تعلّق الأحکام الشّرعیّة بالظّنّ فأکثر من أن تحصی،نحو وجوب التّوجّه إلی القبلة عند الظّنّ بأنّها فی جهة مخصوصة،و تقدیر النّفقات،و أرش الجنایات، و قیم المتلفات،و العمل بقول الشّاهدین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یجب أن یعلم أنّ الظّنّ و إن کان طریقا إلی العلم بوجوب أحکام علی نحو ما ذکرناه،و ساوی هذا الوجه العلم،لأنّه لا فصل بین أن نظنّ جهة القبلة،و بین أن نعلمها فی وجوب التّوجّه إلیها،و کذلک لا فصل بین أن نظن الخسران فی التّجارة أو نعلمه فی قبحها،فإنّه لا یساوی العلم من وجوه أخر و لا یقوم فیها مقامه،لأنّ الفعل الّذی یلزم المکلّف فعله لا بدّ أن یکون معلوما له،أو فی حکم المعلوم بأن یکون متمکّنا من العلم به،أو یکون سببه معلوما إذا تعذّر العلم بعینه</w:t>
      </w:r>
      <w:r>
        <w:rPr>
          <w:rFonts w:eastAsia="IRNazanin" w:cs="IRNazanin"/>
          <w:color w:val="111111"/>
          <w:sz w:val="28"/>
          <w:szCs w:val="28"/>
          <w:rtl w:val="true"/>
          <w:lang w:bidi="fa-IR"/>
        </w:rPr>
        <w:t>.</w:t>
      </w:r>
    </w:p>
    <w:p>
      <w:pPr>
        <w:sectPr>
          <w:footerReference w:type="default" r:id="rId6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بدّ أیضا أن یعلم وجوبه،و وجه وجوبه إمّا علی جملة أو تفصیل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الظّنّ فی کلّ هذه الوجوه لا یقوم مقام العلم،لأنّه متی لم یکن عالما بما ذکرناه أوّلا،أو متمکّنا من العلم به،لم یکن علّته مزاحة فیما تعبّد به،و جری مجری أن لا یکون قادرا،لأنّه متی لم یعلم الفعل و یمیّزه لم یتمکّن من القصد إلیه بعینه،و بالظّنّ لا یتمیّز الأشیاء،و إنّما تتمیّز بالعلم،و متی لم یکن عالما بوجوب الفعل کان مجوّزا کونه غیر واجب،فیکون متی أقدم علیه مقدّما علی ما لا یأمن کونه قبیحا،و الإقدام علی ذلک فی القبح یجری مجری الإقدام علی ما یعلم قبحه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متی علم کونه واجبا،فلا بدّ من أن یعلم وجه وجوبه علی جملة أو تفصیل، لأنّه لو کان ظانّا لوجه وجوبه کان مجوّزا انتفاء وجه الوجوب عنه،و عاد الأمر إلی تجویز کونه غیر 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الجملة إذا تؤمّلت بطل بها قول من أنکر تعلّق الأحکام بالظّنون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توهّم علی من سلک هذه الطّریقة أنّه قد أثبت الأحکام بالظّنون فقد أبعد نهایة البعد،لأنّ الأحکام لا تکون إلاّ معلومة و لا تثبت إلاّ من طریق العلم،إلاّ أنّ الطّریق إلیها قد یکون تارة العلم و أخری الظّن،لأنّا </w:t>
      </w:r>
      <w:r>
        <w:rPr>
          <w:rStyle w:val="FootnoteAnchor"/>
          <w:rtl w:val="true"/>
        </w:rPr>
        <w:footnoteReference w:id="1377"/>
      </w:r>
      <w:r>
        <w:rPr>
          <w:rFonts w:ascii="IRNazanin" w:hAnsi="IRNazanin" w:eastAsia="IRNazanin"/>
          <w:color w:val="111111"/>
          <w:sz w:val="28"/>
          <w:sz w:val="28"/>
          <w:szCs w:val="28"/>
          <w:rtl w:val="true"/>
          <w:lang w:bidi="fa-IR"/>
        </w:rPr>
        <w:t>إذا ظننا فی طریق سبعا وجب علینا تجنّب سلوکه،فالحکم الّذی هو قبح سلوکه و وجوب تجنّبه معلوم لا مظنون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الطّریق إلیه هو الظّن،و متعلّق الظّن غیر متعلّق العلم،لأنّ الظّنّ یتعلّق بکون السّبع فی الطّریق،و العلم یتعلّق بقبح سلوک الطّریق،و القول فی العلم بوجوب التّوجّه إلی جهة القبلة عند الظّنّ بأنّها فی بعض الجهات یجری علی ما ذکرناه،و یکون الحکم فیه معلوما و إن کان الطّریق إلیه مظنونا</w:t>
      </w:r>
      <w:r>
        <w:rPr>
          <w:rFonts w:eastAsia="IRNazanin" w:cs="IRNazanin"/>
          <w:color w:val="111111"/>
          <w:sz w:val="28"/>
          <w:szCs w:val="28"/>
          <w:rtl w:val="true"/>
          <w:lang w:bidi="fa-IR"/>
        </w:rPr>
        <w:t>.</w:t>
      </w:r>
    </w:p>
    <w:p>
      <w:pPr>
        <w:sectPr>
          <w:footerReference w:type="default" r:id="rId6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فأمّا من منع من القیاس من حیث یؤدّی إلی تضادّ الأحکام،فاعتماده علی 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کان للفرع شبه بأصل محرّم و أصل محلّل،فلا بدّ علی مذهب القائسین </w:t>
      </w:r>
      <w:r>
        <w:rPr>
          <w:rStyle w:val="FootnoteAnchor"/>
          <w:rtl w:val="true"/>
        </w:rPr>
        <w:footnoteReference w:id="1378"/>
      </w:r>
      <w:r>
        <w:rPr>
          <w:rFonts w:ascii="IRNazanin" w:hAnsi="IRNazanin" w:eastAsia="IRNazanin"/>
          <w:color w:val="111111"/>
          <w:sz w:val="28"/>
          <w:sz w:val="28"/>
          <w:szCs w:val="28"/>
          <w:rtl w:val="true"/>
          <w:lang w:bidi="fa-IR"/>
        </w:rPr>
        <w:t>من ردّه إلیهما جمیعا،و هذا یؤدّی فی العین الواحدة إلی أن یکون محرّمة محلّلة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من أثبت القیاس یقول فی جواب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کان الفرع مشبها لأصل محرّم و أصل محلّل عند اثنین،لزم کلّ واحد منهما ما أدّاه اجتهاده إلیه،فیلزم التّحریم من أشبه عنده الأصل المحرّم،و التّحلیل من أشبه عنده الأصل المحلّل،و لا تضادّ فی ذلک و إن </w:t>
      </w:r>
      <w:r>
        <w:rPr>
          <w:rStyle w:val="FootnoteAnchor"/>
          <w:rtl w:val="true"/>
        </w:rPr>
        <w:footnoteReference w:id="1379"/>
      </w:r>
      <w:r>
        <w:rPr>
          <w:rFonts w:ascii="IRNazanin" w:hAnsi="IRNazanin" w:eastAsia="IRNazanin"/>
          <w:color w:val="111111"/>
          <w:sz w:val="28"/>
          <w:sz w:val="28"/>
          <w:szCs w:val="28"/>
          <w:rtl w:val="true"/>
          <w:lang w:bidi="fa-IR"/>
        </w:rPr>
        <w:t>أشبه الأصلین المختلفین عند واحد،فهو عند کثیر منهم یکون مخیّرا بین الأمرین،فأیّهما اختار لزمه،کما یقال فی الکفّارات الثّلاث،و لا تضادّ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عند قوم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بدّ فی هذا الموضع من ترجیح یقتضی حمل الفرع علی أحدهما دون صاحبه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من أبطل القیاس من حیث لا طریق إلی غلبة الظّن فی الشّریعة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الطّریقة الّتی حکیناها عن شیخنا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فوجه اعتماده علیها أن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قد علمنا أنّ القیاس لا بدّ فیه من حمل فرع علی أصل بعلّة أو شبه،و العلّة الّتی یتعلّق الحکم بها فی الأصل لا یصحّ من أن یکون طریق إثبات کونها علّة العلم أو الظّن، و العلم لا مدخل له فی هذا الباب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جمیع من أثبت القیاس فی الشّرع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الشّذاذ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یجعلون العلّة المستخرجة المستدلّ علیها تابعة للظّن،و إنّما یجعلها معلومة من طریق الاستخراج من حیث اعتقد أنّ العلل الشرعیّة أدلّة توصل إلی العلم کالعقلیّات،و قول هؤلاء واضح البطلان لا معنی للتّشاغل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لأنّا إذا بیّنّا أنّ الظّنّ لا یصحّ حصوله فی علل الشّرع،فالأولی أن لا یحصل العلم،و إن کان العلّة تثبت علّة بالظّن،فنحن نعلم أنّ الظّن لا بدّ له من أمارة و طریق، و إلاّ کان مبتدأ لا حکم له</w:t>
      </w:r>
      <w:r>
        <w:rPr>
          <w:rFonts w:eastAsia="IRNazanin" w:cs="IRNazanin"/>
          <w:color w:val="111111"/>
          <w:sz w:val="28"/>
          <w:szCs w:val="28"/>
          <w:rtl w:val="true"/>
          <w:lang w:bidi="fa-IR"/>
        </w:rPr>
        <w:t>.</w:t>
      </w:r>
    </w:p>
    <w:p>
      <w:pPr>
        <w:sectPr>
          <w:footerReference w:type="default" r:id="rId6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لیس فی الشّرع أمارة علی أنّ التّحریم فی الأصل المحرّم إنّما کان لبعض صفاته،فکیف یصحّ أن یظنّ ذلک؟و لیس هذا ما لا یزالون یمثّلون به من ظنّ الرّبح، و الخسران،أو التّجارة،أو الهلاک،و أنّ القبلة فی جهة مخصوصة،و غلبة الظّن فی قیم </w:t>
      </w:r>
    </w:p>
    <w:p>
      <w:pPr>
        <w:pStyle w:val="BookText"/>
        <w:rPr/>
      </w:pPr>
      <w:r>
        <w:rPr>
          <w:rFonts w:ascii="IRNazanin" w:hAnsi="IRNazanin" w:eastAsia="IRNazanin"/>
          <w:color w:val="111111"/>
          <w:sz w:val="28"/>
          <w:sz w:val="28"/>
          <w:szCs w:val="28"/>
          <w:rtl w:val="true"/>
          <w:lang w:bidi="fa-IR"/>
        </w:rPr>
        <w:t>المتلفات،و أرش الجنایات الّتی یستند الظّن فیها إلی عادات،و تجارب،و أمارات معلومة متقرّرة،و لهذا نجد من لم یتّجر قطّ و لم یخبره مخبر عن أحوال التّجارة لا یصحّ أن یظنّ فیها ربحا و لا خسرانا،و کذلک من لم یسافر و لم یخبر عن الطّریق لا یظنّ نجاة و لا عطبا،و من لم یعرف العادة فی القیم و یمارسها لا یظنّ أیضا فیها 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جمیع ما یغلب فیه الظنون متی تأمّلته وجدته مستندا إلی ما ذکرناه ممّا لا یصحّ دخوله فی الشّرعیّات علی وجه و لا سبب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لقوّة ما أوردناه،ما قال قوم من أهل القیاس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العلل الشّرعیّة لا تکون إلاّ منصوصا علیها إمّا صریحا أو تنبیها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نزّل الباقون رتبة 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تثبت إلاّ بأدلة 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یمکن أن یعترض به علی هذه الطّریقة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اعتمد هذه الطّریقة علی هذا التّلخیص لا بدّ من أن یکون مجوّزا للعبادة به و معرفة الأحکام من جهته لو حصل الظّنّ الّذی منع من حصوله،و لا بدّ من 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تعالی لو نصّ علی العلّة،أو أمر الرّسول صلّی اللّه علیه و آله و سلّم بالنّصّ علیها،و تعبّد بالقیاس لوجب حمل الفروع علی الأصول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بل الذّاهب إلی هذه الطّریقة ربّما </w:t>
      </w:r>
      <w:r>
        <w:rPr>
          <w:rStyle w:val="FootnoteAnchor"/>
          <w:rtl w:val="true"/>
        </w:rPr>
        <w:footnoteReference w:id="1380"/>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نصّ اللّه تعالی علی العلّة فی تحریمه مثلا للخمر و ذکر أنّها الشّدّة،لوجب حمل ما فیه هذه العلّة علیها و إن لم یتعبّد بالقیاس،لأنّه یجری مجری أن ینصّ علی تحریم کلّ شدید</w:t>
      </w:r>
      <w:r>
        <w:rPr>
          <w:rFonts w:eastAsia="IRNazanin" w:cs="IRNazanin"/>
          <w:color w:val="111111"/>
          <w:sz w:val="28"/>
          <w:szCs w:val="28"/>
          <w:rtl w:val="true"/>
          <w:lang w:bidi="fa-IR"/>
        </w:rPr>
        <w:t>.</w:t>
      </w:r>
    </w:p>
    <w:p>
      <w:pPr>
        <w:sectPr>
          <w:footerReference w:type="default" r:id="rId6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إن کان هذا غیر صحیح،لأنّ العلل الشّرعیّة إنّما تنبئ عن الدّواعی إلی </w:t>
      </w:r>
    </w:p>
    <w:p>
      <w:pPr>
        <w:pStyle w:val="BookText"/>
        <w:rPr/>
      </w:pPr>
      <w:r>
        <w:rPr>
          <w:rFonts w:ascii="Amiri" w:hAnsi="Amiri" w:eastAsia="Amiri" w:cs="Amiri"/>
          <w:color w:val="111111"/>
          <w:sz w:val="28"/>
          <w:sz w:val="28"/>
          <w:szCs w:val="28"/>
          <w:rtl w:val="true"/>
          <w:lang w:bidi="ar-SA"/>
        </w:rPr>
        <w:t>الفعل،أو عن وجه المصلحة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یشترک الشّیئان فی صفة،فیکون فی أحدهما داعیة إلی فعله دون الآخر و مع ثبوتها فیه،و قد یکون مثل المصلحة مفسدة،و قد یدعو الشیء إلی غیره فی حال دون حال،و علی وجه و قدر 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w:t>
      </w:r>
      <w:r>
        <w:rPr>
          <w:rFonts w:eastAsia="IRNazanin" w:cs="IRNazanin"/>
          <w:color w:val="111111"/>
          <w:sz w:val="28"/>
          <w:szCs w:val="28"/>
          <w:rtl w:val="true"/>
          <w:lang w:bidi="fa-IR"/>
        </w:rPr>
        <w:t xml:space="preserve">] </w:t>
      </w:r>
      <w:r>
        <w:rPr>
          <w:rStyle w:val="FootnoteAnchor"/>
          <w:rtl w:val="true"/>
        </w:rPr>
        <w:footnoteReference w:id="1381"/>
      </w:r>
      <w:r>
        <w:rPr>
          <w:rFonts w:ascii="IRNazanin" w:hAnsi="IRNazanin" w:eastAsia="IRNazanin"/>
          <w:color w:val="111111"/>
          <w:sz w:val="28"/>
          <w:sz w:val="28"/>
          <w:szCs w:val="28"/>
          <w:rtl w:val="true"/>
          <w:lang w:bidi="fa-IR"/>
        </w:rPr>
        <w:t xml:space="preserve">و قدر </w:t>
      </w:r>
      <w:r>
        <w:rPr>
          <w:rStyle w:val="FootnoteAnchor"/>
          <w:rtl w:val="true"/>
        </w:rPr>
        <w:footnoteReference w:id="1382"/>
      </w:r>
      <w:r>
        <w:rPr>
          <w:rFonts w:ascii="IRNazanin" w:hAnsi="IRNazanin" w:eastAsia="IRNazanin"/>
          <w:color w:val="111111"/>
          <w:sz w:val="28"/>
          <w:sz w:val="28"/>
          <w:szCs w:val="28"/>
          <w:rtl w:val="true"/>
          <w:lang w:bidi="fa-IR"/>
        </w:rPr>
        <w:t>و هذا معروف فی الدّواعی،و لهذا جاز أن نعطی لوجه الإحسان فقیرا دون فقیر،و درهما دون درهم، و فی حال دون حال،و إن کان فیما لم نفعله الوجه الّذی لأجله فعلنا بعینه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صحّت هذه الجملة،لم یکن فی النّص علی العلّة ما یوجب التخطّی، و جری النّص علی العلّة مجری النّصّ علی الحکم فی قصره علی موضعه،إذ قد بیّنا أنّ ما له کان صلاحا و داعیا إلی الفعل لا یمکن أن یشترک فیه المختلفان فی هذا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لأحد 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لم یوجب النّص علی العلّة التخطّی کان عبثا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أنّه یفیدنا ما لم نکن نعلمه لولاه،و هو ما له کان الفعل المعیّن مصلحة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النّاس من فصّل بین داعی الفعل و داعی التّرک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النّصّ علی علّة الفعل لم یجب القیاس إلاّ بدلیل مستأنف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واردا بعلّة التّرک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وجب التخطّی من غیر دلیل مستأنف،و فصّل بین الأمرین بأنّ ما له یترک أحدنا الفعل له، یترک غیره إذا شارکه فیه،لأنّه لا یجوز أن یترک أکل السّکّر لحلاوته و یأکل شیئا حلوا، و لا یجب هذا فی الفعل لأنّه قد یفعل الفعل لأمر یثبت فی غیره و إن لم یکن فاعلا له</w:t>
      </w:r>
      <w:r>
        <w:rPr>
          <w:rFonts w:eastAsia="IRNazanin" w:cs="IRNazanin"/>
          <w:color w:val="111111"/>
          <w:sz w:val="28"/>
          <w:szCs w:val="28"/>
          <w:rtl w:val="true"/>
          <w:lang w:bidi="fa-IR"/>
        </w:rPr>
        <w:t>.</w:t>
      </w:r>
    </w:p>
    <w:p>
      <w:pPr>
        <w:sectPr>
          <w:footerReference w:type="default" r:id="rId6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صحیح لا شبهة فیه،متی کان النّصّ الوارد بالعلّة کاشفا عن الدّاعی و وجه المصلحة،أو عن الدّاعی فقط،فأمّا إن کان مختصّا بوجه المصلحة لم یجب ذلک لأنّ الدّواعی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تتّفق تارة و تختلف وجوه المصالح و تختلف الدّواعی</w:t>
      </w:r>
      <w:r>
        <w:rPr>
          <w:rFonts w:eastAsia="IRNazanin" w:cs="IRNazanin"/>
          <w:color w:val="111111"/>
          <w:sz w:val="28"/>
          <w:szCs w:val="28"/>
          <w:rtl w:val="true"/>
          <w:lang w:bidi="fa-IR"/>
        </w:rPr>
        <w:t xml:space="preserve">] </w:t>
      </w:r>
      <w:r>
        <w:rPr>
          <w:rStyle w:val="FootnoteAnchor"/>
          <w:rtl w:val="true"/>
        </w:rPr>
        <w:footnoteReference w:id="1383"/>
      </w:r>
      <w:r>
        <w:rPr>
          <w:rFonts w:ascii="IRNazanin" w:hAnsi="IRNazanin" w:eastAsia="IRNazanin"/>
          <w:color w:val="111111"/>
          <w:sz w:val="28"/>
          <w:sz w:val="28"/>
          <w:szCs w:val="28"/>
          <w:rtl w:val="true"/>
          <w:lang w:bidi="fa-IR"/>
        </w:rPr>
        <w:t xml:space="preserve">مع </w:t>
      </w:r>
    </w:p>
    <w:p>
      <w:pPr>
        <w:pStyle w:val="BookText"/>
        <w:rPr/>
      </w:pPr>
      <w:r>
        <w:rPr>
          <w:rFonts w:ascii="IRNazanin" w:hAnsi="IRNazanin" w:eastAsia="IRNazanin"/>
          <w:color w:val="111111"/>
          <w:sz w:val="28"/>
          <w:sz w:val="28"/>
          <w:szCs w:val="28"/>
          <w:rtl w:val="true"/>
          <w:lang w:bidi="fa-IR"/>
        </w:rPr>
        <w:t>اتّفاق وجوه المصالح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أقوی ما یدخل علی هذه الطّریقة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بیّنتم استناد الظّنون إلی العادات و التّجارب،و أنّ الشّرع لا یتمّ ذلک فیه،و هذا صحیح،فلم أنکرتم أن تحصل فیه طریقة یحصل عندها الظّنّ و إن لم تکن عادة و لا تجربة؟ بل یجری فی حصول الظنّ عندها مجری ما ذکرتم،و هذا مثل أن نجد العین المسمّاة خمرا یحصل علی صفاته کثیرة،فتکون مباحة غیر محرّمة،فمتی وجدت فیها الشّدّة المخصوصة حرمت،و متی خرجت عن الشّدة بأن تصیر خلاّ حلّت، فیظنّ عند ذلک أنّ العلّة هی الشّدة،لأنّ الّذی ذکرناه من حالها أمارة قویّة علی کونها علّة،فمتی انضمّ إلی هذا الظّنّ التّعبّد بالقیاس و ان یحصل ما حصل فیه علّة التّحریم من الفروع علی الأصول،ساغ القیاس و صحّ و لم یمنع منه مانع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إذا رأینا بعض صفات الأصل هی المؤثّرة فی الحکم المعلّل دون غیره، کانت بأن تجعل علّة أولی من غیرها،و قوی الظّنّ فی أنّه العلّة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إذا أردنا أن نعلّل ولایة المرأة علی نفسها و ملکها لأمرها، و وجدنا بلوغها هو المؤثّر فی هذا الحکم مع سلامة أحوالها فی الحریّة و العقل دون کونها مزوّجة،لأنّ التّزویج متی اعتبر لم یوجد له تأثیر فی باب الولایة و ما یرجع إلیها،و للبلوغ التأثیر القویّ فیها جعلناه العلّة دون التّزویج</w:t>
      </w:r>
      <w:r>
        <w:rPr>
          <w:rFonts w:eastAsia="IRNazanin" w:cs="IRNazanin"/>
          <w:color w:val="111111"/>
          <w:sz w:val="28"/>
          <w:szCs w:val="28"/>
          <w:rtl w:val="true"/>
          <w:lang w:bidi="fa-IR"/>
        </w:rPr>
        <w:t>.</w:t>
      </w:r>
    </w:p>
    <w:p>
      <w:pPr>
        <w:sectPr>
          <w:footerReference w:type="default" r:id="rId6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یکفی أن یقال لمعتمدی هذه الطریقة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زعمتم أنّ الظّنّ إذا استند فی بعض المواضع إلی عادة فإنّه لا یقع فی کلّ موضع إلاّ علی هذا الوجه،و أنّ العادة لا یقوم مقامها غیرها؟فإنّهم لا یجدون معتصما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یمکن أیضا أن یقال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خبّرونا عمّن ابتدأه اللّه تعالی کاملا عاقلا فی بعض الدّور،معه صاحب له،جالس عنده،و هو لا یعرف العادات،و لا سمع الأخبار عنها، إلاّ أنّه وجد الصّاحب </w:t>
      </w:r>
      <w:r>
        <w:rPr>
          <w:rStyle w:val="FootnoteAnchor"/>
          <w:rtl w:val="true"/>
        </w:rPr>
        <w:footnoteReference w:id="1384"/>
      </w:r>
      <w:r>
        <w:rPr>
          <w:rFonts w:ascii="IRNazanin" w:hAnsi="IRNazanin" w:eastAsia="IRNazanin"/>
          <w:color w:val="111111"/>
          <w:sz w:val="28"/>
          <w:sz w:val="28"/>
          <w:szCs w:val="28"/>
          <w:rtl w:val="true"/>
          <w:lang w:bidi="fa-IR"/>
        </w:rPr>
        <w:t xml:space="preserve">الجالس معه حتّی دخل إلیه </w:t>
      </w:r>
      <w:r>
        <w:rPr>
          <w:rStyle w:val="FootnoteAnchor"/>
          <w:rtl w:val="true"/>
        </w:rPr>
        <w:footnoteReference w:id="1385"/>
      </w:r>
      <w:r>
        <w:rPr>
          <w:rFonts w:ascii="IRNazanin" w:hAnsi="IRNazanin" w:eastAsia="IRNazanin"/>
          <w:color w:val="111111"/>
          <w:sz w:val="28"/>
          <w:sz w:val="28"/>
          <w:szCs w:val="28"/>
          <w:rtl w:val="true"/>
          <w:lang w:bidi="fa-IR"/>
        </w:rPr>
        <w:t xml:space="preserve">بعض النّاس،انصرف و خرج </w:t>
      </w:r>
    </w:p>
    <w:p>
      <w:pPr>
        <w:pStyle w:val="BookText"/>
        <w:rPr/>
      </w:pPr>
      <w:r>
        <w:rPr>
          <w:rFonts w:ascii="IRNazanin" w:hAnsi="IRNazanin" w:eastAsia="IRNazanin"/>
          <w:color w:val="111111"/>
          <w:sz w:val="28"/>
          <w:sz w:val="28"/>
          <w:szCs w:val="28"/>
          <w:rtl w:val="true"/>
          <w:lang w:bidi="fa-IR"/>
        </w:rPr>
        <w:t>عن الدّار،و هو مع دخول غیره من النّاس لا یفارق مکانه،أ لیس هذا مع عقله و کماله یصحّ أن یقوی فی ظنّه أنّ علّة خروج صاحبه إنّما هی دخول ذلک الرّجل؟ فإن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یصحّ أن یغلب ما ذکرتم فی ظنّه،طولبوا بما یمنع منه،و لن یجدوه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إن أجازوه </w:t>
      </w:r>
      <w:r>
        <w:rPr>
          <w:rStyle w:val="FootnoteAnchor"/>
          <w:rtl w:val="true"/>
        </w:rPr>
        <w:footnoteReference w:id="1386"/>
      </w:r>
      <w:r>
        <w:rPr>
          <w:rFonts w:ascii="IRNazanin" w:hAnsi="IRNazanin" w:eastAsia="IRNazanin"/>
          <w:color w:val="111111"/>
          <w:sz w:val="28"/>
          <w:sz w:val="28"/>
          <w:szCs w:val="28"/>
          <w:rtl w:val="true"/>
          <w:lang w:bidi="fa-IR"/>
        </w:rPr>
        <w:t>،بطلت علیهم ذکر العادات و التّجارب فی باب الظّنون،و قیل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تنکرون من أن تکون هذه حالة الظّنون فی الشّرع؟ و یمکن أن یقول من نصر الطّریقة الّتی قدّمناها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ما فرضتموه من جلوس بعض النّاس عند من لم یعرف العادات و انصرافه إذا دخل علیه إنسان آخر و تکرر منه ذلک،و إنّما یغلب علی ظنّه کون دخول صاحبه علّة لخروج الآخر،لأنّ ذلک یصیر عادة،و لیس یلزم فیمن عرف عادة فی شیء بعینه أن یعرف العادات کلّها،أ لا تری أنّ العادات تختصّ البلاد و الأزمان و لا تکاد تتّفق علی حدّ واحد،فکذلک القول فیما فرضتموه فی السّؤال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طعن مثبتی القیاس علی الطّریقة المتقدّمة و تصحیحهم غلبة الظّنون فی الشّریعة بقولهم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وجدنا أهل القیاس و الاجتهاد مع کثرتهم و تدیّنهم یخبرون عن أنفسهم بالظّنون و یعملون علیها،و مثل هؤلاء أو طائفة منهم لا یجوز أن یکذبوا علی نفوسهم،فکیف تدفع الظّنون و هذه حالها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6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فلیس بشیء،لأنّ لمن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w:t>
      </w:r>
      <w:r>
        <w:rPr>
          <w:rFonts w:eastAsia="IRNazanin" w:cs="IRNazanin"/>
          <w:color w:val="111111"/>
          <w:sz w:val="28"/>
          <w:szCs w:val="28"/>
          <w:rtl w:val="true"/>
          <w:lang w:bidi="fa-IR"/>
        </w:rPr>
        <w:t xml:space="preserve">] </w:t>
      </w:r>
      <w:r>
        <w:rPr>
          <w:rStyle w:val="FootnoteAnchor"/>
          <w:rtl w:val="true"/>
        </w:rPr>
        <w:footnoteReference w:id="1387"/>
      </w:r>
      <w:r>
        <w:rPr>
          <w:rFonts w:ascii="IRNazanin" w:hAnsi="IRNazanin" w:eastAsia="IRNazanin"/>
          <w:color w:val="111111"/>
          <w:sz w:val="28"/>
          <w:sz w:val="28"/>
          <w:szCs w:val="28"/>
          <w:rtl w:val="true"/>
          <w:lang w:bidi="fa-IR"/>
        </w:rPr>
        <w:t>الظّنّ 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 لست أکذّب هؤلاء المجتهدین فی أنّهم یجدون أنفسهم علی اعتقاد ما،و إنّما أکذّبهم فی قولهم إنّه ظن و واقع عن أمارة،و العلم بالفرق بین الاعتقاد المبتدأ و العلم و الظّنّ لیس بضرورة </w:t>
      </w:r>
      <w:r>
        <w:rPr>
          <w:rStyle w:val="FootnoteAnchor"/>
          <w:rtl w:val="true"/>
        </w:rPr>
        <w:footnoteReference w:id="1388"/>
      </w:r>
      <w:r>
        <w:rPr>
          <w:rFonts w:ascii="IRNazanin" w:hAnsi="IRNazanin" w:eastAsia="IRNazanin"/>
          <w:color w:val="111111"/>
          <w:sz w:val="28"/>
          <w:sz w:val="28"/>
          <w:szCs w:val="28"/>
          <w:rtl w:val="true"/>
          <w:lang w:bidi="fa-IR"/>
        </w:rPr>
        <w:t xml:space="preserve">، فکأنّ القوم سبقوا إلی اعتقادات لیست ظنونا،و دخلت علیهم الشبهة،فاعتقدوا أنّ </w:t>
      </w:r>
    </w:p>
    <w:p>
      <w:pPr>
        <w:pStyle w:val="BookText"/>
        <w:rPr/>
      </w:pPr>
      <w:r>
        <w:rPr>
          <w:rFonts w:ascii="IRNazanin" w:hAnsi="IRNazanin" w:eastAsia="IRNazanin"/>
          <w:color w:val="111111"/>
          <w:sz w:val="28"/>
          <w:sz w:val="28"/>
          <w:szCs w:val="28"/>
          <w:rtl w:val="true"/>
          <w:lang w:bidi="fa-IR"/>
        </w:rPr>
        <w:t>لها أحکام الظّنون،و لیست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 هذا یرجع علیهم فیمن یدّعی من أهل القیاس أنّ علی الأحکام أدلّة توجب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فیقال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یصحّ علی هؤلاء مع کثرتهم أن یدّعوا أنّهم عالمون و یخبرون عن نفوسهم بما یجدونها علیه من السّکون،و هم مع ذلک کذبة؟ و هکذا السؤال علیهم فی المخالفین لهم فی أصول الدّیانات،إذا ادّعوا العلم بمذاهبهم و سکونهم إلی اعتقاداتهم؟ فلا بدّ لهم فی الجواب ممّا ذکرناه،من أنّ القوم لم یکذبوا فی أنّهم معتقدون، و إنّما غلطوا فی أنّ تلک الاعتقادات 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فأمّا طریقة النظّام و من تابعة فی إبطال القیاس </w:t>
      </w:r>
      <w:r>
        <w:rPr>
          <w:rStyle w:val="FootnoteAnchor"/>
          <w:rtl w:val="true"/>
        </w:rPr>
        <w:footnoteReference w:id="138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فاعتمادهم علی أنّ الشّرعیّات واقعة </w:t>
      </w:r>
      <w:r>
        <w:rPr>
          <w:rStyle w:val="FootnoteAnchor"/>
          <w:rtl w:val="true"/>
        </w:rPr>
        <w:footnoteReference w:id="1390"/>
      </w:r>
      <w:r>
        <w:rPr>
          <w:rFonts w:ascii="IRNazanin" w:hAnsi="IRNazanin" w:eastAsia="IRNazanin"/>
          <w:color w:val="111111"/>
          <w:sz w:val="28"/>
          <w:sz w:val="28"/>
          <w:szCs w:val="28"/>
          <w:rtl w:val="true"/>
          <w:lang w:bidi="fa-IR"/>
        </w:rPr>
        <w:t>علی وجوه لا یمکن معها دخول القیاس،فالّذی یعوّلون علیه أن یقولوا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وجدنا الشّرع واردا باختلاف المتّفقین و اتّفاق المختلفین،کإیجاب القضاء علی الحائض فی الصّوم،و إسقاطه عنها فی الصّلاة و هی أوکد من الصّوم،و إیجابه علی المسافر القضاء فیما قصّر فی الصّوم و إسقاطه عنه فیما قصّر من الصّلاة، و کإیجاب الغسل بخروج الولد و المنیّ،و هما أنظف من البول و الغائط اللّذین یوجبان الطّهارة،و إباحة النّظر إلی الأمة الحسناء و إلی محاسنها،و حظر ذلک من الحرّة و إن کانت شوهاء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فکیف </w:t>
      </w:r>
      <w:r>
        <w:rPr>
          <w:rStyle w:val="FootnoteAnchor"/>
          <w:rtl w:val="true"/>
        </w:rPr>
        <w:footnoteReference w:id="1391"/>
      </w:r>
      <w:r>
        <w:rPr>
          <w:rFonts w:ascii="IRNazanin" w:hAnsi="IRNazanin" w:eastAsia="IRNazanin"/>
          <w:color w:val="111111"/>
          <w:sz w:val="28"/>
          <w:sz w:val="28"/>
          <w:szCs w:val="28"/>
          <w:rtl w:val="true"/>
          <w:lang w:bidi="fa-IR"/>
        </w:rPr>
        <w:t xml:space="preserve">یسوغ القیاس فیما هذه حاله؟و من حقّه أن </w:t>
      </w:r>
      <w:r>
        <w:rPr>
          <w:rStyle w:val="FootnoteAnchor"/>
          <w:rtl w:val="true"/>
        </w:rPr>
        <w:footnoteReference w:id="1392"/>
      </w:r>
      <w:r>
        <w:rPr>
          <w:rFonts w:ascii="IRNazanin" w:hAnsi="IRNazanin" w:eastAsia="IRNazanin"/>
          <w:color w:val="111111"/>
          <w:sz w:val="28"/>
          <w:sz w:val="28"/>
          <w:szCs w:val="28"/>
          <w:rtl w:val="true"/>
          <w:lang w:bidi="fa-IR"/>
        </w:rPr>
        <w:t>یدخل فیما یتّفق فیه أحکام المتّفقات و تختلف أحکام المختلفات</w:t>
      </w:r>
      <w:r>
        <w:rPr>
          <w:rFonts w:eastAsia="IRNazanin" w:cs="IRNazanin"/>
          <w:color w:val="111111"/>
          <w:sz w:val="28"/>
          <w:szCs w:val="28"/>
          <w:rtl w:val="true"/>
          <w:lang w:bidi="fa-IR"/>
        </w:rPr>
        <w:t>».</w:t>
      </w:r>
    </w:p>
    <w:p>
      <w:pPr>
        <w:sectPr>
          <w:footerReference w:type="default" r:id="rId6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لا یصحّ اعتماده فی نفی القیاس،و ذلک أنّ لمثبته أن یقول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أمّا إطلاق القول بأنّ المتّفقین لا یختلفان فی الحکم،و المختلفین لا یتّفقان فی الحکم فغلط،و الصّحیح أن یقال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المتّفقین یتّفقان </w:t>
      </w:r>
      <w:r>
        <w:rPr>
          <w:rStyle w:val="FootnoteAnchor"/>
          <w:rtl w:val="true"/>
        </w:rPr>
        <w:footnoteReference w:id="1393"/>
      </w:r>
      <w:r>
        <w:rPr>
          <w:rFonts w:ascii="IRNazanin" w:hAnsi="IRNazanin" w:eastAsia="IRNazanin"/>
          <w:color w:val="111111"/>
          <w:sz w:val="28"/>
          <w:sz w:val="28"/>
          <w:szCs w:val="28"/>
          <w:rtl w:val="true"/>
          <w:lang w:bidi="fa-IR"/>
        </w:rPr>
        <w:t>فی الحکم الّذی یقتضیه اتّفاقهما،و کذلک المختلفان لا یتّفقان فی الحکم الّذی یقتضیه اختلافهما،لأنّ المراعی فی هذا الباب هو الأسباب و العلل،و الأحکام الّتی یجب اتّفاق المتّفقات فیها و اختلاف المختلفات هی الرّاجعة إلی صفات الذّات،و إنّما وجب ذلک فیها لأنّ المتّفقین قد اشترکا فی سبب الحکم و علّته،و المختلفین قد افترقا فی ذلک فلا بدّ ممّا ذکرناه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فأمّا إذا لم یکن الحکم راجعا إلی الذّوات،فهو موقوف علی الدّلالة،فإن اتّفق المختلفان فی علّته و سببه اتّفقا فیه،و إن اختلف المتّفقان فیما </w:t>
      </w:r>
      <w:r>
        <w:rPr>
          <w:rStyle w:val="FootnoteAnchor"/>
          <w:rtl w:val="true"/>
        </w:rPr>
        <w:footnoteReference w:id="1394"/>
      </w:r>
      <w:r>
        <w:rPr>
          <w:rFonts w:ascii="IRNazanin" w:hAnsi="IRNazanin" w:eastAsia="IRNazanin"/>
          <w:color w:val="111111"/>
          <w:sz w:val="28"/>
          <w:sz w:val="28"/>
          <w:szCs w:val="28"/>
          <w:rtl w:val="true"/>
          <w:lang w:bidi="fa-IR"/>
        </w:rPr>
        <w:t>اختلفا فیه،و علی هذا لا ینکر أن یکون الحیض و إن کان سببا لسقوط الصّوم و الصّلاة معا،و اتّفقا فی ذلک أن یختلفا فی حکم آخر یوجب فی أحدهما الإعادة و لا یوجبها فی الآخر، فیکون الاختلاف من وجه و الاتّفاق من آخر و قد زال التّناقض،لأنّ القضاء إذا اختصّ بعلّة غیر علّة السّقوط لم یکن باتّفاقهما فی علّة السّقوط معتبر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العقل مثال لذلک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لأنّا نعلم أنّ النّفع المحض إذا حصل فی الفعل اقتضی حسنه،و قد یحصل فی الکذب النّفع فلا یکون إلاّ قبیحا،لأنّ وجه قبحه هو کونه کذبا،فصار اتّفاق الکذب مع غیره من الأفعال فی النّفع لا یمنع من اختلافهما فی القبح،لأنّ ما اختلفا فیه غیر ما اتّفقا من أجله</w:t>
      </w:r>
      <w:r>
        <w:rPr>
          <w:rFonts w:eastAsia="IRNazanin" w:cs="IRNazanin"/>
          <w:color w:val="111111"/>
          <w:sz w:val="28"/>
          <w:szCs w:val="28"/>
          <w:rtl w:val="true"/>
          <w:lang w:bidi="fa-IR"/>
        </w:rPr>
        <w:t>.</w:t>
      </w:r>
    </w:p>
    <w:p>
      <w:pPr>
        <w:sectPr>
          <w:footerReference w:type="default" r:id="rId6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کان ما أورده النظّام مانعا من القیاس الشّرعی،فیجب أن یمنع من القیاس العقلی أیضا،علی أنّه قد اعترف بورود النّصّ باتّفاق المختلفین و اختلاف المتّفقین، و لم یلزمه أن یکون متناقضا،و أن لا یسوغ القیاس </w:t>
      </w:r>
      <w:r>
        <w:rPr>
          <w:rStyle w:val="FootnoteAnchor"/>
          <w:rtl w:val="true"/>
        </w:rPr>
        <w:footnoteReference w:id="1395"/>
      </w:r>
      <w:r>
        <w:rPr>
          <w:rFonts w:ascii="IRNazanin" w:hAnsi="IRNazanin" w:eastAsia="IRNazanin"/>
          <w:color w:val="111111"/>
          <w:sz w:val="28"/>
          <w:sz w:val="28"/>
          <w:szCs w:val="28"/>
          <w:rtl w:val="true"/>
          <w:lang w:bidi="fa-IR"/>
        </w:rPr>
        <w:t xml:space="preserve">،و اعتذر له بما یعتذر به </w:t>
      </w:r>
    </w:p>
    <w:p>
      <w:pPr>
        <w:pStyle w:val="BookText"/>
        <w:rPr/>
      </w:pPr>
      <w:r>
        <w:rPr>
          <w:rFonts w:ascii="Amiri" w:hAnsi="Amiri" w:eastAsia="Amiri" w:cs="Amiri"/>
          <w:color w:val="111111"/>
          <w:sz w:val="28"/>
          <w:sz w:val="28"/>
          <w:szCs w:val="28"/>
          <w:rtl w:val="true"/>
          <w:lang w:bidi="ar-SA"/>
        </w:rPr>
        <w:t>للنّصوص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لم أوجب التّناقض فی هذه الأحکام فتلزمونی ذلک فی ورود النّص بها،و إنّما منعت و حالها هذه من التّطرّق بالقیاس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یمتنع ما ظننت امتناعه إذا نصب اللّه تعالی لقضاء الصّوم أمارة توجبه،و أخلی قضاء الصّلاة من مثلها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أنّ للقوم </w:t>
      </w:r>
      <w:r>
        <w:rPr>
          <w:rStyle w:val="FootnoteAnchor"/>
          <w:rtl w:val="true"/>
        </w:rPr>
        <w:footnoteReference w:id="1396"/>
      </w:r>
      <w:r>
        <w:rPr>
          <w:rFonts w:ascii="IRNazanin" w:hAnsi="IRNazanin" w:eastAsia="IRNazanin"/>
          <w:color w:val="111111"/>
          <w:sz w:val="28"/>
          <w:sz w:val="28"/>
          <w:szCs w:val="28"/>
          <w:rtl w:val="true"/>
          <w:lang w:bidi="fa-IR"/>
        </w:rPr>
        <w:t>أن یقولوا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إنّا لا نثبت القیاس فی کلّ حکم و علی کلّ أصل، و إنّما نثبته بحیث یسوغ و یصحّ،و أکثر ما یقتضیه ما أوردته ممّا هو بخلاف القیاس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Style w:val="FootnoteAnchor"/>
          <w:rtl w:val="true"/>
        </w:rPr>
        <w:footnoteReference w:id="1397"/>
      </w:r>
      <w:r>
        <w:rPr>
          <w:rFonts w:ascii="IRNazanin" w:hAnsi="IRNazanin" w:eastAsia="IRNazanin"/>
          <w:color w:val="111111"/>
          <w:sz w:val="28"/>
          <w:sz w:val="28"/>
          <w:szCs w:val="28"/>
          <w:rtl w:val="true"/>
          <w:lang w:bidi="fa-IR"/>
        </w:rPr>
        <w:t xml:space="preserve">،فلا یسوغ دخوله فیه أن یمتنع فیه من القیاس و فیما جری مجراه،فلم إذا امتنع القیاس فی هذه الأمور امتنع فی غیرها؟ فأمّا من نفی القیاس و اعتمد فی نفیه علی أنّ الحکیم لا یجوز أن یقتصر علی أدون البیانین رتبة مع قدرته علی أعلاهما،و أنّ النّصوص أبلغ فی البیان من </w:t>
      </w:r>
      <w:r>
        <w:rPr>
          <w:rStyle w:val="FootnoteAnchor"/>
          <w:rtl w:val="true"/>
        </w:rPr>
        <w:footnoteReference w:id="1398"/>
      </w:r>
      <w:r>
        <w:rPr>
          <w:rFonts w:ascii="IRNazanin" w:hAnsi="IRNazanin" w:eastAsia="IRNazanin"/>
          <w:color w:val="111111"/>
          <w:sz w:val="28"/>
          <w:sz w:val="28"/>
          <w:szCs w:val="28"/>
          <w:rtl w:val="true"/>
          <w:lang w:bidi="fa-IR"/>
        </w:rPr>
        <w:t xml:space="preserve">القیاس،فیجب أن تکون العبادة فی معرفة الأحکام مقصورة علیها </w:t>
      </w:r>
      <w:r>
        <w:rPr>
          <w:rStyle w:val="FootnoteAnchor"/>
          <w:rtl w:val="true"/>
        </w:rPr>
        <w:footnoteReference w:id="13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الکلام </w:t>
      </w:r>
      <w:r>
        <w:rPr>
          <w:rStyle w:val="FootnoteAnchor"/>
          <w:rtl w:val="true"/>
        </w:rPr>
        <w:footnoteReference w:id="1400"/>
      </w:r>
      <w:r>
        <w:rPr>
          <w:rFonts w:ascii="IRNazanin" w:hAnsi="IRNazanin" w:eastAsia="IRNazanin"/>
          <w:color w:val="111111"/>
          <w:sz w:val="28"/>
          <w:sz w:val="28"/>
          <w:szCs w:val="28"/>
          <w:rtl w:val="true"/>
          <w:lang w:bidi="fa-IR"/>
        </w:rPr>
        <w:t>علیه أن یقال له</w:t>
      </w:r>
      <w:r>
        <w:rPr>
          <w:rFonts w:eastAsia="IRNazanin" w:cs="IRNazanin"/>
          <w:color w:val="111111"/>
          <w:sz w:val="28"/>
          <w:szCs w:val="28"/>
          <w:rtl w:val="true"/>
          <w:lang w:bidi="fa-IR"/>
        </w:rPr>
        <w:t>:</w:t>
      </w:r>
    </w:p>
    <w:p>
      <w:pPr>
        <w:sectPr>
          <w:footerReference w:type="default" r:id="rId6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أوّل ما فی کلامک أنّه اعتراف بأنّ القیاس یوصل به إلی الأحکام،لأنّه لا یجوز أن تقول إنّه أخفض رتبة فی باب البیان من غیره ما التّبیین </w:t>
      </w:r>
      <w:r>
        <w:rPr>
          <w:rStyle w:val="FootnoteAnchor"/>
          <w:rtl w:val="true"/>
        </w:rPr>
        <w:footnoteReference w:id="1401"/>
      </w:r>
      <w:r>
        <w:rPr>
          <w:rFonts w:ascii="IRNazanin" w:hAnsi="IRNazanin" w:eastAsia="IRNazanin"/>
          <w:color w:val="111111"/>
          <w:sz w:val="28"/>
          <w:sz w:val="28"/>
          <w:szCs w:val="28"/>
          <w:rtl w:val="true"/>
          <w:lang w:bidi="fa-IR"/>
        </w:rPr>
        <w:t>یقع به،و إذا ثبت کونه بیانا فما الّذی یمنع من العبادة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أدون رتبة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یعلمه اللّه تعالی من صلاح المکلّف فیه،و أنّه إذا توصل إلی الحکم به و لحقته المشقّة فی طریق کان أقرب إلی فعله،و استحقّ علیه من الثواب ما لا یستحقّه لو وصل إلی معرفته بالنّصّ؟ </w:t>
      </w:r>
    </w:p>
    <w:p>
      <w:pPr>
        <w:pStyle w:val="BookText"/>
        <w:rPr/>
      </w:pPr>
      <w:r>
        <w:rPr>
          <w:rFonts w:ascii="IRNazanin" w:hAnsi="IRNazanin" w:eastAsia="IRNazanin"/>
          <w:color w:val="111111"/>
          <w:sz w:val="28"/>
          <w:sz w:val="28"/>
          <w:szCs w:val="28"/>
          <w:rtl w:val="true"/>
          <w:lang w:bidi="fa-IR"/>
        </w:rPr>
        <w:t>علی أنّه یلزم علی هذه العلّة أن یکون العلم فی جمیع التّکلیف ضروریّا،لأنّه أقوی فی البیان من العلم المکتسب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یعتمد علی هذه الطّریقة لا بدّ له من المناقضة،لأنّه تعلّق کثیر من الأحکام فی الشّریعة بالظّنون نحو الاجتهاد فی جهة القبلة،و تقدیر النّفقات،و جزاء الصّید، و ما أشبه ذلک،فإذا جازت العبادة بالظّنون فی هذه الأحکام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إمکان ورود البیان فیها بالنّصّ الموجب للعلم و لم یکن خارجا عن الحکمة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جاز مثله فی سائر الأحکام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فأمّا من نفی القیاس </w:t>
      </w:r>
      <w:r>
        <w:rPr>
          <w:rStyle w:val="FootnoteAnchor"/>
          <w:rtl w:val="true"/>
        </w:rPr>
        <w:footnoteReference w:id="1402"/>
      </w:r>
      <w:r>
        <w:rPr>
          <w:rFonts w:ascii="IRNazanin" w:hAnsi="IRNazanin" w:eastAsia="IRNazanin"/>
          <w:color w:val="111111"/>
          <w:sz w:val="28"/>
          <w:sz w:val="28"/>
          <w:szCs w:val="28"/>
          <w:rtl w:val="true"/>
          <w:lang w:bidi="fa-IR"/>
        </w:rPr>
        <w:t>من حیث لم یأت العبادة به،و لم یقطع السّمع العذر فی صحّته،فهو الصّحیح الّذی نختاره و نذهب إلیه،لأنّ القیاس متی جاز فی العقل ورود العبادة إذا تعلّقت به مصلحة فی التّکلیف،فلا بدّ فی جواز استعماله فی الشّرع من دلیل سمعیّ،لأنّه یجری مجری سائر الأفعال الشّرعیّة الّتی إذا جاز فی العقل أن تدخل فی العبادة لبعض المصالح،فلا بدّ فی استعمالها من دلیل سمعی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الّذی یلزمنا أن نورد ما یعتمده مثبتوه من الطّرق الّتی ظنّوا أنّها أدلّة علیه سمعیّة،و نبیّن أنّها شبه و لیست بأدلّة و لا موجبة للتّعبّد به</w:t>
      </w:r>
      <w:r>
        <w:rPr>
          <w:rFonts w:eastAsia="Amiri" w:cs="Amiri" w:ascii="Amiri" w:hAnsi="Amiri"/>
          <w:color w:val="111111"/>
          <w:sz w:val="28"/>
          <w:szCs w:val="28"/>
          <w:rtl w:val="true"/>
          <w:lang w:bidi="ar-SA"/>
        </w:rPr>
        <w:t>.</w:t>
      </w:r>
    </w:p>
    <w:p>
      <w:pPr>
        <w:sectPr>
          <w:footerReference w:type="default" r:id="rId6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فأمّا من یذهب إلی أنّ العبادة وردت بما یمنع منه فهو أیضا مذهبنا،و نحن نبیّن فی الفصل الّذی یلی هذا الفصل ما عندنا فیه إن شاء اللّه تعالی</w:t>
      </w:r>
      <w:r>
        <w:rPr>
          <w:rFonts w:eastAsia="IRNazanin" w:cs="IRNazanin"/>
          <w:color w:val="111111"/>
          <w:sz w:val="28"/>
          <w:szCs w:val="28"/>
          <w:rtl w:val="true"/>
          <w:lang w:bidi="fa-IR"/>
        </w:rPr>
        <w:t xml:space="preserve">. </w:t>
      </w:r>
      <w:bookmarkStart w:id="376" w:name="pg6519_49867"/>
    </w:p>
    <w:p>
      <w:pPr>
        <w:pStyle w:val="Heading4"/>
        <w:numPr>
          <w:ilvl w:val="3"/>
          <w:numId w:val="1"/>
        </w:numPr>
        <w:rPr/>
      </w:pPr>
      <w:bookmarkStart w:id="377" w:name="__RefHeading___Toc1757391_653776707"/>
      <w:bookmarkStart w:id="378" w:name="_Toc119"/>
      <w:bookmarkEnd w:id="376"/>
      <w:bookmarkEnd w:id="377"/>
      <w:r>
        <w:rPr>
          <w:rtl w:val="true"/>
        </w:rPr>
        <w:t>فصل</w:t>
      </w:r>
      <w:r>
        <w:rPr>
          <w:rtl w:val="true"/>
        </w:rPr>
        <w:t>-</w:t>
      </w:r>
      <w:r>
        <w:rPr/>
        <w:t>3</w:t>
      </w:r>
      <w:r>
        <w:rPr>
          <w:rtl w:val="true"/>
        </w:rPr>
        <w:t>: «</w:t>
      </w:r>
      <w:r>
        <w:rPr>
          <w:rtl w:val="true"/>
        </w:rPr>
        <w:t>فی أنّ القیاس فی الشّرع لا یجوز استعماله</w:t>
      </w:r>
      <w:r>
        <w:rPr>
          <w:rtl w:val="true"/>
        </w:rPr>
        <w:t>»</w:t>
      </w:r>
      <w:bookmarkEnd w:id="378"/>
    </w:p>
    <w:p>
      <w:pPr>
        <w:pStyle w:val="BookText"/>
        <w:rPr/>
      </w:pPr>
      <w:r>
        <w:rPr>
          <w:rFonts w:ascii="IRNazanin" w:hAnsi="IRNazanin" w:eastAsia="IRNazanin"/>
          <w:color w:val="111111"/>
          <w:sz w:val="28"/>
          <w:sz w:val="28"/>
          <w:szCs w:val="28"/>
          <w:rtl w:val="true"/>
          <w:lang w:bidi="fa-IR"/>
        </w:rPr>
        <w:t>لنا فی المنع من استعمال القیاس فی الشّریعة طریقتان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إحداهما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إذا ثبت جواز العبادة به من جهة العقل،فثبوت العبادة به یحتاج إلی دلیل شرعی،و قد علمنا أنّه لیس فی الشّرع دلیل علی أنّ القیاس دین اللّه تعالی یجوز استعماله،لا من جهة الکتاب،و لا من جهة السّنّة المتواتر بها،و لا من 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قلنا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لأنّا قد استقرینا جمیع ذلک فعلمنا أنّه لیس فیه ما یدلّ علی وجوب العلم بالقیاس،و نحن نذکر المواضع الّتی یستدلّ بها من ظاهر القرآن علی وجوب العمل بالقیاس،و نبیّن أنّه لا دلالة فی شیء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السّنّة علی ضربین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متواتر و آحاد</w:t>
      </w:r>
      <w:r>
        <w:rPr>
          <w:rFonts w:eastAsia="IRNazanin" w:cs="IRNazanin"/>
          <w:color w:val="111111"/>
          <w:sz w:val="28"/>
          <w:szCs w:val="28"/>
          <w:rtl w:val="true"/>
          <w:lang w:bidi="fa-IR"/>
        </w:rPr>
        <w:t>.</w:t>
      </w:r>
    </w:p>
    <w:p>
      <w:pPr>
        <w:sectPr>
          <w:footerReference w:type="default" r:id="rId6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التّواتر </w:t>
      </w:r>
      <w:r>
        <w:rPr>
          <w:rStyle w:val="FootnoteAnchor"/>
          <w:rtl w:val="true"/>
        </w:rPr>
        <w:footnoteReference w:id="14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یوجب العلم الضّروریّ علی مذهب الخصم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علی مذهبنا </w:t>
      </w:r>
    </w:p>
    <w:p>
      <w:pPr>
        <w:pStyle w:val="BookText"/>
        <w:rPr/>
      </w:pPr>
      <w:r>
        <w:rPr>
          <w:rFonts w:ascii="IRNazanin" w:hAnsi="IRNazanin" w:eastAsia="IRNazanin"/>
          <w:color w:val="111111"/>
          <w:sz w:val="28"/>
          <w:sz w:val="28"/>
          <w:szCs w:val="28"/>
          <w:rtl w:val="true"/>
          <w:lang w:bidi="fa-IR"/>
        </w:rPr>
        <w:t xml:space="preserve">یوجب العلم الّذی لا یتخالج </w:t>
      </w:r>
      <w:r>
        <w:rPr>
          <w:rStyle w:val="FootnoteAnchor"/>
          <w:rtl w:val="true"/>
        </w:rPr>
        <w:footnoteReference w:id="1404"/>
      </w:r>
      <w:r>
        <w:rPr>
          <w:rFonts w:ascii="IRNazanin" w:hAnsi="IRNazanin" w:eastAsia="IRNazanin"/>
          <w:color w:val="111111"/>
          <w:sz w:val="28"/>
          <w:sz w:val="28"/>
          <w:szCs w:val="28"/>
          <w:rtl w:val="true"/>
          <w:lang w:bidi="fa-IR"/>
        </w:rPr>
        <w:t>فیه الشّک،و کان ممّا یستدلّ علی صحّته إذا کان شرط التّواتر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الضّرب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أخبار آحاد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فالقسم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مفقود فی الأخبار الّتی یستدلّ بها علی صحّة العمل بالقیاس، لأنّها لیست معلومة جملة،لا ضرورة،و لا استدلالا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القسم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استعماله فی هذه المسألة،لأنّها من باب العلم دون العمل،و خبر الواحد یوجب غلبة الظّنّ،فلا یجوز استعماله فیما طریقه العلم بلا 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الإجماع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فلیس فیه أیضا،لأنّ هذه مسألة خلاف،و نحن نبیّن ما یدّعونه من إجماع الصّحابة و نتکلّم علیه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الطّریقة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ورد الشّرع بما یمنع من العمل بالقیاس </w:t>
      </w:r>
      <w:r>
        <w:rPr>
          <w:rStyle w:val="FootnoteAnchor"/>
          <w:rtl w:val="true"/>
        </w:rPr>
        <w:footnoteReference w:id="1405"/>
      </w:r>
      <w:r>
        <w:rPr>
          <w:rFonts w:ascii="IRNazanin" w:hAnsi="IRNazanin" w:eastAsia="IRNazanin"/>
          <w:color w:val="111111"/>
          <w:sz w:val="28"/>
          <w:sz w:val="28"/>
          <w:szCs w:val="28"/>
          <w:rtl w:val="true"/>
          <w:lang w:bidi="fa-IR"/>
        </w:rPr>
        <w:t>، و أقوی ما اعتمد فی ذلک إجماع الطّائفة المحقّة،و قد ثبت أنّ إجماعهم حجّة،لأنّه یشتمل علی قول معصوم لا یجوز علیه الخطأ علی ما بیّناه فیما تقدّم،و قد علمنا أنّهم مجمعون علی إبطال القیاس و المنع من استعماله</w:t>
      </w:r>
      <w:r>
        <w:rPr>
          <w:rFonts w:eastAsia="IRNazanin" w:cs="IRNazanin"/>
          <w:color w:val="111111"/>
          <w:sz w:val="28"/>
          <w:szCs w:val="28"/>
          <w:rtl w:val="true"/>
          <w:lang w:bidi="fa-IR"/>
        </w:rPr>
        <w:t>.</w:t>
      </w:r>
    </w:p>
    <w:p>
      <w:pPr>
        <w:sectPr>
          <w:footerReference w:type="default" r:id="rId6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لیس لأحد أن یعارض هذا الإجماع لمن یذهب إلی مذهب الزّیدیّة </w:t>
      </w:r>
    </w:p>
    <w:p>
      <w:pPr>
        <w:pStyle w:val="BookText"/>
        <w:rPr/>
      </w:pPr>
      <w:r>
        <w:rPr>
          <w:rFonts w:ascii="IRNazanin" w:hAnsi="IRNazanin" w:eastAsia="IRNazanin"/>
          <w:color w:val="111111"/>
          <w:sz w:val="28"/>
          <w:sz w:val="28"/>
          <w:szCs w:val="28"/>
          <w:rtl w:val="true"/>
          <w:lang w:bidi="fa-IR"/>
        </w:rPr>
        <w:t>و المعتزلة،من أهل البیت علیهم السّلام و قال مع ذلک بالقیاس،لأنّ هؤلاء لا اعتبار بمثلهم،لأنّ من خالف فی الأصول الخلاف الّذی یوجب التکفیر أو التّفسیق لا یدخل قوله فی جملة من یعتبر إجماعهم و یجعله 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لأنّا قد بیّنا أنّ کلّ من علمنا أنّه لیس بإمام،فإنّا لا نعتدّ بخلافه و نرجع إلی الفرقة الأخری الّتی نعلم کون الإمام فی جملتهم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أنّا کما نعلم من مذهب أبی حنیفة،و الشّافعی القیاس،کذلک نعلم أنّ من مذهب أبی جعفر الباقر،و أبی عبد اللّه الصّادق علیهما السّلام نفی القیاس،و تظاهر الأخبار عنهما بالمنع </w:t>
      </w:r>
      <w:r>
        <w:rPr>
          <w:rStyle w:val="FootnoteAnchor"/>
          <w:rtl w:val="true"/>
        </w:rPr>
        <w:footnoteReference w:id="1406"/>
      </w:r>
      <w:r>
        <w:rPr>
          <w:rFonts w:ascii="IRNazanin" w:hAnsi="IRNazanin" w:eastAsia="IRNazanin"/>
          <w:color w:val="111111"/>
          <w:sz w:val="28"/>
          <w:sz w:val="28"/>
          <w:szCs w:val="28"/>
          <w:rtl w:val="true"/>
          <w:lang w:bidi="fa-IR"/>
        </w:rPr>
        <w:t>منه،و المناظرة للمخالفین فیه،کتظاهرها عمّن ذهب إلیه فی خلاف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یدفع عنهما هذا إلاّ من استحسن المکابرة،و قد علمنا أنّ قولهما حجّة و قول کلّ واحد منهما،لأنّهما الإمامان المعصومان،و لا یجوز علیهما الخطأ فی الفعل و الاعتقاد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اعتمد من نصر هذه الطّریقة الّتی ذکرناها علی آیات لیس فیها ما یدلّ علی ذلک ممّا یمکن الاعتماد علیه،و علی جمیعها اعتراض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ذلک تعلّقهم بقوله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تُقَدِّمُوا بَیْنَ یَدَیِ اللّهِ وَ رَسُولِهِ  </w:t>
      </w:r>
      <w:r>
        <w:rPr>
          <w:rStyle w:val="FootnoteAnchor"/>
          <w:rtl w:val="true"/>
        </w:rPr>
        <w:footnoteReference w:id="1407"/>
      </w:r>
      <w:r>
        <w:rPr>
          <w:rFonts w:ascii="IRNazanin" w:hAnsi="IRNazanin" w:eastAsia="IRNazanin"/>
          <w:color w:val="111111"/>
          <w:sz w:val="28"/>
          <w:sz w:val="28"/>
          <w:szCs w:val="28"/>
          <w:rtl w:val="true"/>
          <w:lang w:bidi="fa-IR"/>
        </w:rPr>
        <w:t>و أنّ القیاس تقدّم بین یدی اللّه و رسوله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غیر معتمد،لأنّ للمخالف 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دلّنا اللّه تعالی علی صحّة القیاس، لم یکن استعماله تقدّما بین یدی اللّه و لا بین یدی رسوله،و صار ذلک بمنزلة ما نصّ علیه،و إنّما یکون تقدّما بین أیدیهما لو قیل به من غیر دلالة و لا استناد إلی علم</w:t>
      </w:r>
      <w:r>
        <w:rPr>
          <w:rFonts w:eastAsia="IRNazanin" w:cs="IRNazanin"/>
          <w:color w:val="111111"/>
          <w:sz w:val="28"/>
          <w:szCs w:val="28"/>
          <w:rtl w:val="true"/>
          <w:lang w:bidi="fa-IR"/>
        </w:rPr>
        <w:t>.</w:t>
      </w:r>
    </w:p>
    <w:p>
      <w:pPr>
        <w:sectPr>
          <w:footerReference w:type="default" r:id="rId6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تعلّقوا أیضا بقوله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تَقْفُ ما لَیْسَ لَکَ بِهِ عِلْمٌ  </w:t>
      </w:r>
      <w:r>
        <w:rPr>
          <w:rStyle w:val="FootnoteAnchor"/>
          <w:rtl w:val="true"/>
        </w:rPr>
        <w:footnoteReference w:id="1408"/>
      </w:r>
      <w:r>
        <w:rPr>
          <w:rFonts w:ascii="Amiri" w:hAnsi="Amiri" w:eastAsia="Amiri" w:cs="Amiri"/>
          <w:color w:val="111111"/>
          <w:sz w:val="28"/>
          <w:sz w:val="28"/>
          <w:szCs w:val="28"/>
          <w:rtl w:val="true"/>
          <w:lang w:bidi="ar-SA"/>
        </w:rPr>
        <w:t>،و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w:t>
      </w:r>
    </w:p>
    <w:p>
      <w:pPr>
        <w:pStyle w:val="BookText"/>
        <w:rPr/>
      </w:pPr>
      <w:r>
        <w:rPr>
          <w:rFonts w:ascii="Amiri" w:hAnsi="Amiri" w:eastAsia="Amiri" w:cs="Amiri"/>
          <w:color w:val="111111"/>
          <w:sz w:val="28"/>
          <w:sz w:val="28"/>
          <w:szCs w:val="28"/>
          <w:rtl w:val="true"/>
          <w:lang w:bidi="ar-SA"/>
        </w:rPr>
        <w:t xml:space="preserve">تَقُولُوا عَلَی اللّهِ ما لا تَعْلَمُونَ    </w:t>
      </w:r>
      <w:r>
        <w:rPr>
          <w:rStyle w:val="FootnoteAnchor"/>
          <w:rtl w:val="true"/>
        </w:rPr>
        <w:footnoteReference w:id="14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للمخالف 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قلنا بالقیاس إلاّ بالعلم و عن العلم،فلم نخالف ظاهر الکتاب،و إنّما ظننتم علینا إنّا نعلّق الأحکام بالظّنون و لیس نفعل ذلک بل الحکم عندنا معلوم و إن کان الطّریق إلیه الظّنّ علی الوجه الّذی مثّلنا به من العقلیّات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تعلّقوا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فَرَّطْنا فِی الْکِتابِ مِنْ شَیْءٍ  </w:t>
      </w:r>
      <w:r>
        <w:rPr>
          <w:rStyle w:val="FootnoteAnchor"/>
          <w:rtl w:val="true"/>
        </w:rPr>
        <w:footnoteReference w:id="1410"/>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تِبْیاناً لِکُلِّ شَیْءٍ  </w:t>
      </w:r>
      <w:r>
        <w:rPr>
          <w:rStyle w:val="FootnoteAnchor"/>
          <w:rtl w:val="true"/>
        </w:rPr>
        <w:footnoteReference w:id="1411"/>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اَلْیَوْمَ أَکْمَلْتُ لَکُمْ دِینَکُمْ  </w:t>
      </w:r>
      <w:r>
        <w:rPr>
          <w:rStyle w:val="FootnoteAnchor"/>
          <w:rtl w:val="true"/>
        </w:rPr>
        <w:footnoteReference w:id="14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للمخالف 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القیاس إذا دلّ اللّه علیه و أوجب العمل به،فقد دخل فی جملة ما بیّن فی الکتاب و لم یقع فیه تفریط،لأنّ الکتاب قد دلّ علی صحّة إجماع الأمّة،و وجوب اتّباع السّنّة،فإذا علمنا بالإجماع و السّنّة صحّة القیاس،جاز إضافة هذا العلم و البیان إلی الکتاب،و إن کان علی سبیل الجملة دون التّفصیل،لأنّه لیس یمکن أن یدّعی ورود الکتاب بکلّ شیء مفصّلا،فصار العامل بالقیاس عاملا بما أمر اللّه تعالی به فی کتابه و بیّنه و أکمله </w:t>
      </w:r>
      <w:r>
        <w:rPr>
          <w:rStyle w:val="FootnoteAnchor"/>
          <w:rtl w:val="true"/>
        </w:rPr>
        <w:footnoteReference w:id="1413"/>
      </w:r>
      <w:r>
        <w:rPr>
          <w:rFonts w:eastAsia="Times New Roman" w:cs="Times New Roman" w:ascii="Times New Roman" w:hAnsi="Times New Roman"/>
          <w:color w:val="111111"/>
          <w:sz w:val="28"/>
          <w:szCs w:val="28"/>
          <w:rtl w:val="true"/>
          <w:lang w:val="en-US" w:bidi="en-US"/>
        </w:rPr>
        <w:t>.</w:t>
      </w:r>
    </w:p>
    <w:p>
      <w:pPr>
        <w:sectPr>
          <w:footerReference w:type="default" r:id="rId6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هذه الجملة تنبّه علی طریقة الطّعن فیما جری هذا المجری من الاستدلالات،فإنّهم یتعلّقون بشیء من هذا الجنس لا فائدة فی ذکر جمیعه</w:t>
      </w:r>
      <w:r>
        <w:rPr>
          <w:rFonts w:eastAsia="IRNazanin" w:cs="IRNazanin"/>
          <w:color w:val="111111"/>
          <w:sz w:val="28"/>
          <w:szCs w:val="28"/>
          <w:rtl w:val="true"/>
          <w:lang w:bidi="fa-IR"/>
        </w:rPr>
        <w:t xml:space="preserve">. </w:t>
      </w:r>
      <w:bookmarkStart w:id="379" w:name="pg6519_49871"/>
    </w:p>
    <w:p>
      <w:pPr>
        <w:pStyle w:val="Heading4"/>
        <w:numPr>
          <w:ilvl w:val="3"/>
          <w:numId w:val="1"/>
        </w:numPr>
        <w:rPr/>
      </w:pPr>
      <w:bookmarkStart w:id="380" w:name="__RefHeading___Toc1757393_653776707"/>
      <w:bookmarkStart w:id="381" w:name="_Toc120"/>
      <w:bookmarkEnd w:id="379"/>
      <w:bookmarkEnd w:id="380"/>
      <w:r>
        <w:rPr>
          <w:rtl w:val="true"/>
        </w:rPr>
        <w:t>فصل</w:t>
      </w:r>
      <w:r>
        <w:rPr>
          <w:rtl w:val="true"/>
        </w:rPr>
        <w:t>-</w:t>
      </w:r>
      <w:r>
        <w:rPr/>
        <w:t>4</w:t>
      </w:r>
      <w:r>
        <w:rPr>
          <w:rtl w:val="true"/>
        </w:rPr>
        <w:t>: «</w:t>
      </w:r>
      <w:r>
        <w:rPr>
          <w:rtl w:val="true"/>
        </w:rPr>
        <w:t>فی أنّ العبادة لم ترد بوجوب العمل بالقیاس</w:t>
      </w:r>
      <w:r>
        <w:rPr>
          <w:rtl w:val="true"/>
        </w:rPr>
        <w:t>»</w:t>
      </w:r>
      <w:bookmarkEnd w:id="381"/>
    </w:p>
    <w:p>
      <w:pPr>
        <w:pStyle w:val="BookText"/>
        <w:rPr/>
      </w:pPr>
      <w:r>
        <w:rPr>
          <w:rFonts w:ascii="IRNazanin" w:hAnsi="IRNazanin" w:eastAsia="IRNazanin"/>
          <w:color w:val="111111"/>
          <w:sz w:val="28"/>
          <w:sz w:val="28"/>
          <w:szCs w:val="28"/>
          <w:rtl w:val="true"/>
          <w:lang w:bidi="fa-IR"/>
        </w:rPr>
        <w:t>الذاهبون إلی القول بالقیاس فی الشّرع فریقان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یوجب العمل به عقلا،و هم الشّذاذ علی ما ذکرناه </w:t>
      </w:r>
      <w:r>
        <w:rPr>
          <w:rStyle w:val="FootnoteAnchor"/>
          <w:rtl w:val="true"/>
        </w:rPr>
        <w:footnoteReference w:id="1414"/>
      </w:r>
      <w:r>
        <w:rPr>
          <w:rFonts w:ascii="IRNazanin" w:hAnsi="IRNazanin" w:eastAsia="IRNazanin"/>
          <w:color w:val="111111"/>
          <w:sz w:val="28"/>
          <w:sz w:val="28"/>
          <w:szCs w:val="28"/>
          <w:rtl w:val="true"/>
          <w:lang w:bidi="fa-IR"/>
        </w:rPr>
        <w:t>و الآخرون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یوجبون العمل به سمعا و إن لم یثبتوه عقلا </w:t>
      </w:r>
      <w:r>
        <w:rPr>
          <w:rStyle w:val="FootnoteAnchor"/>
          <w:rtl w:val="true"/>
        </w:rPr>
        <w:footnoteReference w:id="1415"/>
      </w:r>
      <w:r>
        <w:rPr>
          <w:rFonts w:ascii="IRNazanin" w:hAnsi="IRNazanin" w:eastAsia="IRNazanin"/>
          <w:color w:val="111111"/>
          <w:sz w:val="28"/>
          <w:sz w:val="28"/>
          <w:szCs w:val="28"/>
          <w:rtl w:val="true"/>
          <w:lang w:bidi="fa-IR"/>
        </w:rPr>
        <w:t>و نحن نفسد کلا القولین لیتمّ لنا ما قصدناه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من أثبته عقلا،فالأصل فی الکلام علیه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الفعل الواجب لا بدّ له </w:t>
      </w:r>
      <w:r>
        <w:rPr>
          <w:rStyle w:val="FootnoteAnchor"/>
          <w:rtl w:val="true"/>
        </w:rPr>
        <w:footnoteReference w:id="1416"/>
      </w:r>
      <w:r>
        <w:rPr>
          <w:rFonts w:ascii="IRNazanin" w:hAnsi="IRNazanin" w:eastAsia="IRNazanin"/>
          <w:color w:val="111111"/>
          <w:sz w:val="28"/>
          <w:sz w:val="28"/>
          <w:szCs w:val="28"/>
          <w:rtl w:val="true"/>
          <w:lang w:bidi="fa-IR"/>
        </w:rPr>
        <w:t>من أن یکون له وجه وجوب لولاه لم یجب،لأنّه لو لم یکن کذلک لم یکن بالوجوب أولی من غیره،و ما له یجب الفعل ینقسم قسمین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صفة تختصّه و لا تتعدّاه إلی غیره،و ذلک جمیع الواجبات العقلیّة، نحو ردّ الودیعة،و الإنصاف،و شکر المنعم</w:t>
      </w:r>
      <w:r>
        <w:rPr>
          <w:rFonts w:eastAsia="IRNazanin" w:cs="IRNazanin"/>
          <w:color w:val="111111"/>
          <w:sz w:val="28"/>
          <w:szCs w:val="28"/>
          <w:rtl w:val="true"/>
          <w:lang w:bidi="fa-IR"/>
        </w:rPr>
        <w:t>.</w:t>
      </w:r>
    </w:p>
    <w:p>
      <w:pPr>
        <w:sectPr>
          <w:footerReference w:type="default" r:id="rId6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وجوبه لتعلّقه بغیره علی سبیل اللّطف،نحو أن یختار المکلّف عنده واجبا آخر،أو یمتنع عن قبیح،و لیس یکون کذلک إلاّ بعد أن یختصّ فی نفسه بصفة تدعو إلی اختیار ما یختار عنده،و هذا القسم علی ضربین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یعلم </w:t>
      </w:r>
      <w:r>
        <w:rPr>
          <w:rStyle w:val="FootnoteAnchor"/>
          <w:rtl w:val="true"/>
        </w:rPr>
        <w:footnoteReference w:id="1417"/>
      </w:r>
      <w:r>
        <w:rPr>
          <w:rFonts w:ascii="IRNazanin" w:hAnsi="IRNazanin" w:eastAsia="IRNazanin"/>
          <w:color w:val="111111"/>
          <w:sz w:val="28"/>
          <w:sz w:val="28"/>
          <w:szCs w:val="28"/>
          <w:rtl w:val="true"/>
          <w:lang w:bidi="fa-IR"/>
        </w:rPr>
        <w:t xml:space="preserve">بالعقل،کوجوب معرفة اللّه تعالی،لأنّ جهة وجوبها متقرّرة فی العقل،و هو أن یکون عندها أقرب إلی الفعل الواجب و الامتناع من القبیح، و کعلمنا أیضا بأنّ الرسول علیه السّلام لا یجوز أن یکون علی أحوال تنفّر عن القبول منه،نحو الفسق،و الأحوال الدّنیّة المستخفّة،و مثل ما یلحقه </w:t>
      </w:r>
      <w:r>
        <w:rPr>
          <w:rStyle w:val="FootnoteAnchor"/>
          <w:rtl w:val="true"/>
        </w:rPr>
        <w:footnoteReference w:id="1418"/>
      </w:r>
      <w:r>
        <w:rPr>
          <w:rFonts w:ascii="IRNazanin" w:hAnsi="IRNazanin" w:eastAsia="IRNazanin"/>
          <w:color w:val="111111"/>
          <w:sz w:val="28"/>
          <w:sz w:val="28"/>
          <w:szCs w:val="28"/>
          <w:rtl w:val="true"/>
          <w:lang w:bidi="fa-IR"/>
        </w:rPr>
        <w:t xml:space="preserve">بالمعرفة من وجوب الرئاسة لکونها لطفا،لأنّه مستقر فی العقل </w:t>
      </w:r>
      <w:r>
        <w:rPr>
          <w:rStyle w:val="FootnoteAnchor"/>
          <w:rtl w:val="true"/>
        </w:rPr>
        <w:footnoteReference w:id="1419"/>
      </w:r>
      <w:r>
        <w:rPr>
          <w:rFonts w:ascii="IRNazanin" w:hAnsi="IRNazanin" w:eastAsia="IRNazanin"/>
          <w:color w:val="111111"/>
          <w:sz w:val="28"/>
          <w:sz w:val="28"/>
          <w:szCs w:val="28"/>
          <w:rtl w:val="true"/>
          <w:lang w:bidi="fa-IR"/>
        </w:rPr>
        <w:t>و أنّ النّاس فی الجملة لا یجوز أن یکونوا مع فقد الرّؤساء فی باب الصّلاح و الفساد علی ما یکونون علیه مع وجودهم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الضّرب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یعلم إلاّ بالسّمع،لفقد الطّرق إلیه من جهة العقل و هو جمیع الشّرعیّات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السّمع الّذی به یعلم وجوب ذلک قد یرد تارة بوجه الوجوب،فیعلم عنده الوجوب،و تارة یرد بالوجوب فیعلم عنده وجه الوجوب بأحد </w:t>
      </w:r>
      <w:r>
        <w:rPr>
          <w:rStyle w:val="FootnoteAnchor"/>
          <w:rtl w:val="true"/>
        </w:rPr>
        <w:footnoteReference w:id="1420"/>
      </w:r>
      <w:r>
        <w:rPr>
          <w:rFonts w:ascii="IRNazanin" w:hAnsi="IRNazanin" w:eastAsia="IRNazanin"/>
          <w:color w:val="111111"/>
          <w:sz w:val="28"/>
          <w:sz w:val="28"/>
          <w:szCs w:val="28"/>
          <w:rtl w:val="true"/>
          <w:lang w:bidi="fa-IR"/>
        </w:rPr>
        <w:t>الأمرین یقوم مقام الآخر فی العلم بالوجوب،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أنّه إذا ورد بوجوبه لم یعلم وجه الوجوب إلاّ علی جهة الجملة،و إن ورد بوجه وجوبه مفصّلا أو مجملا علمنا وجوبه مفصّلا،لأنّ العلم بوجوبه لا بدّ فیه من التّفصیل لتنزاح علّة المکلّف فی الإقدام علی 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العلم بوجه الوجوب قد یکون</w:t>
      </w:r>
      <w:r>
        <w:rPr>
          <w:rFonts w:eastAsia="IRNazanin" w:cs="IRNazanin"/>
          <w:color w:val="111111"/>
          <w:sz w:val="28"/>
          <w:szCs w:val="28"/>
          <w:rtl w:val="true"/>
          <w:lang w:bidi="fa-IR"/>
        </w:rPr>
        <w:t xml:space="preserve">] </w:t>
      </w:r>
      <w:r>
        <w:rPr>
          <w:rStyle w:val="FootnoteAnchor"/>
          <w:rtl w:val="true"/>
        </w:rPr>
        <w:footnoteReference w:id="1421"/>
      </w:r>
      <w:r>
        <w:rPr>
          <w:rFonts w:ascii="Amiri" w:hAnsi="Amiri" w:eastAsia="Amiri" w:cs="Amiri"/>
          <w:color w:val="111111"/>
          <w:sz w:val="28"/>
          <w:sz w:val="28"/>
          <w:szCs w:val="28"/>
          <w:rtl w:val="true"/>
          <w:lang w:bidi="ar-SA"/>
        </w:rPr>
        <w:t>مجملا و مفصّلا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یقوم أحد الأمرین مقام الآخر،فلو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الصَّلاةَ تَنْهی عَنِ الْفَحْشاءِ وَ الْمُنْکَرِ  </w:t>
      </w:r>
      <w:r>
        <w:rPr>
          <w:rStyle w:val="FootnoteAnchor"/>
          <w:rtl w:val="true"/>
        </w:rPr>
        <w:footnoteReference w:id="1422"/>
      </w:r>
      <w:r>
        <w:rPr>
          <w:rFonts w:ascii="IRNazanin" w:hAnsi="IRNazanin" w:eastAsia="IRNazanin"/>
          <w:color w:val="111111"/>
          <w:sz w:val="28"/>
          <w:sz w:val="28"/>
          <w:szCs w:val="28"/>
          <w:rtl w:val="true"/>
          <w:lang w:bidi="fa-IR"/>
        </w:rPr>
        <w:t>و لم یوجبها لعلمنا وجوبها،و لو نصّ علی وجوبها بلفظ الإیجاب لعلمنا فی الجملة أنّها تنهی عن قبیح أو تدعو إلی واجب</w:t>
      </w:r>
      <w:r>
        <w:rPr>
          <w:rFonts w:eastAsia="IRNazanin" w:cs="IRNazanin"/>
          <w:color w:val="111111"/>
          <w:sz w:val="28"/>
          <w:szCs w:val="28"/>
          <w:rtl w:val="true"/>
          <w:lang w:bidi="fa-IR"/>
        </w:rPr>
        <w:t>.</w:t>
      </w:r>
    </w:p>
    <w:p>
      <w:pPr>
        <w:sectPr>
          <w:footerReference w:type="default" r:id="rId6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فأمّا ما له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علمنا وجوب الفعل،علمنا وجه وجوبه،و إذا علمنا وجه </w:t>
      </w:r>
    </w:p>
    <w:p>
      <w:pPr>
        <w:pStyle w:val="BookText"/>
        <w:rPr/>
      </w:pPr>
      <w:r>
        <w:rPr>
          <w:rFonts w:ascii="IRNazanin" w:hAnsi="IRNazanin" w:eastAsia="IRNazanin"/>
          <w:color w:val="111111"/>
          <w:sz w:val="28"/>
          <w:sz w:val="28"/>
          <w:szCs w:val="28"/>
          <w:rtl w:val="true"/>
          <w:lang w:bidi="fa-IR"/>
        </w:rPr>
        <w:t>الوجوب،علمناه واجبا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،فهو أنّ من علم بالعقل ردّ الودیعة مع المطالبة علم وجوبه، و متی لم یعلم ذلک لم یعلم وجوبه،و کذلک من علم الفعل ظلما علم قبحه،فإن شکّ فی کونه ظلما لم یعلم القبح،و کما وجب هذا،فهکذا أیضا متی علم کون الفعل الّذی هو ردّ الودیعة واجبا علمه ردّا للودیعة،فتعلّق کلّ واحد من الأمرین بصاحبه </w:t>
      </w:r>
      <w:r>
        <w:rPr>
          <w:rStyle w:val="FootnoteAnchor"/>
          <w:rtl w:val="true"/>
        </w:rPr>
        <w:footnoteReference w:id="1423"/>
      </w:r>
      <w:r>
        <w:rPr>
          <w:rFonts w:ascii="IRNazanin" w:hAnsi="IRNazanin" w:eastAsia="IRNazanin"/>
          <w:color w:val="111111"/>
          <w:sz w:val="28"/>
          <w:sz w:val="28"/>
          <w:szCs w:val="28"/>
          <w:rtl w:val="true"/>
          <w:lang w:bidi="fa-IR"/>
        </w:rPr>
        <w:t>کتعلّق صاحبه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أین قلتم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الواجبات فی الشّرع لا تجب إلاّ لکونها ألطافا؟ثمّ من أین قلتم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ذلک لا یعلم من حالها إلاّ بالسّمع لیتمّ ما ذکرتموه؟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وجوبها إذا ثبت و کان لا بدّ له من وجه لم یخل من القسمین اللّذین قدّمناهما،و هما إمّا صفة یختصّ الفعل و لا یتعدّاه،أو لتعلّقه بغیره علی وجه اللّطف، و لیس یجوز فی الشّرعیّات الوجه الأوّل،لأنّه لو وجبت لصفة تخصّها تجری مجری ردّ الودیعة فی أنّه وجه الوجوب،لوجب أن یعلم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Style w:val="FootnoteAnchor"/>
          <w:rtl w:val="true"/>
        </w:rPr>
        <w:footnoteReference w:id="1424"/>
      </w:r>
      <w:r>
        <w:rPr>
          <w:rFonts w:ascii="IRNazanin" w:hAnsi="IRNazanin" w:eastAsia="IRNazanin"/>
          <w:color w:val="111111"/>
          <w:sz w:val="28"/>
          <w:sz w:val="28"/>
          <w:szCs w:val="28"/>
          <w:rtl w:val="true"/>
          <w:lang w:bidi="fa-IR"/>
        </w:rPr>
        <w:t>تلک الصّفة،و یعلم وجوبها متی علمناها،لأنّه لا یصحّ أن یجب لصفة تختصّ بها و لا تختصّ بها،و لا یصحّ أیضا أن یعلم علّتها و لا یعلم وجوبها،و قد علمنا أنّ الصّلاة و سائر الشّرعیّات یعلم بالعقل صفاتها،و إن لم یعلم وجوبها،فدلّ ذلک علی بطلان القسم الأوّل و لم یبق إلاّ الثّانی</w:t>
      </w:r>
      <w:r>
        <w:rPr>
          <w:rFonts w:eastAsia="IRNazanin" w:cs="IRNazanin"/>
          <w:color w:val="111111"/>
          <w:sz w:val="28"/>
          <w:szCs w:val="28"/>
          <w:rtl w:val="true"/>
          <w:lang w:bidi="fa-IR"/>
        </w:rPr>
        <w:t>.</w:t>
      </w:r>
    </w:p>
    <w:p>
      <w:pPr>
        <w:sectPr>
          <w:footerReference w:type="default" r:id="rId6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إذا ثبت أنّها تجب للألطاف،و لم یکن للعقل </w:t>
      </w:r>
      <w:r>
        <w:rPr>
          <w:rStyle w:val="FootnoteAnchor"/>
          <w:rtl w:val="true"/>
        </w:rPr>
        <w:footnoteReference w:id="1425"/>
      </w:r>
      <w:r>
        <w:rPr>
          <w:rFonts w:ascii="IRNazanin" w:hAnsi="IRNazanin" w:eastAsia="IRNazanin"/>
          <w:color w:val="111111"/>
          <w:sz w:val="28"/>
          <w:sz w:val="28"/>
          <w:szCs w:val="28"/>
          <w:rtl w:val="true"/>
          <w:lang w:bidi="fa-IR"/>
        </w:rPr>
        <w:t>دلیل علی أنّ وقوع بعض الأفعال منّا،نختار عنده فعلا آخر،لأنّ العقل لا یدلّ علی ما یختاره الإنسان أو لا یختاره،و لأنّ دلالة العقل أیضا طریقتها واحدة و لم یصحّ أن یدلّ علی الشّیء و نفیه، و الحکم و ضدّه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تراه فی الشّرائع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اختلاف المکلّفین،و النّاسخ و المنسوخ، فلم یبق إلاّ أنّ الطّریق إلیها السّمع،و لو لا ما ذکرناه لما احتیج فی معرفة المصالح الشّرعیّة إلی بعثة الأنبیاء علیهم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فإن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العقل یقتضی فی کلّ مشتبهین </w:t>
      </w:r>
      <w:r>
        <w:rPr>
          <w:rStyle w:val="FootnoteAnchor"/>
          <w:rtl w:val="true"/>
        </w:rPr>
        <w:footnoteReference w:id="1426"/>
      </w:r>
      <w:r>
        <w:rPr>
          <w:rFonts w:ascii="IRNazanin" w:hAnsi="IRNazanin" w:eastAsia="IRNazanin"/>
          <w:color w:val="111111"/>
          <w:sz w:val="28"/>
          <w:sz w:val="28"/>
          <w:szCs w:val="28"/>
          <w:rtl w:val="true"/>
          <w:lang w:bidi="fa-IR"/>
        </w:rPr>
        <w:t>أنّ حکمهما واحد من حیث اشتبها،فوجب أن یحکم فی الأرزّ بحکم البرّ عقلا و إن لم یأت السّمع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الاشتباه الّذی یقتضی المشارکة فی الحکم هو فیما یعلم أنّ الحکم فیه یجب عن ذلک الشّبه،أو یکون فی حکم الموجب عنه،نحو علمنا بأنّ ما شارک العالم فی وجود العلم فی قلبه یجب کونه عالما،أو ما شارک ردّ الودیعة فی هذه الصّفة کان واجبا،فأمّا العلل الّتی هی أمارات فلا یجب بالمشارکة فیها المشارکة فی الحکم،لأنّ العقل لا یعلم به کونها علّة،و لو علم کونها علّة لم یجب فیما شارکه فیها مثل حکمها،لأنّ المصالح الشّرعیّة مختلفة من حیث تعلّقت بالاختیار،فلا مدخل للإیجاب فیها،و لهذا جاز أن یکون الشّیء فی الشّرع مصلحة و ما هو مثله مفسدة، و جاز اختلاف الأعیان و الأوقات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قیل </w:t>
      </w:r>
      <w:r>
        <w:rPr>
          <w:rStyle w:val="FootnoteAnchor"/>
          <w:rtl w:val="true"/>
        </w:rPr>
        <w:footnoteReference w:id="14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حرّم اللّه تعالی الخمرة </w:t>
      </w:r>
      <w:r>
        <w:rPr>
          <w:rStyle w:val="FootnoteAnchor"/>
          <w:rtl w:val="true"/>
        </w:rPr>
        <w:footnoteReference w:id="1428"/>
      </w:r>
      <w:r>
        <w:rPr>
          <w:rFonts w:ascii="IRNazanin" w:hAnsi="IRNazanin" w:eastAsia="IRNazanin"/>
          <w:color w:val="111111"/>
          <w:sz w:val="28"/>
          <w:sz w:val="28"/>
          <w:szCs w:val="28"/>
          <w:rtl w:val="true"/>
          <w:lang w:bidi="fa-IR"/>
        </w:rPr>
        <w:t xml:space="preserve">،و رأیت التّحریم تابعا للشّدة یثبت بثبوتها و یزول بزوالها،علمت أنّ علّة التّحریم الشّدّة،و لا احتیاج إلی السّمع،کما لا یحتاج إلیه فی العقلیّات </w:t>
      </w:r>
      <w:r>
        <w:rPr>
          <w:rStyle w:val="FootnoteAnchor"/>
          <w:rtl w:val="true"/>
        </w:rPr>
        <w:footnoteReference w:id="1429"/>
      </w:r>
      <w:r>
        <w:rPr>
          <w:rFonts w:eastAsia="Times New Roman" w:cs="Times New Roman" w:ascii="Times New Roman" w:hAnsi="Times New Roman"/>
          <w:color w:val="111111"/>
          <w:sz w:val="28"/>
          <w:szCs w:val="28"/>
          <w:rtl w:val="true"/>
          <w:lang w:val="en-US" w:bidi="en-US"/>
        </w:rPr>
        <w:t>.</w:t>
      </w:r>
    </w:p>
    <w:p>
      <w:pPr>
        <w:sectPr>
          <w:footerReference w:type="default" r:id="rId6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لیس یکون ما ذکرته من الاعتبار </w:t>
      </w:r>
      <w:r>
        <w:rPr>
          <w:rStyle w:val="FootnoteAnchor"/>
          <w:rtl w:val="true"/>
        </w:rPr>
        <w:footnoteReference w:id="1430"/>
      </w:r>
      <w:r>
        <w:rPr>
          <w:rFonts w:ascii="IRNazanin" w:hAnsi="IRNazanin" w:eastAsia="IRNazanin"/>
          <w:color w:val="111111"/>
          <w:sz w:val="28"/>
          <w:sz w:val="28"/>
          <w:szCs w:val="28"/>
          <w:rtl w:val="true"/>
          <w:lang w:bidi="fa-IR"/>
        </w:rPr>
        <w:t xml:space="preserve">بأقوی </w:t>
      </w:r>
      <w:r>
        <w:rPr>
          <w:rStyle w:val="FootnoteAnchor"/>
          <w:rtl w:val="true"/>
        </w:rPr>
        <w:footnoteReference w:id="1431"/>
      </w:r>
      <w:r>
        <w:rPr>
          <w:rFonts w:ascii="Amiri" w:hAnsi="Amiri" w:eastAsia="Amiri" w:cs="Amiri"/>
          <w:color w:val="111111"/>
          <w:sz w:val="28"/>
          <w:sz w:val="28"/>
          <w:szCs w:val="28"/>
          <w:rtl w:val="true"/>
          <w:lang w:bidi="ar-SA"/>
        </w:rPr>
        <w:t xml:space="preserve">من أن ینصّ الرّسول صلّی اللّه علیه و آله و سلّم فی الخمر أنّ علّة تحریمها هی الشّدّة،و قد بیّنا أنّ ذلک لا یوجب التّخطی،و لا یقتضی إثبات التّحریم فی کلّ شدید إلاّ بعد التعبّد بالقیاس،لأنّه غیر ممتنع أن یخالف </w:t>
      </w:r>
      <w:r>
        <w:rPr>
          <w:rStyle w:val="FootnoteAnchor"/>
          <w:rtl w:val="true"/>
        </w:rPr>
        <w:footnoteReference w:id="1432"/>
      </w:r>
      <w:r>
        <w:rPr>
          <w:rFonts w:ascii="Amiri" w:hAnsi="Amiri" w:eastAsia="Amiri" w:cs="Amiri"/>
          <w:color w:val="111111"/>
          <w:sz w:val="28"/>
          <w:sz w:val="28"/>
          <w:szCs w:val="28"/>
          <w:rtl w:val="true"/>
          <w:lang w:bidi="ar-SA"/>
        </w:rPr>
        <w:t xml:space="preserve">فی المصلحة و إن وافقه فی الشدّة،و بیّنا أنّ النصّ علی العلّة </w:t>
      </w:r>
    </w:p>
    <w:p>
      <w:pPr>
        <w:pStyle w:val="BookText"/>
        <w:rPr/>
      </w:pPr>
      <w:r>
        <w:rPr>
          <w:rFonts w:ascii="IRNazanin" w:hAnsi="IRNazanin" w:eastAsia="IRNazanin"/>
          <w:color w:val="111111"/>
          <w:sz w:val="28"/>
          <w:sz w:val="28"/>
          <w:szCs w:val="28"/>
          <w:rtl w:val="true"/>
          <w:lang w:bidi="fa-IR"/>
        </w:rPr>
        <w:t>الشّرعیّة یجری مجری النّص علی الحکم فی امتناع التّخطّی إلاّ بدلیل مستأنف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فأمّا من زعم أنّ السّمع قد ورد بالتّعبّد بالقیاس </w:t>
      </w:r>
      <w:r>
        <w:rPr>
          <w:rStyle w:val="FootnoteAnchor"/>
          <w:rtl w:val="true"/>
        </w:rPr>
        <w:footnoteReference w:id="1433"/>
      </w:r>
      <w:r>
        <w:rPr>
          <w:rFonts w:ascii="IRNazanin" w:hAnsi="IRNazanin" w:eastAsia="IRNazanin"/>
          <w:color w:val="111111"/>
          <w:sz w:val="28"/>
          <w:sz w:val="28"/>
          <w:szCs w:val="28"/>
          <w:rtl w:val="true"/>
          <w:lang w:bidi="fa-IR"/>
        </w:rPr>
        <w:t>،فنحن نذکر قویّ ما اعتمده و نتکلّم علی شیء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أحد ما اعتمدوه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فَاعْتَبِرُوا یا أُولِی الْأَبْصارِ  </w:t>
      </w:r>
      <w:r>
        <w:rPr>
          <w:rStyle w:val="FootnoteAnchor"/>
          <w:rtl w:val="true"/>
        </w:rPr>
        <w:footnoteReference w:id="14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الاعتبار هو المقایسة،لأنّ المیزان یسمّی معیارا من حیث قیس به مساواة الشّیء بغیره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روی عن ابن عبّاس من قوله فی الأسنان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اعتبروا حالها بالأصابع الّتی دیتها متساویة</w:t>
      </w:r>
      <w:r>
        <w:rPr>
          <w:rFonts w:eastAsia="IRNazanin" w:cs="IRNazanin"/>
          <w:color w:val="111111"/>
          <w:sz w:val="28"/>
          <w:szCs w:val="28"/>
          <w:rtl w:val="true"/>
          <w:lang w:bidi="fa-IR"/>
        </w:rPr>
        <w:t xml:space="preserve">» </w:t>
      </w:r>
      <w:r>
        <w:rPr>
          <w:rStyle w:val="FootnoteAnchor"/>
          <w:rtl w:val="true"/>
        </w:rPr>
        <w:footnoteReference w:id="14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ربّما استدلّوا بالآیة علی وجه آخر 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دلّ اللّه تعالی بهذه الآیة علی أنّ المشارکة فی العلّة تقتضی المشارکة فی الحکم،و ذلک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الَّذِی أَخْرَجَ الَّذِینَ کَفَرُوا مِنْ أَهْلِ الْکِتابِ مِنْ دِیارِهِمْ لِأَوَّلِ الْحَشْرِ ما ظَنَنْتُمْ أَنْ یَخْرُجُوا وَ ظَنُّوا أَنَّهُمْ مانِعَتُهُمْ حُصُونُهُمْ مِنَ اللّهِ فَأَتاهُمُ اللّهُ مِنْ حَیْثُ لَمْ یَحْتَسِبُوا وَ قَذَفَ فِی قُلُوبِهِمُ الرُّعْبَ یُخْرِبُونَ بُیُوتَهُمْ بِأَیْدِیهِمْ وَ أَیْدِی الْمُؤْمِنِینَ فَاعْتَبِرُوا یا أُولِی الْأَبْصارِ  </w:t>
      </w:r>
      <w:r>
        <w:rPr>
          <w:rStyle w:val="FootnoteAnchor"/>
          <w:rtl w:val="true"/>
        </w:rPr>
        <w:footnoteReference w:id="1436"/>
      </w:r>
      <w:r>
        <w:rPr>
          <w:rFonts w:ascii="IRNazanin" w:hAnsi="IRNazanin" w:eastAsia="IRNazanin"/>
          <w:color w:val="111111"/>
          <w:sz w:val="28"/>
          <w:sz w:val="28"/>
          <w:szCs w:val="28"/>
          <w:rtl w:val="true"/>
          <w:lang w:bidi="fa-IR"/>
        </w:rPr>
        <w:t>، فذکر ما حلّ بهم،و نبّه علی علّته و سببه،ثمّ أمر بالاعتبار،و ذلک تحذیر من مشارکتهم فی السّبب،فلو لم تکن المشارکة فی السّبب تقتضی المشارکة فی الحکم ما کان لهذا القول 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الکلام علی ذلک أن یقال </w:t>
      </w:r>
      <w:r>
        <w:rPr>
          <w:rStyle w:val="FootnoteAnchor"/>
          <w:rtl w:val="true"/>
        </w:rPr>
        <w:footnoteReference w:id="1437"/>
      </w:r>
      <w:r>
        <w:rPr>
          <w:rFonts w:ascii="IRNazanin" w:hAnsi="IRNazanin" w:eastAsia="IRNazanin"/>
          <w:color w:val="111111"/>
          <w:sz w:val="28"/>
          <w:sz w:val="28"/>
          <w:szCs w:val="28"/>
          <w:rtl w:val="true"/>
          <w:lang w:bidi="fa-IR"/>
        </w:rPr>
        <w:t>لهم</w:t>
      </w:r>
      <w:r>
        <w:rPr>
          <w:rFonts w:eastAsia="IRNazanin" w:cs="IRNazanin"/>
          <w:color w:val="111111"/>
          <w:sz w:val="28"/>
          <w:szCs w:val="28"/>
          <w:rtl w:val="true"/>
          <w:lang w:bidi="fa-IR"/>
        </w:rPr>
        <w:t>:</w:t>
      </w:r>
    </w:p>
    <w:p>
      <w:pPr>
        <w:sectPr>
          <w:footerReference w:type="default" r:id="rId6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تنکرون أن یکون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الاعتبار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یستفاد منه الحکم بالقیاس،و إنّما یستفاد به </w:t>
      </w:r>
    </w:p>
    <w:p>
      <w:pPr>
        <w:pStyle w:val="BookText"/>
        <w:rPr/>
      </w:pPr>
      <w:r>
        <w:rPr>
          <w:rFonts w:ascii="IRNazanin" w:hAnsi="IRNazanin" w:eastAsia="IRNazanin"/>
          <w:color w:val="111111"/>
          <w:sz w:val="28"/>
          <w:sz w:val="28"/>
          <w:szCs w:val="28"/>
          <w:rtl w:val="true"/>
          <w:lang w:bidi="fa-IR"/>
        </w:rPr>
        <w:t>الاتّعاظ و التّدبّر و التفکّر،و ذلک هو المفهوم من ظاهره و إطلاقه،لأنّه لا یقال لمن یستعمل بالقیاس العقلی أنّه معتبر،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یقال فیمن یتفکّر فی معاده،و یتدبّر أمر منقلبه و یتّعظ بذلک أنّه معتبر</w:t>
      </w:r>
      <w:r>
        <w:rPr>
          <w:rFonts w:eastAsia="IRNazanin" w:cs="IRNazanin"/>
          <w:color w:val="111111"/>
          <w:sz w:val="28"/>
          <w:szCs w:val="28"/>
          <w:rtl w:val="true"/>
          <w:lang w:bidi="fa-IR"/>
        </w:rPr>
        <w:t xml:space="preserve">] </w:t>
      </w:r>
      <w:r>
        <w:rPr>
          <w:rStyle w:val="FootnoteAnchor"/>
          <w:rtl w:val="true"/>
        </w:rPr>
        <w:footnoteReference w:id="1438"/>
      </w:r>
      <w:r>
        <w:rPr>
          <w:rFonts w:ascii="IRNazanin" w:hAnsi="IRNazanin" w:eastAsia="IRNazanin"/>
          <w:color w:val="111111"/>
          <w:sz w:val="28"/>
          <w:sz w:val="28"/>
          <w:szCs w:val="28"/>
          <w:rtl w:val="true"/>
          <w:lang w:bidi="fa-IR"/>
        </w:rPr>
        <w:t>و کثیر الاعتبار،و قد یتقدّم بعض النّاس فی العلوم و إثبات الأحکام من طریق القیاس،و یقلّ فکره فی معاده و تدبّره فیقال إنّه غیر معتبر، أو قلیل الاعتبار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یستوی فی المعرفة بحال الشّیء و إثبات حکمه اثنان،فیوصف أحدهما بالاعتبار دون الآخر علی المعنی الّذی ذکرناه،و لهذا یقولون عند الأمر العظیم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فی هذه لعبرة،و 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لَکُمْ فِی الْأَنْعامِ لَعِبْرَةً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ما روی عن ابن عبّاس خبر واحد لا تثبت بمثله اللّغة،و لو صحّ لکان محمولا علی المجاز بشهادة الاستعمال الّذی ذکرناه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أنّا لو سلّمنا جواز استعمال الاعتبار فی المقایسة،لم یکن فی الآیة دلالة إلاّ علی ما ذکر منها من أمر الکفّار،و ظنّهم أنّ حصونهم مانعتهم من اللّه تعالی،و وقوع ما وقع بهم،فکأنّه قال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فاعتبروا بذلک یا أولی الأبصار،و لیس یلیق هذا الموضع بالقیاس فی الأحکام </w:t>
      </w:r>
      <w:r>
        <w:rPr>
          <w:rStyle w:val="FootnoteAnchor"/>
          <w:rtl w:val="true"/>
        </w:rPr>
        <w:footnoteReference w:id="1439"/>
      </w:r>
      <w:r>
        <w:rPr>
          <w:rFonts w:ascii="IRNazanin" w:hAnsi="IRNazanin" w:eastAsia="IRNazanin"/>
          <w:color w:val="111111"/>
          <w:sz w:val="28"/>
          <w:sz w:val="28"/>
          <w:szCs w:val="28"/>
          <w:rtl w:val="true"/>
          <w:lang w:bidi="fa-IR"/>
        </w:rPr>
        <w:t>الشّرعیّة،لأنّه تعالی لو صرّح بعقب ما ذکر من حال الکفّار بأن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فقیسوا فی الأحکام الشّرعیّة و اجتهدوا،لکان الکلام لغوا لا فائدة فیه،فلا یلیق بعضه ببعض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فثبت أنّه أراد الاتّعاظ و التفکّر</w:t>
      </w:r>
      <w:r>
        <w:rPr>
          <w:rFonts w:eastAsia="IRNazanin" w:cs="IRNazanin"/>
          <w:color w:val="111111"/>
          <w:sz w:val="28"/>
          <w:szCs w:val="28"/>
          <w:rtl w:val="true"/>
          <w:lang w:bidi="fa-IR"/>
        </w:rPr>
        <w:t>.</w:t>
      </w:r>
    </w:p>
    <w:p>
      <w:pPr>
        <w:sectPr>
          <w:footerReference w:type="default" r:id="rId6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أنّه یمکن أن یقال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تسلیم تناول اللّفظة للقیاس بإطلاقها،ما تنکرون أنّا نستعمل موجب الآیة،بأن نقیس الفروع علی الأصول،فی أنّا نثبت لها الأحکام إلاّ بالنّصوص،لأنّ هذا أیضا قیاس فقد ساویناکم فی التّعلّق بالآیة،فمن أین لکم أنّ القیاس الّذی تناولته الآیة هو ما تذکرونه دون ما ذکرناه،و کلاهما قیاس علی </w:t>
      </w:r>
    </w:p>
    <w:p>
      <w:pPr>
        <w:pStyle w:val="BookText"/>
        <w:rPr/>
      </w:pPr>
      <w:r>
        <w:rPr>
          <w:rFonts w:ascii="IRNazanin" w:hAnsi="IRNazanin" w:eastAsia="IRNazanin"/>
          <w:color w:val="111111"/>
          <w:sz w:val="28"/>
          <w:sz w:val="28"/>
          <w:szCs w:val="28"/>
          <w:rtl w:val="true"/>
          <w:lang w:bidi="fa-IR"/>
        </w:rPr>
        <w:t>الحقیقة؟ و لیس لهم أن یقولوا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نجمع بین الأمرین لأنّهما یتنافیان،و الجمع بینهما لا یصحّ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لهم أیضا أن یقولوا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قولنا أرجح من حیث کان فیه إثبات للأحکام،و قولکم فیه نفی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لأنّ التّرجیح بما ذکروه إنّما یصحّ متی ثبت کلا وجهی القیاس،فیصحّ التّرجیح و التّفرقة،فأمّا الخلاف فیهما هل یثبتان أو یثبت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 فلا</w:t>
      </w:r>
      <w:r>
        <w:rPr>
          <w:rFonts w:eastAsia="IRNazanin" w:cs="IRNazanin"/>
          <w:color w:val="111111"/>
          <w:sz w:val="28"/>
          <w:szCs w:val="28"/>
          <w:rtl w:val="true"/>
          <w:lang w:bidi="fa-IR"/>
        </w:rPr>
        <w:t xml:space="preserve">] </w:t>
      </w:r>
      <w:r>
        <w:rPr>
          <w:rStyle w:val="FootnoteAnchor"/>
          <w:rtl w:val="true"/>
        </w:rPr>
        <w:footnoteReference w:id="1440"/>
      </w:r>
      <w:r>
        <w:rPr>
          <w:rFonts w:ascii="IRNazanin" w:hAnsi="IRNazanin" w:eastAsia="IRNazanin"/>
          <w:color w:val="111111"/>
          <w:sz w:val="28"/>
          <w:sz w:val="28"/>
          <w:szCs w:val="28"/>
          <w:rtl w:val="true"/>
          <w:lang w:bidi="fa-IR"/>
        </w:rPr>
        <w:t>ترجیح یمکن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یقال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تعلّقهم بالآیة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اللّه تعالی قد نبّه علی ما زعمتم بالآیة علی أنّ المشارکة فی السّبب و العلّة تقتضی المشارکة فی الحکم،فیجب أن یکون کلّ من فعل مثل فعل الّذین أخبر اللّه تعالی عنهم فی الآیة،یحلّ بهم مثل ما حلّ 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أریناهم بطلان قولهم ضرورة لو جوّزنا من یشارک المذکورین فی المخالفة و المعصیة و إن لم یصبه ما أصابهم،و هذا من ضعیف ما یتمسّک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تعلّقوا أیضا بقوله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فَجَزاءٌ مِثْلُ ما قَتَلَ مِنَ النَّعَمِ یَحْکُمُ بِهِ ذَوا عَدْلٍ مِنْکُمْ  </w:t>
      </w:r>
      <w:r>
        <w:rPr>
          <w:rStyle w:val="FootnoteAnchor"/>
          <w:rtl w:val="true"/>
        </w:rPr>
        <w:footnoteReference w:id="1441"/>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الْمُوسِعِ قَدَرُهُ وَ عَلَی الْمُقْتِرِ قَدَرُهُ  </w:t>
      </w:r>
      <w:r>
        <w:rPr>
          <w:rStyle w:val="FootnoteAnchor"/>
          <w:rtl w:val="true"/>
        </w:rPr>
        <w:footnoteReference w:id="14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المثلیّة و المقدار طریقه غالب الظّن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خِفْتُمْ أَلاّ تَعْدِلُوا فَواحِدَةً أَوْ ما مَلَکَتْ أَیْمانُکُمْ  </w:t>
      </w:r>
      <w:r>
        <w:rPr>
          <w:rStyle w:val="FootnoteAnchor"/>
          <w:rtl w:val="true"/>
        </w:rPr>
        <w:footnoteReference w:id="1443"/>
      </w:r>
      <w:r>
        <w:rPr>
          <w:rFonts w:ascii="IRNazanin" w:hAnsi="IRNazanin" w:eastAsia="IRNazanin"/>
          <w:color w:val="111111"/>
          <w:sz w:val="28"/>
          <w:sz w:val="28"/>
          <w:szCs w:val="28"/>
          <w:rtl w:val="true"/>
          <w:lang w:bidi="fa-IR"/>
        </w:rPr>
        <w:t>قالوا و ذلک طریقه غالب الظّن</w:t>
      </w:r>
      <w:r>
        <w:rPr>
          <w:rFonts w:eastAsia="IRNazanin" w:cs="IRNazanin"/>
          <w:color w:val="111111"/>
          <w:sz w:val="28"/>
          <w:szCs w:val="28"/>
          <w:rtl w:val="true"/>
          <w:lang w:bidi="fa-IR"/>
        </w:rPr>
        <w:t>.</w:t>
      </w:r>
    </w:p>
    <w:p>
      <w:pPr>
        <w:sectPr>
          <w:footerReference w:type="default" r:id="rId6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هذه الآیات لا تخلو أن یکون المستدلّ بها یعتمدها فی جواز التّعبّد بالظّنون، </w:t>
      </w:r>
    </w:p>
    <w:p>
      <w:pPr>
        <w:pStyle w:val="BookText"/>
        <w:rPr/>
      </w:pPr>
      <w:r>
        <w:rPr>
          <w:rFonts w:ascii="IRNazanin" w:hAnsi="IRNazanin" w:eastAsia="IRNazanin"/>
          <w:color w:val="111111"/>
          <w:sz w:val="28"/>
          <w:sz w:val="28"/>
          <w:szCs w:val="28"/>
          <w:rtl w:val="true"/>
          <w:lang w:bidi="fa-IR"/>
        </w:rPr>
        <w:t>أو فی وجوب التعبّد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کان الأوّل،کان ذلک صحیحا،و ذلک ممّا قدّمنا جوازه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أراد الثّانی،کان ذلک باطلا،لأنّه لیس إذا ثبت التّعبّد فی شیء بغالب الظّن ینبغی أن یحمل غیره علیه،لأنّ ذلک یصیر قیاسا،و کلامنا فی مسألة القیاس،فکیف یستدلّ بالشّیء علی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Style w:val="FootnoteAnchor"/>
          <w:rtl w:val="true"/>
        </w:rPr>
        <w:footnoteReference w:id="1444"/>
      </w:r>
      <w:r>
        <w:rPr>
          <w:rFonts w:ascii="IRNazanin" w:hAnsi="IRNazanin" w:eastAsia="IRNazanin"/>
          <w:color w:val="111111"/>
          <w:sz w:val="28"/>
          <w:sz w:val="28"/>
          <w:szCs w:val="28"/>
          <w:rtl w:val="true"/>
          <w:lang w:bidi="fa-IR"/>
        </w:rPr>
        <w:t>من أصحابنا من قال أنّ المثلیّة و القدر منصوص علیه،فعلی هذا المذهب سقط السّؤال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تعلّقوا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ظهر </w:t>
      </w:r>
      <w:r>
        <w:rPr>
          <w:rStyle w:val="FootnoteAnchor"/>
          <w:rtl w:val="true"/>
        </w:rPr>
        <w:footnoteReference w:id="1445"/>
      </w:r>
      <w:r>
        <w:rPr>
          <w:rFonts w:ascii="IRNazanin" w:hAnsi="IRNazanin" w:eastAsia="IRNazanin"/>
          <w:color w:val="111111"/>
          <w:sz w:val="28"/>
          <w:sz w:val="28"/>
          <w:szCs w:val="28"/>
          <w:rtl w:val="true"/>
          <w:lang w:bidi="fa-IR"/>
        </w:rPr>
        <w:t xml:space="preserve">عن الصّحابة القول بالقیاس،و اتّفق جمیعهم علیه،نحو اختلافهم فی مسألة الحرام </w:t>
      </w:r>
      <w:r>
        <w:rPr>
          <w:rStyle w:val="FootnoteAnchor"/>
          <w:rtl w:val="true"/>
        </w:rPr>
        <w:footnoteReference w:id="1446"/>
      </w:r>
      <w:r>
        <w:rPr>
          <w:rFonts w:ascii="IRNazanin" w:hAnsi="IRNazanin" w:eastAsia="IRNazanin"/>
          <w:color w:val="111111"/>
          <w:sz w:val="28"/>
          <w:sz w:val="28"/>
          <w:szCs w:val="28"/>
          <w:rtl w:val="true"/>
          <w:lang w:bidi="fa-IR"/>
        </w:rPr>
        <w:t>،و الجدّ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المشرّکة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الإیلاء،و غیر ذلک و رجوع کلّ منهم فی قوله إلی طریقة القیاس،لأنّهم اختلفوا فی الحرام فقالوا بأربعة أقاویل</w:t>
      </w:r>
      <w:r>
        <w:rPr>
          <w:rFonts w:eastAsia="IRNazanin" w:cs="IRNazanin"/>
          <w:color w:val="111111"/>
          <w:sz w:val="28"/>
          <w:szCs w:val="28"/>
          <w:rtl w:val="true"/>
          <w:lang w:bidi="fa-IR"/>
        </w:rPr>
        <w:t>:</w:t>
      </w:r>
    </w:p>
    <w:p>
      <w:pPr>
        <w:sectPr>
          <w:footerReference w:type="default" r:id="rId6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فی حکم التّطلیقات الثلاث،و ذلک مرویّ عن أمیر المؤمنین علیه السّلام،و زید،و ابن عمر </w:t>
      </w:r>
      <w:r>
        <w:rPr>
          <w:rStyle w:val="FootnoteAnchor"/>
          <w:rtl w:val="true"/>
        </w:rPr>
        <w:footnoteReference w:id="144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القول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 من جعله یمینا یلزم فیها الکفارة،و هو المحکیّ عن أبی بکر،و عمر،و ابن مسعود،و عائشة </w:t>
      </w:r>
      <w:r>
        <w:rPr>
          <w:rStyle w:val="FootnoteAnchor"/>
          <w:rtl w:val="true"/>
        </w:rPr>
        <w:footnoteReference w:id="1448"/>
      </w:r>
      <w:r>
        <w:rPr>
          <w:rFonts w:ascii="IRNazanin" w:hAnsi="IRNazanin" w:eastAsia="IRNazanin"/>
          <w:color w:val="111111"/>
          <w:sz w:val="28"/>
          <w:sz w:val="28"/>
          <w:szCs w:val="28"/>
          <w:rtl w:val="true"/>
          <w:lang w:bidi="fa-IR"/>
        </w:rPr>
        <w:t>و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 من جعله ظهارا،و هو المروی عن ابن عبّاس و غیره </w:t>
      </w:r>
      <w:r>
        <w:rPr>
          <w:rStyle w:val="FootnoteAnchor"/>
          <w:rtl w:val="true"/>
        </w:rPr>
        <w:footnoteReference w:id="14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 من جعله تطلیقة واحدة،و هو المرویّ عن ابن مسعود،و ابن عمر و غیرهما </w:t>
      </w:r>
      <w:r>
        <w:rPr>
          <w:rStyle w:val="FootnoteAnchor"/>
          <w:rtl w:val="true"/>
        </w:rPr>
        <w:footnoteReference w:id="14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اختلفوا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فمنهم من لغاه،و منهم من جعلها واحدة رجعیّة،و بعضهم جعلها بائنة،و کلّ ذلک تفریع للقول الرّابع </w:t>
      </w:r>
      <w:r>
        <w:rPr>
          <w:rStyle w:val="FootnoteAnchor"/>
          <w:rtl w:val="true"/>
        </w:rPr>
        <w:footnoteReference w:id="14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حکی فی المسألة قول خامس عن مسروق</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أنّه لیس بشیء،لأنّه تحریم لما أحلّه اللّه تعالی و وجوده کعدمه </w:t>
      </w:r>
      <w:r>
        <w:rPr>
          <w:rStyle w:val="FootnoteAnchor"/>
          <w:rtl w:val="true"/>
        </w:rPr>
        <w:footnoteReference w:id="14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اختلافهم أیضا فی الجدّ ظاهر،و کذلک ما عددناه من المسائل،و إنّما شرحنا مسألة الحرام لأنّ الخلاف فیها أکثر منه فی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علمنا أنّه لا وجه لأقاویلهم إلاّ طریقة القیاس و الاجتهاد،لأنّ من جعل الحرام طلاقا ثلاثا معلوم أنّه لم یرد أنّه طلاق ثلاث علی الحقیقة،بل أراد أنّه کالطّلاق الثلاث و جار مجراه،و کذلک من جعله یمینا و ظهارا محال أن یرید إلاّ الشّبه دون أن یکون عنده یمینا أو ظهارا فی الحقیقة</w:t>
      </w:r>
      <w:r>
        <w:rPr>
          <w:rFonts w:eastAsia="IRNazanin" w:cs="IRNazanin"/>
          <w:color w:val="111111"/>
          <w:sz w:val="28"/>
          <w:szCs w:val="28"/>
          <w:rtl w:val="true"/>
          <w:lang w:bidi="fa-IR"/>
        </w:rPr>
        <w:t>.</w:t>
      </w:r>
    </w:p>
    <w:p>
      <w:pPr>
        <w:sectPr>
          <w:footerReference w:type="default" r:id="rId6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لأنّه قد نقل عنهم النّصّ الصّریح فی أنّهم قالوا بذلک قیاسا،لأنّ من ذهب إلی أنّ الجدّ بمنزلة الأب نصّ علی أنّه مع فقد الأب بمنزلة ابن الابن مع فقد الابن </w:t>
      </w:r>
      <w:r>
        <w:rPr>
          <w:rStyle w:val="FootnoteAnchor"/>
          <w:rtl w:val="true"/>
        </w:rPr>
        <w:footnoteReference w:id="1453"/>
      </w:r>
      <w:r>
        <w:rPr>
          <w:rFonts w:ascii="IRNazanin" w:hAnsi="IRNazanin" w:eastAsia="IRNazanin"/>
          <w:color w:val="111111"/>
          <w:sz w:val="28"/>
          <w:sz w:val="28"/>
          <w:szCs w:val="28"/>
          <w:rtl w:val="true"/>
          <w:lang w:bidi="fa-IR"/>
        </w:rPr>
        <w:t>، حتّی صرّح ابن عبّاس بأن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ألا یتّقی اللّه زید بن ثابت یجعل ابن الابن ابنا،و لا </w:t>
      </w:r>
    </w:p>
    <w:p>
      <w:pPr>
        <w:pStyle w:val="BookText"/>
        <w:rPr/>
      </w:pPr>
      <w:r>
        <w:rPr>
          <w:rFonts w:ascii="IRNazanin" w:hAnsi="IRNazanin" w:eastAsia="IRNazanin"/>
          <w:color w:val="111111"/>
          <w:sz w:val="28"/>
          <w:sz w:val="28"/>
          <w:szCs w:val="28"/>
          <w:rtl w:val="true"/>
          <w:lang w:bidi="fa-IR"/>
        </w:rPr>
        <w:t>یجعل أب الأب أبا؟</w:t>
      </w:r>
      <w:r>
        <w:rPr>
          <w:rFonts w:eastAsia="IRNazanin" w:cs="IRNazanin"/>
          <w:color w:val="111111"/>
          <w:sz w:val="28"/>
          <w:szCs w:val="28"/>
          <w:rtl w:val="true"/>
          <w:lang w:bidi="fa-IR"/>
        </w:rPr>
        <w:t xml:space="preserve">» </w:t>
      </w:r>
      <w:r>
        <w:rPr>
          <w:rStyle w:val="FootnoteAnchor"/>
          <w:rtl w:val="true"/>
        </w:rPr>
        <w:footnoteReference w:id="1454"/>
      </w:r>
      <w:r>
        <w:rPr>
          <w:rFonts w:ascii="IRNazanin" w:hAnsi="IRNazanin" w:eastAsia="IRNazanin"/>
          <w:color w:val="111111"/>
          <w:sz w:val="28"/>
          <w:sz w:val="28"/>
          <w:szCs w:val="28"/>
          <w:rtl w:val="true"/>
          <w:lang w:bidi="fa-IR"/>
        </w:rPr>
        <w:t>و قد علمنا أنّه لم یرجع فی ذلک إلی نصّ،لأنّ الحدّ لا نصّ علیه فی الکتاب،فلم یبق إلاّ سلوکهم فیه طرق التّمثیل و المقایسة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ثبت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عمّن قال بالمقایسة </w:t>
      </w:r>
      <w:r>
        <w:rPr>
          <w:rStyle w:val="FootnoteAnchor"/>
          <w:rtl w:val="true"/>
        </w:rPr>
        <w:footnoteReference w:id="1455"/>
      </w:r>
      <w:r>
        <w:rPr>
          <w:rFonts w:ascii="IRNazanin" w:hAnsi="IRNazanin" w:eastAsia="IRNazanin"/>
          <w:color w:val="111111"/>
          <w:sz w:val="28"/>
          <w:sz w:val="28"/>
          <w:szCs w:val="28"/>
          <w:rtl w:val="true"/>
          <w:lang w:bidi="fa-IR"/>
        </w:rPr>
        <w:t xml:space="preserve">بین الأخ و الجدّ أنّه شبّههما بغصنی شجرة و بجدولی نهر،و لهذا یبطل قول من یدّعی أنّهم قالوا ذلک علی طریق الصّلح و البور </w:t>
      </w:r>
      <w:r>
        <w:rPr>
          <w:rStyle w:val="FootnoteAnchor"/>
          <w:rtl w:val="true"/>
        </w:rPr>
        <w:footnoteReference w:id="1456"/>
      </w:r>
      <w:r>
        <w:rPr>
          <w:rFonts w:ascii="IRNazanin" w:hAnsi="IRNazanin" w:eastAsia="IRNazanin"/>
          <w:color w:val="111111"/>
          <w:sz w:val="28"/>
          <w:sz w:val="28"/>
          <w:szCs w:val="28"/>
          <w:rtl w:val="true"/>
          <w:lang w:bidi="fa-IR"/>
        </w:rPr>
        <w:t>،أو لأنّه أقلّ ما قیل فیه،أو حکموا بحکم العقل،أو لنصّ 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یبطل ذلک زائدا علی ما تقدّم،أنّهم اختلفوا فیما لا یسوغ فیه الصّلح لتعلّقه بتحریم الفروج و تحلیلها کمسألة الحرام و الإیلاء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لأنّ ما یقال من طریق الصّلح لا یفرع علیه و یبنی بحسبه المذاهب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لأنّهم اختلفوا فی مواضع لا یصحّ أن یقال فیها بأقلّ ما قیل،و لأنّهم قد اختلفوا فیما زاد علی أقلّ ما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قالوا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بأقاویل کلّها خارجة عمّا فی أصل العقل،و لو قالوا أیضا لنصّ لوجب أن یظهر،لأنّ الدّواعی إلی إظهاره قویّة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ثبت ذلک من حالهم فهم بین قائل بالقیاس،و مصوّب لقائله غیر منکر علیه،فصاروا مجمعین علی القول به،و إجماعهم حجّة،و لا یجوز أن ینعقد علی خطأ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فیقال لهم لنا فی الکلام علیکم وجهان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نبیّن بطلان ما حکمتم به و قطعتم علیه من أنّ القول فی المسائل الّتی ذکرتموها لم یکن إلاّ بالقیاس،و نبیّن أنّه یحتمل أن یکون النّصّ إمّا بظاهره أو دلیله،و الاحتمال فی هذا الموضع یکفی و یأتی علی استدلالهم</w:t>
      </w:r>
      <w:r>
        <w:rPr>
          <w:rFonts w:eastAsia="IRNazanin" w:cs="IRNazanin"/>
          <w:color w:val="111111"/>
          <w:sz w:val="28"/>
          <w:szCs w:val="28"/>
          <w:rtl w:val="true"/>
          <w:lang w:bidi="fa-IR"/>
        </w:rPr>
        <w:t>.</w:t>
      </w:r>
    </w:p>
    <w:p>
      <w:pPr>
        <w:sectPr>
          <w:footerReference w:type="default" r:id="rId6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الوجه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ننازع فیما ادّعیتموه من ارتفاع النکیر للقیاس،و نبیّن أنّه ورد </w:t>
      </w:r>
    </w:p>
    <w:p>
      <w:pPr>
        <w:pStyle w:val="BookText"/>
        <w:rPr/>
      </w:pPr>
      <w:r>
        <w:rPr>
          <w:rFonts w:ascii="IRNazanin" w:hAnsi="IRNazanin" w:eastAsia="IRNazanin"/>
          <w:color w:val="111111"/>
          <w:sz w:val="28"/>
          <w:sz w:val="28"/>
          <w:szCs w:val="28"/>
          <w:rtl w:val="true"/>
          <w:lang w:bidi="fa-IR"/>
        </w:rPr>
        <w:t>عنهم من ذلک ما فی بعضه کفایة،و إبطال لقول من یدّعی 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لنا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سلّمنا أنّهم قالوا فی تلک المسائل بالقیاس،و تجاوزنا عن الخلاف فی ارتفاع النّکیر،و فرضنا أنّه لم یکن أن نقول ارتفاع النّکیر لا یدلّ فی کلّ موضع علی الرّضا و التّسلیم،و إنّما یدلّ علی ذلک إذا علمنا أنّه لا وجه لارتفاعه إلاّ الرّضا،فأمّا مع تجویز کونه للرّضا و لغیره فلا دلالة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أنّ هذه الطّریقة توحش من خالفنا فی هذه المسألة لأنّها تطرق علیهم فساد أصول هی أهمّ إلیهم من الکلام فیها،و ینبغی أن یتجاوز عن هذا الکلام فی هذا المعنی و یقتصر علی الوجهین اللّذین قدّمناهما،لأنّ الکلام فی هذا الوجه له موضوع غیر هذا هو ألیق به،و قد ذکرناه فی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مستوفی</w:t>
      </w:r>
      <w:r>
        <w:rPr>
          <w:rFonts w:eastAsia="IRNazanin" w:cs="IRNazanin"/>
          <w:color w:val="111111"/>
          <w:sz w:val="28"/>
          <w:szCs w:val="28"/>
          <w:rtl w:val="true"/>
          <w:lang w:bidi="fa-IR"/>
        </w:rPr>
        <w:t>.</w:t>
      </w:r>
    </w:p>
    <w:p>
      <w:pPr>
        <w:sectPr>
          <w:footerReference w:type="default" r:id="rId6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فیقال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زعمتم أنّ القول فی المسائل الّتی عدّدتموها إنّما کان بالقیاس؟ فلم نجدکم اقتصرتم إلاّ علی الدّعوی المجرّدة من برهان،و لم إذا اختلفوا و تباینت أقوالهم وجب أن تستند تلک المذاهب إلی القیاس،و أنتم تعلمون أنّ الاختلاف فی المذاهب المستندة إلی النّصوص ممکن کإمکانه فی المستندة إلی القیاس؟ و لم أنکرتم أن یکون کلّ واحد منهم إنّما ذهب إلی ما حکی عنه لتمسّکه بدلیل نصّ اعتقد أنه دالّ علی ما ذهب إلیه؟ فإن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کانوا قالوا بذلک للنّصوص،لوجب أن تنقل تلک النّصوص و تشتهر لأنّ الدّواعی تقوی إلی نقلها و الاحتجاج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أوّل ما نقوله إنّا لم نلزمکم أن یکونوا اعتمدوا فی هذه المسائل نصوصا صریحة استدلّوا بها علی المذاهب الّتی اعتقدوها،بل ألزمناکم أن یکونوا اعتمدوا </w:t>
      </w:r>
    </w:p>
    <w:p>
      <w:pPr>
        <w:pStyle w:val="BookText"/>
        <w:rPr/>
      </w:pPr>
      <w:r>
        <w:rPr>
          <w:rFonts w:ascii="IRNazanin" w:hAnsi="IRNazanin" w:eastAsia="IRNazanin"/>
          <w:color w:val="111111"/>
          <w:sz w:val="28"/>
          <w:sz w:val="28"/>
          <w:szCs w:val="28"/>
          <w:rtl w:val="true"/>
          <w:lang w:bidi="fa-IR"/>
        </w:rPr>
        <w:t>فیها أدلّة النّصوص الّتی تحتاج فیها إلی ضرب من الاستدلال و التأوّل،سواء کانت تلک النّصوص علی هذه نصوصا ظاهرة للکلّ معلومة للجمیع،أو کانت مختصّة،فلا یجب أن تفرضوا کلامنا فی غیر ما فرضناه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أنّا نقول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کانوا اعتمدوا فی ذلک علی علّة قیاسیّة لوجب نقلها و ظهورها،لأنّ الدّواعی إلی نقل مذاهبهم تدعو إلی نقل طرقها،و ما به احتجّوا، و علیه عوّلوا،و ما نجد فی ذلک روایة،فإن کان فقد ما اعتمدوه من دلیل النّص و ارتفاع روایته دلیلا علی أنّهم قالوا بالقیاس،فکذلک یجب أن یکون فقدنا لروایة عنهم تتضمّن أنّهم قالوا بذلک قیاسا دلیلا علی القول به من طریق النّصوص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الفرق بین الأمرین أنّ القیاس لا یجب اتّباع العالم فیه،و النّصوص یجب اتّباعه،فوجب نقل النّص و لا یجب مثله فی القیاس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إطلاقکم أنّ القیاس لا یجب فیه الاتّباع لا یصحّ علی مذاهبکم،بل یجب فیه الاتّباع إذا ظهر وجه القول به و أمارات غلبة الظّنّ فیه،و إنّما لا یجب القول به بارتفاع هذا الشّرط،و علی العالم أن یظهر وجه القول لمن خالفه لیظهر له منه ما یکون فرضه معه الانتقال عمّا کان علیه</w:t>
      </w:r>
      <w:r>
        <w:rPr>
          <w:rFonts w:eastAsia="IRNazanin" w:cs="IRNazanin"/>
          <w:color w:val="111111"/>
          <w:sz w:val="28"/>
          <w:szCs w:val="28"/>
          <w:rtl w:val="true"/>
          <w:lang w:bidi="fa-IR"/>
        </w:rPr>
        <w:t>.</w:t>
      </w:r>
    </w:p>
    <w:p>
      <w:pPr>
        <w:sectPr>
          <w:footerReference w:type="default" r:id="rId6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لو لا هذا ما حسنت مناظرة أصحاب القیاس و الاجتهاد بعضهم لبعض،و لم ینقل عن الصّحابة وجه قولهم فی مسألة الحرام </w:t>
      </w:r>
      <w:r>
        <w:rPr>
          <w:rStyle w:val="FootnoteAnchor"/>
          <w:rtl w:val="true"/>
        </w:rPr>
        <w:footnoteReference w:id="1457"/>
      </w:r>
      <w:r>
        <w:rPr>
          <w:rFonts w:ascii="IRNazanin" w:hAnsi="IRNazanin" w:eastAsia="IRNazanin"/>
          <w:color w:val="111111"/>
          <w:sz w:val="28"/>
          <w:sz w:val="28"/>
          <w:szCs w:val="28"/>
          <w:rtl w:val="true"/>
          <w:lang w:bidi="fa-IR"/>
        </w:rPr>
        <w:t>الّتی وقع النّص من مخالفینا علیها لقوّتها عندهم،و لم یرو عن أحد منهم العلّة الّتی من أجلها جعله طلاقا ثلاثا،أو ظهارا،أو یمینا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أنّه إنّما یجب علی المعتقد للمذهب أن یظهر وجه قوله عند المناظرة و الحاجة الدّاعیة إلیه،فأمّا أن یکون ظهور وجه القول کظهور القول و المذهب فغیر واجب،فکیف </w:t>
      </w:r>
      <w:r>
        <w:rPr>
          <w:rStyle w:val="FootnoteAnchor"/>
          <w:rtl w:val="true"/>
        </w:rPr>
        <w:footnoteReference w:id="1458"/>
      </w:r>
      <w:r>
        <w:rPr>
          <w:rFonts w:ascii="IRNazanin" w:hAnsi="IRNazanin" w:eastAsia="IRNazanin"/>
          <w:color w:val="111111"/>
          <w:sz w:val="28"/>
          <w:sz w:val="28"/>
          <w:szCs w:val="28"/>
          <w:rtl w:val="true"/>
          <w:lang w:bidi="fa-IR"/>
        </w:rPr>
        <w:t xml:space="preserve">،یقال ذلک و نحن نعلم أنّ کثیرا من الصّحابة و التّابعین و من کان </w:t>
      </w:r>
    </w:p>
    <w:p>
      <w:pPr>
        <w:pStyle w:val="BookText"/>
        <w:rPr/>
      </w:pPr>
      <w:r>
        <w:rPr>
          <w:rFonts w:ascii="IRNazanin" w:hAnsi="IRNazanin" w:eastAsia="IRNazanin"/>
          <w:color w:val="111111"/>
          <w:sz w:val="28"/>
          <w:sz w:val="28"/>
          <w:szCs w:val="28"/>
          <w:rtl w:val="true"/>
          <w:lang w:bidi="fa-IR"/>
        </w:rPr>
        <w:t>بعدهم قد ظهرت عنهم مذاهب کثیرة فیما طریقه العلم و الدّلیل القاطع من غیر أن یظهر عنه أو ینقل ما کان دلیله بعینه لأیّ طریق قال بذلک المذهب و اعتقده فإن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تناظروا و ردّ بعضهم علی بعض و لم یذکر عنهم احتجاج بنصّ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یمکن أن یحکی عنهم فی مسألة الحرام و غیرها من المسائل أنّهم اجتمعوا فیها لمناظرة و منازعة،و حاجّ بعضهم بعضا،و ردّ بعضهم علی بعض،و لم یذکروا أدلّة النّص،و لا وردت بشیء من ذلک 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أکثر ما روی إضافة هذه المذاهب إلی القائلین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أنّهم إن کانوا تناظروا و تنازعوا فلا بدّ من أن یظهر کلّ واحد منهم وجه قوله،سواء کان نصّا أو قیاسا،و فی مثل هذه الحال لا یسوغ الإعراض عن ذکر وجه القول و إن جاز فی غیرها،و لهذا لا نجد أحدا من الفقهاء ینازع خصومه و یردّ مذاهبهم علیهم علی سبیل المناظرة،و لا یظهر وجه قیاسه و العلّة الّتی من أجلها ذهب إلی ما ذهب إلیه،بل لا بدّ له من تحریر علله و تهذیبها و الاحتراز فیه من النّقض،و إذا کنّا لم نجد روایة منهم بوجه قیاسه و بالعلّة الّتی من أجلها جمع بین الأمرین اللّذین شبّه أحدهما بالآخر،فیجب أن ینفی عنهم القول بالقیاس إن کان ما فرضتموه صحیحا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شأن العلماء أن یذکروا النّصوص الشّاهدة لأقوالهم و مذاهبهم لترتفع عنهم التّهمة فی الخطأ أو القول بغیر 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شأنهم أن یذکروا الوجه القیاسی المصحّح لمذهبهم،لترتفع عنهم التّهمة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فلعلّ القوم کانوا آمنین من أن یتّهموا بالتّبخیت </w:t>
      </w:r>
      <w:r>
        <w:rPr>
          <w:rStyle w:val="FootnoteAnchor"/>
          <w:rtl w:val="true"/>
        </w:rPr>
        <w:footnoteReference w:id="1459"/>
      </w:r>
      <w:r>
        <w:rPr>
          <w:rFonts w:ascii="IRNazanin" w:hAnsi="IRNazanin" w:eastAsia="IRNazanin"/>
          <w:color w:val="111111"/>
          <w:sz w:val="28"/>
          <w:sz w:val="28"/>
          <w:szCs w:val="28"/>
          <w:rtl w:val="true"/>
          <w:lang w:bidi="fa-IR"/>
        </w:rPr>
        <w:t>و الاعتقادات المبتدأة فلم یحتاجوا إلی ذلک</w:t>
      </w:r>
      <w:r>
        <w:rPr>
          <w:rFonts w:eastAsia="IRNazanin" w:cs="IRNazanin"/>
          <w:color w:val="111111"/>
          <w:sz w:val="28"/>
          <w:szCs w:val="28"/>
          <w:rtl w:val="true"/>
          <w:lang w:bidi="fa-IR"/>
        </w:rPr>
        <w:t>.</w:t>
      </w:r>
    </w:p>
    <w:p>
      <w:pPr>
        <w:sectPr>
          <w:footerReference w:type="default" r:id="rId6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لیس نجد فی نصوص الکتاب و السّنّة ظاهرا و لا دلیلا یدلّ علی هذه المذاهب الّتی حکینا اختلافهم فیها،إلاّ أن یدّعوا نصوصا غیر ظاهرة،بأن اختصّ کلّ </w:t>
      </w:r>
    </w:p>
    <w:p>
      <w:pPr>
        <w:pStyle w:val="BookText"/>
        <w:rPr/>
      </w:pPr>
      <w:r>
        <w:rPr>
          <w:rFonts w:ascii="IRNazanin" w:hAnsi="IRNazanin" w:eastAsia="IRNazanin"/>
          <w:color w:val="111111"/>
          <w:sz w:val="28"/>
          <w:sz w:val="28"/>
          <w:szCs w:val="28"/>
          <w:rtl w:val="true"/>
          <w:lang w:bidi="fa-IR"/>
        </w:rPr>
        <w:t>واحد منهم بها،فیظهر بطلان قولکم لکلّ أحد و یلزم حینئذ أن تکون تلک النّصوص قد أشیعت و ظهرت لتعلم و تعرف،و إلاّ طرق ذلک إبطال الشّریعة و أکثرها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ما ضمنّا لکم أن یکون کلّ واحد من القوم ذهب إلی مذهبه للدّلیل علیه من جهة النّص،و إنّما ألزمناکم تجویز سبب کلّ قائل منهم بوجه اعتقده دلیلا قد یجوز أن یکون فیه مخطئا و مصیبا،و لو أخطأت الجماعة فی استدلالها علی أقوالها إلاّ واحدا فیها لم یضرّنا فیما قصدناه،لأنّ الّذی أمن من إجماعهم علی الخطأ لا یؤمن من إجماع أکثرهم،ففقدکم نصوص الکتاب و السّنّة أدلّة لتلک المذاهب لا یدخل علی ما قلناه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إلاّ أن یریدوا أنّا فقدنا ما </w:t>
      </w:r>
      <w:r>
        <w:rPr>
          <w:rStyle w:val="FootnoteAnchor"/>
          <w:rtl w:val="true"/>
        </w:rPr>
        <w:footnoteReference w:id="1460"/>
      </w:r>
      <w:r>
        <w:rPr>
          <w:rFonts w:ascii="IRNazanin" w:hAnsi="IRNazanin" w:eastAsia="IRNazanin"/>
          <w:color w:val="111111"/>
          <w:sz w:val="28"/>
          <w:sz w:val="28"/>
          <w:szCs w:val="28"/>
          <w:rtl w:val="true"/>
          <w:lang w:bidi="fa-IR"/>
        </w:rPr>
        <w:t>یمکن التّعلّق به،أو الاعتقاد فیه أنّه 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إذا ادّعیتموه علمتم ما فیه،و قیل 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أین قلتم ذلک؟و کیف یحاط علما بمثله و یقطع علیه؟،و هل هذا إلاّ تحجّر فی الشّبه طریف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یجب فی الشّبه ما یجب فی الأدلّة،فإنّ تلک تنحصر و الشّبه لا تنحصر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نجد لقول کلّ واحد من الجماعة علّة تقتضی القول بمذهبه،فیجب أن ینفی اعتمادهم فی هذه المذاهب علی العلل القیاسیّة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إنّکم لم تجدوا علّة یجب عندها الحکم بکلّ ما حکی من المذاهب،و إلاّ فأنتم تجدون ما یمکن أن یجعل علّة و یعتقد عنده </w:t>
      </w:r>
      <w:r>
        <w:rPr>
          <w:rStyle w:val="FootnoteAnchor"/>
          <w:rtl w:val="true"/>
        </w:rPr>
        <w:footnoteReference w:id="14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نقول لکم فیما تقدّم</w:t>
      </w:r>
      <w:r>
        <w:rPr>
          <w:rFonts w:eastAsia="IRNazanin" w:cs="IRNazanin"/>
          <w:color w:val="111111"/>
          <w:sz w:val="28"/>
          <w:szCs w:val="28"/>
          <w:rtl w:val="true"/>
          <w:lang w:bidi="fa-IR"/>
        </w:rPr>
        <w:t>.</w:t>
      </w:r>
    </w:p>
    <w:p>
      <w:pPr>
        <w:sectPr>
          <w:footerReference w:type="default" r:id="rId6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أنّا نقول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أنکرتم أن یکون من ذهب فی الحرام إلی الطّلاق الثلاث،إنّما قال بذلک من حیث جعله ککنایات الطّلاق الّتی هی طلاق علی الحقیقة، و لها أحکام الطّلاق عند کثیر منهم من غیر اختیار الشّبه،و رجع فی ذلک إلی النّص فی الطّلاق،و أدخله فی جملة ما یتناوله الاسم؟و من قال إنّه یمین یرجع أیضا إلی </w:t>
      </w:r>
    </w:p>
    <w:p>
      <w:pPr>
        <w:pStyle w:val="BookText"/>
        <w:rPr/>
      </w:pPr>
      <w:r>
        <w:rPr>
          <w:rFonts w:ascii="IRNazanin" w:hAnsi="IRNazanin" w:eastAsia="IRNazanin"/>
          <w:color w:val="111111"/>
          <w:sz w:val="28"/>
          <w:sz w:val="28"/>
          <w:szCs w:val="28"/>
          <w:rtl w:val="true"/>
          <w:lang w:bidi="fa-IR"/>
        </w:rPr>
        <w:t>نصّ الکتاب الّذی یرجع إلیه القائلون فی زماننا بأنّ الحرام یمین،و هو قوله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أَیُّهَا النَّبِیُّ لِمَ تُحَرِّمُ ما أَحَلَّ اللّهُ لَکَ تَبْتَغِی مَرْضاتَ أَزْواجِکَ    </w:t>
      </w:r>
      <w:r>
        <w:rPr>
          <w:rStyle w:val="FootnoteAnchor"/>
          <w:rtl w:val="true"/>
        </w:rPr>
        <w:footnoteReference w:id="1462"/>
      </w:r>
      <w:r>
        <w:rPr>
          <w:rFonts w:ascii="IRNazanin" w:hAnsi="IRNazanin" w:eastAsia="IRNazanin"/>
          <w:color w:val="111111"/>
          <w:sz w:val="28"/>
          <w:sz w:val="28"/>
          <w:szCs w:val="28"/>
          <w:rtl w:val="true"/>
          <w:lang w:bidi="fa-IR"/>
        </w:rPr>
        <w:t>،ثمّ قوله بعد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فَرَضَ اللّهُ لَکُمْ تَحِلَّةَ أَیْمانِکُمْ   </w:t>
      </w:r>
      <w:r>
        <w:rPr>
          <w:rStyle w:val="FootnoteAnchor"/>
          <w:rtl w:val="true"/>
        </w:rPr>
        <w:footnoteReference w:id="1463"/>
      </w:r>
      <w:r>
        <w:rPr>
          <w:rFonts w:ascii="Amiri" w:hAnsi="Amiri" w:eastAsia="Amiri" w:cs="Amiri"/>
          <w:color w:val="111111"/>
          <w:sz w:val="28"/>
          <w:sz w:val="28"/>
          <w:szCs w:val="28"/>
          <w:rtl w:val="true"/>
          <w:lang w:bidi="ar-SA"/>
        </w:rPr>
        <w:t xml:space="preserve">،و أنّ النّبی علیه السّلام حرّم </w:t>
      </w:r>
      <w:r>
        <w:rPr>
          <w:rStyle w:val="FootnoteAnchor"/>
          <w:rtl w:val="true"/>
        </w:rPr>
        <w:footnoteReference w:id="1464"/>
      </w:r>
      <w:r>
        <w:rPr>
          <w:rFonts w:ascii="IRNazanin" w:hAnsi="IRNazanin" w:eastAsia="IRNazanin"/>
          <w:color w:val="111111"/>
          <w:sz w:val="28"/>
          <w:sz w:val="28"/>
          <w:szCs w:val="28"/>
          <w:rtl w:val="true"/>
          <w:lang w:bidi="fa-IR"/>
        </w:rPr>
        <w:t>علی نفسه ماریة القبطیّة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شرب العسل </w:t>
      </w:r>
      <w:r>
        <w:rPr>
          <w:rStyle w:val="FootnoteAnchor"/>
          <w:rtl w:val="true"/>
        </w:rPr>
        <w:footnoteReference w:id="1465"/>
      </w:r>
      <w:r>
        <w:rPr>
          <w:rFonts w:ascii="Amiri" w:hAnsi="Amiri" w:eastAsia="Amiri" w:cs="Amiri"/>
          <w:color w:val="111111"/>
          <w:sz w:val="28"/>
          <w:sz w:val="28"/>
          <w:szCs w:val="28"/>
          <w:rtl w:val="true"/>
          <w:lang w:bidi="ar-SA"/>
        </w:rPr>
        <w:t>علی اختلاف الرّوایة فی ذلک،فأنزل اللّه تعالی ما تلوناه و سمّاه یمینا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فَرَضَ اللّهُ لَکُمْ تَحِلَّةَ أَیْمانِکُمْ   فدخل فیما یتناوله اللّفظ</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عجیب الأمر أنّهم یجدون کثیرا من الفقهاء فی زماننا یعتمدون ذلک فی هذه المسألة،و یعوّلون علی هذا الظّاهر،و یتعجّبون أن یکون بعض الصّحابة رجع فی شیء من المذاهب الّتی حکوها إلی النّصّ،و یقطعون علی أنّه لا مخرج لها فی النّصوص،و هذا یدلّ علی قلّة التّأمّل</w:t>
      </w:r>
      <w:r>
        <w:rPr>
          <w:rFonts w:eastAsia="IRNazanin" w:cs="IRNazanin"/>
          <w:color w:val="111111"/>
          <w:sz w:val="28"/>
          <w:szCs w:val="28"/>
          <w:rtl w:val="true"/>
          <w:lang w:bidi="fa-IR"/>
        </w:rPr>
        <w:t>.</w:t>
      </w:r>
    </w:p>
    <w:p>
      <w:pPr>
        <w:sectPr>
          <w:footerReference w:type="default" r:id="rId6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یمکن أیضا مثل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فیمن ذهب إلی أنّه ظهار </w:t>
      </w:r>
      <w:r>
        <w:rPr>
          <w:rStyle w:val="FootnoteAnchor"/>
          <w:rtl w:val="true"/>
        </w:rPr>
        <w:footnoteReference w:id="1466"/>
      </w:r>
      <w:r>
        <w:rPr>
          <w:rFonts w:ascii="IRNazanin" w:hAnsi="IRNazanin" w:eastAsia="IRNazanin"/>
          <w:color w:val="111111"/>
          <w:sz w:val="28"/>
          <w:sz w:val="28"/>
          <w:szCs w:val="28"/>
          <w:rtl w:val="true"/>
          <w:lang w:bidi="fa-IR"/>
        </w:rPr>
        <w:t>،و أن یکون أجراه مجری الظّهار فی تناول الاسم له،و إن کان لفظه مخالفا للفظ الظّهار،کما کانت کنایات الطّلاق مخالفة للفظ الطّلاق و أجریت مجراه،و کذلک لفظ الحرام مخالف للیمین و أجری فی تناول الاسم مجراه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من ذهب إلی أنّه تطلیقة واحدة </w:t>
      </w:r>
      <w:r>
        <w:rPr>
          <w:rStyle w:val="FootnoteAnchor"/>
          <w:rtl w:val="true"/>
        </w:rPr>
        <w:footnoteReference w:id="1467"/>
      </w:r>
      <w:r>
        <w:rPr>
          <w:rFonts w:ascii="IRNazanin" w:hAnsi="IRNazanin" w:eastAsia="IRNazanin"/>
          <w:color w:val="111111"/>
          <w:sz w:val="28"/>
          <w:sz w:val="28"/>
          <w:szCs w:val="28"/>
          <w:rtl w:val="true"/>
          <w:lang w:bidi="fa-IR"/>
        </w:rPr>
        <w:t>،کأنّه ذهب إلی الطّلاق و إلی أقلّ ما یقع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الذّاهب إلی الثلاث ذهب إلی الأکثر و الأعمّ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 هذا ممکن أن یتعلّق فیه بالظّواهر و النّصوص،و تکفی الإشارة إلی ما یمکن أن یکون متعلّقا و لیس یلزم أن یکون حجّة قاطعة و دلیلا صحیحا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فأمّا قول مسروق </w:t>
      </w:r>
      <w:r>
        <w:rPr>
          <w:rStyle w:val="FootnoteAnchor"/>
          <w:rtl w:val="true"/>
        </w:rPr>
        <w:footnoteReference w:id="1468"/>
      </w:r>
      <w:r>
        <w:rPr>
          <w:rFonts w:ascii="IRNazanin" w:hAnsi="IRNazanin" w:eastAsia="IRNazanin"/>
          <w:color w:val="111111"/>
          <w:sz w:val="28"/>
          <w:sz w:val="28"/>
          <w:szCs w:val="28"/>
          <w:rtl w:val="true"/>
          <w:lang w:bidi="fa-IR"/>
        </w:rPr>
        <w:t xml:space="preserve">،فواضح أنّه لم یقل </w:t>
      </w:r>
      <w:r>
        <w:rPr>
          <w:rStyle w:val="FootnoteAnchor"/>
          <w:rtl w:val="true"/>
        </w:rPr>
        <w:footnoteReference w:id="1469"/>
      </w:r>
      <w:r>
        <w:rPr>
          <w:rFonts w:ascii="IRNazanin" w:hAnsi="IRNazanin" w:eastAsia="IRNazanin"/>
          <w:color w:val="111111"/>
          <w:sz w:val="28"/>
          <w:sz w:val="28"/>
          <w:szCs w:val="28"/>
          <w:rtl w:val="true"/>
          <w:lang w:bidi="fa-IR"/>
        </w:rPr>
        <w:t>قیاسا،و أنّه لمّا لم یجعل لهذا القول تأثیرا تمسّک بالأصل فی الحکم،أو ببعض الظّواهر الّتی تحظر تحریم المحلّل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کانوا رجعوا فی هذه الأقوال إلی ظواهر النّصوص و </w:t>
      </w:r>
      <w:r>
        <w:rPr>
          <w:rStyle w:val="FootnoteAnchor"/>
          <w:rtl w:val="true"/>
        </w:rPr>
        <w:footnoteReference w:id="1470"/>
      </w:r>
      <w:r>
        <w:rPr>
          <w:rFonts w:ascii="IRNazanin" w:hAnsi="IRNazanin" w:eastAsia="IRNazanin"/>
          <w:color w:val="111111"/>
          <w:sz w:val="28"/>
          <w:sz w:val="28"/>
          <w:szCs w:val="28"/>
          <w:rtl w:val="true"/>
          <w:lang w:bidi="fa-IR"/>
        </w:rPr>
        <w:t>أدلّتها علی ما ذکرتم،لوجب أن یخطّئ بعضهم بعضا،لأنّ الحقّ لا یکون إلاّ فی أحد الأقوال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شیء أبلغ فی التّخطئة من المجاهرة بالخلاف،و الفتوی بخلاف المذهب،و هذا قد کان منهم،و زاد بعضهم علیه حتّی انتهی إلی ذکر المباهلة و التّخویف من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السّباب و اللّعن و الشتم و الرّجوع عن الولایة،فلیس یجب عندنا بکلّ خطأ،و سنبیّن القول فی ذلک إذا تکلّمنا علی الطّریقة الّتی نذکرها عنهم من الاستدلال فیما بعد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قولهم فی الاستدلال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أنّهم جعلوه طلاقا تمثیلا و تشبیها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بیّنا أنّه غیر ممتنع أن یکونوا ألحقوه بما یتناوله الاسم بناء علی أنّهم لا یقدرون أن یحکوا عنهم أنّهم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قلنا بکذا تشبیها بکذا،و إنّما روی أنّهم جعلوا الحرام طلاقا و حکموا فیه بحکم الطّلاق،فأمّا من أیّ وجه فعلوا ذلک؟و هل ألحقوه به تمثیلا و تشبیها؟أو فی تناول الاسم له فلیس بمنقول</w:t>
      </w:r>
      <w:r>
        <w:rPr>
          <w:rFonts w:eastAsia="IRNazanin" w:cs="IRNazanin"/>
          <w:color w:val="111111"/>
          <w:sz w:val="28"/>
          <w:szCs w:val="28"/>
          <w:rtl w:val="true"/>
          <w:lang w:bidi="fa-IR"/>
        </w:rPr>
        <w:t>.</w:t>
      </w:r>
    </w:p>
    <w:p>
      <w:pPr>
        <w:sectPr>
          <w:footerReference w:type="default" r:id="rId6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أنّه لا یمتنع أن یشبّه الشّیء بالشّیء و یذکر له نظیر لا علی سبیل المقایسة </w:t>
      </w:r>
    </w:p>
    <w:p>
      <w:pPr>
        <w:pStyle w:val="BookText"/>
        <w:rPr/>
      </w:pPr>
      <w:r>
        <w:rPr>
          <w:rFonts w:ascii="IRNazanin" w:hAnsi="IRNazanin" w:eastAsia="IRNazanin"/>
          <w:color w:val="111111"/>
          <w:sz w:val="28"/>
          <w:sz w:val="28"/>
          <w:szCs w:val="28"/>
          <w:rtl w:val="true"/>
          <w:lang w:bidi="fa-IR"/>
        </w:rPr>
        <w:t xml:space="preserve">بل علی سبیل التّقریب </w:t>
      </w:r>
      <w:r>
        <w:rPr>
          <w:rStyle w:val="FootnoteAnchor"/>
          <w:rtl w:val="true"/>
        </w:rPr>
        <w:footnoteReference w:id="1471"/>
      </w:r>
      <w:r>
        <w:rPr>
          <w:rFonts w:ascii="IRNazanin" w:hAnsi="IRNazanin" w:eastAsia="IRNazanin"/>
          <w:color w:val="111111"/>
          <w:sz w:val="28"/>
          <w:sz w:val="28"/>
          <w:szCs w:val="28"/>
          <w:rtl w:val="true"/>
          <w:lang w:bidi="fa-IR"/>
        </w:rPr>
        <w:t>و الإفهام،فیقول من ینفی القیاس 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المصافحة و المعانقة یجریان مجری المجامعة فی نقض الطّهر،و إن لم یکن حاملا لهما علیها بالقیاس،بل یذهب إلی تناول ظاهر اللّفظ للکلّ،فلو نقل عنهم التّصریح بالتّمثیل و التّشبیه لم یکن فیه دلالة علی أنّ </w:t>
      </w:r>
      <w:r>
        <w:rPr>
          <w:rStyle w:val="FootnoteAnchor"/>
          <w:rtl w:val="true"/>
        </w:rPr>
        <w:footnoteReference w:id="1472"/>
      </w:r>
      <w:r>
        <w:rPr>
          <w:rFonts w:ascii="IRNazanin" w:hAnsi="IRNazanin" w:eastAsia="IRNazanin"/>
          <w:color w:val="111111"/>
          <w:sz w:val="28"/>
          <w:sz w:val="28"/>
          <w:szCs w:val="28"/>
          <w:rtl w:val="true"/>
          <w:lang w:bidi="fa-IR"/>
        </w:rPr>
        <w:t>القیاس لیس هو أن یقول القائل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 فی هذا الشّیء التّحریم کما کان فی غیره ممّا تناول النّص تحریمه،بل القیاس هو أن یثبت للمسکوت عن حکمه مثل حکم المنطوق بحکمه لعلّة جمعت بینهما،و تکون العلّة معلومة متمیّزة مستدلاّ علی کونها علّة من دون سائر صفات الأصل بالدّلیل،و هذا ممّا لا یروی عن أحد من الصّحابة أنّه استعمله علی وجه من الوجوه،فکیف یدّعی مع ذلک التّصریح منهم بالقیاس؟ فأمّا ادّعاؤهم أنّهم صرّحوا بالقیاس و تعلّقوا فی ذلک بما روی عن ابن عبّاس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لا یتّقی اللّه زید یجعل ابن الابن ابنا و لا یجعل أب الأب أبا</w:t>
      </w:r>
      <w:r>
        <w:rPr>
          <w:rFonts w:eastAsia="IRNazanin" w:cs="IRNazanin"/>
          <w:color w:val="111111"/>
          <w:sz w:val="28"/>
          <w:szCs w:val="28"/>
          <w:rtl w:val="true"/>
          <w:lang w:bidi="fa-IR"/>
        </w:rPr>
        <w:t xml:space="preserve">» </w:t>
      </w:r>
      <w:r>
        <w:rPr>
          <w:rStyle w:val="FootnoteAnchor"/>
          <w:rtl w:val="true"/>
        </w:rPr>
        <w:footnoteReference w:id="1473"/>
      </w:r>
      <w:r>
        <w:rPr>
          <w:rFonts w:ascii="IRNazanin" w:hAnsi="IRNazanin" w:eastAsia="IRNazanin"/>
          <w:color w:val="111111"/>
          <w:sz w:val="28"/>
          <w:sz w:val="28"/>
          <w:szCs w:val="28"/>
          <w:rtl w:val="true"/>
          <w:lang w:bidi="fa-IR"/>
        </w:rPr>
        <w:t>،و ما روی من التّشبیه بغصنی شجرة و بجدولی نهر،فلا تعلّق بمثله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أوّل ما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یجب أن یعتمد فی إیجاب العلم بالقیاس علی وجه واحد غیر مقطوع به،لأنّ هذه المسألة من المسائل المعلومة الّتی لا یعتمد فیها إلاّ الأدلّة الموجبة للعلم،و ما رووه عن ابن عبّاس و غیره من أخبار الآحاد الّتی لا یقطع بها،فکیف یستدلّ بها لو کان فیها دلالة و هی غیر معلومة؟ و لیس لأحد أن یدّعی الإجماع علی صحّة الأخبار من حیث تلقّوا هذه الأخبار بالقبول،أو یدّعوا تواترها و انتشارها</w:t>
      </w:r>
      <w:r>
        <w:rPr>
          <w:rFonts w:eastAsia="IRNazanin" w:cs="IRNazanin"/>
          <w:color w:val="111111"/>
          <w:sz w:val="28"/>
          <w:szCs w:val="28"/>
          <w:rtl w:val="true"/>
          <w:lang w:bidi="fa-IR"/>
        </w:rPr>
        <w:t>.</w:t>
      </w:r>
    </w:p>
    <w:p>
      <w:pPr>
        <w:sectPr>
          <w:footerReference w:type="default" r:id="rId6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ذلک أنّها و إن ظهرت بین الفقهاء،و ذکرت فی کتب الفرائض،فلا شبهة فی أنّها أخبار آحاد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لا فرق بین من یدّعی تواترها،و بین من یدّعی تواتر جمیع أخبار الآحاد الّتی ظهرت بین الفقهاء،و کثر احتجاجهم بها فی کتبهم و مناظراتهم و إن کانت أصولها آحادا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الإجماع و التّلقّی بالقبول،فانّه غیر مسلّم لأنّه لم یکن منهم فی هذه الأخبار إلاّ ما کان منهم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الوضوء من</w:t>
      </w:r>
      <w:r>
        <w:rPr>
          <w:rFonts w:eastAsia="IRNazanin" w:cs="IRNazanin"/>
          <w:color w:val="111111"/>
          <w:sz w:val="28"/>
          <w:szCs w:val="28"/>
          <w:rtl w:val="true"/>
          <w:lang w:bidi="fa-IR"/>
        </w:rPr>
        <w:t xml:space="preserve">] </w:t>
      </w:r>
      <w:r>
        <w:rPr>
          <w:rStyle w:val="FootnoteAnchor"/>
          <w:rtl w:val="true"/>
        </w:rPr>
        <w:footnoteReference w:id="1474"/>
      </w:r>
      <w:r>
        <w:rPr>
          <w:rFonts w:ascii="Amiri" w:hAnsi="Amiri" w:eastAsia="Amiri" w:cs="Amiri"/>
          <w:color w:val="111111"/>
          <w:sz w:val="28"/>
          <w:sz w:val="28"/>
          <w:szCs w:val="28"/>
          <w:rtl w:val="true"/>
          <w:lang w:bidi="ar-SA"/>
        </w:rPr>
        <w:t xml:space="preserve">مسّ الذّکر </w:t>
      </w:r>
      <w:r>
        <w:rPr>
          <w:rStyle w:val="FootnoteAnchor"/>
          <w:rtl w:val="true"/>
        </w:rPr>
        <w:footnoteReference w:id="1475"/>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الأعمال بالنّیات</w:t>
      </w:r>
      <w:r>
        <w:rPr>
          <w:rFonts w:eastAsia="IRNazanin" w:cs="IRNazanin"/>
          <w:color w:val="111111"/>
          <w:sz w:val="28"/>
          <w:szCs w:val="28"/>
          <w:rtl w:val="true"/>
          <w:lang w:bidi="fa-IR"/>
        </w:rPr>
        <w:t xml:space="preserve">» </w:t>
      </w:r>
      <w:r>
        <w:rPr>
          <w:rStyle w:val="FootnoteAnchor"/>
          <w:rtl w:val="true"/>
        </w:rPr>
        <w:footnoteReference w:id="1476"/>
      </w:r>
      <w:r>
        <w:rPr>
          <w:rFonts w:ascii="IRNazanin" w:hAnsi="IRNazanin" w:eastAsia="IRNazanin"/>
          <w:color w:val="111111"/>
          <w:sz w:val="28"/>
          <w:sz w:val="28"/>
          <w:szCs w:val="28"/>
          <w:rtl w:val="true"/>
          <w:lang w:bidi="fa-IR"/>
        </w:rPr>
        <w:t>و ما شاکل ذلک من أخبار الآحاد،و قد علمنا أنّ هذه الأخبار الّتی ذکرناها و ما جری مجراها لیس ممّا یوجب الحجّة،و لا تثبت بمثله الأصول الّتی طریقها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 الذّکر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الأعمال بالنّیّات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قبلوه من حیث قطعوا علی صحّته،و إنّما عملوا به کما یعملون علی أخبار الآحاد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 خبر غصنی الشّجرة و ما یجری مجراه،فلیس یمکن بین الأمرین فرق</w:t>
      </w:r>
      <w:r>
        <w:rPr>
          <w:rFonts w:eastAsia="IRNazanin" w:cs="IRNazanin"/>
          <w:color w:val="111111"/>
          <w:sz w:val="28"/>
          <w:szCs w:val="28"/>
          <w:rtl w:val="true"/>
          <w:lang w:bidi="fa-IR"/>
        </w:rPr>
        <w:t>.</w:t>
      </w:r>
    </w:p>
    <w:p>
      <w:pPr>
        <w:sectPr>
          <w:footerReference w:type="default" r:id="rId6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سلّمنا قیام الحجّة بما رووه،و إن لم یکن کذلک،لم یکن فیه دلیل علی قولهم،لأنّ أکثر ما فی الرّوایة عن ابن عبّاس أنّه أنکر علی زید أنّه لم یحکم للجدّ بحکم الأب الأدنی کما حکم فی ابن الابن،و لیس فی الرّوایة أنّه أنکر ذلک علیه و جمع بین الأمرین بعلّة قیاسیّة أوجبت الجمع بینهما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ظاهر نکیره یحتمل أن یکون،لأنّ ظاهرا من القول أوجب عنده إجراء الأب مجری الجدّ کما أنّ ظاهرا آخر أوجب إجراء ابن الابن مجری الابن للصّلب،أ لا تری أنّه یحسن من نافی القیاس، العامل فی مذهبه کلّه علی النصوص أن یقول لمن خالفه فی حکم الملامسة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تتقی اللّه توجب انتقاض الطّهر بالتقاء الختانین،و لا توجب انتقاضه بالقبلة؟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w:t>
      </w:r>
    </w:p>
    <w:p>
      <w:pPr>
        <w:pStyle w:val="BookText"/>
        <w:rPr/>
      </w:pPr>
      <w:r>
        <w:rPr>
          <w:rFonts w:ascii="Amiri" w:hAnsi="Amiri" w:eastAsia="Amiri" w:cs="Amiri"/>
          <w:color w:val="111111"/>
          <w:sz w:val="28"/>
          <w:sz w:val="28"/>
          <w:szCs w:val="28"/>
          <w:rtl w:val="true"/>
          <w:lang w:bidi="ar-SA"/>
        </w:rPr>
        <w:t>یذهب إلی أنّ الّذی یقتضی الجمع بینهما ظاهر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لامَسْتُمُ النِّساءَ   </w:t>
      </w:r>
      <w:r>
        <w:rPr>
          <w:rStyle w:val="FootnoteAnchor"/>
          <w:rtl w:val="true"/>
        </w:rPr>
        <w:footnoteReference w:id="1477"/>
      </w:r>
      <w:r>
        <w:rPr>
          <w:rFonts w:ascii="Amiri" w:hAnsi="Amiri" w:eastAsia="Amiri" w:cs="Amiri"/>
          <w:color w:val="111111"/>
          <w:sz w:val="28"/>
          <w:sz w:val="28"/>
          <w:szCs w:val="28"/>
          <w:rtl w:val="true"/>
          <w:lang w:bidi="ar-SA"/>
        </w:rPr>
        <w:t xml:space="preserve">فلا یمنع أن یکون ابن عبّاس إنّما دعا زیدا إلی القول بالظّاهر،و قال له إذا أجریت ابن الابن مجری ابن الصّلب لوقوع اسم الولد علیه و تناول قوله یُوصِیکُمُ اللّهُ فِی أَوْلادِکُمْ  </w:t>
      </w:r>
      <w:r>
        <w:rPr>
          <w:rStyle w:val="FootnoteAnchor"/>
          <w:rtl w:val="true"/>
        </w:rPr>
        <w:footnoteReference w:id="1478"/>
      </w:r>
      <w:r>
        <w:rPr>
          <w:rFonts w:ascii="IRNazanin" w:hAnsi="IRNazanin" w:eastAsia="IRNazanin"/>
          <w:color w:val="111111"/>
          <w:sz w:val="28"/>
          <w:sz w:val="28"/>
          <w:szCs w:val="28"/>
          <w:rtl w:val="true"/>
          <w:lang w:bidi="fa-IR"/>
        </w:rPr>
        <w:t xml:space="preserve">لهما،فأجر أیضا الجدّ مجری الأب لوقوع اسم الأب علیهما،و قد روی عن ابن عبّاس فی ذلک التّعلّق بالقرآن تصریحا </w:t>
      </w:r>
      <w:r>
        <w:rPr>
          <w:rStyle w:val="FootnoteAnchor"/>
          <w:rtl w:val="true"/>
        </w:rPr>
        <w:footnoteReference w:id="1479"/>
      </w:r>
      <w:r>
        <w:rPr>
          <w:rFonts w:ascii="IRNazanin" w:hAnsi="IRNazanin" w:eastAsia="IRNazanin"/>
          <w:color w:val="111111"/>
          <w:sz w:val="28"/>
          <w:sz w:val="28"/>
          <w:szCs w:val="28"/>
          <w:rtl w:val="true"/>
          <w:lang w:bidi="fa-IR"/>
        </w:rPr>
        <w:t>،علی أنّ ظاهر قول ابن عبّاس یشهد لمذاهبنا،لأنّه نسب زیدا إلی مفارقة التّقوی و خوّفه باللّه تعالی،فلو لا أنّ زیدا عنده کان فی حکم العادل عن النصّ لم یصحّ منه إطلاق ذلک القول،لأنّ من یعدل عن موجب القیاس علی اختلاف مذاهب مثبتیه لا ینسب إلی مفارقة التّقوی،لأنّ أکثرهم یقول إنّه مصیب،و من خطّأه یقول إنّه معذور،و لا یبلغ به إلی هذه 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فامّا ذکرهم غصنی الشّجرة و جدولی النّهر،فلا یوجب القول بالقیاس،و إنّما سلکوا ذلک تقریبا للقول من الفهم،و تنبیها علیه من غیر أن یجعلوا ذلک علّة موجبة للحکم،کما یفعل المعلّم مع المتعلّم من ضرب الأمثال،و تقریب البعید،و إزالة اللّبس عن المشتبه</w:t>
      </w:r>
      <w:r>
        <w:rPr>
          <w:rFonts w:eastAsia="IRNazanin" w:cs="IRNazanin"/>
          <w:color w:val="111111"/>
          <w:sz w:val="28"/>
          <w:szCs w:val="28"/>
          <w:rtl w:val="true"/>
          <w:lang w:bidi="fa-IR"/>
        </w:rPr>
        <w:t>.</w:t>
      </w:r>
    </w:p>
    <w:p>
      <w:pPr>
        <w:sectPr>
          <w:footerReference w:type="default" r:id="rId6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کیف یصحّ أن یدّعی فی ذلک أنّه علی طریق المقایسة،و قد علمنا أنّ القدر الّذی اعتمدوه من ذکر الغصن و الجدول لا یصحّ أن یکون عند أحد أصول </w:t>
      </w:r>
      <w:r>
        <w:rPr>
          <w:rStyle w:val="FootnoteAnchor"/>
          <w:rtl w:val="true"/>
        </w:rPr>
        <w:footnoteReference w:id="1480"/>
      </w:r>
      <w:r>
        <w:rPr>
          <w:rFonts w:ascii="IRNazanin" w:hAnsi="IRNazanin" w:eastAsia="IRNazanin"/>
          <w:color w:val="111111"/>
          <w:sz w:val="28"/>
          <w:sz w:val="28"/>
          <w:szCs w:val="28"/>
          <w:rtl w:val="true"/>
          <w:lang w:bidi="fa-IR"/>
        </w:rPr>
        <w:t xml:space="preserve">فی الشّریعة یقاس علیها و تثبت الأحکام لها؟ علی أنّ الوجه فی ذکرهم لما حکی ظاهر،و ذلک أنّهم توصّلوا بما ذکر عنهم إلی معرفة أقرب الرّجلین من المتوفّی و ألصقهما به نسبا،ثمّ رجعوا فی توریثه إلی الدّلیل الموجب للأقرب المیراث،و هذا کما یتنازع رجلان فی میراث میت و یدّعی کلّ واحد منهما أنّه أقرب،إلیه من الآخر،فیصحّ لمن أراد اعتبار أمرهما أن یعدّ الآباء </w:t>
      </w:r>
    </w:p>
    <w:p>
      <w:pPr>
        <w:pStyle w:val="BookText"/>
        <w:rPr/>
      </w:pPr>
      <w:r>
        <w:rPr>
          <w:rFonts w:ascii="IRNazanin" w:hAnsi="IRNazanin" w:eastAsia="IRNazanin"/>
          <w:color w:val="111111"/>
          <w:sz w:val="28"/>
          <w:sz w:val="28"/>
          <w:szCs w:val="28"/>
          <w:rtl w:val="true"/>
          <w:lang w:bidi="fa-IR"/>
        </w:rPr>
        <w:t>بین المیّت و بین کلّ واحد منهما و یحصیهم،لیعلم أنّ الأقرب هو من قلّ عدد الآباء بینه و بین المیّت،دون من کثر عددهم بینه و بینه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 أیضا أن یوضّح ذلک لمن التبس علیه بذکر الأمثال و النّظائر،و إن کان کلّ ذلک ممّا لا یثبت به التّوریث،و إنّما یعرف به الأقرب،و المیراث یثبت بالنّصوص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فامّا الوجه الثّانی من الکلام علی استدلالهم هذا أن نقول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زعمتم أنّ النّکیر مرتفع،و قد روی عن کلّ واحد من الصّحابة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أضفتم إلیهم القول بالقیاس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ذمّه،و توبیخ فاعله،و الإزراء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فروی عن أمیر المؤمنین علیه السّلام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کان الدّین یؤخذ بالقیاس </w:t>
      </w:r>
      <w:r>
        <w:rPr>
          <w:rStyle w:val="FootnoteAnchor"/>
          <w:rtl w:val="true"/>
        </w:rPr>
        <w:footnoteReference w:id="1481"/>
      </w:r>
      <w:r>
        <w:rPr>
          <w:rFonts w:ascii="IRNazanin" w:hAnsi="IRNazanin" w:eastAsia="IRNazanin"/>
          <w:color w:val="111111"/>
          <w:sz w:val="28"/>
          <w:sz w:val="28"/>
          <w:szCs w:val="28"/>
          <w:rtl w:val="true"/>
          <w:lang w:bidi="fa-IR"/>
        </w:rPr>
        <w:t>لکان باطن الخفّ أولی بالمسح من ظاهره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هذا تصریح منه علیه السّلام بأنّه لا قیاس فی ذلک </w:t>
      </w:r>
      <w:r>
        <w:rPr>
          <w:rStyle w:val="FootnoteAnchor"/>
          <w:rtl w:val="true"/>
        </w:rPr>
        <w:footnoteReference w:id="14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عنه علیه السّلام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أراد أن یتقحّم جراثیم جهنّم فلیقل فی الجدّ برأیه</w:t>
      </w:r>
      <w:r>
        <w:rPr>
          <w:rFonts w:eastAsia="IRNazanin" w:cs="IRNazanin"/>
          <w:color w:val="111111"/>
          <w:sz w:val="28"/>
          <w:szCs w:val="28"/>
          <w:rtl w:val="true"/>
          <w:lang w:bidi="fa-IR"/>
        </w:rPr>
        <w:t xml:space="preserve">» </w:t>
      </w:r>
      <w:r>
        <w:rPr>
          <w:rStyle w:val="FootnoteAnchor"/>
          <w:rtl w:val="true"/>
        </w:rPr>
        <w:footnoteReference w:id="1483"/>
      </w:r>
      <w:r>
        <w:rPr>
          <w:rFonts w:ascii="IRNazanin" w:hAnsi="IRNazanin" w:eastAsia="IRNazanin"/>
          <w:color w:val="111111"/>
          <w:sz w:val="28"/>
          <w:sz w:val="28"/>
          <w:szCs w:val="28"/>
          <w:rtl w:val="true"/>
          <w:lang w:bidi="fa-IR"/>
        </w:rPr>
        <w:t xml:space="preserve">و هذا اللّفظ یروی عن عمر </w:t>
      </w:r>
      <w:r>
        <w:rPr>
          <w:rStyle w:val="FootnoteAnchor"/>
          <w:rtl w:val="true"/>
        </w:rPr>
        <w:footnoteReference w:id="1484"/>
      </w:r>
      <w:r>
        <w:rPr>
          <w:rStyle w:val="FootnoteAnchor"/>
          <w:rtl w:val="true"/>
        </w:rPr>
        <w:footnoteReference w:id="14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ما روی عنه علیه السّلام فی ذمّ القیاس و الذمّ لفاعله أکثر من أن یحصی </w:t>
      </w:r>
      <w:r>
        <w:rPr>
          <w:rStyle w:val="FootnoteAnchor"/>
          <w:rtl w:val="true"/>
        </w:rPr>
        <w:footnoteReference w:id="1486"/>
      </w:r>
      <w:r>
        <w:rPr>
          <w:rFonts w:eastAsia="Times New Roman" w:cs="Times New Roman" w:ascii="Times New Roman" w:hAnsi="Times New Roman"/>
          <w:color w:val="111111"/>
          <w:sz w:val="28"/>
          <w:szCs w:val="28"/>
          <w:rtl w:val="true"/>
          <w:lang w:val="en-US" w:bidi="en-US"/>
        </w:rPr>
        <w:t>.</w:t>
      </w:r>
    </w:p>
    <w:p>
      <w:pPr>
        <w:sectPr>
          <w:footerReference w:type="default" r:id="rId6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عن أبی بکر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سماء تظلّنی و أیّ أرض تقلّنی إذا قلت فی </w:t>
      </w:r>
    </w:p>
    <w:p>
      <w:pPr>
        <w:pStyle w:val="BookText"/>
        <w:rPr/>
      </w:pPr>
      <w:r>
        <w:rPr>
          <w:rFonts w:ascii="IRNazanin" w:hAnsi="IRNazanin" w:eastAsia="IRNazanin"/>
          <w:color w:val="111111"/>
          <w:sz w:val="28"/>
          <w:sz w:val="28"/>
          <w:szCs w:val="28"/>
          <w:rtl w:val="true"/>
          <w:lang w:bidi="fa-IR"/>
        </w:rPr>
        <w:t>کتاب اللّه برأیی</w:t>
      </w:r>
      <w:r>
        <w:rPr>
          <w:rFonts w:eastAsia="IRNazanin" w:cs="IRNazanin"/>
          <w:color w:val="111111"/>
          <w:sz w:val="28"/>
          <w:szCs w:val="28"/>
          <w:rtl w:val="true"/>
          <w:lang w:bidi="fa-IR"/>
        </w:rPr>
        <w:t xml:space="preserve">» </w:t>
      </w:r>
      <w:r>
        <w:rPr>
          <w:rStyle w:val="FootnoteAnchor"/>
          <w:rtl w:val="true"/>
        </w:rPr>
        <w:footnoteReference w:id="14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عمر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إیّاکم و أصحاب الرّأی فانّهم أعداء السّنن أعیتهم الأحادیث أن یحفظوها فقالوا بالرّأی فضلّوا و أضلّوا</w:t>
      </w:r>
      <w:r>
        <w:rPr>
          <w:rFonts w:eastAsia="IRNazanin" w:cs="IRNazanin"/>
          <w:color w:val="111111"/>
          <w:sz w:val="28"/>
          <w:szCs w:val="28"/>
          <w:rtl w:val="true"/>
          <w:lang w:bidi="fa-IR"/>
        </w:rPr>
        <w:t xml:space="preserve">» </w:t>
      </w:r>
      <w:r>
        <w:rPr>
          <w:rStyle w:val="FootnoteAnchor"/>
          <w:rtl w:val="true"/>
        </w:rPr>
        <w:footnoteReference w:id="14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عنه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إیّاکم و المکایلة،قیل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هی؟قال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المقایسة</w:t>
      </w:r>
      <w:r>
        <w:rPr>
          <w:rFonts w:eastAsia="IRNazanin" w:cs="IRNazanin"/>
          <w:color w:val="111111"/>
          <w:sz w:val="28"/>
          <w:szCs w:val="28"/>
          <w:rtl w:val="true"/>
          <w:lang w:bidi="fa-IR"/>
        </w:rPr>
        <w:t xml:space="preserve">» </w:t>
      </w:r>
      <w:r>
        <w:rPr>
          <w:rStyle w:val="FootnoteAnchor"/>
          <w:rtl w:val="true"/>
        </w:rPr>
        <w:footnoteReference w:id="14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عن شریح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إلیّ عمر بن الخطّاب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یومئذ من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اقض بما فی کتاب اللّه،فإن جاءک ما لیس فی کتاب اللّه فاقض بما فی سنّة رسول اللّه صلّی اللّه علیه و آله و سلّم فإن جاءک ما لیس فی سنّة رسول اللّه فاقض بما أجمع علیه أهل العلم،فإن لم تجد فلا علیک أن لا تقضی</w:t>
      </w:r>
      <w:r>
        <w:rPr>
          <w:rFonts w:eastAsia="IRNazanin" w:cs="IRNazanin"/>
          <w:color w:val="111111"/>
          <w:sz w:val="28"/>
          <w:szCs w:val="28"/>
          <w:rtl w:val="true"/>
          <w:lang w:bidi="fa-IR"/>
        </w:rPr>
        <w:t xml:space="preserve">» </w:t>
      </w:r>
      <w:r>
        <w:rPr>
          <w:rStyle w:val="FootnoteAnchor"/>
          <w:rtl w:val="true"/>
        </w:rPr>
        <w:footnoteReference w:id="14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عن عمر أیضا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أجرؤکم علی الجدّ أجرؤکم علی النّار</w:t>
      </w:r>
      <w:r>
        <w:rPr>
          <w:rFonts w:eastAsia="IRNazanin" w:cs="IRNazanin"/>
          <w:color w:val="111111"/>
          <w:sz w:val="28"/>
          <w:szCs w:val="28"/>
          <w:rtl w:val="true"/>
          <w:lang w:bidi="fa-IR"/>
        </w:rPr>
        <w:t xml:space="preserve">» </w:t>
      </w:r>
      <w:r>
        <w:rPr>
          <w:rStyle w:val="FootnoteAnchor"/>
          <w:rtl w:val="true"/>
        </w:rPr>
        <w:footnoteReference w:id="14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عبد اللّه بن مسعود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یذهب قرّاؤکم و صلحاؤکم و یتّخذ النّاس رؤساء جهّالا یقیسون الأمور برأیهم</w:t>
      </w:r>
      <w:r>
        <w:rPr>
          <w:rFonts w:eastAsia="IRNazanin" w:cs="IRNazanin"/>
          <w:color w:val="111111"/>
          <w:sz w:val="28"/>
          <w:szCs w:val="28"/>
          <w:rtl w:val="true"/>
          <w:lang w:bidi="fa-IR"/>
        </w:rPr>
        <w:t xml:space="preserve">» </w:t>
      </w:r>
      <w:r>
        <w:rPr>
          <w:rStyle w:val="FootnoteAnchor"/>
          <w:rtl w:val="true"/>
        </w:rPr>
        <w:footnoteReference w:id="14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عنه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قلتم فی دینکم بالقیاس أحللتم کثیرا ممّا حرّم اللّه و حرّمتم کثیرا ممّا حلّل اللّه</w:t>
      </w:r>
      <w:r>
        <w:rPr>
          <w:rFonts w:eastAsia="IRNazanin" w:cs="IRNazanin"/>
          <w:color w:val="111111"/>
          <w:sz w:val="28"/>
          <w:szCs w:val="28"/>
          <w:rtl w:val="true"/>
          <w:lang w:bidi="fa-IR"/>
        </w:rPr>
        <w:t xml:space="preserve">» </w:t>
      </w:r>
      <w:r>
        <w:rPr>
          <w:rStyle w:val="FootnoteAnchor"/>
          <w:rtl w:val="true"/>
        </w:rPr>
        <w:footnoteReference w:id="14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عن عبد اللّه بن عباس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تعالی قال لنبیّه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احکم بینهم بما أراک اللّه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لم یقل بما رأیت </w:t>
      </w:r>
      <w:r>
        <w:rPr>
          <w:rStyle w:val="FootnoteAnchor"/>
          <w:rtl w:val="true"/>
        </w:rPr>
        <w:footnoteReference w:id="14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روی عنه أیضا أنّه </w:t>
      </w:r>
      <w:r>
        <w:rPr>
          <w:rStyle w:val="FootnoteAnchor"/>
          <w:rtl w:val="true"/>
        </w:rPr>
        <w:footnoteReference w:id="149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جعل لأحد أن یحکم برأیه لجعل ذلک لرسول اللّه صلّی اللّه علیه و آله و سلّم یقول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احْکُمْ بَیْنَهُمْ بِما أَنْزَلَ اللّهُ  </w:t>
      </w:r>
      <w:r>
        <w:rPr>
          <w:rFonts w:eastAsia="Amiri" w:cs="Amiri" w:ascii="Amiri" w:hAnsi="Amiri"/>
          <w:color w:val="111111"/>
          <w:sz w:val="28"/>
          <w:szCs w:val="28"/>
          <w:rtl w:val="true"/>
          <w:lang w:bidi="ar-SA"/>
        </w:rPr>
        <w:t xml:space="preserve">» </w:t>
      </w:r>
      <w:r>
        <w:rPr>
          <w:rStyle w:val="FootnoteAnchor"/>
          <w:rtl w:val="true"/>
        </w:rPr>
        <w:footnoteReference w:id="1496"/>
      </w:r>
      <w:r>
        <w:rPr>
          <w:rFonts w:eastAsia="Times New Roman" w:cs="Times New Roman" w:ascii="Times New Roman" w:hAnsi="Times New Roman"/>
          <w:color w:val="111111"/>
          <w:sz w:val="28"/>
          <w:szCs w:val="28"/>
          <w:rtl w:val="true"/>
          <w:lang w:val="en-US" w:bidi="en-US"/>
        </w:rPr>
        <w:t>.</w:t>
      </w:r>
    </w:p>
    <w:p>
      <w:pPr>
        <w:sectPr>
          <w:footerReference w:type="default" r:id="rId6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عنه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إیّاکم و المقاییس فإنّما عبدت الشّمس و القمر </w:t>
      </w:r>
    </w:p>
    <w:p>
      <w:pPr>
        <w:pStyle w:val="BookText"/>
        <w:rPr/>
      </w:pPr>
      <w:r>
        <w:rPr>
          <w:rFonts w:ascii="IRNazanin" w:hAnsi="IRNazanin" w:eastAsia="IRNazanin"/>
          <w:color w:val="111111"/>
          <w:sz w:val="28"/>
          <w:sz w:val="28"/>
          <w:szCs w:val="28"/>
          <w:rtl w:val="true"/>
          <w:lang w:bidi="fa-IR"/>
        </w:rPr>
        <w:t xml:space="preserve">بالمقاییس </w:t>
      </w:r>
      <w:r>
        <w:rPr>
          <w:rStyle w:val="FootnoteAnchor"/>
          <w:rtl w:val="true"/>
        </w:rPr>
        <w:footnoteReference w:id="14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روی عن عبد اللّه بن عمر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السّنّة ما سنّه رسول اللّه صلّی اللّه علیه و آله و سلّم و لا تجعلوا الرّأی سنة للمسلمین</w:t>
      </w:r>
      <w:r>
        <w:rPr>
          <w:rFonts w:eastAsia="Amiri" w:cs="Amiri" w:ascii="Amiri" w:hAnsi="Amiri"/>
          <w:color w:val="111111"/>
          <w:sz w:val="28"/>
          <w:szCs w:val="28"/>
          <w:rtl w:val="true"/>
          <w:lang w:bidi="ar-SA"/>
        </w:rPr>
        <w:t xml:space="preserve">» </w:t>
      </w:r>
      <w:r>
        <w:rPr>
          <w:rStyle w:val="FootnoteAnchor"/>
          <w:rtl w:val="true"/>
        </w:rPr>
        <w:footnoteReference w:id="14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مسروق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أقیس شیئا بشیء أخاف أن تزلّ قدمی بعد ثبوتها</w:t>
      </w:r>
      <w:r>
        <w:rPr>
          <w:rFonts w:eastAsia="IRNazanin" w:cs="IRNazanin"/>
          <w:color w:val="111111"/>
          <w:sz w:val="28"/>
          <w:szCs w:val="28"/>
          <w:rtl w:val="true"/>
          <w:lang w:bidi="fa-IR"/>
        </w:rPr>
        <w:t xml:space="preserve">» </w:t>
      </w:r>
      <w:r>
        <w:rPr>
          <w:rStyle w:val="FootnoteAnchor"/>
          <w:rtl w:val="true"/>
        </w:rPr>
        <w:footnoteReference w:id="14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کان ابن سیرین یذمّ القیاس 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 من قاس إبلیس</w:t>
      </w:r>
      <w:r>
        <w:rPr>
          <w:rFonts w:eastAsia="IRNazanin" w:cs="IRNazanin"/>
          <w:color w:val="111111"/>
          <w:sz w:val="28"/>
          <w:szCs w:val="28"/>
          <w:rtl w:val="true"/>
          <w:lang w:bidi="fa-IR"/>
        </w:rPr>
        <w:t xml:space="preserve">» </w:t>
      </w:r>
      <w:r>
        <w:rPr>
          <w:rStyle w:val="FootnoteAnchor"/>
          <w:rtl w:val="true"/>
        </w:rPr>
        <w:footnoteReference w:id="15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روی عنه أنّه کان لا یکاد یقول شیئا برأیه </w:t>
      </w:r>
      <w:r>
        <w:rPr>
          <w:rStyle w:val="FootnoteAnchor"/>
          <w:rtl w:val="true"/>
        </w:rPr>
        <w:footnoteReference w:id="15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الشّعبی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لعلّک من القائسین</w:t>
      </w:r>
      <w:r>
        <w:rPr>
          <w:rFonts w:eastAsia="IRNazanin" w:cs="IRNazanin"/>
          <w:color w:val="111111"/>
          <w:sz w:val="28"/>
          <w:szCs w:val="28"/>
          <w:rtl w:val="true"/>
          <w:lang w:bidi="fa-IR"/>
        </w:rPr>
        <w:t xml:space="preserve">» </w:t>
      </w:r>
      <w:r>
        <w:rPr>
          <w:rStyle w:val="FootnoteAnchor"/>
          <w:rtl w:val="true"/>
        </w:rPr>
        <w:footnoteReference w:id="15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أخذتم بالقیاس أحللتم الحرام و حرّمتم الحلال </w:t>
      </w:r>
      <w:r>
        <w:rPr>
          <w:rStyle w:val="FootnoteAnchor"/>
          <w:rtl w:val="true"/>
        </w:rPr>
        <w:footnoteReference w:id="15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کان أبو سلمة بن عبد الرّحمن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یفتی برأیه</w:t>
      </w:r>
      <w:r>
        <w:rPr>
          <w:rFonts w:eastAsia="IRNazanin" w:cs="IRNazanin"/>
          <w:color w:val="111111"/>
          <w:sz w:val="28"/>
          <w:szCs w:val="28"/>
          <w:rtl w:val="true"/>
          <w:lang w:bidi="fa-IR"/>
        </w:rPr>
        <w:t>.</w:t>
      </w:r>
    </w:p>
    <w:p>
      <w:pPr>
        <w:sectPr>
          <w:footerReference w:type="default" r:id="rId6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إذا کان القوم قد صرّحوا بذمّ القیاس و إنکاره هذا التّصریح،فکیف یدّعی ارتفاع نکیرهم؟،و أیّ نکیر یتجاوز ما ذکرناه و رویناه عنهم؟ و لیس لهم أن یتأوّلوا الألفاظ الّتی رویناها و یستکره‍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التأویل فیها و یتعسّفوه،مثل أن یحملوها علی إنکار بعض القیاس دون بعض،أو علی وجه دون وجه،لیسلم لهم ما حکوه من قولهم بالرّأی و القیاس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ذلک إنّما یسوغ لو کان ما استدلّوا به علی قولهم بالقیاس غیر محتمل للتّأویل،و کان صریحا فی دلالته علی ذلک،فإنّا قد بیّنّا أنّ جمیع ما تعلّقوا به من اختلافهم فی مسألة الحرام و غیرها من المسائل لا یدلّ علی القیاس،و لا له أیضا </w:t>
      </w:r>
    </w:p>
    <w:p>
      <w:pPr>
        <w:pStyle w:val="BookText"/>
        <w:rPr/>
      </w:pPr>
      <w:r>
        <w:rPr>
          <w:rFonts w:ascii="IRNazanin" w:hAnsi="IRNazanin" w:eastAsia="IRNazanin"/>
          <w:color w:val="111111"/>
          <w:sz w:val="28"/>
          <w:sz w:val="28"/>
          <w:szCs w:val="28"/>
          <w:rtl w:val="true"/>
          <w:lang w:bidi="fa-IR"/>
        </w:rPr>
        <w:t>ظاهر فی الدّلالة علیه،و سنبیّن بمشیّة اللّه مثل ذلک فی تعلّقهم بالرّأی و إضافة الأحکام إلیه،و أنّه لا ظاهر له فی الدّلالة علی القیاس،فضلا عن أن یحتمل التأویل، فلا وجه لتأویلهم ما رویناه من الأخبار،لا سیّما و جمیعها له ظاهر فی نفی القیاس لا بدّ لهم من العدول عنه،إذا صحّ تأویلهم،فکیف یعدل عمّا له ظاهر فی الدّلالة علی أمر لأجل ما لا ظاهر له؟ و لو تساوی الأمران فی الظّاهر أیضا،لم یکن لهم أن یحملوا أخبارنا علی التّأویلات الّتی ذکروها لتسلم دلالة ما تعلّقوا به علی القیاس،و لو کانوا بذلک أولی منّا إذا تأوّلنا ما رووه و حملنا علی أنّ القول فیه إنّما کان بالنّصوص و أدلّتها لیسلم دلالة ما رویناه علی نفی القیاس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لا یزالون یتعلّقون به فی ذلک من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المنکرین لذلک هم المستعملون له،فلا بدّ من حمل النّکیر علی ما یوافق ما ظهر عنهم من استعمال القیاس</w:t>
      </w:r>
      <w:r>
        <w:rPr>
          <w:rFonts w:eastAsia="IRNazanin" w:cs="IRNazanin"/>
          <w:color w:val="111111"/>
          <w:sz w:val="28"/>
          <w:szCs w:val="28"/>
          <w:rtl w:val="true"/>
          <w:lang w:bidi="fa-IR"/>
        </w:rPr>
        <w:t>.</w:t>
      </w:r>
    </w:p>
    <w:p>
      <w:pPr>
        <w:sectPr>
          <w:footerReference w:type="default" r:id="rId6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فتعلل </w:t>
      </w:r>
      <w:r>
        <w:rPr>
          <w:rStyle w:val="FootnoteAnchor"/>
          <w:rtl w:val="true"/>
        </w:rPr>
        <w:footnoteReference w:id="1504"/>
      </w:r>
      <w:r>
        <w:rPr>
          <w:rFonts w:ascii="IRNazanin" w:hAnsi="IRNazanin" w:eastAsia="IRNazanin"/>
          <w:color w:val="111111"/>
          <w:sz w:val="28"/>
          <w:sz w:val="28"/>
          <w:szCs w:val="28"/>
          <w:rtl w:val="true"/>
          <w:lang w:bidi="fa-IR"/>
        </w:rPr>
        <w:t>بالباطل،و ذلک أنّا لا نعلم أنّهم استعملوا القیاس ضرورة،أو من وجه لا یسوغ فیه التّأویل و لا یدخله الاحتمال،و إنّما ادّعی ذلک علیهم،و تعلّق مدّعیه بما لا ظاهر له و لا شهادة فیه بالقول بالقیاس،و أحسن أحواله أن یکون محتملا، فکیف یصحّ ما ذکروه؟ و هذه 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ذکرناها تسقط قولهم إنّ الرّأی الّذی أبوه هو الّذی یصدر عن الهوی،و الّذی یستعمل فی غیر موضعه،و أنّ أمیر المؤمنین علیه السّلام إنّما نفی أن یکون جمیع الدّین یؤخذ قیاسا </w:t>
      </w:r>
      <w:r>
        <w:rPr>
          <w:rStyle w:val="FootnoteAnchor"/>
          <w:rtl w:val="true"/>
        </w:rPr>
        <w:footnoteReference w:id="1505"/>
      </w:r>
      <w:r>
        <w:rPr>
          <w:rFonts w:ascii="IRNazanin" w:hAnsi="IRNazanin" w:eastAsia="IRNazanin"/>
          <w:color w:val="111111"/>
          <w:sz w:val="28"/>
          <w:sz w:val="28"/>
          <w:szCs w:val="28"/>
          <w:rtl w:val="true"/>
          <w:lang w:bidi="fa-IR"/>
        </w:rPr>
        <w:t xml:space="preserve">،و کذلک أبو بکر إنّما استکبر استعماله الرّأی فی کتاب اللّه علی وجه لا یسوغ فیه </w:t>
      </w:r>
      <w:r>
        <w:rPr>
          <w:rStyle w:val="FootnoteAnchor"/>
          <w:rtl w:val="true"/>
        </w:rPr>
        <w:footnoteReference w:id="1506"/>
      </w:r>
      <w:r>
        <w:rPr>
          <w:rFonts w:ascii="IRNazanin" w:hAnsi="IRNazanin" w:eastAsia="IRNazanin"/>
          <w:color w:val="111111"/>
          <w:sz w:val="28"/>
          <w:sz w:val="28"/>
          <w:szCs w:val="28"/>
          <w:rtl w:val="true"/>
          <w:lang w:bidi="fa-IR"/>
        </w:rPr>
        <w:t xml:space="preserve">،إلی غیر ذلک ممّا یقولونه و یفزعون إلیه،لأنّ کلّ ذلک منهم عدول عن الظّاهر،و تخصیص لإطلاقه،و تأوّل لا یجب المصیر إلیه إلاّ بعد </w:t>
      </w:r>
    </w:p>
    <w:p>
      <w:pPr>
        <w:pStyle w:val="BookText"/>
        <w:rPr/>
      </w:pPr>
      <w:r>
        <w:rPr>
          <w:rFonts w:ascii="IRNazanin" w:hAnsi="IRNazanin" w:eastAsia="IRNazanin"/>
          <w:color w:val="111111"/>
          <w:sz w:val="28"/>
          <w:sz w:val="28"/>
          <w:szCs w:val="28"/>
          <w:rtl w:val="true"/>
          <w:lang w:bidi="fa-IR"/>
        </w:rPr>
        <w:t>القطع علی صحّة القیاس،و قول القوم به بما لا یحتمل التّأویل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فأمّا قول بعضهم </w:t>
      </w:r>
      <w:r>
        <w:rPr>
          <w:rStyle w:val="FootnoteAnchor"/>
          <w:rtl w:val="true"/>
        </w:rPr>
        <w:footnoteReference w:id="15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 فعلوا ذلک تشددا و احتیاطا للدّین حتی لا یقول الفقهاء علی القیاس،و یعدلوا عن تتبّع الکتاب و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فظاهر السّقوط،و ذلک أنّ التّشدد لا یجوز أن یبلغ إلی إنکار ما أوجبه اللّه تعالی،أو فسخ فیه،و لا یقتضی أن یخرجوا إنکارهم المخرج الموهم لإنکار الحقّ،و لو کان ذلک غرضهم لوجب أن یصرّحوا بذمّ العدول عن الکتاب و السّنّة،و الإعراض عن تأمّلهما و التشاغل بغیرهما من غیر أن یطلقوا إنکار القیاس و الرّأی اللّذین هما عندکم أصلان من أصول الدّین تالیان للکتاب و السّنة و الإجماع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أنّه یمکن أن یقال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تسلیم ارتفاع النّکیر،لم أنکرتم أن یکون بعض الصّحابة الّذین حکیتم عنهم الاختلاف فی مسألة الحرام و غیرها قد رجع فی مذهبه إلی القیاس،و هو من کان قوله منهم أبعد من أن یتناوله شیء من ظواهر الکتاب و السّنّة؟و أن یکون الباقون رجعوا فی مذاهبهم إلی النّصوص و أدلّتها؟غیر أنّ من ذهب إلی القیاس منهم لم یظهر وجه قوله،و لا علمت الجماعة أنّه قاله قیاسا، و لو علموا بذلک لأنکروه،غیر أنّهم لا یعلمونه و أحسنوا الظّنّ بالقائل و ظنّوا أنّه لم یقل إلاّ عن نصّ أو طریق یخالف القیاس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یجب أن یکون وجه قول کلّ واحد منهم علی التّفصیل معلوما للجماعة،و متی أوجبوا ذلک و ادّعوه طالبناهم بالدّلیل علی صحّته و لن یجدوه، و هذا أیضا ممّا لا انفکاک لهم منه</w:t>
      </w:r>
      <w:r>
        <w:rPr>
          <w:rFonts w:eastAsia="IRNazanin" w:cs="IRNazanin"/>
          <w:color w:val="111111"/>
          <w:sz w:val="28"/>
          <w:szCs w:val="28"/>
          <w:rtl w:val="true"/>
          <w:lang w:bidi="fa-IR"/>
        </w:rPr>
        <w:t>.</w:t>
      </w:r>
    </w:p>
    <w:p>
      <w:pPr>
        <w:sectPr>
          <w:footerReference w:type="default" r:id="rId6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استدلّوا أیضا بأن </w:t>
      </w:r>
      <w:r>
        <w:rPr>
          <w:rStyle w:val="FootnoteAnchor"/>
          <w:rtl w:val="true"/>
        </w:rPr>
        <w:footnoteReference w:id="1508"/>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ظهر عن الصّحابة القول بالرّأی و إضافة المذاهب إلیه،و لفظة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أطلقت لم تفد القول بالحکم من طریق النصّ،لأنّ ما طریقه العلم لا یضاف إلی الرّأی جلیّا کان الدّلیل أو خفیّا،و لا یستفاد من ذلک إلاّ القول من طریق القیاس و الاجتهاد،و الأخبار الواردة فی ذلک کثیرة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نحو ما روی عن أبی بکر فی الکلالة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 فیها برأیی</w:t>
      </w:r>
      <w:r>
        <w:rPr>
          <w:rFonts w:eastAsia="IRNazanin" w:cs="IRNazanin"/>
          <w:color w:val="111111"/>
          <w:sz w:val="28"/>
          <w:szCs w:val="28"/>
          <w:rtl w:val="true"/>
          <w:lang w:bidi="fa-IR"/>
        </w:rPr>
        <w:t xml:space="preserve">» </w:t>
      </w:r>
      <w:r>
        <w:rPr>
          <w:rStyle w:val="FootnoteAnchor"/>
          <w:rtl w:val="true"/>
        </w:rPr>
        <w:footnoteReference w:id="15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قول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أقضی برأیی</w:t>
      </w:r>
      <w:r>
        <w:rPr>
          <w:rFonts w:eastAsia="IRNazanin" w:cs="IRNazanin"/>
          <w:color w:val="111111"/>
          <w:sz w:val="28"/>
          <w:szCs w:val="28"/>
          <w:rtl w:val="true"/>
          <w:lang w:bidi="fa-IR"/>
        </w:rPr>
        <w:t xml:space="preserve">» </w:t>
      </w:r>
      <w:r>
        <w:rPr>
          <w:rStyle w:val="FootnoteAnchor"/>
          <w:rtl w:val="true"/>
        </w:rPr>
        <w:footnoteReference w:id="1510"/>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ما رأی عمر</w:t>
      </w:r>
      <w:r>
        <w:rPr>
          <w:rFonts w:eastAsia="IRNazanin" w:cs="IRNazanin"/>
          <w:color w:val="111111"/>
          <w:sz w:val="28"/>
          <w:szCs w:val="28"/>
          <w:rtl w:val="true"/>
          <w:lang w:bidi="fa-IR"/>
        </w:rPr>
        <w:t xml:space="preserve">» </w:t>
      </w:r>
      <w:r>
        <w:rPr>
          <w:rStyle w:val="FootnoteAnchor"/>
          <w:rtl w:val="true"/>
        </w:rPr>
        <w:footnoteReference w:id="1511"/>
      </w:r>
      <w:r>
        <w:rPr>
          <w:rFonts w:ascii="IRNazanin" w:hAnsi="IRNazanin" w:eastAsia="IRNazanin"/>
          <w:color w:val="111111"/>
          <w:sz w:val="28"/>
          <w:sz w:val="28"/>
          <w:szCs w:val="28"/>
          <w:rtl w:val="true"/>
          <w:lang w:bidi="fa-IR"/>
        </w:rPr>
        <w:t>،و نحو قول أمیر المؤمنین علیه السّلام فی أمّهات الأولاد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رأیی و رأی عمر أن لا یبعن ثمّ رأیت بیعهنّ</w:t>
      </w:r>
      <w:r>
        <w:rPr>
          <w:rFonts w:eastAsia="IRNazanin" w:cs="IRNazanin"/>
          <w:color w:val="111111"/>
          <w:sz w:val="28"/>
          <w:szCs w:val="28"/>
          <w:rtl w:val="true"/>
          <w:lang w:bidi="fa-IR"/>
        </w:rPr>
        <w:t xml:space="preserve">» </w:t>
      </w:r>
      <w:r>
        <w:rPr>
          <w:rStyle w:val="FootnoteAnchor"/>
          <w:rtl w:val="true"/>
        </w:rPr>
        <w:footnoteReference w:id="1512"/>
      </w:r>
      <w:r>
        <w:rPr>
          <w:rFonts w:ascii="IRNazanin" w:hAnsi="IRNazanin" w:eastAsia="IRNazanin"/>
          <w:color w:val="111111"/>
          <w:sz w:val="28"/>
          <w:sz w:val="28"/>
          <w:szCs w:val="28"/>
          <w:rtl w:val="true"/>
          <w:lang w:bidi="fa-IR"/>
        </w:rPr>
        <w:t>،و هذه الجملة تدلّ علی القیاس و الاجتهاد من الوجه الّذی ذکرناه فی إطلاق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إضافة المذهب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لأنّه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رجوعهم فیما ذکرناه من اختلافهم إلی طرق العلم،لما صحّ منهم الرّجوع من رأی إلی رأی،و لا التّوقف فیه،و تجویز کونه صوابا و خطأ،و لا أن یمسکوا عن تخطئة المخالف و النّکیر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لأنّ الأدلّة لا تتناقض و لا تختلف،فکیف یجوز أن یرجع کلّ واحد إلی دلیل مع اختلاف أقوالهم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فیقال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ادّعیتم فی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یصح،لأنّ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أطلق تناول کلّ ما کان متوصّلا إلیه بضرب من الاستدلال الّذی یصحّ فیه اعتراض الشّبهات،و اختلاف أهل الإسلام لا یختصّ ما قیل قیاسا دون ما قبل من جهة اعتبار الظّواهر و الاستدلال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لا تری إنّهم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یری العدل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یری القدر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یری الإرجاء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یری القطع علی عقاب الفسّاق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ذلک متوصّلا إلیه بالأدلّة الموجبة للعلم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أبا حنیفة یری الوضوء بنبیذ التّمر </w:t>
      </w:r>
      <w:r>
        <w:rPr>
          <w:rStyle w:val="FootnoteAnchor"/>
          <w:rtl w:val="true"/>
        </w:rPr>
        <w:footnoteReference w:id="1513"/>
      </w:r>
      <w:r>
        <w:rPr>
          <w:rFonts w:ascii="IRNazanin" w:hAnsi="IRNazanin" w:eastAsia="IRNazanin"/>
          <w:color w:val="111111"/>
          <w:sz w:val="28"/>
          <w:sz w:val="28"/>
          <w:szCs w:val="28"/>
          <w:rtl w:val="true"/>
          <w:lang w:bidi="fa-IR"/>
        </w:rPr>
        <w:t>و إنّ ذلک رأیه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ذلک مذهبه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لا یرجع فی ذلک إلی قیاس و اجتهاد</w:t>
      </w:r>
      <w:r>
        <w:rPr>
          <w:rFonts w:eastAsia="IRNazanin" w:cs="IRNazanin"/>
          <w:color w:val="111111"/>
          <w:sz w:val="28"/>
          <w:szCs w:val="28"/>
          <w:rtl w:val="true"/>
          <w:lang w:bidi="fa-IR"/>
        </w:rPr>
        <w:t>.</w:t>
      </w:r>
    </w:p>
    <w:p>
      <w:pPr>
        <w:sectPr>
          <w:footerReference w:type="default" r:id="rId6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یقال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القضاء بالشّاهد و الیمین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رأی الشّافعی </w:t>
      </w:r>
      <w:r>
        <w:rPr>
          <w:rStyle w:val="FootnoteAnchor"/>
          <w:rtl w:val="true"/>
        </w:rPr>
        <w:footnoteReference w:id="1514"/>
      </w:r>
      <w:r>
        <w:rPr>
          <w:rFonts w:ascii="IRNazanin" w:hAnsi="IRNazanin" w:eastAsia="IRNazanin"/>
          <w:color w:val="111111"/>
          <w:sz w:val="28"/>
          <w:sz w:val="28"/>
          <w:szCs w:val="28"/>
          <w:rtl w:val="true"/>
          <w:lang w:bidi="fa-IR"/>
        </w:rPr>
        <w:t xml:space="preserve">،و مالک </w:t>
      </w:r>
      <w:r>
        <w:rPr>
          <w:rStyle w:val="FootnoteAnchor"/>
          <w:rtl w:val="true"/>
        </w:rPr>
        <w:footnoteReference w:id="1515"/>
      </w:r>
      <w:r>
        <w:rPr>
          <w:rFonts w:ascii="IRNazanin" w:hAnsi="IRNazanin" w:eastAsia="IRNazanin"/>
          <w:color w:val="111111"/>
          <w:sz w:val="28"/>
          <w:sz w:val="28"/>
          <w:szCs w:val="28"/>
          <w:rtl w:val="true"/>
          <w:lang w:bidi="fa-IR"/>
        </w:rPr>
        <w:t xml:space="preserve">،و إن کان </w:t>
      </w:r>
    </w:p>
    <w:p>
      <w:pPr>
        <w:pStyle w:val="BookText"/>
        <w:rPr/>
      </w:pPr>
      <w:r>
        <w:rPr>
          <w:rFonts w:ascii="IRNazanin" w:hAnsi="IRNazanin" w:eastAsia="IRNazanin"/>
          <w:color w:val="111111"/>
          <w:sz w:val="28"/>
          <w:sz w:val="28"/>
          <w:szCs w:val="28"/>
          <w:rtl w:val="true"/>
          <w:lang w:bidi="fa-IR"/>
        </w:rPr>
        <w:t xml:space="preserve">مرجعهما فیه إلی الخبر،و أنّ الأقراء الّتی تعتبر فی العدّة علی رأی أبی حنیفة الحیض </w:t>
      </w:r>
      <w:r>
        <w:rPr>
          <w:rStyle w:val="FootnoteAnchor"/>
          <w:rtl w:val="true"/>
        </w:rPr>
        <w:footnoteReference w:id="1516"/>
      </w:r>
      <w:r>
        <w:rPr>
          <w:rFonts w:ascii="IRNazanin" w:hAnsi="IRNazanin" w:eastAsia="IRNazanin"/>
          <w:color w:val="111111"/>
          <w:sz w:val="28"/>
          <w:sz w:val="28"/>
          <w:szCs w:val="28"/>
          <w:rtl w:val="true"/>
          <w:lang w:bidi="fa-IR"/>
        </w:rPr>
        <w:t xml:space="preserve">و علی رأی الشّافعی و غیره الأطهار </w:t>
      </w:r>
      <w:r>
        <w:rPr>
          <w:rStyle w:val="FootnoteAnchor"/>
          <w:rtl w:val="true"/>
        </w:rPr>
        <w:footnoteReference w:id="1517"/>
      </w:r>
      <w:r>
        <w:rPr>
          <w:rFonts w:ascii="IRNazanin" w:hAnsi="IRNazanin" w:eastAsia="IRNazanin"/>
          <w:color w:val="111111"/>
          <w:sz w:val="28"/>
          <w:sz w:val="28"/>
          <w:szCs w:val="28"/>
          <w:rtl w:val="true"/>
          <w:lang w:bidi="fa-IR"/>
        </w:rPr>
        <w:t>،و إن کان رجوع کلّ واحد منهما فی ذلک إلی ضرب من الاستدلال یخالف القیاس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کان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المستفاد به المذهب و الاعتقاد علی ما ذکرناه،لم یکن فی إضافة الصّحابة أقوالها إلی الرّأی دلالة علی ما توهّمه خصومنا من القیاس، لأنّهم لم ینصّوا علی أنّ الرّأی الّذی رواه هو الصّادر عن القیاس دون غیره،و إذا لم ینصّوا و القول محتمل لما یقولونه لم یکن للخصم فیه دلالة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القول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ذکرتم فلم 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المسلمین یرون أنّ التمسّک بالصّلاة و الصّوم و ما أشبه ذلک من الأمور المعلومة؟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لا یقال ذلک لما قدّمناه من أنّ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یفید الأمور المعلومة من الطّرق الّتی یصحّ أن تعترضها الشّبهات و یختلف فیها أهل القبلة،و لهذا لا یضیفون الأمور المعلومة ضرورة من واجبات العقول إلی الرّأی،کقبح الظّلم،و وجوب الإنصاف،و ردّ الودیعة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یضیفون أیضا إلیه العلم بدعاء الرّسول علیه السّلام لأمّته إلی صلوات الخمس،و صوم شهر بعینه،إمّا لأنّه معلوم ضرورة،أو باستدلال لا تدخل فیه شبهة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یضیفون إلیه سائر الأمور المعلومة بالأدلّة الّتی لا یختلف المسلمون فیها،کوجوب التّمسک بالصّلاة،و الصّوم،و العلم بنبوّة الرّسول صلّی اللّه علیه و آله و سلّم و صدق دعوته،و قد بینّا أنّهم یطلقون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القول بالعدل، و القدر و غیر ذلک</w:t>
      </w:r>
      <w:r>
        <w:rPr>
          <w:rFonts w:eastAsia="IRNazanin" w:cs="IRNazanin"/>
          <w:color w:val="111111"/>
          <w:sz w:val="28"/>
          <w:szCs w:val="28"/>
          <w:rtl w:val="true"/>
          <w:lang w:bidi="fa-IR"/>
        </w:rPr>
        <w:t>.</w:t>
      </w:r>
    </w:p>
    <w:p>
      <w:pPr>
        <w:sectPr>
          <w:footerReference w:type="default" r:id="rId6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صحّ أن یقول العدلیّ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یری القدر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یری العدل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لأنّ کلّ واحد منهما ینسب صاحبه إلی القول بغیر علم،و إن اجتهد،فشبّه </w:t>
      </w:r>
    </w:p>
    <w:p>
      <w:pPr>
        <w:pStyle w:val="BookText"/>
        <w:rPr/>
      </w:pPr>
      <w:r>
        <w:rPr>
          <w:rFonts w:ascii="IRNazanin" w:hAnsi="IRNazanin" w:eastAsia="IRNazanin"/>
          <w:color w:val="111111"/>
          <w:sz w:val="28"/>
          <w:sz w:val="28"/>
          <w:szCs w:val="28"/>
          <w:rtl w:val="true"/>
          <w:lang w:bidi="fa-IR"/>
        </w:rPr>
        <w:t>بالقول بالرّأی الّذی هو القیاس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الإطلاق الّذی حکیناه لیس یختصّ بواحد دون آخر،بل العدلیّ یقول فی نفسه و فیمن یقول بقوله أنّه یری العدل،و کذلک القدر و الإرجاء و سائر ما حکیناه من المذاهب،علی أنّ العدلیّ لا یری أنّ القدریّ قائل بالقدر إلاّ عن تقلید أو شبهة،و لیس یری أنّه قائل من اجتهاد یقتضی غلبة الظّنّ حتّی یطلق علیه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المختصّ عندهم بالمذاهب الحاصلة من طریق القیاس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یصحّ أن ینازعوا فی اختصاص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ذکرناه؟،و معلوم أنّ القائل إذا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مذهب أهل الرّأی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أهل الرّأی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یفهم عنه إلاّ القیاس دون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تعارف حادث فی أهل القیاس،لأنّه حدث الاختلاف بین الأمّة فی القیاس،فنفاه قوم و أثبته آخرون،و غلب علی مثبتیه الإضافة إلی الرّأی،و معلوم أنّ هذا التّعارف لم یکن فی زمن الصّحابة،فکیف یحمل خطابهم علیه؟ علی أنّه لیس معیّنا عن أحد من الصّحابة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من أهل الرّأی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أکثر ما رووه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رأینا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رأیی و رأی فلان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یمتنع أن یکون فی بعض تصرّف اللّفظة من التّعارف ما لیس هو فی جمیع تصرّفها،و یکون الإضافة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غلب فیها ما ذکروه،و إن لم یغلب فی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کذا من رأیی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ممّا لا یمکن دفعه،فانّه لا شبهة علی أحد فی أنّ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من أهل الرّأی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یجری فی الاختصاص بالإضافة إلی الاجتهاد و القیاس مجری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 فلان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رأی فلان أن یقول بکذا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الثّانی لا تعارف فیه یخصّصه و إن کان فی الأوّل</w:t>
      </w:r>
      <w:r>
        <w:rPr>
          <w:rFonts w:eastAsia="IRNazanin" w:cs="IRNazanin"/>
          <w:color w:val="111111"/>
          <w:sz w:val="28"/>
          <w:szCs w:val="28"/>
          <w:rtl w:val="true"/>
          <w:lang w:bidi="fa-IR"/>
        </w:rPr>
        <w:t>.</w:t>
      </w:r>
    </w:p>
    <w:p>
      <w:pPr>
        <w:sectPr>
          <w:footerReference w:type="default" r:id="rId7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إذا صحّ ما ذکرناه،لم یمتنع أن یقول أمیر 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رأیی </w:t>
      </w:r>
    </w:p>
    <w:p>
      <w:pPr>
        <w:pStyle w:val="BookText"/>
        <w:rPr/>
      </w:pPr>
      <w:r>
        <w:rPr>
          <w:rFonts w:ascii="IRNazanin" w:hAnsi="IRNazanin" w:eastAsia="IRNazanin"/>
          <w:color w:val="111111"/>
          <w:sz w:val="28"/>
          <w:sz w:val="28"/>
          <w:szCs w:val="28"/>
          <w:rtl w:val="true"/>
          <w:lang w:bidi="fa-IR"/>
        </w:rPr>
        <w:t>و رأی عمر ألاّ یبعن</w:t>
      </w:r>
      <w:r>
        <w:rPr>
          <w:rFonts w:eastAsia="IRNazanin" w:cs="IRNazanin"/>
          <w:color w:val="111111"/>
          <w:sz w:val="28"/>
          <w:szCs w:val="28"/>
          <w:rtl w:val="true"/>
          <w:lang w:bidi="fa-IR"/>
        </w:rPr>
        <w:t xml:space="preserve">» </w:t>
      </w:r>
      <w:r>
        <w:rPr>
          <w:rStyle w:val="FootnoteAnchor"/>
          <w:rtl w:val="true"/>
        </w:rPr>
        <w:footnoteReference w:id="1518"/>
      </w:r>
      <w:r>
        <w:rPr>
          <w:rFonts w:ascii="IRNazanin" w:hAnsi="IRNazanin" w:eastAsia="IRNazanin"/>
          <w:color w:val="111111"/>
          <w:sz w:val="28"/>
          <w:sz w:val="28"/>
          <w:szCs w:val="28"/>
          <w:rtl w:val="true"/>
          <w:lang w:bidi="fa-IR"/>
        </w:rPr>
        <w:t>أی مذهبی و ما أفتی به،و کذلک قول أبی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 فیها برأیی</w:t>
      </w:r>
      <w:r>
        <w:rPr>
          <w:rFonts w:eastAsia="IRNazanin" w:cs="IRNazanin"/>
          <w:color w:val="111111"/>
          <w:sz w:val="28"/>
          <w:szCs w:val="28"/>
          <w:rtl w:val="true"/>
          <w:lang w:bidi="fa-IR"/>
        </w:rPr>
        <w:t xml:space="preserve">» </w:t>
      </w:r>
      <w:r>
        <w:rPr>
          <w:rStyle w:val="FootnoteAnchor"/>
          <w:rtl w:val="true"/>
        </w:rPr>
        <w:footnoteReference w:id="1519"/>
      </w:r>
      <w:r>
        <w:rPr>
          <w:rFonts w:ascii="IRNazanin" w:hAnsi="IRNazanin" w:eastAsia="IRNazanin"/>
          <w:color w:val="111111"/>
          <w:sz w:val="28"/>
          <w:sz w:val="28"/>
          <w:szCs w:val="28"/>
          <w:rtl w:val="true"/>
          <w:lang w:bidi="fa-IR"/>
        </w:rPr>
        <w:t>أی ما أعتقده و أدّانی الاستدلال إلیه،و کذلک قول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أقضی فیها برأیی</w:t>
      </w:r>
      <w:r>
        <w:rPr>
          <w:rFonts w:eastAsia="IRNazanin" w:cs="IRNazanin"/>
          <w:color w:val="111111"/>
          <w:sz w:val="28"/>
          <w:szCs w:val="28"/>
          <w:rtl w:val="true"/>
          <w:lang w:bidi="fa-IR"/>
        </w:rPr>
        <w:t xml:space="preserve">» </w:t>
      </w:r>
      <w:r>
        <w:rPr>
          <w:rStyle w:val="FootnoteAnchor"/>
          <w:rtl w:val="true"/>
        </w:rPr>
        <w:footnoteReference w:id="15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الأمر علی ما ذکرتم فلم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صوابا فمن اللّه،و إن کان خطأ فمنّی و من الشّیطان</w:t>
      </w:r>
      <w:r>
        <w:rPr>
          <w:rFonts w:eastAsia="IRNazanin" w:cs="IRNazanin"/>
          <w:color w:val="111111"/>
          <w:sz w:val="28"/>
          <w:szCs w:val="28"/>
          <w:rtl w:val="true"/>
          <w:lang w:bidi="fa-IR"/>
        </w:rPr>
        <w:t xml:space="preserve">» </w:t>
      </w:r>
      <w:r>
        <w:rPr>
          <w:rStyle w:val="FootnoteAnchor"/>
          <w:rtl w:val="true"/>
        </w:rPr>
        <w:footnoteReference w:id="1521"/>
      </w:r>
      <w:r>
        <w:rPr>
          <w:rFonts w:ascii="IRNazanin" w:hAnsi="IRNazanin" w:eastAsia="IRNazanin"/>
          <w:color w:val="111111"/>
          <w:sz w:val="28"/>
          <w:sz w:val="28"/>
          <w:szCs w:val="28"/>
          <w:rtl w:val="true"/>
          <w:lang w:bidi="fa-IR"/>
        </w:rPr>
        <w:t>و الأدلّة و النّصوص لا یکون فیها خطاء؟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یخطئ المحتجّ بالکتاب و السّنّة و المستدلّ بأدلّتهما،بأن یضع الاستدلال فی غیر موضعه،مثلا یقدّم مؤخّرا أو یؤخّر مقدّما،أو یخصّ عاما أو یعمّ خاصا،أو یتمسّک بمنسوخ،أو یعمل علی ما هناک أولی منه،فیکون الخطأ منه أو من الشّیطان،فالکتاب و السنّة و إن لم یکن فیهما خطأ،فالمستدلّ بهما قد یخطئ من حیث قلنا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أنّا إذا تأمّلنا المسائل الّتی قالوا فیها بما قالوه و أضافوه إلی رأیهم،وجدنا جمیعها إمّا مخرّجا من أدلّة النّصوص،فالذّاهب </w:t>
      </w:r>
      <w:r>
        <w:rPr>
          <w:rStyle w:val="FootnoteAnchor"/>
          <w:rtl w:val="true"/>
        </w:rPr>
        <w:footnoteReference w:id="1522"/>
      </w:r>
      <w:r>
        <w:rPr>
          <w:rFonts w:ascii="IRNazanin" w:hAnsi="IRNazanin" w:eastAsia="IRNazanin"/>
          <w:color w:val="111111"/>
          <w:sz w:val="28"/>
          <w:sz w:val="28"/>
          <w:szCs w:val="28"/>
          <w:rtl w:val="true"/>
          <w:lang w:bidi="fa-IR"/>
        </w:rPr>
        <w:t>إلیها متعلّق بغیر القیاس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بیع أمّ الولد فیمکن أن یعوّل من منع منه علی ما روی عنه علیه السّلام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أیّما أمة ولدت من سیّدها فهی معتقة</w:t>
      </w:r>
      <w:r>
        <w:rPr>
          <w:rFonts w:eastAsia="IRNazanin" w:cs="IRNazanin"/>
          <w:color w:val="111111"/>
          <w:sz w:val="28"/>
          <w:szCs w:val="28"/>
          <w:rtl w:val="true"/>
          <w:lang w:bidi="fa-IR"/>
        </w:rPr>
        <w:t xml:space="preserve">» </w:t>
      </w:r>
      <w:r>
        <w:rPr>
          <w:rStyle w:val="FootnoteAnchor"/>
          <w:rtl w:val="true"/>
        </w:rPr>
        <w:footnoteReference w:id="1523"/>
      </w:r>
      <w:r>
        <w:rPr>
          <w:rFonts w:ascii="IRNazanin" w:hAnsi="IRNazanin" w:eastAsia="IRNazanin"/>
          <w:color w:val="111111"/>
          <w:sz w:val="28"/>
          <w:sz w:val="28"/>
          <w:szCs w:val="28"/>
          <w:rtl w:val="true"/>
          <w:lang w:bidi="fa-IR"/>
        </w:rPr>
        <w:t>،و بما روی عنه علیه السّلام فی ماریة القبطیّة لمّا ولدت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أعتقها ولدها</w:t>
      </w:r>
      <w:r>
        <w:rPr>
          <w:rFonts w:eastAsia="IRNazanin" w:cs="IRNazanin"/>
          <w:color w:val="111111"/>
          <w:sz w:val="28"/>
          <w:szCs w:val="28"/>
          <w:rtl w:val="true"/>
          <w:lang w:bidi="fa-IR"/>
        </w:rPr>
        <w:t xml:space="preserve">» </w:t>
      </w:r>
      <w:r>
        <w:rPr>
          <w:rStyle w:val="FootnoteAnchor"/>
          <w:rtl w:val="true"/>
        </w:rPr>
        <w:footnoteReference w:id="15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ذهب إلی جواز بیعها أمکنه التّعلّق بأشیاء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أصل الملک جواز التّصرف،و الولادة غیر مزیلة للملک بدلالة أنّ لسیّدها وطأها بعد الولادة من غیر ملک ثان و لا عقد نکاح،و ذلک یقتضی بقاء السّبب المبیح للوطء و هو الملک</w:t>
      </w:r>
      <w:r>
        <w:rPr>
          <w:rFonts w:eastAsia="IRNazanin" w:cs="IRNazanin"/>
          <w:color w:val="111111"/>
          <w:sz w:val="28"/>
          <w:szCs w:val="28"/>
          <w:rtl w:val="true"/>
          <w:lang w:bidi="fa-IR"/>
        </w:rPr>
        <w:t>.</w:t>
      </w:r>
    </w:p>
    <w:p>
      <w:pPr>
        <w:sectPr>
          <w:footerReference w:type="default" r:id="rId7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خلاف فی أنّ عتقها بعد الولادة جائز،و لو کان الملک زائلا ما جاز العتق</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أَحَلَّ اللّهُ الْبَیْعَ   </w:t>
      </w:r>
      <w:r>
        <w:rPr>
          <w:rStyle w:val="FootnoteAnchor"/>
          <w:rtl w:val="true"/>
        </w:rPr>
        <w:footnoteReference w:id="1525"/>
      </w:r>
      <w:r>
        <w:rPr>
          <w:rFonts w:ascii="IRNazanin" w:hAnsi="IRNazanin" w:eastAsia="IRNazanin"/>
          <w:color w:val="111111"/>
          <w:sz w:val="28"/>
          <w:sz w:val="28"/>
          <w:szCs w:val="28"/>
          <w:rtl w:val="true"/>
          <w:lang w:bidi="fa-IR"/>
        </w:rPr>
        <w:t xml:space="preserve">و یتعلّق بعمومه فی کلّ موضع إلاّ ما أخرجه </w:t>
      </w:r>
      <w:r>
        <w:rPr>
          <w:rStyle w:val="FootnoteAnchor"/>
          <w:rtl w:val="true"/>
        </w:rPr>
        <w:footnoteReference w:id="1526"/>
      </w:r>
      <w:r>
        <w:rPr>
          <w:rFonts w:ascii="IRNazanin" w:hAnsi="IRNazanin" w:eastAsia="IRNazanin"/>
          <w:color w:val="111111"/>
          <w:sz w:val="28"/>
          <w:sz w:val="28"/>
          <w:szCs w:val="28"/>
          <w:rtl w:val="true"/>
          <w:lang w:bidi="fa-IR"/>
        </w:rPr>
        <w:t>الدّلیل،فلعلّ من أجاز البیع فی الصّدر الأوّل تعلّق ببعض ما أشرنا إلیه و اعتمده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تأمّل احتجاج أمیر المؤمنین علیه السّلام فی بیع أمّهات الأولاد </w:t>
      </w:r>
      <w:r>
        <w:rPr>
          <w:rStyle w:val="FootnoteAnchor"/>
          <w:rtl w:val="true"/>
        </w:rPr>
        <w:footnoteReference w:id="1527"/>
      </w:r>
      <w:r>
        <w:rPr>
          <w:rFonts w:ascii="IRNazanin" w:hAnsi="IRNazanin" w:eastAsia="IRNazanin"/>
          <w:color w:val="111111"/>
          <w:sz w:val="28"/>
          <w:sz w:val="28"/>
          <w:szCs w:val="28"/>
          <w:rtl w:val="true"/>
          <w:lang w:bidi="fa-IR"/>
        </w:rPr>
        <w:t>و جده مخالفا لطریقة القیاس،لأنّ المروی عنه علیه السّلام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سبق کتاب اللّه بجواز بیعها</w:t>
      </w:r>
      <w:r>
        <w:rPr>
          <w:rFonts w:eastAsia="IRNazanin" w:cs="IRNazanin"/>
          <w:color w:val="111111"/>
          <w:sz w:val="28"/>
          <w:szCs w:val="28"/>
          <w:rtl w:val="true"/>
          <w:lang w:bidi="fa-IR"/>
        </w:rPr>
        <w:t xml:space="preserve">» </w:t>
      </w:r>
      <w:r>
        <w:rPr>
          <w:rStyle w:val="FootnoteAnchor"/>
          <w:rtl w:val="true"/>
        </w:rPr>
        <w:footnoteReference w:id="1528"/>
      </w:r>
      <w:r>
        <w:rPr>
          <w:rFonts w:ascii="IRNazanin" w:hAnsi="IRNazanin" w:eastAsia="IRNazanin"/>
          <w:color w:val="111111"/>
          <w:sz w:val="28"/>
          <w:sz w:val="28"/>
          <w:szCs w:val="28"/>
          <w:rtl w:val="true"/>
          <w:lang w:bidi="fa-IR"/>
        </w:rPr>
        <w:t>،فأضاف جواز البیع إلی الکتاب دون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قول أبی بکر و قد سئل عن الکلالة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 فیها برأیی،فإن کان حقّا فمن اللّه، و إن کان خطأ فمنّی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ما عدا الوالد و الولد</w:t>
      </w:r>
      <w:r>
        <w:rPr>
          <w:rFonts w:eastAsia="IRNazanin" w:cs="IRNazanin"/>
          <w:color w:val="111111"/>
          <w:sz w:val="28"/>
          <w:szCs w:val="28"/>
          <w:rtl w:val="true"/>
          <w:lang w:bidi="fa-IR"/>
        </w:rPr>
        <w:t xml:space="preserve">» </w:t>
      </w:r>
      <w:r>
        <w:rPr>
          <w:rStyle w:val="FootnoteAnchor"/>
          <w:rtl w:val="true"/>
        </w:rPr>
        <w:footnoteReference w:id="1529"/>
      </w:r>
      <w:r>
        <w:rPr>
          <w:rFonts w:ascii="IRNazanin" w:hAnsi="IRNazanin" w:eastAsia="IRNazanin"/>
          <w:color w:val="111111"/>
          <w:sz w:val="28"/>
          <w:sz w:val="28"/>
          <w:szCs w:val="28"/>
          <w:rtl w:val="true"/>
          <w:lang w:bidi="fa-IR"/>
        </w:rPr>
        <w:t xml:space="preserve">فلیس یجوز أن یکون الرّأی الّذی ذکره </w:t>
      </w:r>
      <w:r>
        <w:rPr>
          <w:rStyle w:val="FootnoteAnchor"/>
          <w:rtl w:val="true"/>
        </w:rPr>
        <w:footnoteReference w:id="1530"/>
      </w:r>
      <w:r>
        <w:rPr>
          <w:rFonts w:ascii="Amiri" w:hAnsi="Amiri" w:eastAsia="Amiri" w:cs="Amiri"/>
          <w:color w:val="111111"/>
          <w:sz w:val="28"/>
          <w:sz w:val="28"/>
          <w:szCs w:val="28"/>
          <w:rtl w:val="true"/>
          <w:lang w:bidi="ar-SA"/>
        </w:rPr>
        <w:t>هو القیاس،لأنّ السّؤال وقع عن معنی اسم،و الأسماء لا مدخل للقیاس فیها،و إنّما المرجع فیها إلی المواضعة و توقیف أهل اللّسان،و کتاب اللّه تعالی یدلّ علی معنی الکلالة،لأنّه تعالی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یَسْتَفْتُونَکَ قُلِ اللّهُ یُفْتِیکُمْ فِی الْکَلالَةِ  </w:t>
      </w:r>
      <w:r>
        <w:rPr>
          <w:rStyle w:val="FootnoteAnchor"/>
          <w:rtl w:val="true"/>
        </w:rPr>
        <w:footnoteReference w:id="1531"/>
      </w:r>
      <w:r>
        <w:rPr>
          <w:rFonts w:ascii="IRNazanin" w:hAnsi="IRNazanin" w:eastAsia="IRNazanin"/>
          <w:color w:val="111111"/>
          <w:sz w:val="28"/>
          <w:sz w:val="28"/>
          <w:szCs w:val="28"/>
          <w:rtl w:val="true"/>
          <w:lang w:bidi="fa-IR"/>
        </w:rPr>
        <w:t>،و ما تولّی اللّه تفسیره و الفتوی به لم یدخله الرّأی الّذی هو الاجتهاد و القیاس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یبیّن ذلک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النّبی علیه السّلام لعمر و قد کرّر علیه السّؤال عن الکلالة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یکفیک آیة الصّیف</w:t>
      </w:r>
      <w:r>
        <w:rPr>
          <w:rFonts w:eastAsia="IRNazanin" w:cs="IRNazanin"/>
          <w:color w:val="111111"/>
          <w:sz w:val="28"/>
          <w:szCs w:val="28"/>
          <w:rtl w:val="true"/>
          <w:lang w:bidi="fa-IR"/>
        </w:rPr>
        <w:t xml:space="preserve">» </w:t>
      </w:r>
      <w:r>
        <w:rPr>
          <w:rStyle w:val="FootnoteAnchor"/>
          <w:rtl w:val="true"/>
        </w:rPr>
        <w:footnoteReference w:id="1532"/>
      </w:r>
      <w:r>
        <w:rPr>
          <w:rFonts w:ascii="IRNazanin" w:hAnsi="IRNazanin" w:eastAsia="IRNazanin"/>
          <w:color w:val="111111"/>
          <w:sz w:val="28"/>
          <w:sz w:val="28"/>
          <w:szCs w:val="28"/>
          <w:rtl w:val="true"/>
          <w:lang w:bidi="fa-IR"/>
        </w:rPr>
        <w:t>و هذا یدلّ علی أنّ الآیة نفسها تفید الحکم</w:t>
      </w:r>
      <w:r>
        <w:rPr>
          <w:rFonts w:eastAsia="IRNazanin" w:cs="IRNazanin"/>
          <w:color w:val="111111"/>
          <w:sz w:val="28"/>
          <w:szCs w:val="28"/>
          <w:rtl w:val="true"/>
          <w:lang w:bidi="fa-IR"/>
        </w:rPr>
        <w:t>.</w:t>
      </w:r>
    </w:p>
    <w:p>
      <w:pPr>
        <w:sectPr>
          <w:footerReference w:type="default" r:id="rId7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کذلک إن تعلّقوا بما روی عن ابن مسعود و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سئل عن امرأة مات عنها زوجها و لم یسمّ لها صداقا و لم یدخل بها؟فردّ السّائل شهرا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 فیها برأیی،فإن حقّا فمن اللّه،و إن کان خطأ فمنّی أو من الشّیطان،و اللّه و رسوله منه بریان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علیها العدّة،و لها المیراث،و لها مهر نسائها،لا وکس و لا شطط</w:t>
      </w:r>
      <w:r>
        <w:rPr>
          <w:rFonts w:eastAsia="IRNazanin" w:cs="IRNazanin"/>
          <w:color w:val="111111"/>
          <w:sz w:val="28"/>
          <w:szCs w:val="28"/>
          <w:rtl w:val="true"/>
          <w:lang w:bidi="fa-IR"/>
        </w:rPr>
        <w:t xml:space="preserve">» </w:t>
      </w:r>
      <w:r>
        <w:rPr>
          <w:rStyle w:val="FootnoteAnchor"/>
          <w:rtl w:val="true"/>
        </w:rPr>
        <w:footnoteReference w:id="1533"/>
      </w:r>
      <w:r>
        <w:rPr>
          <w:rFonts w:ascii="IRNazanin" w:hAnsi="IRNazanin" w:eastAsia="IRNazanin"/>
          <w:color w:val="111111"/>
          <w:sz w:val="28"/>
          <w:sz w:val="28"/>
          <w:szCs w:val="28"/>
          <w:rtl w:val="true"/>
          <w:lang w:bidi="fa-IR"/>
        </w:rPr>
        <w:t>،فقال معقل بن یسار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 رسول اللّه صلّی اللّه علیه و آله و سلّم قضی فی بروع بنت واشق بما قضیت</w:t>
      </w:r>
      <w:r>
        <w:rPr>
          <w:rFonts w:eastAsia="IRNazanin" w:cs="IRNazanin"/>
          <w:color w:val="111111"/>
          <w:sz w:val="28"/>
          <w:szCs w:val="28"/>
          <w:rtl w:val="true"/>
          <w:lang w:bidi="fa-IR"/>
        </w:rPr>
        <w:t xml:space="preserve">» </w:t>
      </w:r>
      <w:r>
        <w:rPr>
          <w:rStyle w:val="FootnoteAnchor"/>
          <w:rtl w:val="true"/>
        </w:rPr>
        <w:footnoteReference w:id="1534"/>
      </w:r>
      <w:r>
        <w:rPr>
          <w:rFonts w:ascii="IRNazanin" w:hAnsi="IRNazanin" w:eastAsia="IRNazanin"/>
          <w:color w:val="111111"/>
          <w:sz w:val="28"/>
          <w:sz w:val="28"/>
          <w:szCs w:val="28"/>
          <w:rtl w:val="true"/>
          <w:lang w:bidi="fa-IR"/>
        </w:rPr>
        <w:t>فسر عبد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ذلک أنّ لقول عبد اللّه ظاهرا فی کتاب اللّه یمکن أن یرجع إلیه،و هو عموم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یُتَوَفَّوْنَ مِنْکُمْ وَ یَذَرُونَ أَزْواجاً یَتَرَبَّصْنَ بِأَنْفُسِهِنَّ أَرْبَعَةَ أَشْهُرٍ وَ عَشْراً  </w:t>
      </w:r>
      <w:r>
        <w:rPr>
          <w:rStyle w:val="FootnoteAnchor"/>
          <w:rtl w:val="true"/>
        </w:rPr>
        <w:footnoteReference w:id="1535"/>
      </w:r>
      <w:r>
        <w:rPr>
          <w:rFonts w:ascii="IRNazanin" w:hAnsi="IRNazanin" w:eastAsia="IRNazanin"/>
          <w:color w:val="111111"/>
          <w:sz w:val="28"/>
          <w:sz w:val="28"/>
          <w:szCs w:val="28"/>
          <w:rtl w:val="true"/>
          <w:lang w:bidi="fa-IR"/>
        </w:rPr>
        <w:t>،لأنّ عموم الآیة تقتضی العدّة علی کلّ زوجة توفّی عنها زوجها،و لم یخصّ بالجملة من لم یسمّ لها صداقا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یمکن أن یکون أوجب المیراث لکلّ زوجة کقوله </w:t>
      </w:r>
      <w:r>
        <w:rPr>
          <w:rStyle w:val="FootnoteAnchor"/>
          <w:rtl w:val="true"/>
        </w:rPr>
        <w:footnoteReference w:id="1536"/>
      </w:r>
      <w:r>
        <w:rPr>
          <w:rFonts w:ascii="Amiri" w:hAnsi="Amiri" w:eastAsia="Amiri" w:cs="Amiri"/>
          <w:color w:val="111111"/>
          <w:sz w:val="28"/>
          <w:sz w:val="28"/>
          <w:szCs w:val="28"/>
          <w:rtl w:val="true"/>
          <w:lang w:bidi="ar-SA"/>
        </w:rPr>
        <w:t>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لَهُنَّ الرُّبُعُ مِمّا تَرَکْتُمْ  </w:t>
      </w:r>
      <w:r>
        <w:rPr>
          <w:rStyle w:val="FootnoteAnchor"/>
          <w:rtl w:val="true"/>
        </w:rPr>
        <w:footnoteReference w:id="153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یخصّ</w:t>
      </w:r>
      <w:r>
        <w:rPr>
          <w:rFonts w:eastAsia="Amiri" w:cs="Amiri" w:ascii="Amiri" w:hAnsi="Amiri"/>
          <w:color w:val="111111"/>
          <w:sz w:val="28"/>
          <w:szCs w:val="28"/>
          <w:rtl w:val="true"/>
          <w:lang w:bidi="ar-SA"/>
        </w:rPr>
        <w:t xml:space="preserve">] </w:t>
      </w:r>
      <w:r>
        <w:rPr>
          <w:rStyle w:val="FootnoteAnchor"/>
          <w:rtl w:val="true"/>
        </w:rPr>
        <w:footnoteReference w:id="1538"/>
      </w:r>
      <w:r>
        <w:rPr>
          <w:rFonts w:ascii="Amiri" w:hAnsi="Amiri" w:eastAsia="Amiri" w:cs="Amiri"/>
          <w:color w:val="111111"/>
          <w:sz w:val="28"/>
          <w:sz w:val="28"/>
          <w:szCs w:val="28"/>
          <w:rtl w:val="true"/>
          <w:lang w:bidi="ar-SA"/>
        </w:rPr>
        <w:t>من لم یطأها زوجها و لم یسمّ لها صداقا،و أوجب المهر بقوله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فَانْکِحُوهُنَّ بِإِذْنِ أَهْلِهِنَّ وَ آتُوهُنَّ أُجُورَهُنَّ بِالْمَعْرُوفِ  </w:t>
      </w:r>
      <w:r>
        <w:rPr>
          <w:rStyle w:val="FootnoteAnchor"/>
          <w:rtl w:val="true"/>
        </w:rPr>
        <w:footnoteReference w:id="1539"/>
      </w:r>
      <w:r>
        <w:rPr>
          <w:rFonts w:ascii="IRNazanin" w:hAnsi="IRNazanin" w:eastAsia="IRNazanin"/>
          <w:color w:val="111111"/>
          <w:sz w:val="28"/>
          <w:sz w:val="28"/>
          <w:szCs w:val="28"/>
          <w:rtl w:val="true"/>
          <w:lang w:bidi="fa-IR"/>
        </w:rPr>
        <w:t>و ذلک موجب لمهر المثل،لأنّ المسمّی لا یتجاوز و لا یعتبر فیه العرف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کان لکلّ حکم أفتی به وجه فی الظّاهر،فما السّبب فی القطع علی قوله بالقیاس؟ فإن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ردّهم شهرا؟و لم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خطأ فمنّی</w:t>
      </w:r>
      <w:r>
        <w:rPr>
          <w:rFonts w:eastAsia="IRNazanin" w:cs="IRNazanin"/>
          <w:color w:val="111111"/>
          <w:sz w:val="28"/>
          <w:szCs w:val="28"/>
          <w:rtl w:val="true"/>
          <w:lang w:bidi="fa-IR"/>
        </w:rPr>
        <w:t xml:space="preserve">» </w:t>
      </w:r>
      <w:r>
        <w:rPr>
          <w:rStyle w:val="FootnoteAnchor"/>
          <w:rtl w:val="true"/>
        </w:rPr>
        <w:footnoteReference w:id="1540"/>
      </w:r>
      <w:r>
        <w:rPr>
          <w:rFonts w:ascii="IRNazanin" w:hAnsi="IRNazanin" w:eastAsia="IRNazanin"/>
          <w:color w:val="111111"/>
          <w:sz w:val="28"/>
          <w:sz w:val="28"/>
          <w:szCs w:val="28"/>
          <w:rtl w:val="true"/>
          <w:lang w:bidi="fa-IR"/>
        </w:rPr>
        <w:t>؟فکیف یکون الحکم المأخوذ من ظاهر الکتاب خطأ؟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أن یکون توقّفه و ترداده للسّائل لطلبه ما عساه یقتضی تخصیص الآیات الّتی ذکرناها،و التماسا لما لعلّه أن یعثر علیه ممّا یجب له ترک الظّاهر</w:t>
      </w:r>
      <w:r>
        <w:rPr>
          <w:rFonts w:eastAsia="IRNazanin" w:cs="IRNazanin"/>
          <w:color w:val="111111"/>
          <w:sz w:val="28"/>
          <w:szCs w:val="28"/>
          <w:rtl w:val="true"/>
          <w:lang w:bidi="fa-IR"/>
        </w:rPr>
        <w:t>.</w:t>
      </w:r>
    </w:p>
    <w:p>
      <w:pPr>
        <w:sectPr>
          <w:footerReference w:type="default" r:id="rId7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یمکن أن یکون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لم یتعیّن علیه فرض الفتیا لوجود غیره من علماء الصّحابة،فآثر طلب السّلامة بالاعراض عن الجواب و الفتیا،ثمّ لمّا ألحّوا علیه و سألوه أجاب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فأمّا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خطأ فمنّی</w:t>
      </w:r>
      <w:r>
        <w:rPr>
          <w:rFonts w:eastAsia="IRNazanin" w:cs="IRNazanin"/>
          <w:color w:val="111111"/>
          <w:sz w:val="28"/>
          <w:szCs w:val="28"/>
          <w:rtl w:val="true"/>
          <w:lang w:bidi="fa-IR"/>
        </w:rPr>
        <w:t xml:space="preserve">» </w:t>
      </w:r>
      <w:r>
        <w:rPr>
          <w:rStyle w:val="FootnoteAnchor"/>
          <w:rtl w:val="true"/>
        </w:rPr>
        <w:footnoteReference w:id="1541"/>
      </w:r>
      <w:r>
        <w:rPr>
          <w:rFonts w:ascii="IRNazanin" w:hAnsi="IRNazanin" w:eastAsia="IRNazanin"/>
          <w:color w:val="111111"/>
          <w:sz w:val="28"/>
          <w:sz w:val="28"/>
          <w:szCs w:val="28"/>
          <w:rtl w:val="true"/>
          <w:lang w:bidi="fa-IR"/>
        </w:rPr>
        <w:t>فیمکن أن یکون لأنّه جوّز أن یکون هناک ما هو أولی من الظّاهر من دلیل یخصّ،أو روایة تقتضیه من الرّسول صلّی اللّه علیه و آله و سلّم فی مثل ما سئل عنه یخالف قضیّته،أو غیر ذلک ممّا یکون العدول إلیه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أنّهم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مجتهد مصیب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،فیلزمهم السّؤال عن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خطأ فمنّی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 نسب نفسه إلی الخطأ و هو مجتهد؟ فلا بدّ لهم من الرّجوع إلی تجویزه علی نفسه التّقصیر فی طلب خبر لو استقصی لظفر به،و ما جری مجری ذلک</w:t>
      </w:r>
      <w:r>
        <w:rPr>
          <w:rFonts w:eastAsia="IRNazanin" w:cs="IRNazanin"/>
          <w:color w:val="111111"/>
          <w:sz w:val="28"/>
          <w:szCs w:val="28"/>
          <w:rtl w:val="true"/>
          <w:lang w:bidi="fa-IR"/>
        </w:rPr>
        <w:t>.</w:t>
      </w:r>
    </w:p>
    <w:p>
      <w:pPr>
        <w:sectPr>
          <w:footerReference w:type="default" r:id="rId7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متی تأمّلت جمیع المسائل الّتی حکی عنهم إضافة القول فیها إلی رأیهم وجدت لها مخرجا فی الظّواهر و طرقا تخالف القیاس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رجوعهم فی ذلک إلی طرق العلم لما صحّ منهم الرّجوع من رأی إلی آخر،و لا التّوقّف فیه،و تجویز کونه خطأ و صوابا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بعید ما یقال، و ذلک أنّ الرّجوع عن المذاهب و أدلّتها لا یدلّ علی القول فیها بالقیاس و الظّنّ،لأنّ ذلک قد یصحّ فیما طریقه العلم و الأدلّة،أ لا تری أنّ القائل بالجبر قد یعدل عنه إلی العدل،و کذلک قد یعدل عن القطع علی عقاب الفسّاق من أهل القبلة إلی القول بالإرجاء</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سائر مسائل الأصول ذلک ممکن فیها،فلیس التّنقل من رأی إلی آخر </w:t>
      </w:r>
    </w:p>
    <w:p>
      <w:pPr>
        <w:pStyle w:val="BookText"/>
        <w:rPr/>
      </w:pPr>
      <w:r>
        <w:rPr>
          <w:rFonts w:ascii="IRNazanin" w:hAnsi="IRNazanin" w:eastAsia="IRNazanin"/>
          <w:color w:val="111111"/>
          <w:sz w:val="28"/>
          <w:sz w:val="28"/>
          <w:szCs w:val="28"/>
          <w:rtl w:val="true"/>
          <w:lang w:bidi="fa-IR"/>
        </w:rPr>
        <w:t xml:space="preserve">دلالة علی ما ظنّوا </w:t>
      </w:r>
      <w:r>
        <w:rPr>
          <w:rStyle w:val="FootnoteAnchor"/>
          <w:rtl w:val="true"/>
        </w:rPr>
        <w:footnoteReference w:id="15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التّوقّف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یجوز أن یکون طلبا للاستدلال و التّأمّل،کما یتوقّف النّاظرون فی کثیر من مسائل الأصول الّتی یتوصّل إلیها بالأدلّة المفضیة إلی العلم، و یتثبّتون تحرّزا من الغلط،و احتیاطا فی إصابة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تجویز کونه خطأ و صوابا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،فالوجه فیه ما ذکرناه فی خبر ابن مسعود،أو أنّ ذلک یحسن أن یقال بحیث یکون التّجویز لورود ما هو أولی من الظّاهر ثانیا،لأنّ النّاظر ربّما کان متّهما نفسه بالتّقصیر و یجوز أن یکون فی المسألة مخصّص أو معنی یقتضی العدول إلیه لم یمعن النّظر فی طلبه و الفحص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أن یمسکوا عن تخطئة المخالف و النّکیر علیه،و لأنّ الأدلّة لا تتناقض و لا تختلف،فکیف یجوز أن یرجع کلّ واحد منهم فی قوله إلی 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فقد بیّنا أنّا لا نقول أنّ مع کلّ واحد دلیلا علی الحقیقة،و إنّما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أن یکون کلّ واحد تعلّق بطریقة من الظّاهر و أدلّة النّصوص،اعتقدها دلیلا،و لا شبهة فی أنّ الأدلّة لا تتناقض،إلاّ أنّ ما یعتقد بالشّبهة دلیلا لا یجب ذلک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فأمّا الإمساک عن النکیر </w:t>
      </w:r>
      <w:r>
        <w:rPr>
          <w:rStyle w:val="FootnoteAnchor"/>
          <w:rtl w:val="true"/>
        </w:rPr>
        <w:footnoteReference w:id="1543"/>
      </w:r>
      <w:r>
        <w:rPr>
          <w:rFonts w:ascii="IRNazanin" w:hAnsi="IRNazanin" w:eastAsia="IRNazanin"/>
          <w:color w:val="111111"/>
          <w:sz w:val="28"/>
          <w:sz w:val="28"/>
          <w:szCs w:val="28"/>
          <w:rtl w:val="true"/>
          <w:lang w:bidi="fa-IR"/>
        </w:rPr>
        <w:t>و التّخطئة،فلم یمسکوا عنهما،و العلم بأنّ بعضهم خطّأ بعضا یجری مجری العلم بأنّهم اختلفوا،فدافع أحد الأمرین کدافع الآخر</w:t>
      </w:r>
      <w:r>
        <w:rPr>
          <w:rFonts w:eastAsia="IRNazanin" w:cs="IRNazanin"/>
          <w:color w:val="111111"/>
          <w:sz w:val="28"/>
          <w:szCs w:val="28"/>
          <w:rtl w:val="true"/>
          <w:lang w:bidi="fa-IR"/>
        </w:rPr>
        <w:t>.</w:t>
      </w:r>
    </w:p>
    <w:p>
      <w:pPr>
        <w:sectPr>
          <w:footerReference w:type="default" r:id="rId7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یدلّ علی ما ذکرناه ما روی عن أمیر المؤمنین علیه السّلام و قد استفتاه عمر فی امرأة وجّه إلیها،فألقت ما فی بطنها،و قد أفتاه کافّة من حضره من الصّحابة بأن لا شیء علیه،فإنّه مؤدّب فقال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هذا جهد رأیهم فقد أخطئوا،و إن کانوا قاربوک فقد غشّوک</w:t>
      </w:r>
      <w:r>
        <w:rPr>
          <w:rFonts w:eastAsia="IRNazanin" w:cs="IRNazanin"/>
          <w:color w:val="111111"/>
          <w:sz w:val="28"/>
          <w:szCs w:val="28"/>
          <w:rtl w:val="true"/>
          <w:lang w:bidi="fa-IR"/>
        </w:rPr>
        <w:t xml:space="preserve">» </w:t>
      </w:r>
      <w:r>
        <w:rPr>
          <w:rStyle w:val="FootnoteAnchor"/>
          <w:rtl w:val="true"/>
        </w:rPr>
        <w:footnoteReference w:id="1544"/>
      </w:r>
      <w:r>
        <w:rPr>
          <w:rFonts w:ascii="IRNazanin" w:hAnsi="IRNazanin" w:eastAsia="IRNazanin"/>
          <w:color w:val="111111"/>
          <w:sz w:val="28"/>
          <w:sz w:val="28"/>
          <w:szCs w:val="28"/>
          <w:rtl w:val="true"/>
          <w:lang w:bidi="fa-IR"/>
        </w:rPr>
        <w:t>،و هذا تصریح بالتّخطئة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الخبر الّذی رویناه متقدّما عنه علیه السّلام یشهد بذلک،و هو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أراد أن یتقحّم جراثیم جهنّم فلیقل فی الجدّ برأیه</w:t>
      </w:r>
      <w:r>
        <w:rPr>
          <w:rFonts w:eastAsia="IRNazanin" w:cs="IRNazanin"/>
          <w:color w:val="111111"/>
          <w:sz w:val="28"/>
          <w:szCs w:val="28"/>
          <w:rtl w:val="true"/>
          <w:lang w:bidi="fa-IR"/>
        </w:rPr>
        <w:t xml:space="preserve">» </w:t>
      </w:r>
      <w:r>
        <w:rPr>
          <w:rStyle w:val="FootnoteAnchor"/>
          <w:rtl w:val="true"/>
        </w:rPr>
        <w:footnoteReference w:id="15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عن ابن عبّاس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شاء باهلته انّ الّذی أحصی رمل عالج ما جعل للمال نصفین و ثلثا</w:t>
      </w:r>
      <w:r>
        <w:rPr>
          <w:rFonts w:eastAsia="IRNazanin" w:cs="IRNazanin"/>
          <w:color w:val="111111"/>
          <w:sz w:val="28"/>
          <w:szCs w:val="28"/>
          <w:rtl w:val="true"/>
          <w:lang w:bidi="fa-IR"/>
        </w:rPr>
        <w:t xml:space="preserve">» </w:t>
      </w:r>
      <w:r>
        <w:rPr>
          <w:rStyle w:val="FootnoteAnchor"/>
          <w:rtl w:val="true"/>
        </w:rPr>
        <w:footnoteReference w:id="15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عنه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شاء باهلته أنّ الجدّ أب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رویت المباهلة عن ابن مسعود أیضا فی قصّة أخری،و روی عن ابن عبّاس الخبر الّذی تقدّم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لا یتّقی اللّه زید بن ثابت</w:t>
      </w:r>
      <w:r>
        <w:rPr>
          <w:rFonts w:eastAsia="IRNazanin" w:cs="IRNazanin"/>
          <w:color w:val="111111"/>
          <w:sz w:val="28"/>
          <w:szCs w:val="28"/>
          <w:rtl w:val="true"/>
          <w:lang w:bidi="fa-IR"/>
        </w:rPr>
        <w:t xml:space="preserve">» </w:t>
      </w:r>
      <w:r>
        <w:rPr>
          <w:rStyle w:val="FootnoteAnchor"/>
          <w:rtl w:val="true"/>
        </w:rPr>
        <w:footnoteReference w:id="1547"/>
      </w:r>
      <w:r>
        <w:rPr>
          <w:rFonts w:ascii="IRNazanin" w:hAnsi="IRNazanin" w:eastAsia="IRNazanin"/>
          <w:color w:val="111111"/>
          <w:sz w:val="28"/>
          <w:sz w:val="28"/>
          <w:szCs w:val="28"/>
          <w:rtl w:val="true"/>
          <w:lang w:bidi="fa-IR"/>
        </w:rPr>
        <w:t>،و هذا أیضا تصریح بالتخطئة و تخویف باللّه تعالی فی المقام علی المذهب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الخبر الّذی رویناه أیضا عن عمر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أجرؤکم علی الجدّ أجرؤکم علی النّار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واضح فی هذا الباب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عن عائشة أنّها بعثت إلی زید بن أرقم،و قد اشتری ما باعه بأقلّ ممّا باعه به قبل أن یقبض الثّمن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إنّک إن لم تتب فقد بطل جهادک مع النّبی صلّی اللّه علیه و آله و سلّم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7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قیل لابن المسیّب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شریحا قضی فی مکاتب علیه 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الدّین و الکتابة بالحصص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أخطأ شریح</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فی هذا من الأخبار ما لا یحصی کثرة،و فیما أوردناه کفایة لما أردناه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ما لا یزالون یستکرهونه و یتعسّفونه من تأویل هذه الأخبار الّتی ذکرناها، مثل قولهم فی قصّة المجهضة ولدها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الخطأ و الغش إنّما أراد به ترک ما هو الأولی فی النّصح و المذهب</w:t>
      </w:r>
      <w:r>
        <w:rPr>
          <w:rFonts w:eastAsia="IRNazanin" w:cs="IRNazanin"/>
          <w:color w:val="111111"/>
          <w:sz w:val="28"/>
          <w:szCs w:val="28"/>
          <w:rtl w:val="true"/>
          <w:lang w:bidi="fa-IR"/>
        </w:rPr>
        <w:t xml:space="preserve">» </w:t>
      </w:r>
      <w:r>
        <w:rPr>
          <w:rStyle w:val="FootnoteAnchor"/>
          <w:rtl w:val="true"/>
        </w:rPr>
        <w:footnoteReference w:id="1548"/>
      </w:r>
      <w:r>
        <w:rPr>
          <w:rFonts w:ascii="IRNazanin" w:hAnsi="IRNazanin" w:eastAsia="IRNazanin"/>
          <w:color w:val="111111"/>
          <w:sz w:val="28"/>
          <w:sz w:val="28"/>
          <w:szCs w:val="28"/>
          <w:rtl w:val="true"/>
          <w:lang w:bidi="fa-IR"/>
        </w:rPr>
        <w:t>،و أنّ ابن عبّاس دعا إلی المباهلة لأنّه خطّئ فی اجتهاده، فدعا من خطّأه فی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فی نفس المذهب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المباهلة،و إنّ ذکر جهنّم و النّار علی سبیل التّشدّد و التّحرّز،و أنّ ذلک تخویف لمن أقدم علیه من غیر فکر و لا تحفّظ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حدیث إحباط الجهاد،أنّ ذلک مشروط بأن یکون ذاکرا للخبر المقتضی لخلاف قوله،إلی غیر ذلک ممّا یتناولون به الأخبار الواردة فی هذا المعنی،فکلّه عدول عن ظواهر الأخبار و حملها علی ما لم تحتمله،و ذلک إنّما یسوغ إن ساغ،متی ثبت لنا تصویب القوم بعضهم لبعض فی مذاهبهم من وجه لا یحتمله التّأویل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و لا شیء نذکر فی ذلک إلاّ و هو محتمل للتّصویب و غیره علی ما ذکرناه و سنذکره،فلا وجه للالتفات إلی تأویلاتهم البعیدة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و إن صوّبنا المجتهدین،فلیس نمنع من أن یکون فی جملة المسائل ما الحق فیه فی واحد،فلا یسوغ فی مثله الاجتهاد،و أکثر ما تقتضیه الأخبار الّتی رویتموها أن یکون الاجتهاد غیر سائغ فی هذه المسائل بعینها،و هذا لا یدلّ علی أنّ سائر المسائل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فرق بین هذه المسائل الّتی روینا فیها الأخبار و بین غیرها،و لیس لها صفة تباین بها ما عداها من مسائل الاجتهاد،أ لا یرون أنّه لا نصّ فی شیء منها یقطع العذر،کما أنّ ذلک لیس فی غیرها من مسائل الاجتهاد،و إذا لم یتمیّز من غیرها بصفة لم یسغ ما ادّعیتموه،و اشترک الکلّ فی جواز الاجتهاد فیه أو المنع منه</w:t>
      </w:r>
      <w:r>
        <w:rPr>
          <w:rFonts w:eastAsia="IRNazanin" w:cs="IRNazanin"/>
          <w:color w:val="111111"/>
          <w:sz w:val="28"/>
          <w:szCs w:val="28"/>
          <w:rtl w:val="true"/>
          <w:lang w:bidi="fa-IR"/>
        </w:rPr>
        <w:t>.</w:t>
      </w:r>
    </w:p>
    <w:p>
      <w:pPr>
        <w:sectPr>
          <w:footerReference w:type="default" r:id="rId7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استدلّوا أیضا بأن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لیس تخلو أقوالهم فی هذه المسائل الّتی أضافوها </w:t>
      </w:r>
    </w:p>
    <w:p>
      <w:pPr>
        <w:pStyle w:val="BookText"/>
        <w:rPr/>
      </w:pPr>
      <w:r>
        <w:rPr>
          <w:rFonts w:ascii="IRNazanin" w:hAnsi="IRNazanin" w:eastAsia="IRNazanin"/>
          <w:color w:val="111111"/>
          <w:sz w:val="28"/>
          <w:sz w:val="28"/>
          <w:szCs w:val="28"/>
          <w:rtl w:val="true"/>
          <w:lang w:bidi="fa-IR"/>
        </w:rPr>
        <w:t>إلی آرائهم و أمثالها من أن یکونوا ذهبوا إلیها من طرق الأدلّة الموجبة للعلم،أو من جهة الاجتهاد و القیاس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لوجب أن یکون الحقّ فی واحد من الأقوال دون جمیعها، و لوجب أن یکون ما عدا المذهب الواحد و الّذی هو الحقّ منها باطلا خطأ،و لو کان کذلک لوجب أن یقطعوا ولایة قائله،و یبرءوا منه،و یلعنوه،و لا یعظّموه،أ لا تری أنّهم فی أمور کثیرة خرجوا إلی المقاتلة،و رجعوا عن التّعظیم و الولایة،لما لم یکن من باب الاجتهادیات،و لو کان الکلّ واحدا لفعلوا فی جمیعه فعلا واحدا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الأمر أیضا علی خلاف قولنا،لم یحسن أن یولّی بعضهم بعضا مع علمه بخلافه علیه فی مذهبه،کما ولّی أمیر المؤمنین علیه السّلام شریحا مع علمه بخلافه له فی کثیر من الأحکام،و کما ولّی أبو بکر زیدا و هو یخالف فی الجدّ،فلو لا اعتقاد المولّی أنّ المولی محقّ،و أنّ الّذی یذهب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مخالفا لمذهبه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صواب لم یجز ذلک،و لا جاز أیضا أن یسوغ له الفتیا و یحیل علیه بها،و قد کانوا یفعلون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کان یجب أن ینقض بعضهم علی بعض الأحکام الّتی یخالفه فیها لمّا تمکّن من ذلک،و أن ینقض الواحد علی نفسه ما حکم به لهم فی حال ثمّ رجع إلی ما یخالفه فی أخری،لأنّ کثیرا منهم قد قضی بقضایا مختلفة و لم ینقض علی نفسه ما تقدّم،فلو لا أنّ الکلّ عندهم صواب لم یسغ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اختلفوا فیما لو کان خطأ لکان کبیرا،نحو اختلافهم فی الفروج، و الدّماء،و الأموال،و قضی بعضهم بإراقة الدّم،و إباحة المال و الفرج،فلو کان منهم من أخطأ،لم یجز أن یکون خطأه کبیرا،و یکون سبیله سبیل من ابتدأ إراقة دم محرّم بغیر حقّ،و أخذ مالا عظیما بغیر حقّ،و إعطاء من لا یستحقّه،و فی ذلک تفسیقه و وجوب البراءة منه</w:t>
      </w:r>
      <w:r>
        <w:rPr>
          <w:rFonts w:eastAsia="IRNazanin" w:cs="IRNazanin"/>
          <w:color w:val="111111"/>
          <w:sz w:val="28"/>
          <w:szCs w:val="28"/>
          <w:rtl w:val="true"/>
          <w:lang w:bidi="fa-IR"/>
        </w:rPr>
        <w:t>.</w:t>
      </w:r>
    </w:p>
    <w:p>
      <w:pPr>
        <w:sectPr>
          <w:footerReference w:type="default" r:id="rId7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علمنا بفقد کلّ ذلک دلیل علی أنّهم قالوا بالاجتهاد و أنّ الجماعة </w:t>
      </w:r>
    </w:p>
    <w:p>
      <w:pPr>
        <w:pStyle w:val="BookText"/>
        <w:rPr/>
      </w:pPr>
      <w:r>
        <w:rPr>
          <w:rFonts w:ascii="IRNazanin" w:hAnsi="IRNazanin" w:eastAsia="IRNazanin"/>
          <w:color w:val="111111"/>
          <w:sz w:val="28"/>
          <w:sz w:val="28"/>
          <w:szCs w:val="28"/>
          <w:rtl w:val="true"/>
          <w:lang w:bidi="fa-IR"/>
        </w:rPr>
        <w:t>مصیبون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الطّریقة هی عمدتهم فی أنّ کلّ مجتهد مصیب فی أحکام الشّریعة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تنکرون أن یکون الخطأ الواقع ینقسم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ما یوجب البراءة،و حمل السّلاح،و اللّعن،و قطع الولایة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إلی ما لا یوجب شیئا من ذلک،و أن یکون اشتراک الفعلین فی کونهما خطأ لا یقتضی اشتراکهما فیما یستحقّ علیهما و یعامل به فاعلهما،أ لا یری أنّ </w:t>
      </w:r>
      <w:r>
        <w:rPr>
          <w:rStyle w:val="FootnoteAnchor"/>
          <w:rtl w:val="true"/>
        </w:rPr>
        <w:footnoteReference w:id="1549"/>
      </w:r>
      <w:r>
        <w:rPr>
          <w:rFonts w:ascii="IRNazanin" w:hAnsi="IRNazanin" w:eastAsia="IRNazanin"/>
          <w:color w:val="111111"/>
          <w:sz w:val="28"/>
          <w:sz w:val="28"/>
          <w:szCs w:val="28"/>
          <w:rtl w:val="true"/>
          <w:lang w:bidi="fa-IR"/>
        </w:rPr>
        <w:t xml:space="preserve">الصّغیرة تشارک الکبیرة فی القبح و الخطأ،فلا </w:t>
      </w:r>
      <w:r>
        <w:rPr>
          <w:rStyle w:val="FootnoteAnchor"/>
          <w:rtl w:val="true"/>
        </w:rPr>
        <w:footnoteReference w:id="1550"/>
      </w:r>
      <w:r>
        <w:rPr>
          <w:rFonts w:ascii="IRNazanin" w:hAnsi="IRNazanin" w:eastAsia="IRNazanin"/>
          <w:color w:val="111111"/>
          <w:sz w:val="28"/>
          <w:sz w:val="28"/>
          <w:szCs w:val="28"/>
          <w:rtl w:val="true"/>
          <w:lang w:bidi="fa-IR"/>
        </w:rPr>
        <w:t>یدلّ ذلک علی تساویهما فیما یعامل به فاعلهما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الزّنا </w:t>
      </w:r>
      <w:r>
        <w:rPr>
          <w:rStyle w:val="FootnoteAnchor"/>
          <w:rtl w:val="true"/>
        </w:rPr>
        <w:footnoteReference w:id="1551"/>
      </w:r>
      <w:r>
        <w:rPr>
          <w:rFonts w:ascii="IRNazanin" w:hAnsi="IRNazanin" w:eastAsia="IRNazanin"/>
          <w:color w:val="111111"/>
          <w:sz w:val="28"/>
          <w:sz w:val="28"/>
          <w:szCs w:val="28"/>
          <w:rtl w:val="true"/>
          <w:lang w:bidi="fa-IR"/>
        </w:rPr>
        <w:t>و الکفر یشترکان فی القبح و المعصیة،و لا یجب تساویهما فی سائر الأحکام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جاز اشتراک الشّیئین فی القبح مع اختلافهما فیما یستحقّ علیهما،لم یمتنع أن یکون الحقّ فی أحد ما قاله القوم،و ما عداه خطأ،و لا یجب مساواة ذلک الخطأ لما یوجب من الخطأ التّبرّی،و اللّعن،و حمل السّلاح،و الحرب</w:t>
      </w:r>
      <w:r>
        <w:rPr>
          <w:rFonts w:eastAsia="IRNazanin" w:cs="IRNazanin"/>
          <w:color w:val="111111"/>
          <w:sz w:val="28"/>
          <w:szCs w:val="28"/>
          <w:rtl w:val="true"/>
          <w:lang w:bidi="fa-IR"/>
        </w:rPr>
        <w:t>.</w:t>
      </w:r>
    </w:p>
    <w:p>
      <w:pPr>
        <w:sectPr>
          <w:footerReference w:type="default" r:id="rId7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یقال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لیس الصّحابة قد اختلفت قبل العقد لأبی بکر حتّی قالت الأنصار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 أمیر و منکم أمیر؟</w:t>
      </w:r>
      <w:r>
        <w:rPr>
          <w:rFonts w:eastAsia="IRNazanin" w:cs="IRNazanin"/>
          <w:color w:val="111111"/>
          <w:sz w:val="28"/>
          <w:szCs w:val="28"/>
          <w:rtl w:val="true"/>
          <w:lang w:bidi="fa-IR"/>
        </w:rPr>
        <w:t xml:space="preserve">» </w:t>
      </w:r>
      <w:r>
        <w:rPr>
          <w:rStyle w:val="FootnoteAnchor"/>
          <w:rtl w:val="true"/>
        </w:rPr>
        <w:footnoteReference w:id="1552"/>
      </w:r>
      <w:r>
        <w:rPr>
          <w:rFonts w:ascii="IRNazanin" w:hAnsi="IRNazanin" w:eastAsia="IRNazanin"/>
          <w:color w:val="111111"/>
          <w:sz w:val="28"/>
          <w:sz w:val="28"/>
          <w:szCs w:val="28"/>
          <w:rtl w:val="true"/>
          <w:lang w:bidi="fa-IR"/>
        </w:rPr>
        <w:t>فإذا اعترفوا به و لا بدّ منه،قیل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و لیس الّذین دعوا إلی ذلک مخطئین لمخالفتهم الخبر المأثور عن النّبی صلّی اللّه علیه و آله و سلّم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الأئمّة من قریش</w:t>
      </w:r>
      <w:r>
        <w:rPr>
          <w:rFonts w:eastAsia="IRNazanin" w:cs="IRNazanin"/>
          <w:color w:val="111111"/>
          <w:sz w:val="28"/>
          <w:szCs w:val="28"/>
          <w:rtl w:val="true"/>
          <w:lang w:bidi="fa-IR"/>
        </w:rPr>
        <w:t xml:space="preserve">» </w:t>
      </w:r>
      <w:r>
        <w:rPr>
          <w:rStyle w:val="FootnoteAnchor"/>
          <w:rtl w:val="true"/>
        </w:rPr>
        <w:footnoteReference w:id="1553"/>
      </w:r>
      <w:r>
        <w:rPr>
          <w:rFonts w:ascii="IRNazanin" w:hAnsi="IRNazanin" w:eastAsia="IRNazanin"/>
          <w:color w:val="111111"/>
          <w:sz w:val="28"/>
          <w:sz w:val="28"/>
          <w:szCs w:val="28"/>
          <w:rtl w:val="true"/>
          <w:lang w:bidi="fa-IR"/>
        </w:rPr>
        <w:t xml:space="preserve">فلا بدّ من الإقرار بخطئهم؟ </w:t>
      </w:r>
    </w:p>
    <w:p>
      <w:pPr>
        <w:pStyle w:val="BookText"/>
        <w:rPr/>
      </w:pPr>
      <w:r>
        <w:rPr>
          <w:rFonts w:ascii="IRNazanin" w:hAnsi="IRNazanin" w:eastAsia="IRNazanin"/>
          <w:color w:val="111111"/>
          <w:sz w:val="28"/>
          <w:sz w:val="28"/>
          <w:szCs w:val="28"/>
          <w:rtl w:val="true"/>
          <w:lang w:bidi="fa-IR"/>
        </w:rPr>
        <w:t>فیقال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فتقولون إنّهم کانوا فسّاقا،ضلاّلا،یستحقّون اللّعن و البراءة و الحرب؟ فإن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نعم،لزمهم تفسیق الأنصار،و لعنهم،و البراءة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أقبح ممّا یعیبونه علی من یرمونه بالرّفض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 لم یصرّوا علی ذلک،بل راجعوا الحقّ،فلم یستحقّوا تفسیقا و لا براءة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کلامنا علیهم قبل التّسلیم و سماع الخبر،و علی ما قضیتم به یجب أن یکونوا فی تلک الحال فسّاقا یستحقّون البراءة و اللّعن و العدول عن الولایة و التّعظیم، و هذا ممّا لم یقله أحد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فیهم من لم یرجع بعد سماع الخبر و أقام علی أمره،فیجب أن یحکموا فیه بکلّ الّذی ذکرناه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الأنصار لم تفسّق بما دعت إلیه،و إن کان الحقّ فی خلاف قولها، و لا استحقّت اللّعن و البراءة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تنکرون أن یکون الحقّ فی أحد ما قالته الصّحابة من المسائل الّتی ذکرتموها دون ما عداه،و أن یکون من خالفه لا یستحقّ شیئا ممّا ذکرتم؟ و یسألون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هذا الوجه فی جمیع ما اختلفت فیه الصّحابة ممّا الحقّ فیه فی کلّ واحد،کاختلافهم فی مانعی الزکاة هل یستحقّون القتال؟،و غیر ذلک من المسائل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إذا کان من فارق الحقّ فی مثل هذه المسائل من الصّحابة قد أخطأ،أن یکون فی تلک الحال فاسقا،منقطع الولایة،ملعونا،مستحقّا للمحاربة</w:t>
      </w:r>
      <w:r>
        <w:rPr>
          <w:rFonts w:eastAsia="IRNazanin" w:cs="IRNazanin"/>
          <w:color w:val="111111"/>
          <w:sz w:val="28"/>
          <w:szCs w:val="28"/>
          <w:rtl w:val="true"/>
          <w:lang w:bidi="fa-IR"/>
        </w:rPr>
        <w:t>.</w:t>
      </w:r>
    </w:p>
    <w:p>
      <w:pPr>
        <w:sectPr>
          <w:footerReference w:type="default" r:id="rId7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یسألون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قضاء عمر فی الحامل المعترفة بالزّنا بالرّجم،حتّی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Style w:val="FootnoteAnchor"/>
          <w:rtl w:val="true"/>
        </w:rPr>
        <w:footnoteReference w:id="1554"/>
      </w:r>
      <w:r>
        <w:rPr>
          <w:rFonts w:ascii="IRNazanin" w:hAnsi="IRNazanin" w:eastAsia="IRNazanin"/>
          <w:color w:val="111111"/>
          <w:sz w:val="28"/>
          <w:sz w:val="28"/>
          <w:szCs w:val="28"/>
          <w:rtl w:val="true"/>
          <w:lang w:bidi="fa-IR"/>
        </w:rPr>
        <w:t>أمیر 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کان لک علیها سبیل فلا سبیل لک علی ما فی </w:t>
      </w:r>
    </w:p>
    <w:p>
      <w:pPr>
        <w:pStyle w:val="BookText"/>
        <w:rPr/>
      </w:pPr>
      <w:r>
        <w:rPr>
          <w:rFonts w:ascii="IRNazanin" w:hAnsi="IRNazanin" w:eastAsia="IRNazanin"/>
          <w:color w:val="111111"/>
          <w:sz w:val="28"/>
          <w:sz w:val="28"/>
          <w:szCs w:val="28"/>
          <w:rtl w:val="true"/>
          <w:lang w:bidi="fa-IR"/>
        </w:rPr>
        <w:t>بطنها</w:t>
      </w:r>
      <w:r>
        <w:rPr>
          <w:rFonts w:eastAsia="IRNazanin" w:cs="IRNazanin"/>
          <w:color w:val="111111"/>
          <w:sz w:val="28"/>
          <w:szCs w:val="28"/>
          <w:rtl w:val="true"/>
          <w:lang w:bidi="fa-IR"/>
        </w:rPr>
        <w:t xml:space="preserve">» </w:t>
      </w:r>
      <w:r>
        <w:rPr>
          <w:rStyle w:val="FootnoteAnchor"/>
          <w:rtl w:val="true"/>
        </w:rPr>
        <w:footnoteReference w:id="15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فیقال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تقولون إنّ قضاءه بذلک حقّ؟ فإن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نعم،غلطوا و فارقوا ما علیه الأمّة،لأنّ الکلّ یقولون لا یجوز رجمها و هی حامل،و فی رجوع عمر إلی قول أمیر المؤمنین علیه السّلام،و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 علیّ لهلک عمر</w:t>
      </w:r>
      <w:r>
        <w:rPr>
          <w:rFonts w:eastAsia="IRNazanin" w:cs="IRNazanin"/>
          <w:color w:val="111111"/>
          <w:sz w:val="28"/>
          <w:szCs w:val="28"/>
          <w:rtl w:val="true"/>
          <w:lang w:bidi="fa-IR"/>
        </w:rPr>
        <w:t xml:space="preserve">» </w:t>
      </w:r>
      <w:r>
        <w:rPr>
          <w:rStyle w:val="FootnoteAnchor"/>
          <w:rtl w:val="true"/>
        </w:rPr>
        <w:footnoteReference w:id="1556"/>
      </w:r>
      <w:r>
        <w:rPr>
          <w:rFonts w:ascii="IRNazanin" w:hAnsi="IRNazanin" w:eastAsia="IRNazanin"/>
          <w:color w:val="111111"/>
          <w:sz w:val="28"/>
          <w:sz w:val="28"/>
          <w:szCs w:val="28"/>
          <w:rtl w:val="true"/>
          <w:lang w:bidi="fa-IR"/>
        </w:rPr>
        <w:t>،دلالة علی تنبیه الخطأ فی قضیّته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فیقال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تقولون إذا کان قد أخطأ أنّه مستحقّ اللّعن و البراءة و التّفسیق،فلا بدّ لهم من أن ینفوا ذلک،و یجعلوا الخطأ الواقع منه ممّا لا یقتضی تفسیقا و لا براءة، فیقال فی المجتهدین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الخطأ الّذی لم تقم الدّلالة علی أنّه فسق،یجوز أن یکون فسقا، و أن یکون صاحبه مستحقّا لقطع الولایة و اللّعن و البراءة،فیقولون فی الصّحابة مثل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هکذا یجب أن یقال،و إنّما منعنا من إیجابکم تفسیقهم و الرّجوع عن ولایتهم باختلافهم فی مسائل الاجتهاد،و أعلمناکم أنّ ذلک لا یجب فی کلّ خطأ و معصیة،و لیس هذا ممّا یوحش،فإنّ تجویز کون خطئهم فی حوادث الشّرع کبیرا من حیث لا یعلم،کتجویز کلّ أحد علیهم أن یکون مستسرا بکبیرة یجب لها قطع الولایة،و یستحقّ بها البراءة و اللّعن،غیر أنّ تجویز ذلک علیهم فی حوادث الشّرع لا یوجب الإقدام علی قطع ولایتهم و إسقاط تعظیمهم،کما أنّ تجویز الکبائر علیهم لا یوجب ذلک،و إنّما یوجبه تیقّن وقوع الکبائر منهم</w:t>
      </w:r>
      <w:r>
        <w:rPr>
          <w:rFonts w:eastAsia="IRNazanin" w:cs="IRNazanin"/>
          <w:color w:val="111111"/>
          <w:sz w:val="28"/>
          <w:szCs w:val="28"/>
          <w:rtl w:val="true"/>
          <w:lang w:bidi="fa-IR"/>
        </w:rPr>
        <w:t>.</w:t>
      </w:r>
    </w:p>
    <w:p>
      <w:pPr>
        <w:sectPr>
          <w:footerReference w:type="default" r:id="rId7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فیمن یوافقنا فی کون الحقّ فی هذه المسائل فی واحد،من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آمن من کون خطائهم فی حوادث الشّرع کبیرا من حیث الإجماع،و الأوّل أمرّ علی النّظر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علی أنّ مذهبنا فیمن جمع بین الإیمان و المعصیة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معروف،و عندنا أنّ معاصی المؤمنین من أهل الصّلاة لا تسقط ولایته و تعظیمه،و المعاصی عندنا و إن کان جمیعها کبیرا،و أنّها تسمّی صغائر بالإضافة،فلیس یجوز أن نلعن فاعلها،أو نحاربه،أو نحدّه،أو نستعمل معه الأحکام الّتی تستعمل مع العصاة،إلاّ بتوقیف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تستعمل هذه الأحکام مع بعض عصاة أهل الصّلاة بالتّوقیف،و ما لم یرد فیه سمع من معاصیهم لا تقدم علی المساواة بینه و بین غیره فیما ذکرناه،بل یقتصر علی الذّم المشروط أیضا ببقاء استحقاق العقاب،لأنّا نجوّز من إسقاط اللّه تعالی لعقابهم تفضّلا ما یمنع من استحقاقهم الذّم،کما منع من استحقاق العقاب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فالقول فیما ذکرناه واضح،و ما ألزموناه باطل علی کلّ مذهب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فأمّا تعلّقهم بولایة بعضهم بعضا مع المخالفة فی المذهب،و أنّ ذلک یدلّ علی التّصویب،فلیس علی ما ظنّوا،و ذلک أنّه لم یولّ أحد منهم والیا،لا شریحا و لا زیدا و لا غیرهما،إلاّ علی ان یحکم بکتاب اللّه تعالی،و سنّة نبیّه صلّی اللّه علیه و آله و سلّم و ما أجمع علیه المسلمون،و لا یتجافوا </w:t>
      </w:r>
      <w:r>
        <w:rPr>
          <w:rStyle w:val="FootnoteAnchor"/>
          <w:rtl w:val="true"/>
        </w:rPr>
        <w:footnoteReference w:id="1557"/>
      </w:r>
      <w:r>
        <w:rPr>
          <w:rFonts w:ascii="IRNazanin" w:hAnsi="IRNazanin" w:eastAsia="IRNazanin"/>
          <w:color w:val="111111"/>
          <w:sz w:val="28"/>
          <w:sz w:val="28"/>
          <w:szCs w:val="28"/>
          <w:rtl w:val="true"/>
          <w:lang w:bidi="fa-IR"/>
        </w:rPr>
        <w:t xml:space="preserve">الحقّ فی الحوادث،و لا یتعدّاه، و إذا قلّده بهذا الشّرط لم یمکن أن یقال إنّه یسوّغ </w:t>
      </w:r>
      <w:r>
        <w:rPr>
          <w:rStyle w:val="FootnoteAnchor"/>
          <w:rtl w:val="true"/>
        </w:rPr>
        <w:footnoteReference w:id="1558"/>
      </w:r>
      <w:r>
        <w:rPr>
          <w:rFonts w:ascii="IRNazanin" w:hAnsi="IRNazanin" w:eastAsia="IRNazanin"/>
          <w:color w:val="111111"/>
          <w:sz w:val="28"/>
          <w:sz w:val="28"/>
          <w:szCs w:val="28"/>
          <w:rtl w:val="true"/>
          <w:lang w:bidi="fa-IR"/>
        </w:rPr>
        <w:t>له الحکم بخلاف مذهبه،لأنّهم لا یتمکّنون من أن یقولوا إنّه نصّ له علی شیء ممّا یخالفه فیه،و إباحة الحکم فیه بخلاف رأیه</w:t>
      </w:r>
      <w:r>
        <w:rPr>
          <w:rFonts w:eastAsia="IRNazanin" w:cs="IRNazanin"/>
          <w:color w:val="111111"/>
          <w:sz w:val="28"/>
          <w:szCs w:val="28"/>
          <w:rtl w:val="true"/>
          <w:lang w:bidi="fa-IR"/>
        </w:rPr>
        <w:t>.</w:t>
      </w:r>
    </w:p>
    <w:p>
      <w:pPr>
        <w:sectPr>
          <w:footerReference w:type="default" r:id="rId7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جملة ما نقوله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لیس لأحد أن یقلّد حاکما علی أن یحکم بمذهب کذا،أو یقضی برأی فلان،بل یقلّده علی أن یحکم بالکتاب و السنّة و الإجماع،و لم یولّ القوم أحدا إلاّ علی هذا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فأمّا تعلّقهم بتسویغ الفتیا،و إحالة بعضهم علی بعض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فغیر صحیح،و ذلک إنّهم یدّعون فی تسویغ الفتیا ما لا نعلمه،و کیف یسوّغون الفتیا علی جهة التّصویب لها؟و نحن نعلم أنّ بعضهم قد ردّ علی بعض و خطّأه، و خوّفه باللّه تعالی من المقام علی الهوی،و هذا غایة النّکیر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إنّ أرادوا أنّهم سوّغوها </w:t>
      </w:r>
      <w:r>
        <w:rPr>
          <w:rStyle w:val="FootnoteAnchor"/>
          <w:rtl w:val="true"/>
        </w:rPr>
        <w:footnoteReference w:id="1559"/>
      </w:r>
      <w:r>
        <w:rPr>
          <w:rFonts w:ascii="IRNazanin" w:hAnsi="IRNazanin" w:eastAsia="IRNazanin"/>
          <w:color w:val="111111"/>
          <w:sz w:val="28"/>
          <w:sz w:val="28"/>
          <w:szCs w:val="28"/>
          <w:rtl w:val="true"/>
          <w:lang w:bidi="fa-IR"/>
        </w:rPr>
        <w:t>من حیث لم ینقضوها و یبطلوا الأحکام المخالفة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فذلک لیس بتسویغ،و سنتکلّم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نعرف أیضا أحدا منهم أرشد فی الفتیا إلی من یخالفه فیما یخالفه فیه،و لا یقدرون علی أن یعیّنوا واحدا فعل ذلک،و إنّما کانوا یحیلون بالفتیا فی الجملة علی أهل العلم،و العاملین بالحقّ،و التّفصیل غیر معلوم من الجملة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فامّا إلزامهم 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ینقض بعضهم علی بعض حکمه،و الواحد علی نفسه فیما حکم به و رجع </w:t>
      </w:r>
      <w:r>
        <w:rPr>
          <w:rStyle w:val="FootnoteAnchor"/>
          <w:rtl w:val="true"/>
        </w:rPr>
        <w:footnoteReference w:id="1560"/>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فغیر واجب،لأنّ إقرار الحکم و ورود العبادة بالإمساک عن نقضه لا یوجب کونه صوابا،أ لا تری أنّا قد نقرّ أهل الذّمّة علی ابتیاعاتهم الفاسدة،و مناکحتهم الباطلة إذا أدّوا الجزیة،و نقتصر فی إنکاره علی إظهار الخلاف،مع أنّا لا نری شیئا من ذلک صوابا،فلیس مجیء العبادة بإقرار حکم من الأحکام مع النّهی عنه ممّا یفسد أو یستحیل،و سبیل ذلک سبیل ابتداء العبادة به فکما یجوز ورودها بهذا الحکم ابتداء جاز ورودها بإقراره بعد وقوعه،و إن کان خطأ</w:t>
      </w:r>
      <w:r>
        <w:rPr>
          <w:rFonts w:eastAsia="IRNazanin" w:cs="IRNazanin"/>
          <w:color w:val="111111"/>
          <w:sz w:val="28"/>
          <w:szCs w:val="28"/>
          <w:rtl w:val="true"/>
          <w:lang w:bidi="fa-IR"/>
        </w:rPr>
        <w:t>.</w:t>
      </w:r>
    </w:p>
    <w:p>
      <w:pPr>
        <w:sectPr>
          <w:footerReference w:type="default" r:id="rId7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أنّه قد ورد أنّ شریحا قضی فی ابنی عمّ أحدهما أخ لأمّه بمذهب ابن مسعود فنقض أمیر المؤمنین علیه السّلام حکمه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أیّ کتاب وجدت ذلک، أو فی أیّ 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هذا یبطل دعوی من ادّعی أنّ أحدا منهم لم ینقض حکم من خالفه </w:t>
      </w:r>
    </w:p>
    <w:p>
      <w:pPr>
        <w:pStyle w:val="BookText"/>
        <w:rPr/>
      </w:pPr>
      <w:r>
        <w:rPr>
          <w:rFonts w:ascii="IRNazanin" w:hAnsi="IRNazanin" w:eastAsia="IRNazanin"/>
          <w:color w:val="111111"/>
          <w:sz w:val="28"/>
          <w:sz w:val="28"/>
          <w:szCs w:val="28"/>
          <w:rtl w:val="true"/>
          <w:lang w:bidi="fa-IR"/>
        </w:rPr>
        <w:t>علی العموم،و القول فی نقض الواحد منهم علی نفسه یجری علی الوجه الّذی ذکرناه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فامّا تعلّقهم بأنّ الخطأ فی الدّماء و الفروج،و الأموال،لا یکون إلاّ کبیرا فظاهر البطلان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لأنّا نقول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زعمتم أنّ الحکم بإراقة الدّم،و إباحة الفروج،و الأموال،لا یکون إلاّ کبیرا؟ و لم إذا کان کبیرا فی بعض المواضع،و من بعض الفاعلین،وجب أن یکون کذلک فی کلّ حال و من کلّ فاعل؟ أو لا ترون أنّه قد یشترک </w:t>
      </w:r>
      <w:r>
        <w:rPr>
          <w:rStyle w:val="FootnoteAnchor"/>
          <w:rtl w:val="true"/>
        </w:rPr>
        <w:footnoteReference w:id="1561"/>
      </w:r>
      <w:r>
        <w:rPr>
          <w:rFonts w:ascii="IRNazanin" w:hAnsi="IRNazanin" w:eastAsia="IRNazanin"/>
          <w:color w:val="111111"/>
          <w:sz w:val="28"/>
          <w:sz w:val="28"/>
          <w:szCs w:val="28"/>
          <w:rtl w:val="true"/>
          <w:lang w:bidi="fa-IR"/>
        </w:rPr>
        <w:t>فاعلان فی إراقة دم غیر مستحقّ و یکون فعل أحدهما کفرا و الآخر غیر کفر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جاز ذلک لم یمتنع أن یشترک فاعلان أیضا فی إراقة دم و یکون من أحدهما فسقا و کبیرا،و لا یکون من الآخر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یسألون عمّا اختلفت فیه الصّحابة و کان الحقّ فیه فی أحد الأقوال کاختلافهم فی مانعی الزّکاة و هل یستحقّون القتال؟و اختلافهم فی الإمامة یوم السّقیفة؟ و یقال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أن یکون خطأهم کبیرا،لأنّهم مخالفون للنّصوص،و ما الحقّ فیه فی واحد،و یجب أن یکونوا بمنزلة من ابتدأ خلاف النّصوص فی غیر ذلک،فکلّ شیء یعتذرون به و یفصّلون قوبلوا بمثله</w:t>
      </w:r>
      <w:r>
        <w:rPr>
          <w:rFonts w:eastAsia="IRNazanin" w:cs="IRNazanin"/>
          <w:color w:val="111111"/>
          <w:sz w:val="28"/>
          <w:szCs w:val="28"/>
          <w:rtl w:val="true"/>
          <w:lang w:bidi="fa-IR"/>
        </w:rPr>
        <w:t>.</w:t>
      </w:r>
    </w:p>
    <w:p>
      <w:pPr>
        <w:sectPr>
          <w:footerReference w:type="default" r:id="rId7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أنّهم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قتلا وقع من موسی علیه السّلام صغیرة،و لا یلزمهم أن یکون کلّ قتل صغیرة،و لا إذا حکموا بکبر القتل منّا أن یحکموا بکبره من موسی علیه السّلام،فکیف سوّغ مع ذلک أن یلزموا مخالفهم فی نفی القیاس ما اعتمدوه؟ و تعلّقوا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روی من أنّ النّبی صلّی اللّه علیه و آله و سلّم لما أنفذ معاذ إلی الیمن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ذا تقضی؟قال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بکتاب اللّه،قال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لم تجد فی کتاب اللّه؟قال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بسنّة رسول اللّه صلّی اللّه علیه و آله و سلّم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لم تجد؟قال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اجتهد رأیی </w:t>
      </w:r>
      <w:r>
        <w:rPr>
          <w:rStyle w:val="FootnoteAnchor"/>
          <w:rtl w:val="true"/>
        </w:rPr>
        <w:footnoteReference w:id="1562"/>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الّذی وفّق رسول رسول اللّه لما یرضاه رسول اللّه صلّی اللّه علیه و آله و سلّم </w:t>
      </w:r>
      <w:r>
        <w:rPr>
          <w:rStyle w:val="FootnoteAnchor"/>
          <w:rtl w:val="true"/>
        </w:rPr>
        <w:footnoteReference w:id="15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بما قد روی عن ابن مسعود مثل ذلک،و هو أنّه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اقض بالکتاب و السّنة إذا وجدتهما،فإذا لم تجد الحکم فیهما فاجتهد رأیک</w:t>
      </w:r>
      <w:r>
        <w:rPr>
          <w:rFonts w:eastAsia="IRNazanin" w:cs="IRNazanin"/>
          <w:color w:val="111111"/>
          <w:sz w:val="28"/>
          <w:szCs w:val="28"/>
          <w:rtl w:val="true"/>
          <w:lang w:bidi="fa-IR"/>
        </w:rPr>
        <w:t xml:space="preserve">» </w:t>
      </w:r>
      <w:r>
        <w:rPr>
          <w:rStyle w:val="FootnoteAnchor"/>
          <w:rtl w:val="true"/>
        </w:rPr>
        <w:footnoteReference w:id="15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بما روی عن عمر فی رسالته المشهورة إلی أبی موسی الأشعری أنّه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 الأمور برأیک</w:t>
      </w:r>
      <w:r>
        <w:rPr>
          <w:rFonts w:eastAsia="IRNazanin" w:cs="IRNazanin"/>
          <w:color w:val="111111"/>
          <w:sz w:val="28"/>
          <w:szCs w:val="28"/>
          <w:rtl w:val="true"/>
          <w:lang w:bidi="fa-IR"/>
        </w:rPr>
        <w:t xml:space="preserve">» </w:t>
      </w:r>
      <w:r>
        <w:rPr>
          <w:rStyle w:val="FootnoteAnchor"/>
          <w:rtl w:val="true"/>
        </w:rPr>
        <w:footnoteReference w:id="15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الکلام علی ما ذکروه من وجوه</w:t>
      </w:r>
      <w:r>
        <w:rPr>
          <w:rFonts w:eastAsia="IRNazanin" w:cs="IRNazanin"/>
          <w:color w:val="111111"/>
          <w:sz w:val="28"/>
          <w:szCs w:val="28"/>
          <w:rtl w:val="true"/>
          <w:lang w:bidi="fa-IR"/>
        </w:rPr>
        <w:t>.</w:t>
      </w:r>
    </w:p>
    <w:p>
      <w:pPr>
        <w:sectPr>
          <w:footerReference w:type="default" r:id="rId7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هذه أخبار آحاد لا تقبل فی مثل هذه المسألة الّتی طریق إثباتها العلم المقطوع علی صحّته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 الأصول لو ثبتت بأخبار الآحاد لم یجز ثبوتها بمثل خبر معاذ،لأنّ رواته مجهولون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رواه جماعة من أصحاب معاذ،و لم یذکروا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علی أنّ روایته قد وردت مختلفة فجاء فی بعضها أنّه لما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أجتهد رأیی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علیه السّلام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اکتب إلیّ أکتب إلیک</w:t>
      </w:r>
      <w:r>
        <w:rPr>
          <w:rFonts w:eastAsia="IRNazanin" w:cs="IRNazanin"/>
          <w:color w:val="111111"/>
          <w:sz w:val="28"/>
          <w:szCs w:val="28"/>
          <w:rtl w:val="true"/>
          <w:lang w:bidi="fa-IR"/>
        </w:rPr>
        <w:t xml:space="preserve">» </w:t>
      </w:r>
      <w:r>
        <w:rPr>
          <w:rStyle w:val="FootnoteAnchor"/>
          <w:rtl w:val="true"/>
        </w:rPr>
        <w:footnoteReference w:id="1566"/>
      </w:r>
      <w:r>
        <w:rPr>
          <w:rFonts w:ascii="IRNazanin" w:hAnsi="IRNazanin" w:eastAsia="IRNazanin"/>
          <w:color w:val="111111"/>
          <w:sz w:val="28"/>
          <w:sz w:val="28"/>
          <w:szCs w:val="28"/>
          <w:rtl w:val="true"/>
          <w:lang w:bidi="fa-IR"/>
        </w:rPr>
        <w:t>،و هذا یوجب أن یکون الأمر فیما لا یجده فی الکتاب و السّنة موقوفا علی ما یکتب إلیه لا علی اجتهاده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الدّلیل علی صحّة روایته تلقّی الأمّة له عصرا بعد عصر بالقبول، و لأنّ الصّحابة إذا ثبت أنّهم عملوا بالقیاس و الاجتهاد فلا بدّ فیه من نصّ،لأنّ أصل القیاس فی الشّرع لا یستدرک قیاسا،و لا نصّ یدلّ ظاهره علی ذلک إلاّ خبر معاذ أو ما خبر معاذ أقوی منه،فیجب من ذلک صحّة الخبر</w:t>
      </w:r>
      <w:r>
        <w:rPr>
          <w:rFonts w:eastAsia="IRNazanin" w:cs="IRNazanin"/>
          <w:color w:val="111111"/>
          <w:sz w:val="28"/>
          <w:szCs w:val="28"/>
          <w:rtl w:val="true"/>
          <w:lang w:bidi="fa-IR"/>
        </w:rPr>
        <w:t>.</w:t>
      </w:r>
    </w:p>
    <w:p>
      <w:pPr>
        <w:sectPr>
          <w:footerReference w:type="default" r:id="rId7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تلقّی الأمّة له بالقبول فغیر معلوم </w:t>
      </w:r>
      <w:r>
        <w:rPr>
          <w:rStyle w:val="FootnoteAnchor"/>
          <w:rtl w:val="true"/>
        </w:rPr>
        <w:footnoteReference w:id="1567"/>
      </w:r>
      <w:r>
        <w:rPr>
          <w:rFonts w:ascii="IRNazanin" w:hAnsi="IRNazanin" w:eastAsia="IRNazanin"/>
          <w:color w:val="111111"/>
          <w:sz w:val="28"/>
          <w:sz w:val="28"/>
          <w:szCs w:val="28"/>
          <w:rtl w:val="true"/>
          <w:lang w:bidi="fa-IR"/>
        </w:rPr>
        <w:t xml:space="preserve">،و قد بیّنا أنّ قبول الأمّة لأمثال هذه الأخبار کقبولهم لخبر مسّ الذّکر </w:t>
      </w:r>
      <w:r>
        <w:rPr>
          <w:rStyle w:val="FootnoteAnchor"/>
          <w:rtl w:val="true"/>
        </w:rPr>
        <w:footnoteReference w:id="1568"/>
      </w:r>
      <w:r>
        <w:rPr>
          <w:rFonts w:ascii="IRNazanin" w:hAnsi="IRNazanin" w:eastAsia="IRNazanin"/>
          <w:color w:val="111111"/>
          <w:sz w:val="28"/>
          <w:sz w:val="28"/>
          <w:szCs w:val="28"/>
          <w:rtl w:val="true"/>
          <w:lang w:bidi="fa-IR"/>
        </w:rPr>
        <w:t>و ما جری مجراه ممّا لا یقطع به و لا یعلم صحّته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فأمّا ادّعاؤهم ثبوت عملهم بالقیاس،و أنّه یجب أن یکون لهذا الخبر لأنّه لا نصّ غیره،فبناء علی ما لم یثبت و لا یثبت،و قد بیّنا بطلان ما ظنّوه دلیلا علی إجماعهم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سلّم لهم علی ما فیه،لجاز أن یکونوا أجمعوا لبعض ما فی الکتاب أو لخبر آخر،علی أنّهم قد اعتمدوا فی تصحیح الخبر علی ما إذا صحّ لم یحتج إلی الخبر، و لم یکن دلیلا علی المسألة،لأنّا إذا علمنا إجماعهم علی القیاس و الاجتهاد،فأیّ فقر بنا إلی تأمّل خبر معاذ؟و کیف یستدلّ به علی ما قد علمناه لغیره؟ فان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نعلم بإجماعهم صحّة الخبر و یصیر الخبر دلیلا،کما أنّ إجماعهم دلیل،و یکون المستدلّ مخیّرا فی الاستدلال بأیّهما 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لسنا نعلم بإجماعهم صحّة الخبر إلاّ بعد أن نعلم أنّهم أجمعوا علی القیاس و الاجتهاد،و علمنا بذلک یخرج </w:t>
      </w:r>
      <w:r>
        <w:rPr>
          <w:rStyle w:val="FootnoteAnchor"/>
          <w:rtl w:val="true"/>
        </w:rPr>
        <w:footnoteReference w:id="1569"/>
      </w:r>
      <w:r>
        <w:rPr>
          <w:rFonts w:ascii="IRNazanin" w:hAnsi="IRNazanin" w:eastAsia="IRNazanin"/>
          <w:color w:val="111111"/>
          <w:sz w:val="28"/>
          <w:sz w:val="28"/>
          <w:szCs w:val="28"/>
          <w:rtl w:val="true"/>
          <w:lang w:bidi="fa-IR"/>
        </w:rPr>
        <w:t>الخبر من أن یکون دلالة و إنّما کان یمکن ما ذکروه لو جاز أن یعلم إجماعهم علی صحّة الخبر من غیر أن یعلم إجماعهم علی القول بالقیاس،و ذلک لا یصحّ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أنّا إذا تجاوزنا ذلک و لم نعرض للکلام فی أصل الخبر و وروده،لم یکن فیه دلالة،لأنّه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أجتهد رأیی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یقل فی ما ذا؟و لا ینکر أن یکون معناه أجتهد رأیی حتّی أجد حکم اللّه تعالی فی الحادثة من الکتاب و السنة إذا کان فی أحکام اللّه فیهما ما لا یتوصّل إلیه إلاّ بالاجتهاد و لا یوجد فی ظواهر النّصوص،فادّعاؤهم أنّ إلحاق الفرع بالأصل فی الحکم لعلّة یستخرجها القیاس هو الاجتهاد زیادة فی الخبر بما لا دلیل علیه و لا سبیل إلی تصحیحه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یوجد فی دلیل النّص من کتاب أو سنّة فهو موجود فیهما،و قوله</w:t>
      </w:r>
      <w:r>
        <w:rPr>
          <w:rFonts w:eastAsia="IRNazanin" w:cs="IRNazanin"/>
          <w:color w:val="111111"/>
          <w:sz w:val="28"/>
          <w:szCs w:val="28"/>
          <w:rtl w:val="true"/>
          <w:lang w:bidi="fa-IR"/>
        </w:rPr>
        <w:t>:</w:t>
      </w:r>
    </w:p>
    <w:p>
      <w:pPr>
        <w:sectPr>
          <w:footerReference w:type="default" r:id="rId7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لم یجد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أن یحمل علی عمومه،و علی أنّه لم یجد علی کلّ حال،و إذا حمل علی ذلک،فلیس وراءه إلاّ الرّجوع إلی القیاس الّذی تقوله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یجب حمل الکلام علی عمومه عند أکثر أصحابنا،فعلی هذا المذهب سقط هذا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أنّهم لا یقولون بذلک،لأنّ القیاس و الاجتهاد عندهم من المفهوم بالکتاب و السنّة و هما لا یدلاّن علیه،فکیف یصحّ حمل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تجد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العموم؟و هذا یقتضی أنّهم قائلون فی النّفی أیضا بالخصوص،فکیف عابوه علینا؟ و بعد،فإن جاز إثبات القیاس بمثل خبر معاذ،فإنّ من نفاه یروی ما هو أقوی منه و أوضح لفظا،نحو ما روی عن النّبی صلّی اللّه علیه و آله و سلّم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ستفترق أمّتی علی بضع و سبعین فرقة أعظمها فتنة علی أمّتی قوم یقیسون الأمور برأیهم فیحرّمون الحلال و یحلّلون الحرام</w:t>
      </w:r>
      <w:r>
        <w:rPr>
          <w:rFonts w:eastAsia="IRNazanin" w:cs="IRNazanin"/>
          <w:color w:val="111111"/>
          <w:sz w:val="28"/>
          <w:szCs w:val="28"/>
          <w:rtl w:val="true"/>
          <w:lang w:bidi="fa-IR"/>
        </w:rPr>
        <w:t xml:space="preserve">» </w:t>
      </w:r>
      <w:r>
        <w:rPr>
          <w:rStyle w:val="FootnoteAnchor"/>
          <w:rtl w:val="true"/>
        </w:rPr>
        <w:footnoteReference w:id="15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الرّوایات فی هذا کثیرة و من تتبّعها وجدها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خبر ابن مسعود الّذی ذکروه،فالکلام علیه کالکلام علی خبر معاذ بعینه</w:t>
      </w:r>
      <w:r>
        <w:rPr>
          <w:rFonts w:eastAsia="IRNazanin" w:cs="IRNazanin"/>
          <w:color w:val="111111"/>
          <w:sz w:val="28"/>
          <w:szCs w:val="28"/>
          <w:rtl w:val="true"/>
          <w:lang w:bidi="fa-IR"/>
        </w:rPr>
        <w:t>.</w:t>
      </w:r>
    </w:p>
    <w:p>
      <w:pPr>
        <w:sectPr>
          <w:footerReference w:type="default" r:id="rId7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فأمّا کتاب عمر إلی أبی موسی الأشعریّ 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اعرف الأشباه و النّظائر و قس الأمور برأیک</w:t>
      </w:r>
      <w:r>
        <w:rPr>
          <w:rFonts w:eastAsia="IRNazanin" w:cs="IRNazanin"/>
          <w:color w:val="111111"/>
          <w:sz w:val="28"/>
          <w:szCs w:val="28"/>
          <w:rtl w:val="true"/>
          <w:lang w:bidi="fa-IR"/>
        </w:rPr>
        <w:t xml:space="preserve">» </w:t>
      </w:r>
      <w:r>
        <w:rPr>
          <w:rStyle w:val="FootnoteAnchor"/>
          <w:rtl w:val="true"/>
        </w:rPr>
        <w:footnoteReference w:id="1571"/>
      </w:r>
      <w:r>
        <w:rPr>
          <w:rFonts w:ascii="IRNazanin" w:hAnsi="IRNazanin" w:eastAsia="IRNazanin"/>
          <w:color w:val="111111"/>
          <w:sz w:val="28"/>
          <w:sz w:val="28"/>
          <w:szCs w:val="28"/>
          <w:rtl w:val="true"/>
          <w:lang w:bidi="fa-IR"/>
        </w:rPr>
        <w:t>فأضعف فی باب الرّوایة من خبر معاذ،و أبعد من أن یتعلّق به فی مثل هذا 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أنّه إذا سلّم لم یکن فیه دلالة،و ذلک أنّ القیاس الّذی دعاه إلیه هو إلحاق الشّیء بشبهه،و لهذا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اعرف الأشباه و النّظائر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المشابهة الموجبة للقیاس و حمل الشّیء علی نظیره إنّما هی المشارکة فی أمر مخصوص به تعلّق الحکم،فمن عرف ذلک و حصّله وجب علیه الجمع به بین الأصل و الفرع،و هذا المقدار لا ینازعون فیه،و لکن لا سبیل إلی معرفته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لو أمکن فیه ما یدّعونه من الظّن لم یکن فی الخبر أیضا دلالة لهم،لأنّه لیس فیه الأمر بقیاس النّوع علی الأصل إذا شارکه فی </w:t>
      </w:r>
    </w:p>
    <w:p>
      <w:pPr>
        <w:pStyle w:val="BookText"/>
        <w:rPr/>
      </w:pPr>
      <w:r>
        <w:rPr>
          <w:rFonts w:ascii="IRNazanin" w:hAnsi="IRNazanin" w:eastAsia="IRNazanin"/>
          <w:color w:val="111111"/>
          <w:sz w:val="28"/>
          <w:sz w:val="28"/>
          <w:szCs w:val="28"/>
          <w:rtl w:val="true"/>
          <w:lang w:bidi="fa-IR"/>
        </w:rPr>
        <w:t>معنی یغلب علی الظن أنّه علّة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للمخالف أن یقول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الأرزّ لیس بمشابه للبرّ،و لا النّبیذ التّمری یشابه الخمر،و لا بینهما شبه یوجب التّساوی فی الحکم،و الخبر إنّما تناول المساواة بین المشتبهین و لا اشتباه هاهنا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هاهنا اشتباه مظنون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فی الخبر عمل علی ما تظنّه مشتبها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اعرف الأشباه و النّظائر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یقتضی حصول العلم بالاشتباه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 أنّ الأمر الّذی یقع به التّشابه فی الحکم غیر مذکور فی الخبر،فإن جاز لهم أن یدّعوا أنّه عنی المشابهة فی المعانی الّتی یدّعیها القائسون کالکیل فی البرّ و الشّدّة فی الخمر،جاز لخصومهم أن یدّعوا أنّه أراد المشابهة فی إطلاق الاسم و اشتمال اللّفظ،فیکون ذلک دعامته إلی القول بحمل اللّفظ علی کلّ ما تحته من المسمّیات لتساویها فی تناول اللّفظ،فکأنّه تعالی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السّارِقُ وَ السّارِقَةُ فَاقْطَعُوا أَیْدِیَهُما   </w:t>
      </w:r>
      <w:r>
        <w:rPr>
          <w:rStyle w:val="FootnoteAnchor"/>
          <w:rtl w:val="true"/>
        </w:rPr>
        <w:footnoteReference w:id="1572"/>
      </w:r>
      <w:r>
        <w:rPr>
          <w:rFonts w:ascii="IRNazanin" w:hAnsi="IRNazanin" w:eastAsia="IRNazanin"/>
          <w:color w:val="111111"/>
          <w:sz w:val="28"/>
          <w:sz w:val="28"/>
          <w:szCs w:val="28"/>
          <w:rtl w:val="true"/>
          <w:lang w:bidi="fa-IR"/>
        </w:rPr>
        <w:t>و علم أنّ کلّ سارق یقع علیه هذا الاسم و شارک سائر السّراق فی تناول اللّفظ،وجب التّسویة بین الجمیع فی الحکم،إلاّ أن تقوم دلالة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استدلّوا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ثبت فی أنّه لا بدّ فی الفروع الشّرعیّة من حکم، و لا نصّ و لا دلیل علی حکم ما یجب أن یکون متعبّدین فیها بالقیاس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استدلّوا بهذه الطّریقة من وجه آخر 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ثبت عن الصّحابة أنّهم رجعوا فی طلب أحکام الحوادث إلی الشّرع،فإذا علم ذلک من حالهم فی جمیع الحوادث علی کثرتها و اختلافها،و صحّ أنّه لا نصّ یدل علی هذه الأحکام بظاهره و لا دلیله،فلیس بعد ذلک إلاّ القیاس و الاجتهاد،لأنّ التبخیت و القول بما اتّفق یمنع منه العقل</w:t>
      </w:r>
      <w:r>
        <w:rPr>
          <w:rFonts w:eastAsia="IRNazanin" w:cs="IRNazanin"/>
          <w:color w:val="111111"/>
          <w:sz w:val="28"/>
          <w:szCs w:val="28"/>
          <w:rtl w:val="true"/>
          <w:lang w:bidi="fa-IR"/>
        </w:rPr>
        <w:t>.</w:t>
      </w:r>
    </w:p>
    <w:p>
      <w:pPr>
        <w:sectPr>
          <w:footerReference w:type="default" r:id="rId7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هذا الاستدلال یخالف الطّریقة الأولی،لأنّهم لم یرجعوا فی هذا إلی </w:t>
      </w:r>
    </w:p>
    <w:p>
      <w:pPr>
        <w:pStyle w:val="BookText"/>
        <w:rPr/>
      </w:pPr>
      <w:r>
        <w:rPr>
          <w:rFonts w:ascii="IRNazanin" w:hAnsi="IRNazanin" w:eastAsia="IRNazanin"/>
          <w:color w:val="111111"/>
          <w:sz w:val="28"/>
          <w:sz w:val="28"/>
          <w:szCs w:val="28"/>
          <w:rtl w:val="true"/>
          <w:lang w:bidi="fa-IR"/>
        </w:rPr>
        <w:t>إجماعهم علی نفس القول بالقیاس و الاجتهاد،بل رجعوا إلی إجماعهم فی طلب الأحکام من جهة الشّرع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الطّریقة الأولی اعتبروا إجماعهم علی نفس القول بالقیاس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فیقال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الحوادث حکم لکنّه ما کان فی العقل،أو فیها حکم و لم یکلّف معرفته،أو لا حکم فیها جملة،فکلّ ذلک جائز لا مانع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تعلّقهم بهذه الطّریقة علی الوجه الثّانی،فمبنیّ علی أنّه لا نصّ یدلّ بظاهره و لا دلیله علی أحکام الحوادث،فیجب لذلک الرّجوع إلی القیاس فیها،و دون ما ظنّوه خرط القتاد،لأنّا قد بیّنا أنّ جمیع ما اختلفت فیه الصّحابة من الأحکام له وجوه فی النّصوص،و أنّما لا یقف علی وجهه بعینه یمکن أن یکون له وجه،و أنّ القطع علی انتفاء مثل ذلک لا یمکن بما یستغنی عن إعادته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أکثر ما فی هذا أن یکون جمیع الحوادث الّتی علمنا طلبهم فیها للأحکام من جهة الشّرع لا یدخل حکم العقل فیها،فإنّه لا بدّ فیها من حکم شرعیّ، ثمّ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 ما رجعوا فیما طلبوه من جهة الشّرع إلاّ إلی النّصوص،و علی من ادّعی خلاف ذلک الحجّة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أین لهم أنّ جمیع ما یحدث إلی یوم القیامة هذا حکمه؟و أنّه لا بدّ من أن یکون المرجع فیه إلی الشّرع؟و لا یجوز أن یحکم فیه بحکم العقل؟و لم إذا کانت الحوادث الّتی بلیت به الصّحابة لها مخرج فی الشّریعة وجب ذلک فی کلّ حادثة؟ و هل هذا إلاّ تمنّ و تحکّم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علی أنّه قد روی عن بعضهم ما یقتضی أنّه رجع إلی حکم العقل فی مسألة الحرام،و هو مسروق </w:t>
      </w:r>
      <w:r>
        <w:rPr>
          <w:rStyle w:val="FootnoteAnchor"/>
          <w:rtl w:val="true"/>
        </w:rPr>
        <w:footnoteReference w:id="1573"/>
      </w:r>
      <w:r>
        <w:rPr>
          <w:rFonts w:ascii="IRNazanin" w:hAnsi="IRNazanin" w:eastAsia="IRNazanin"/>
          <w:color w:val="111111"/>
          <w:sz w:val="28"/>
          <w:sz w:val="28"/>
          <w:szCs w:val="28"/>
          <w:rtl w:val="true"/>
          <w:lang w:bidi="fa-IR"/>
        </w:rPr>
        <w:t>لأنّه جعل مسألة الحرام بمنزلة تحریم قصعة من ثرید ممّا یعلم بالعقل إباحته</w:t>
      </w:r>
      <w:r>
        <w:rPr>
          <w:rFonts w:eastAsia="IRNazanin" w:cs="IRNazanin"/>
          <w:color w:val="111111"/>
          <w:sz w:val="28"/>
          <w:szCs w:val="28"/>
          <w:rtl w:val="true"/>
          <w:lang w:bidi="fa-IR"/>
        </w:rPr>
        <w:t>.</w:t>
      </w:r>
    </w:p>
    <w:p>
      <w:pPr>
        <w:sectPr>
          <w:footerReference w:type="default" r:id="rId7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استدلّ الشّافعی و جماعة معه علی ذلک بالقبلة،قالوا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وجب طلبها بما </w:t>
      </w:r>
    </w:p>
    <w:p>
      <w:pPr>
        <w:pStyle w:val="BookText"/>
        <w:rPr/>
      </w:pPr>
      <w:r>
        <w:rPr>
          <w:rFonts w:ascii="IRNazanin" w:hAnsi="IRNazanin" w:eastAsia="IRNazanin"/>
          <w:color w:val="111111"/>
          <w:sz w:val="28"/>
          <w:sz w:val="28"/>
          <w:szCs w:val="28"/>
          <w:rtl w:val="true"/>
          <w:lang w:bidi="fa-IR"/>
        </w:rPr>
        <w:t xml:space="preserve">یمکن الطّلب به عند عدم العین </w:t>
      </w:r>
      <w:r>
        <w:rPr>
          <w:rStyle w:val="FootnoteAnchor"/>
          <w:rtl w:val="true"/>
        </w:rPr>
        <w:footnoteReference w:id="1574"/>
      </w:r>
      <w:r>
        <w:rPr>
          <w:rFonts w:ascii="IRNazanin" w:hAnsi="IRNazanin" w:eastAsia="IRNazanin"/>
          <w:color w:val="111111"/>
          <w:sz w:val="28"/>
          <w:sz w:val="28"/>
          <w:szCs w:val="28"/>
          <w:rtl w:val="true"/>
          <w:lang w:bidi="fa-IR"/>
        </w:rPr>
        <w:t>،فکذلک یجب طلب الحکم فی الفرع عند عدم النّصّ بما یمکن طلبه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یقال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ما ذکرتموه إن دلّ فإنّما یدلّ علی جواز التّعبّد بالاجتهاد فی الشّرعیّات،فأمّا أن یعتمد فی إثبات العبادة به فی الشّرع فباطل،لأنّ معتمد ذلک لا بدّ له من أن یقیس سائر حوادث الفروع فی جواز استعمال الاجتهاد فیها علی القبلة و ذلک منه قیاس،و الکلام إنّما هو فی إثبات القیاس،و هل وردت به العبادة أم لا؟فکیف یستسلف صحّته؟ و لمن ینفی القیاس 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الّذی یجب أن أثبت الحکم فی القبلة بالاجتهاد لورود النّص،واقف عند ذلک و لا أتجاوزه،و هذا بمنزلة أن ترد العبادة بإیجاب صلاة فیقیس قائس علیها وجوب أخری،فکما أنّه ممنوع من ذلک إلاّ أن یتعبّد بالقیاس،فکذلک من قاس علی القبلة غیرها ممنوع من قیاسه،و لمّا أثبت ورود العبادة بالقیاس</w:t>
      </w:r>
      <w:r>
        <w:rPr>
          <w:rFonts w:eastAsia="IRNazanin" w:cs="IRNazanin"/>
          <w:color w:val="111111"/>
          <w:sz w:val="28"/>
          <w:szCs w:val="28"/>
          <w:rtl w:val="true"/>
          <w:lang w:bidi="fa-IR"/>
        </w:rPr>
        <w:t>.</w:t>
      </w:r>
    </w:p>
    <w:p>
      <w:pPr>
        <w:sectPr>
          <w:footerReference w:type="default" r:id="rId7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أنّ الحکم عند الغیبة ثابت بالنّص فی الجملة،لأنّ المکلف قد ألزم أن یصلی إلی جهتها </w:t>
      </w:r>
      <w:r>
        <w:rPr>
          <w:rStyle w:val="FootnoteAnchor"/>
          <w:rtl w:val="true"/>
        </w:rPr>
        <w:footnoteReference w:id="1575"/>
      </w:r>
      <w:r>
        <w:rPr>
          <w:rFonts w:ascii="IRNazanin" w:hAnsi="IRNazanin" w:eastAsia="IRNazanin"/>
          <w:color w:val="111111"/>
          <w:sz w:val="28"/>
          <w:sz w:val="28"/>
          <w:szCs w:val="28"/>
          <w:rtl w:val="true"/>
          <w:lang w:bidi="fa-IR"/>
        </w:rPr>
        <w:t xml:space="preserve">،فإذا </w:t>
      </w:r>
      <w:r>
        <w:rPr>
          <w:rStyle w:val="FootnoteAnchor"/>
          <w:rtl w:val="true"/>
        </w:rPr>
        <w:footnoteReference w:id="1576"/>
      </w:r>
      <w:r>
        <w:rPr>
          <w:rFonts w:ascii="IRNazanin" w:hAnsi="IRNazanin" w:eastAsia="IRNazanin"/>
          <w:color w:val="111111"/>
          <w:sz w:val="28"/>
          <w:sz w:val="28"/>
          <w:szCs w:val="28"/>
          <w:rtl w:val="true"/>
          <w:lang w:bidi="fa-IR"/>
        </w:rPr>
        <w:t>کان الحکم الشّرعی ثابتا فی 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یکتف المکلّف فی إمکان الفعل فی الجملة</w:t>
      </w:r>
      <w:r>
        <w:rPr>
          <w:rFonts w:eastAsia="IRNazanin" w:cs="IRNazanin"/>
          <w:color w:val="111111"/>
          <w:sz w:val="28"/>
          <w:szCs w:val="28"/>
          <w:rtl w:val="true"/>
          <w:lang w:bidi="fa-IR"/>
        </w:rPr>
        <w:t xml:space="preserve">] </w:t>
      </w:r>
      <w:r>
        <w:rPr>
          <w:rStyle w:val="FootnoteAnchor"/>
          <w:rtl w:val="true"/>
        </w:rPr>
        <w:footnoteReference w:id="1577"/>
      </w:r>
      <w:r>
        <w:rPr>
          <w:rFonts w:ascii="IRNazanin" w:hAnsi="IRNazanin" w:eastAsia="IRNazanin"/>
          <w:color w:val="111111"/>
          <w:sz w:val="28"/>
          <w:sz w:val="28"/>
          <w:szCs w:val="28"/>
          <w:rtl w:val="true"/>
          <w:lang w:bidi="fa-IR"/>
        </w:rPr>
        <w:t>وجب أن یجتهد لیمکنه الفعل الواجب علیه فی الجملة،فالاجتهاد منه لیس یتوصّل به إلی إثبات الحکم الشّرعی،و إنّما یصل به إلی تمییز الحکم المجمل الّذی ورد النّصّ به،و تفصیله،و عروض ذلک أن یرد النّص فی الأرز أنّ فیه ضربا من ضروب الرّبا،و یکون هناک طریق الاجتهاد فی إثباته، فیتّصل المکلّف إلی تمییز ذلک الرّبا و تفصیله لأجل النّصّ المجمل،و هذا ممّا یثبت لهم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علی أنّه یقال للمتعلّق بهذه الطّریقة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لیس إنّما اجتهدت عند الغیبة فی القبلة لما ثبت بالنّص حکم لا سبیل لک إلی معرفته إلاّ بالاجتهاد؟ فإذا اعترف بذلک قیل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فثبت فی الفرع أنّه لا بدّ فیه من حکم لا یمکن معرفته إلاّ بالاجتهاد حتّی یتساوی الأمران؟و لا سبیل لک إلی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علمت أنّ فی نفاة القیاس من یقول أنّ حکم الفروع معلوم عقلا،و فیهم من یقول أنّه معلوم بالنّصوص إمّا بظواهرها أو بأدلّتها،و بعد فلیس مثبت القیاس بأن یتعلّق بالقبلة فی إثبات الحکم للفرع قیاسا علی الأصل بأولی من نافی النّاس إذا تعلّق بها فی حمل الفرع علی الأصل،فی أنّه لا یثبت له حکم إلاّ بالنّصّ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متی قیل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فاجمع بین الأمرین؟امتنع لتنافیهما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متی قیل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الإثبات أرجح و أدخل فی الفائدة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إنّما یصحّ فیما قد ثبت و صحّ،لا فیما الکلام واقع فیه</w:t>
      </w:r>
      <w:r>
        <w:rPr>
          <w:rFonts w:eastAsia="IRNazanin" w:cs="IRNazanin"/>
          <w:color w:val="111111"/>
          <w:sz w:val="28"/>
          <w:szCs w:val="28"/>
          <w:rtl w:val="true"/>
          <w:lang w:bidi="fa-IR"/>
        </w:rPr>
        <w:t>.</w:t>
      </w:r>
    </w:p>
    <w:p>
      <w:pPr>
        <w:sectPr>
          <w:footerReference w:type="default" r:id="rId7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استدلّوا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روی عنه علیه السّلام من قوله للخثعمیّة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رأیت لو کان علی أبیک دین أ کنت تقضینه؟قالت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فدین اللّه أحقّ و أولی أن یقضی</w:t>
      </w:r>
      <w:r>
        <w:rPr>
          <w:rFonts w:eastAsia="IRNazanin" w:cs="IRNazanin"/>
          <w:color w:val="111111"/>
          <w:sz w:val="28"/>
          <w:szCs w:val="28"/>
          <w:rtl w:val="true"/>
          <w:lang w:bidi="fa-IR"/>
        </w:rPr>
        <w:t xml:space="preserve">» </w:t>
      </w:r>
      <w:r>
        <w:rPr>
          <w:rStyle w:val="FootnoteAnchor"/>
          <w:rtl w:val="true"/>
        </w:rPr>
        <w:footnoteReference w:id="1578"/>
      </w:r>
      <w:r>
        <w:rPr>
          <w:rFonts w:ascii="IRNazanin" w:hAnsi="IRNazanin" w:eastAsia="IRNazanin"/>
          <w:color w:val="111111"/>
          <w:sz w:val="28"/>
          <w:sz w:val="28"/>
          <w:szCs w:val="28"/>
          <w:rtl w:val="true"/>
          <w:lang w:bidi="fa-IR"/>
        </w:rPr>
        <w:t>، و یقوله لعمر حین سأله عن القبلة للصّائم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رأیت لو تمضمضت بماء أ کنت شاربه</w:t>
      </w:r>
      <w:r>
        <w:rPr>
          <w:rFonts w:eastAsia="IRNazanin" w:cs="IRNazanin"/>
          <w:color w:val="111111"/>
          <w:sz w:val="28"/>
          <w:szCs w:val="28"/>
          <w:rtl w:val="true"/>
          <w:lang w:bidi="fa-IR"/>
        </w:rPr>
        <w:t xml:space="preserve">» </w:t>
      </w:r>
      <w:r>
        <w:rPr>
          <w:rStyle w:val="FootnoteAnchor"/>
          <w:rtl w:val="true"/>
        </w:rPr>
        <w:footnoteReference w:id="1579"/>
      </w:r>
      <w:r>
        <w:rPr>
          <w:rFonts w:ascii="IRNazanin" w:hAnsi="IRNazanin" w:eastAsia="IRNazanin"/>
          <w:color w:val="111111"/>
          <w:sz w:val="28"/>
          <w:sz w:val="28"/>
          <w:szCs w:val="28"/>
          <w:rtl w:val="true"/>
          <w:lang w:bidi="fa-IR"/>
        </w:rPr>
        <w:t>؟ و قوله فی حدیث أبی هریرة حین سأله السّائل عن رجل ولد له غلام أسود 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لک إبل؟قال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ألوانها؟قال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فیها أورق </w:t>
      </w:r>
      <w:r>
        <w:rPr>
          <w:rStyle w:val="FootnoteAnchor"/>
          <w:rtl w:val="true"/>
        </w:rPr>
        <w:footnoteReference w:id="1580"/>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نعم،قال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أنّی ذلک؟قال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 عرقا نزعه،قال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لعلّ عرقا نزعه</w:t>
      </w:r>
      <w:r>
        <w:rPr>
          <w:rFonts w:eastAsia="IRNazanin" w:cs="IRNazanin"/>
          <w:color w:val="111111"/>
          <w:sz w:val="28"/>
          <w:szCs w:val="28"/>
          <w:rtl w:val="true"/>
          <w:lang w:bidi="fa-IR"/>
        </w:rPr>
        <w:t xml:space="preserve">» </w:t>
      </w:r>
      <w:r>
        <w:rPr>
          <w:rStyle w:val="FootnoteAnchor"/>
          <w:rtl w:val="true"/>
        </w:rPr>
        <w:footnoteReference w:id="15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غیر ذلک من الأحادیث لم نذکرها لضعفها و بیان وهنها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یقال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 ما فی هذه الأخبار أنّها أخبار آحاد لا یوجب علما،و ما هذا حکمه لا یثبت به أصل معلوم،و ثبوت العبادة بالقیاس أصل معلوم عندهم مقطوع علی صحّته،فلا یجوز إثباته بما یوجب غلبة الظّن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أنّ تنبیهه علیه علی علّة الحکم لیس بأکثر من أن ینصّ صریحا علیها، و لو نصّ علی العلّة لم یحب القیاس بهذا العذر </w:t>
      </w:r>
      <w:r>
        <w:rPr>
          <w:rStyle w:val="FootnoteAnchor"/>
          <w:rtl w:val="true"/>
        </w:rPr>
        <w:footnoteReference w:id="1582"/>
      </w:r>
      <w:r>
        <w:rPr>
          <w:rFonts w:ascii="IRNazanin" w:hAnsi="IRNazanin" w:eastAsia="IRNazanin"/>
          <w:color w:val="111111"/>
          <w:sz w:val="28"/>
          <w:sz w:val="28"/>
          <w:szCs w:val="28"/>
          <w:rtl w:val="true"/>
          <w:lang w:bidi="fa-IR"/>
        </w:rPr>
        <w:t>دون أن یدلّ علی العبادة به بغیره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أنّه علیه السّلام تنبیهه علیه قد أغنی عن </w:t>
      </w:r>
      <w:r>
        <w:rPr>
          <w:rStyle w:val="FootnoteAnchor"/>
          <w:rtl w:val="true"/>
        </w:rPr>
        <w:footnoteReference w:id="1583"/>
      </w:r>
      <w:r>
        <w:rPr>
          <w:rFonts w:ascii="IRNazanin" w:hAnsi="IRNazanin" w:eastAsia="IRNazanin"/>
          <w:color w:val="111111"/>
          <w:sz w:val="28"/>
          <w:sz w:val="28"/>
          <w:szCs w:val="28"/>
          <w:rtl w:val="true"/>
          <w:lang w:bidi="fa-IR"/>
        </w:rPr>
        <w:t>القیاس،فکیف یجعل ذلک دلیلا علی القیاس؟ و لأنّه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التّنبیه علی العلّة قد أثبت الحکم فی الفرع و الأصل معا،و ما هذا حاله لا یدخل القیاس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أنّه علیه السّلام أخبر أنّ الحجّ یجری مجری الدّین فی وجوب القضاء، و کذلک ما نبّه علیه فی باب القبلة،و المولود الأسود،و لم یذکر لأیّ سبب جری مجراه؟و ما العلّة؟و هل ظاهر نصّ أوجب ذلک؟أو طریقة من القیاس؟ و إذا کان الأمر محتملا لم یجز القطع علی أحد الوجهین بغیر دلیل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 أنّ اسم الدّین یقع علی الحجّ کوقوعه علی المال،و إذا کان کذلک دخل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بَعْدِ وَصِیَّةٍ تُوصُونَ بِها أَوْ دَیْنٍ  </w:t>
      </w:r>
      <w:r>
        <w:rPr>
          <w:rStyle w:val="FootnoteAnchor"/>
          <w:rtl w:val="true"/>
        </w:rPr>
        <w:footnoteReference w:id="1584"/>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85"/>
      </w:r>
      <w:r>
        <w:rPr>
          <w:rFonts w:eastAsia="Times New Roman" w:cs="Times New Roman" w:ascii="Times New Roman" w:hAnsi="Times New Roman"/>
          <w:color w:val="111111"/>
          <w:sz w:val="28"/>
          <w:szCs w:val="28"/>
          <w:rtl w:val="true"/>
          <w:lang w:val="en-US" w:bidi="en-US"/>
        </w:rPr>
        <w:t>.</w:t>
      </w:r>
    </w:p>
    <w:p>
      <w:pPr>
        <w:sectPr>
          <w:footerReference w:type="default" r:id="rId7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هذا القدر کاف من الکلام فی هذه الأخبار،و بطلان التّعلّق بها،فانّ الإکثار فی </w:t>
      </w:r>
    </w:p>
    <w:p>
      <w:pPr>
        <w:pStyle w:val="BookText"/>
        <w:rPr/>
      </w:pPr>
      <w:r>
        <w:rPr>
          <w:rFonts w:ascii="IRNazanin" w:hAnsi="IRNazanin" w:eastAsia="IRNazanin"/>
          <w:color w:val="111111"/>
          <w:sz w:val="28"/>
          <w:sz w:val="28"/>
          <w:szCs w:val="28"/>
          <w:rtl w:val="true"/>
          <w:lang w:bidi="fa-IR"/>
        </w:rPr>
        <w:t>تأویلاتها لا فائدة فیه</w:t>
      </w:r>
      <w:r>
        <w:rPr>
          <w:rFonts w:eastAsia="IRNazanin" w:cs="IRNazanin"/>
          <w:color w:val="111111"/>
          <w:sz w:val="28"/>
          <w:szCs w:val="28"/>
          <w:rtl w:val="true"/>
          <w:lang w:bidi="fa-IR"/>
        </w:rPr>
        <w:t>.</w:t>
      </w:r>
    </w:p>
    <w:p>
      <w:pPr>
        <w:sectPr>
          <w:footerReference w:type="default" r:id="rId7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 أثبت فی هذه المسألة أکثر ألفاظ المسألة الّتی ذکرها سیّدنا المرتضی رحمه اللّه فی إبطال القیاس </w:t>
      </w:r>
      <w:r>
        <w:rPr>
          <w:rStyle w:val="FootnoteAnchor"/>
          <w:rtl w:val="true"/>
        </w:rPr>
        <w:footnoteReference w:id="1586"/>
      </w:r>
      <w:r>
        <w:rPr>
          <w:rFonts w:ascii="IRNazanin" w:hAnsi="IRNazanin" w:eastAsia="IRNazanin"/>
          <w:color w:val="111111"/>
          <w:sz w:val="28"/>
          <w:sz w:val="28"/>
          <w:szCs w:val="28"/>
          <w:rtl w:val="true"/>
          <w:lang w:bidi="fa-IR"/>
        </w:rPr>
        <w:t>،لأنّها سدیدة فی هذا الباب،و أضفت إلی ذلک مواضع لم یذکرها،و حذفت أشیاء یستغنی عن إیرادها،و فی القدر الّذی أوردناه کفایة و تنبیه علی کلّ ما یتعلّق به فی الباب</w:t>
      </w:r>
      <w:r>
        <w:rPr>
          <w:rFonts w:eastAsia="IRNazanin" w:cs="IRNazanin"/>
          <w:color w:val="111111"/>
          <w:sz w:val="28"/>
          <w:szCs w:val="28"/>
          <w:rtl w:val="true"/>
          <w:lang w:bidi="fa-IR"/>
        </w:rPr>
        <w:t xml:space="preserve">. </w:t>
      </w:r>
    </w:p>
    <w:p>
      <w:pPr>
        <w:sectPr>
          <w:footerReference w:type="default" r:id="rId7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82" w:name="pg6519_49923"/>
      <w:bookmarkStart w:id="383" w:name="pg6519_49923"/>
      <w:bookmarkEnd w:id="383"/>
    </w:p>
    <w:p>
      <w:pPr>
        <w:pStyle w:val="Heading3"/>
        <w:numPr>
          <w:ilvl w:val="2"/>
          <w:numId w:val="1"/>
        </w:numPr>
        <w:rPr/>
      </w:pPr>
      <w:bookmarkStart w:id="384" w:name="pg6519_49923"/>
      <w:bookmarkStart w:id="385" w:name="__RefHeading___Toc1757395_653776707"/>
      <w:bookmarkStart w:id="386" w:name="_Toc121"/>
      <w:bookmarkEnd w:id="384"/>
      <w:bookmarkEnd w:id="385"/>
      <w:r>
        <w:rPr>
          <w:rtl w:val="true"/>
        </w:rPr>
        <w:t>الباب الحادی عشر</w:t>
      </w:r>
      <w:r>
        <w:rPr>
          <w:rtl w:val="true"/>
        </w:rPr>
        <w:t xml:space="preserve">: </w:t>
      </w:r>
      <w:r>
        <w:rPr>
          <w:rtl w:val="true"/>
        </w:rPr>
        <w:t>الکلام فی الاجتهاد</w:t>
      </w:r>
      <w:bookmarkEnd w:id="386"/>
    </w:p>
    <w:p>
      <w:pPr>
        <w:sectPr>
          <w:footerReference w:type="default" r:id="rId7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87" w:name="__RefHeading___Toc1757397_653776707"/>
      <w:bookmarkStart w:id="388" w:name="_Toc122"/>
      <w:bookmarkEnd w:id="387"/>
      <w:r>
        <w:rPr>
          <w:rtl w:val="true"/>
        </w:rPr>
        <w:t>اشارة</w:t>
      </w:r>
      <w:bookmarkEnd w:id="388"/>
    </w:p>
    <w:p>
      <w:pPr>
        <w:sectPr>
          <w:footerReference w:type="default" r:id="rId7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89" w:name="pg6519_49925"/>
      <w:bookmarkStart w:id="390" w:name="pg6519_49925"/>
      <w:bookmarkEnd w:id="390"/>
    </w:p>
    <w:p>
      <w:pPr>
        <w:pStyle w:val="Heading4"/>
        <w:numPr>
          <w:ilvl w:val="3"/>
          <w:numId w:val="1"/>
        </w:numPr>
        <w:rPr/>
      </w:pPr>
      <w:bookmarkStart w:id="391" w:name="pg6519_49925"/>
      <w:bookmarkStart w:id="392" w:name="__RefHeading___Toc1757399_653776707"/>
      <w:bookmarkStart w:id="393" w:name="_Toc123"/>
      <w:bookmarkEnd w:id="391"/>
      <w:bookmarkEnd w:id="392"/>
      <w:r>
        <w:rPr>
          <w:rtl w:val="true"/>
        </w:rPr>
        <w:t>فصل</w:t>
      </w:r>
      <w:r>
        <w:rPr>
          <w:rtl w:val="true"/>
        </w:rPr>
        <w:t>-</w:t>
      </w:r>
      <w:r>
        <w:rPr/>
        <w:t>1</w:t>
      </w:r>
      <w:r>
        <w:rPr>
          <w:rtl w:val="true"/>
        </w:rPr>
        <w:t>: «</w:t>
      </w:r>
      <w:r>
        <w:rPr>
          <w:rtl w:val="true"/>
        </w:rPr>
        <w:t>الکلام فی الاجتهاد</w:t>
      </w:r>
      <w:r>
        <w:rPr>
          <w:rtl w:val="true"/>
        </w:rPr>
        <w:t>»</w:t>
      </w:r>
      <w:bookmarkEnd w:id="393"/>
    </w:p>
    <w:p>
      <w:pPr>
        <w:pStyle w:val="BookText"/>
        <w:rPr/>
      </w:pPr>
      <w:r>
        <w:rPr>
          <w:rFonts w:ascii="Amiri" w:hAnsi="Amiri" w:eastAsia="Amiri" w:cs="Amiri"/>
          <w:color w:val="111111"/>
          <w:sz w:val="28"/>
          <w:sz w:val="28"/>
          <w:szCs w:val="28"/>
          <w:rtl w:val="true"/>
          <w:lang w:bidi="ar-SA"/>
        </w:rPr>
        <w:t xml:space="preserve">اعلم أنّ کلّ أمر </w:t>
      </w:r>
      <w:r>
        <w:rPr>
          <w:rStyle w:val="FootnoteAnchor"/>
          <w:rtl w:val="true"/>
        </w:rPr>
        <w:footnoteReference w:id="1587"/>
      </w:r>
      <w:r>
        <w:rPr>
          <w:rFonts w:ascii="IRNazanin" w:hAnsi="IRNazanin" w:eastAsia="IRNazanin"/>
          <w:color w:val="111111"/>
          <w:sz w:val="28"/>
          <w:sz w:val="28"/>
          <w:szCs w:val="28"/>
          <w:rtl w:val="true"/>
          <w:lang w:bidi="fa-IR"/>
        </w:rPr>
        <w:t xml:space="preserve">لا یجوز تغیّره عمّا هو علیه من وجوب إلی حظر،و </w:t>
      </w:r>
      <w:r>
        <w:rPr>
          <w:rStyle w:val="FootnoteAnchor"/>
          <w:rtl w:val="true"/>
        </w:rPr>
        <w:footnoteReference w:id="1588"/>
      </w:r>
      <w:r>
        <w:rPr>
          <w:rFonts w:ascii="IRNazanin" w:hAnsi="IRNazanin" w:eastAsia="IRNazanin"/>
          <w:color w:val="111111"/>
          <w:sz w:val="28"/>
          <w:sz w:val="28"/>
          <w:szCs w:val="28"/>
          <w:rtl w:val="true"/>
          <w:lang w:bidi="fa-IR"/>
        </w:rPr>
        <w:t>من حسن إلی قبح،فلا خلاف بین أهل العلم المحصّلین أنّ الاجتهاد فی ذلک لا یختلف، و أنّ الحقّ فی واحد،و أنّ من خالفه ضالّ فاسق،و ربّما کان کافرا،و ذلک نحو القول بأنّ العالم قدیم أو محدث؟و إذا کان محدثا هل له صانع أم لا؟و الکلام فی صفات الصّانع،و توحیده،و عدله،و الکلام فی النبوّة و الإمامة و غیر ذلک،و کذلک الکلام فی أنّ الظّلم،و العبث،و الکذب قبیح علی کلّ حال،و أنّ شکر المنعم،و ردّ الودیعة، و الإنصاف حسن علی کلّ حال،و ما یجری مجری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قالوا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هذه الأشیاء لا یصحّ تغییرها فی نفسها،و لا خروجها عن صفتها الّتی هی علیها،أ لا تری أنّ العالم إذا ثبت أنّه محدث،فاعتقاد من اعتقد أنّه قدیم لا یکون إلاّ جهلا،و الجهل لا یکون إلاّ قبیحا</w:t>
      </w:r>
      <w:r>
        <w:rPr>
          <w:rFonts w:eastAsia="IRNazanin" w:cs="IRNazanin"/>
          <w:color w:val="111111"/>
          <w:sz w:val="28"/>
          <w:szCs w:val="28"/>
          <w:rtl w:val="true"/>
          <w:lang w:bidi="fa-IR"/>
        </w:rPr>
        <w:t>.</w:t>
      </w:r>
    </w:p>
    <w:p>
      <w:pPr>
        <w:sectPr>
          <w:footerReference w:type="default" r:id="rId7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کذلک إذا ثبت أنّ له صانعا،فاعتقاد من اعتقد أنّه لیس له صانع لا یکون إلاّ جهلا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کذلک القول فی صفاته،و توحیده،و عدله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إذا ثبت أنّ النّبی صلّی اللّه علیه و آله و سلّم صادق،فاعتقاد من اعتقد کذبه لا یکون إلاّ جهلا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المسائل الباقیة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حکی عن قوم شذّاذ لا یعتد بأقوالهم أنّهم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کلّ مجتهد فیها مصیب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قولهم باطل بما قلناه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یصحّ تغییره فی نفسه،و خروجه من الحسن إلی القبح،و من الحظر إلی الإباحة،فلا خلاف بین أهل العلم أنّه کان یجوز أن تختلف المصلحة فی ذلک فیما تکون حسنا من زید یکون قبیحا من عمرو،و ما یقبح من زید فی حال بعینها یحسن منه فی حالة أخری،و یختلف ذلک بحسب اختلاف أحوالهم و بحسب اجتهادهم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قالوا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هذه الأشیاء تابعة للمصالح و الألطاف،و ما حکمه هذا فلا یمتنع أن یتغیّر الحال فیه،و لهذه العلّة جاز النّسخ،و نقل المکلّفین عمّا کانوا علیه إلی خلافه بحسب ما تقتضیه مصالحهم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إلاّ أنّ مع تجویز ذلک فی العقل هل ثبت ذلک فی الشّرع أم لا؟ فقد اختلف العلماء فی ذلک </w:t>
      </w:r>
      <w:r>
        <w:rPr>
          <w:rStyle w:val="FootnoteAnchor"/>
          <w:rtl w:val="true"/>
        </w:rPr>
        <w:footnoteReference w:id="1589"/>
      </w:r>
      <w:r>
        <w:rPr>
          <w:rFonts w:eastAsia="Times New Roman" w:cs="Times New Roman" w:ascii="Times New Roman" w:hAnsi="Times New Roman"/>
          <w:color w:val="111111"/>
          <w:sz w:val="28"/>
          <w:szCs w:val="28"/>
          <w:rtl w:val="true"/>
          <w:lang w:val="en-US" w:bidi="en-US"/>
        </w:rPr>
        <w:t>:</w:t>
      </w:r>
    </w:p>
    <w:p>
      <w:pPr>
        <w:sectPr>
          <w:footerReference w:type="default" r:id="rId7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فذهب أکثر المتکلّمین و الفقهاء إلی أنّ کلّ مجتهد مصیب فی اجتهاده و فی </w:t>
      </w:r>
    </w:p>
    <w:p>
      <w:pPr>
        <w:pStyle w:val="BookText"/>
        <w:rPr/>
      </w:pPr>
      <w:r>
        <w:rPr>
          <w:rFonts w:ascii="IRNazanin" w:hAnsi="IRNazanin" w:eastAsia="IRNazanin"/>
          <w:color w:val="111111"/>
          <w:sz w:val="28"/>
          <w:sz w:val="28"/>
          <w:szCs w:val="28"/>
          <w:rtl w:val="true"/>
          <w:lang w:bidi="fa-IR"/>
        </w:rPr>
        <w:t xml:space="preserve">الحکم،و هو مذهب أبی علیّ و أبی هاشم </w:t>
      </w:r>
      <w:r>
        <w:rPr>
          <w:rStyle w:val="FootnoteAnchor"/>
          <w:rtl w:val="true"/>
        </w:rPr>
        <w:footnoteReference w:id="1590"/>
      </w:r>
      <w:r>
        <w:rPr>
          <w:rFonts w:ascii="IRNazanin" w:hAnsi="IRNazanin" w:eastAsia="IRNazanin"/>
          <w:color w:val="111111"/>
          <w:sz w:val="28"/>
          <w:sz w:val="28"/>
          <w:szCs w:val="28"/>
          <w:rtl w:val="true"/>
          <w:lang w:bidi="fa-IR"/>
        </w:rPr>
        <w:t xml:space="preserve">،و أبی الحسن </w:t>
      </w:r>
      <w:r>
        <w:rPr>
          <w:rStyle w:val="FootnoteAnchor"/>
          <w:rtl w:val="true"/>
        </w:rPr>
        <w:footnoteReference w:id="1591"/>
      </w:r>
      <w:r>
        <w:rPr>
          <w:rFonts w:ascii="IRNazanin" w:hAnsi="IRNazanin" w:eastAsia="IRNazanin"/>
          <w:color w:val="111111"/>
          <w:sz w:val="28"/>
          <w:sz w:val="28"/>
          <w:szCs w:val="28"/>
          <w:rtl w:val="true"/>
          <w:lang w:bidi="fa-IR"/>
        </w:rPr>
        <w:t xml:space="preserve">،و أکثر المتکلّمین، و إلیه ذهب أبو حنیفة و أصحابه فیما حکاه أبو الحسن </w:t>
      </w:r>
      <w:r>
        <w:rPr>
          <w:rStyle w:val="FootnoteAnchor"/>
          <w:rtl w:val="true"/>
        </w:rPr>
        <w:footnoteReference w:id="1592"/>
      </w:r>
      <w:r>
        <w:rPr>
          <w:rFonts w:ascii="IRNazanin" w:hAnsi="IRNazanin" w:eastAsia="IRNazanin"/>
          <w:color w:val="111111"/>
          <w:sz w:val="28"/>
          <w:sz w:val="28"/>
          <w:szCs w:val="28"/>
          <w:rtl w:val="true"/>
          <w:lang w:bidi="fa-IR"/>
        </w:rPr>
        <w:t xml:space="preserve">عنهم،و قد حکی غیره من العلماء عن أبی حنیفة خلافه </w:t>
      </w:r>
      <w:r>
        <w:rPr>
          <w:rStyle w:val="FootnoteAnchor"/>
          <w:rtl w:val="true"/>
        </w:rPr>
        <w:footnoteReference w:id="15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ذهب الأصمّ،و بشر المریسی إلی أنّ الحقّ فی واحد من ذلک و هو ما یقولون به،و إنّ ما عداه خطأ،حتّی قال الأصمّ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حکم الحاکم ینقض به،و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المخطئ غیر معذور فی ذلک،إلاّ أن یکون خطؤه صغیرا،و أنّ سبیل ذلک سبیل الخطأ فی أصول الدّیانات </w:t>
      </w:r>
      <w:r>
        <w:rPr>
          <w:rStyle w:val="FootnoteAnchor"/>
          <w:rtl w:val="true"/>
        </w:rPr>
        <w:footnoteReference w:id="15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ذهب أهل الظّاهر فیما عدا القیاس من الاستدلال و غیره إلی أنّ الحقّ من ذلک فی واحد </w:t>
      </w:r>
      <w:r>
        <w:rPr>
          <w:rStyle w:val="FootnoteAnchor"/>
          <w:rtl w:val="true"/>
        </w:rPr>
        <w:footnoteReference w:id="15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الشّافعی فانّ کلامه مختلف فی کتبه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فربّما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الحقّ فی واحد،و علیه دلیل قائم،و إنّ ما عداه خطأ</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ربّما مرّ فی کلامه أنّه مجتهد قد أدّی ما کلّف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ربّما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 قد أخطأ خطأ موضوعا عنه </w:t>
      </w:r>
      <w:r>
        <w:rPr>
          <w:rStyle w:val="FootnoteAnchor"/>
          <w:rtl w:val="true"/>
        </w:rPr>
        <w:footnoteReference w:id="15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قد اختلف أصحابه فی حکایة مذهبه </w:t>
      </w:r>
      <w:r>
        <w:rPr>
          <w:rStyle w:val="FootnoteAnchor"/>
          <w:rtl w:val="true"/>
        </w:rPr>
        <w:footnoteReference w:id="15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فمنهم من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الحقّ فی واحد من ذلک،و أنّ علیه دلیلا و إن لم یقطع علی الوصول إلیه،و إنّ ما عداه خطأ،لکنّ الدّلیل علی الصّواب من القولین لمّا غمض و لم یظهر،کان المخطئ معذورا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 من یحکی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کلّ مجتهد مصیب فی اجتهاده و فی الحکم،و إن کان أحدهما یقال فیه قد أخطأ،الأشبه عند اللّه </w:t>
      </w:r>
      <w:r>
        <w:rPr>
          <w:rStyle w:val="FootnoteAnchor"/>
          <w:rtl w:val="true"/>
        </w:rPr>
        <w:footnoteReference w:id="1598"/>
      </w:r>
      <w:r>
        <w:rPr>
          <w:rFonts w:eastAsia="Times New Roman" w:cs="Times New Roman" w:ascii="Times New Roman" w:hAnsi="Times New Roman"/>
          <w:color w:val="111111"/>
          <w:sz w:val="28"/>
          <w:szCs w:val="28"/>
          <w:rtl w:val="true"/>
          <w:lang w:val="en-US" w:bidi="en-US"/>
        </w:rPr>
        <w:t>.</w:t>
      </w:r>
    </w:p>
    <w:p>
      <w:pPr>
        <w:sectPr>
          <w:footerReference w:type="default" r:id="rId7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الّذی أذهب إلیه و هو مذهب جمیع شیوخنا المتکلّمین،المتقدّمین </w:t>
      </w:r>
    </w:p>
    <w:p>
      <w:pPr>
        <w:pStyle w:val="BookText"/>
        <w:rPr/>
      </w:pPr>
      <w:r>
        <w:rPr>
          <w:rFonts w:ascii="IRNazanin" w:hAnsi="IRNazanin" w:eastAsia="IRNazanin"/>
          <w:color w:val="111111"/>
          <w:sz w:val="28"/>
          <w:sz w:val="28"/>
          <w:szCs w:val="28"/>
          <w:rtl w:val="true"/>
          <w:lang w:bidi="fa-IR"/>
        </w:rPr>
        <w:t xml:space="preserve">و المتأخّرین،و هو الّذی اختاره سیدنا المرتضی </w:t>
      </w:r>
      <w:r>
        <w:rPr>
          <w:rStyle w:val="FootnoteAnchor"/>
          <w:rtl w:val="true"/>
        </w:rPr>
        <w:footnoteReference w:id="1599"/>
      </w:r>
      <w:r>
        <w:rPr>
          <w:rFonts w:ascii="IRNazanin" w:hAnsi="IRNazanin" w:eastAsia="IRNazanin"/>
          <w:color w:val="111111"/>
          <w:sz w:val="28"/>
          <w:sz w:val="28"/>
          <w:szCs w:val="28"/>
          <w:rtl w:val="true"/>
          <w:lang w:bidi="fa-IR"/>
        </w:rPr>
        <w:t>قدس اللّه روحه،و إلیه کان یذهب شیخنا أبو عبد اللّه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الحقّ واحد </w:t>
      </w:r>
      <w:r>
        <w:rPr>
          <w:rStyle w:val="FootnoteAnchor"/>
          <w:rtl w:val="true"/>
        </w:rPr>
        <w:footnoteReference w:id="1600"/>
      </w:r>
      <w:r>
        <w:rPr>
          <w:rFonts w:ascii="IRNazanin" w:hAnsi="IRNazanin" w:eastAsia="IRNazanin"/>
          <w:color w:val="111111"/>
          <w:sz w:val="28"/>
          <w:sz w:val="28"/>
          <w:szCs w:val="28"/>
          <w:rtl w:val="true"/>
          <w:lang w:bidi="fa-IR"/>
        </w:rPr>
        <w:t>و أنّ علیه دلیلا،من خالفه کان مخطئا فاسقا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اعلم أنّ الأصل فی هذه المسألة القول بالقیاس و العمل بأخبار الآحاد،لأنّ ما طریقه التّواتر و ظواهر القرآن،فلا خلاف بین أهل العلم أنّ الحقّ فیما هو معلوم من ذلک،و إنّما اختلف القائلون بهذین الأصلین فیما ذکرناه،و قد دللنا علی بطلان العمل بالقیاس </w:t>
      </w:r>
      <w:r>
        <w:rPr>
          <w:rStyle w:val="FootnoteAnchor"/>
          <w:rtl w:val="true"/>
        </w:rPr>
        <w:footnoteReference w:id="1601"/>
      </w:r>
      <w:r>
        <w:rPr>
          <w:rFonts w:ascii="IRNazanin" w:hAnsi="IRNazanin" w:eastAsia="IRNazanin"/>
          <w:color w:val="111111"/>
          <w:sz w:val="28"/>
          <w:sz w:val="28"/>
          <w:szCs w:val="28"/>
          <w:rtl w:val="true"/>
          <w:lang w:bidi="fa-IR"/>
        </w:rPr>
        <w:t xml:space="preserve">،و خبر الواحد الّذی یختصّ المخالف بروایته </w:t>
      </w:r>
      <w:r>
        <w:rPr>
          <w:rStyle w:val="FootnoteAnchor"/>
          <w:rtl w:val="true"/>
        </w:rPr>
        <w:footnoteReference w:id="16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إذا ثبت ذلک،دلّ علی أنّ الحقّ فی الجهة الّتی فیها الطّائفة المحقّة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علی ما اخترته من القول فی الأخبار المختلفة المرویّة من جهة الخاصّة، فلا ینقض ذلک لأنّ غرضنا فی هذا المکان أن نبیّن أنّ الحقّ فی الجهة الّتی فیها الطّائفة المحقّة دون الجهة الّتی خالفها،و إن کان حکم ما تختصّ به الطّائفة و الاختلاف الّتی بینها الحکم الّذی مضی الکلام علیه فی باب الکلام فی الأخبار،فلا تنافی بین القولین</w:t>
      </w:r>
      <w:r>
        <w:rPr>
          <w:rFonts w:eastAsia="IRNazanin" w:cs="IRNazanin"/>
          <w:color w:val="111111"/>
          <w:sz w:val="28"/>
          <w:szCs w:val="28"/>
          <w:rtl w:val="true"/>
          <w:lang w:bidi="fa-IR"/>
        </w:rPr>
        <w:t>.</w:t>
      </w:r>
    </w:p>
    <w:p>
      <w:pPr>
        <w:sectPr>
          <w:footerReference w:type="default" r:id="rId7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هذه الجملة کافیة فی هذا الباب،و إنّما لم نتتبّع کلام المخالف و طرقهم الّتی یستدلّون بها علی صحّة ذلک،لأنّ فیما مضی من الکلام فی إبطال القیاس کلاما علیه،و أکثر شبههم داخلة فیها،فلا معنی للإعادة فی هذا الباب</w:t>
      </w:r>
      <w:r>
        <w:rPr>
          <w:rFonts w:eastAsia="IRNazanin" w:cs="IRNazanin"/>
          <w:color w:val="111111"/>
          <w:sz w:val="28"/>
          <w:szCs w:val="28"/>
          <w:rtl w:val="true"/>
          <w:lang w:bidi="fa-IR"/>
        </w:rPr>
        <w:t xml:space="preserve">. </w:t>
      </w:r>
      <w:bookmarkStart w:id="394" w:name="pg6519_49929"/>
    </w:p>
    <w:p>
      <w:pPr>
        <w:pStyle w:val="Heading4"/>
        <w:numPr>
          <w:ilvl w:val="3"/>
          <w:numId w:val="1"/>
        </w:numPr>
        <w:rPr/>
      </w:pPr>
      <w:bookmarkStart w:id="395" w:name="__RefHeading___Toc1757401_653776707"/>
      <w:bookmarkStart w:id="396" w:name="_Toc124"/>
      <w:bookmarkEnd w:id="394"/>
      <w:bookmarkEnd w:id="395"/>
      <w:r>
        <w:rPr>
          <w:rtl w:val="true"/>
        </w:rPr>
        <w:t>فصل</w:t>
      </w:r>
      <w:r>
        <w:rPr>
          <w:rtl w:val="true"/>
        </w:rPr>
        <w:t>-</w:t>
      </w:r>
      <w:r>
        <w:rPr/>
        <w:t>2</w:t>
      </w:r>
      <w:r>
        <w:rPr>
          <w:rtl w:val="true"/>
        </w:rPr>
        <w:t>: «</w:t>
      </w:r>
      <w:r>
        <w:rPr>
          <w:rtl w:val="true"/>
        </w:rPr>
        <w:t>فی ذکر صفات المفتی و المستفتی،و بیان أحکامهما</w:t>
      </w:r>
      <w:r>
        <w:rPr>
          <w:rtl w:val="true"/>
        </w:rPr>
        <w:t>»</w:t>
      </w:r>
      <w:bookmarkEnd w:id="396"/>
    </w:p>
    <w:p>
      <w:pPr>
        <w:pStyle w:val="BookText"/>
        <w:rPr/>
      </w:pPr>
      <w:r>
        <w:rPr>
          <w:rFonts w:ascii="IRNazanin" w:hAnsi="IRNazanin" w:eastAsia="IRNazanin"/>
          <w:color w:val="111111"/>
          <w:sz w:val="28"/>
          <w:sz w:val="28"/>
          <w:szCs w:val="28"/>
          <w:rtl w:val="true"/>
          <w:lang w:bidi="fa-IR"/>
        </w:rPr>
        <w:t xml:space="preserve">لا یجوز لأحد أن یفتی بشیء من الأحکام إلاّ بعد أن یکون عالما به،لأنّ المفتی یخبر عن حال ما یستفتی فیه،فمتی لم یکن عالما به فلا یأمن أن یخبر بالشّیء علی غیر ما هو به و ذلک لا یجوز،فإذا لا بدّ أن </w:t>
      </w:r>
      <w:r>
        <w:rPr>
          <w:rStyle w:val="FootnoteAnchor"/>
          <w:rtl w:val="true"/>
        </w:rPr>
        <w:footnoteReference w:id="1603"/>
      </w:r>
      <w:r>
        <w:rPr>
          <w:rFonts w:ascii="IRNazanin" w:hAnsi="IRNazanin" w:eastAsia="IRNazanin"/>
          <w:color w:val="111111"/>
          <w:sz w:val="28"/>
          <w:sz w:val="28"/>
          <w:szCs w:val="28"/>
          <w:rtl w:val="true"/>
          <w:lang w:bidi="fa-IR"/>
        </w:rPr>
        <w:t>یکون عالما به،و لا یکون عالما إلاّ بعد 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یعلم جمیع ما لا یصحّ العلم </w:t>
      </w:r>
      <w:r>
        <w:rPr>
          <w:rStyle w:val="FootnoteAnchor"/>
          <w:rtl w:val="true"/>
        </w:rPr>
        <w:footnoteReference w:id="1604"/>
      </w:r>
      <w:r>
        <w:rPr>
          <w:rFonts w:ascii="IRNazanin" w:hAnsi="IRNazanin" w:eastAsia="IRNazanin"/>
          <w:color w:val="111111"/>
          <w:sz w:val="28"/>
          <w:sz w:val="28"/>
          <w:szCs w:val="28"/>
          <w:rtl w:val="true"/>
          <w:lang w:bidi="fa-IR"/>
        </w:rPr>
        <w:t>بتلک الحادثة إلاّ بعد تقدّمه،و ذلک نحو العلم باللّه تعالی،و صفاته،و توحیده،و عدله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قلنا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متی لم یکن عالما باللّه لم یمکنه أن یعرف النبوّة،لأنّه لا یأمن أن یکون الّذی ادّعی النّبوّة کاذبا،و متی عرفه و لم یعرف صفاته،و ما یجوز علیه و ما لا یجوز،لم یأمن أن یکون قد صدّق الکاذب،فلا یصحّ أن یعلم ما جاء به الرّسول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لا بدّ من أن یکون عالما بجمیع ذلک،و لا بدّ أن یکون عالما بالنّبیّ الّذی جاء بتلک الشّریعة،لأنّه متی لم یعرفه لم یصحّ أن یعرف ما جاء به من الشّرع</w:t>
      </w:r>
      <w:r>
        <w:rPr>
          <w:rFonts w:eastAsia="IRNazanin" w:cs="IRNazanin"/>
          <w:color w:val="111111"/>
          <w:sz w:val="28"/>
          <w:szCs w:val="28"/>
          <w:rtl w:val="true"/>
          <w:lang w:bidi="fa-IR"/>
        </w:rPr>
        <w:t>.</w:t>
      </w:r>
    </w:p>
    <w:p>
      <w:pPr>
        <w:sectPr>
          <w:footerReference w:type="default" r:id="rId7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بدّ من أن یعرف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صفات النّبی،و ما یجوز علیه و ما لا یجوز علیه،لأنّه </w:t>
      </w:r>
    </w:p>
    <w:p>
      <w:pPr>
        <w:pStyle w:val="BookText"/>
        <w:rPr/>
      </w:pPr>
      <w:r>
        <w:rPr>
          <w:rFonts w:ascii="IRNazanin" w:hAnsi="IRNazanin" w:eastAsia="IRNazanin"/>
          <w:color w:val="111111"/>
          <w:sz w:val="28"/>
          <w:sz w:val="28"/>
          <w:szCs w:val="28"/>
          <w:rtl w:val="true"/>
          <w:lang w:bidi="fa-IR"/>
        </w:rPr>
        <w:t xml:space="preserve">متی لم یعرف جمیع ذلک لم یؤمن أن یکون غیر صادق فیما یؤدّیه،أو یکون ما </w:t>
      </w:r>
      <w:r>
        <w:rPr>
          <w:rStyle w:val="FootnoteAnchor"/>
          <w:rtl w:val="true"/>
        </w:rPr>
        <w:footnoteReference w:id="1605"/>
      </w:r>
      <w:r>
        <w:rPr>
          <w:rFonts w:ascii="IRNazanin" w:hAnsi="IRNazanin" w:eastAsia="IRNazanin"/>
          <w:color w:val="111111"/>
          <w:sz w:val="28"/>
          <w:sz w:val="28"/>
          <w:szCs w:val="28"/>
          <w:rtl w:val="true"/>
          <w:lang w:bidi="fa-IR"/>
        </w:rPr>
        <w:t>أدّی جمیع ما بعث به،أو یکون أدّاه علی وجه لا یصحّ له معرفته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فإذا لا بدّ من أن یعرف جمیع ذلک،و إذا عرف جمیع ذلک فلا بدّ أیضا أن یعرف الکتاب،لأنّه </w:t>
      </w:r>
      <w:r>
        <w:rPr>
          <w:rStyle w:val="FootnoteAnchor"/>
          <w:rtl w:val="true"/>
        </w:rPr>
        <w:footnoteReference w:id="1606"/>
      </w:r>
      <w:r>
        <w:rPr>
          <w:rFonts w:ascii="IRNazanin" w:hAnsi="IRNazanin" w:eastAsia="IRNazanin"/>
          <w:color w:val="111111"/>
          <w:sz w:val="28"/>
          <w:sz w:val="28"/>
          <w:szCs w:val="28"/>
          <w:rtl w:val="true"/>
          <w:lang w:bidi="fa-IR"/>
        </w:rPr>
        <w:t>یتضمّن کثیرا من الأحکام الّتی هی المطلوبة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بدّ من أن یعرف ما لا یتمّ العلم بالکتاب إلاّ به،و ذلک یوجب أن یعرف جملة من الخطاب العربی،و جملة من الإعراب و المعانی،و یعرف النّاسخ و المنسوخ،لأنّه متی عرف المنسوخ و لم یعرف النّاسخ اعتقد الشّیء علی خلاف ما هو به من وجوب ما لا یجب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کان یجوز أن یعرف النّاسخ و إن لم یعرف المنسوخ،لأنّ المنسوخ لا یتعلّق به فرضه،و إن کان له فی تلاوته مصلحة،إلاّ أنّ ذلک علی الکفایة،غیر أنّه لو کان کذلک لم یمکنه أن یعرفه ناسخا إلاّ بعد أن یعرف المنسوخ،إمّا علی الجملة أو التّفصیل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بدّ أن یعرف العموم و الخصوص،و المطلق و المقیّد،لأنّه متی لم یعلم ذلک لا یأمن أن یکون المراد بالعموم الخصوص،و بالمطلق المقیّد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بدّ أن یکون عالما بأنّه لیس هناک دلیل یصرفه عن الحقیقة إلی المجاز،لأنّه متی جوّز </w:t>
      </w:r>
      <w:r>
        <w:rPr>
          <w:rStyle w:val="FootnoteAnchor"/>
          <w:rtl w:val="true"/>
        </w:rPr>
        <w:footnoteReference w:id="1607"/>
      </w:r>
      <w:r>
        <w:rPr>
          <w:rFonts w:ascii="IRNazanin" w:hAnsi="IRNazanin" w:eastAsia="IRNazanin"/>
          <w:color w:val="111111"/>
          <w:sz w:val="28"/>
          <w:sz w:val="28"/>
          <w:szCs w:val="28"/>
          <w:rtl w:val="true"/>
          <w:lang w:bidi="fa-IR"/>
        </w:rPr>
        <w:t>ذلک لم یکن عالما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بدّ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عالما بالسّنّة،و ناسخها و منسوخها،و عامها و خاصّها، و مطلقها و مقیّدها،و حقیقتها و مجازها،و أنّه لیس هناک ما یمنع من الاستدلال بشیء من ظواهرها کما قلناه فی الکتاب،لأنّه متی جوّز ذلک لم یکن عالما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بدّ أن یکون عارفا بالإجماع و أحکامه،و ما یصحّ الاحتجاج به و ما لا یصحّ</w:t>
      </w:r>
      <w:r>
        <w:rPr>
          <w:rFonts w:eastAsia="IRNazanin" w:cs="IRNazanin"/>
          <w:color w:val="111111"/>
          <w:sz w:val="28"/>
          <w:szCs w:val="28"/>
          <w:rtl w:val="true"/>
          <w:lang w:bidi="fa-IR"/>
        </w:rPr>
        <w:t>.</w:t>
      </w:r>
    </w:p>
    <w:p>
      <w:pPr>
        <w:sectPr>
          <w:footerReference w:type="default" r:id="rId7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لا بدّ أن یکون عارفا بأفعال النّبی علیه السّلام و مواقعها من الوجوب، </w:t>
      </w:r>
    </w:p>
    <w:p>
      <w:pPr>
        <w:pStyle w:val="BookText"/>
        <w:rPr/>
      </w:pPr>
      <w:r>
        <w:rPr>
          <w:rFonts w:ascii="IRNazanin" w:hAnsi="IRNazanin" w:eastAsia="IRNazanin"/>
          <w:color w:val="111111"/>
          <w:sz w:val="28"/>
          <w:sz w:val="28"/>
          <w:szCs w:val="28"/>
          <w:rtl w:val="true"/>
          <w:lang w:bidi="fa-IR"/>
        </w:rPr>
        <w:t>و النّدب،و الإباحة،حتّی یصحّ أن یکون عالما بما یفتی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أخلّ بذلک أو بشیء منه،لم یأمن أن یکون ما أفتی به بخلاف ما أفتی به، و ذلک قبیح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عدّ من خالفنا فی هذه الأقسام أنّه لا بدّ أن یکون عالما بالقیاس، و الاجتهاد،و أخبار الآحاد،و وجوه العلل و المقاییس،و إثبات الأمارات المقتضیة لغلبة الظّنّ،و إثبات الأحکام </w:t>
      </w:r>
      <w:r>
        <w:rPr>
          <w:rStyle w:val="FootnoteAnchor"/>
          <w:rtl w:val="true"/>
        </w:rPr>
        <w:footnoteReference w:id="16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بیّنّا نحن فساد ذلک و أنّها لیست من أدلّة الشّرع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المستفتی فعلی ضربین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متمکّنا من الاستدلال و الوصول إلی العلم بالحادثة مثل المفتی،فمن هذه صورته لا یجوز له أن یقلّد المفتی و یرجع إلی فتیاه،و إنّما قلنا ذلک لأنّ قول المفتی غایة ما یوجبه غلبة الظّن،و إذا کان له طریق إلی حصول العلم فلا یجوز له أن یعمل علی غلبة الظّن علی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إذا لم یمکنه الاستدلال و یعجز عن البحث عن ذلک،فقد اختلف قول العلماء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فحکی عن قوم من البغدادیّین </w:t>
      </w:r>
      <w:r>
        <w:rPr>
          <w:rStyle w:val="FootnoteAnchor"/>
          <w:rtl w:val="true"/>
        </w:rPr>
        <w:footnoteReference w:id="1609"/>
      </w:r>
      <w:r>
        <w:rPr>
          <w:rFonts w:ascii="IRNazanin" w:hAnsi="IRNazanin" w:eastAsia="IRNazanin"/>
          <w:color w:val="111111"/>
          <w:sz w:val="28"/>
          <w:sz w:val="28"/>
          <w:szCs w:val="28"/>
          <w:rtl w:val="true"/>
          <w:lang w:bidi="fa-IR"/>
        </w:rPr>
        <w:t>أنّهم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له أن یقلّد المفتی،و إنّما ینبغی أن یرجع إلیه لینبّهه علی طریقة العلم بالحادثة،و أنّ تقلیده محرّم علی کلّ حال،و سوّوا فی ذلک بین أحکام الفروع و الأصول</w:t>
      </w:r>
      <w:r>
        <w:rPr>
          <w:rFonts w:eastAsia="IRNazanin" w:cs="IRNazanin"/>
          <w:color w:val="111111"/>
          <w:sz w:val="28"/>
          <w:szCs w:val="28"/>
          <w:rtl w:val="true"/>
          <w:lang w:bidi="fa-IR"/>
        </w:rPr>
        <w:t>.</w:t>
      </w:r>
    </w:p>
    <w:p>
      <w:pPr>
        <w:sectPr>
          <w:footerReference w:type="default" r:id="rId7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ذهب البصریّون </w:t>
      </w:r>
      <w:r>
        <w:rPr>
          <w:rStyle w:val="FootnoteAnchor"/>
          <w:rtl w:val="true"/>
        </w:rPr>
        <w:footnoteReference w:id="1610"/>
      </w:r>
      <w:r>
        <w:rPr>
          <w:rFonts w:ascii="IRNazanin" w:hAnsi="IRNazanin" w:eastAsia="IRNazanin"/>
          <w:color w:val="111111"/>
          <w:sz w:val="28"/>
          <w:sz w:val="28"/>
          <w:szCs w:val="28"/>
          <w:rtl w:val="true"/>
          <w:lang w:bidi="fa-IR"/>
        </w:rPr>
        <w:t xml:space="preserve">،و الفقهاء بأسرهم </w:t>
      </w:r>
      <w:r>
        <w:rPr>
          <w:rStyle w:val="FootnoteAnchor"/>
          <w:rtl w:val="true"/>
        </w:rPr>
        <w:footnoteReference w:id="1611"/>
      </w:r>
      <w:r>
        <w:rPr>
          <w:rFonts w:ascii="IRNazanin" w:hAnsi="IRNazanin" w:eastAsia="IRNazanin"/>
          <w:color w:val="111111"/>
          <w:sz w:val="28"/>
          <w:sz w:val="28"/>
          <w:szCs w:val="28"/>
          <w:rtl w:val="true"/>
          <w:lang w:bidi="fa-IR"/>
        </w:rPr>
        <w:t xml:space="preserve">إلی أنّ العامیّ لا یجب علیه </w:t>
      </w:r>
    </w:p>
    <w:p>
      <w:pPr>
        <w:pStyle w:val="BookText"/>
        <w:rPr/>
      </w:pPr>
      <w:r>
        <w:rPr>
          <w:rFonts w:ascii="IRNazanin" w:hAnsi="IRNazanin" w:eastAsia="IRNazanin"/>
          <w:color w:val="111111"/>
          <w:sz w:val="28"/>
          <w:sz w:val="28"/>
          <w:szCs w:val="28"/>
          <w:rtl w:val="true"/>
          <w:lang w:bidi="fa-IR"/>
        </w:rPr>
        <w:t>الاستدلال و الاجتهاد،و أنّه یجوز له أن یقبل قول المفتی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فامّا فی أصوله و فی العقلیّات فحکمه حکم العالم فی وجوب معرفة ذلک علیه،و لا خلاف بین النّاس أنّه یلزم العامی معرفة الصّلاة أعدادها،و إذا صحّ ذلک و کان علمه بذلک لا یتمّ إلاّ بعد معرفة اللّه تعالی،و معرفة عدله،و معرفة النّبوّة،وجب أن لا یصحّ له أن یقلّد فی ذلک،و یجب أن یحکم بخلاف قول من قال یجوز تقلیده فی التوحید مع إیجابه منه العلم بالصّلوات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نذهب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یجوز للعامیّ الّذی لا یقدر علی البحث و التّفتیش تقلید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یدلّ علی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أنّی وجدت عامّة الطّائفة من عهد أمیر المؤمنین علیه السّلام إلی زماننا هذا یرجعون إلی علمائها،و یستفتونهم فی الأحکام و العبادات،و یفتونهم العلماء فیها،و یسوّغون لهم العمل بما یفتونهم به،و ما سمعنا أحدا منهم قال لمستفت لا یجوز لک الاستفتاء و لا العمل به،بل ینبغی أن تنظر کما نظرت و تعلم کما علمت،و لا أنکر علیه العمل بما یفتونهم،و قد کان منهم الخلق العظیم عاصروا الأئمة علیهم السّلام،و لم یحک عن واحد من الأئمة النّکیر علی أحد من هؤلاء و لا إیجاب القول بخلافه،بل کانوا یصوّبونهم فی ذلک،فمن خالفه فی ذلک کان مخالفا لما هو المعلوم 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وجدناهم یرجعون إلی العلماء فیما طریقه الأحکام الشّرعیّة، وجدناهم أیضا کانوا یرجعون إلیهم فی أصول الدّیانات،و لم نعرف أحدا من الأئمّة علیهم السّلام و العلماء أنکر علیهم،و لم یدلّ ذلک علی أنّه یسوغ تقلید العالم فی الأصول</w:t>
      </w:r>
      <w:r>
        <w:rPr>
          <w:rFonts w:eastAsia="IRNazanin" w:cs="IRNazanin"/>
          <w:color w:val="111111"/>
          <w:sz w:val="28"/>
          <w:szCs w:val="28"/>
          <w:rtl w:val="true"/>
          <w:lang w:bidi="fa-IR"/>
        </w:rPr>
        <w:t>.</w:t>
      </w:r>
    </w:p>
    <w:p>
      <w:pPr>
        <w:sectPr>
          <w:footerReference w:type="default" r:id="rId7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سلّمنا أنّه لم ینکر أحد منهم ذلک لم یطعن ذلک فی هذا الاستدلال، لأنّ علی بطلان التّقلید فی الأصول أدلّة عقلیّة و شرعیّة من کتاب و سنّة و غیر ذلک، </w:t>
      </w:r>
    </w:p>
    <w:p>
      <w:pPr>
        <w:pStyle w:val="BookText"/>
        <w:rPr/>
      </w:pPr>
      <w:r>
        <w:rPr>
          <w:rFonts w:ascii="IRNazanin" w:hAnsi="IRNazanin" w:eastAsia="IRNazanin"/>
          <w:color w:val="111111"/>
          <w:sz w:val="28"/>
          <w:sz w:val="28"/>
          <w:szCs w:val="28"/>
          <w:rtl w:val="true"/>
          <w:lang w:bidi="fa-IR"/>
        </w:rPr>
        <w:t>و ذلک کاف فی النّکیر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فانّ المقلّد فی الأصول یقدم علی ما لا یأمن أن یکون جهلا،لأنّ طریق ذلک الاعتقاد،و المعتقد لا یتغیّر فی نفسه عن صفة إلی غیرها،و لیس کذلک الشّرعیّات لأنّها تابعة للمصالح،و لا یمتنع أن یکون من مصلحتهم تقلید العالم </w:t>
      </w:r>
      <w:r>
        <w:rPr>
          <w:rStyle w:val="FootnoteAnchor"/>
          <w:rtl w:val="true"/>
        </w:rPr>
        <w:footnoteReference w:id="1612"/>
      </w:r>
      <w:r>
        <w:rPr>
          <w:rFonts w:ascii="IRNazanin" w:hAnsi="IRNazanin" w:eastAsia="IRNazanin"/>
          <w:color w:val="111111"/>
          <w:sz w:val="28"/>
          <w:sz w:val="28"/>
          <w:szCs w:val="28"/>
          <w:rtl w:val="true"/>
          <w:lang w:bidi="fa-IR"/>
        </w:rPr>
        <w:t>فی جمیع تلک الأحکام،و ذلک لا یتأتّی فی أصول الدّیانات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أنّ الّذی یقوی فی نفسی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المقلّد للمحقّ فی أصول الدّیانات</w:t>
      </w:r>
      <w:r>
        <w:rPr>
          <w:rFonts w:eastAsia="Amiri" w:cs="Amiri" w:ascii="Amiri" w:hAnsi="Amiri"/>
          <w:color w:val="111111"/>
          <w:sz w:val="28"/>
          <w:szCs w:val="28"/>
          <w:rtl w:val="true"/>
          <w:lang w:bidi="ar-SA"/>
        </w:rPr>
        <w:t xml:space="preserve">] </w:t>
      </w:r>
      <w:r>
        <w:rPr>
          <w:rStyle w:val="FootnoteAnchor"/>
          <w:rtl w:val="true"/>
        </w:rPr>
        <w:footnoteReference w:id="1613"/>
      </w:r>
      <w:r>
        <w:rPr>
          <w:rFonts w:ascii="IRNazanin" w:hAnsi="IRNazanin" w:eastAsia="IRNazanin"/>
          <w:color w:val="111111"/>
          <w:sz w:val="28"/>
          <w:sz w:val="28"/>
          <w:szCs w:val="28"/>
          <w:rtl w:val="true"/>
          <w:lang w:bidi="fa-IR"/>
        </w:rPr>
        <w:t xml:space="preserve">و إن مخطئا فی تقلیده،غیر مؤاخذ </w:t>
      </w:r>
      <w:r>
        <w:rPr>
          <w:rStyle w:val="FootnoteAnchor"/>
          <w:rtl w:val="true"/>
        </w:rPr>
        <w:footnoteReference w:id="1614"/>
      </w:r>
      <w:r>
        <w:rPr>
          <w:rFonts w:ascii="IRNazanin" w:hAnsi="IRNazanin" w:eastAsia="IRNazanin"/>
          <w:color w:val="111111"/>
          <w:sz w:val="28"/>
          <w:sz w:val="28"/>
          <w:szCs w:val="28"/>
          <w:rtl w:val="true"/>
          <w:lang w:bidi="fa-IR"/>
        </w:rPr>
        <w:t>به،و أنّه معفوّ عنه،و إنّما قلنا ذلک لمثل هذه الطّریقة الّتی قدّمناها لأنّی لم أجد أحدا من الطّائفة و لا من الأئمّة علیهم السّلام قطع موالاة من سمع قولهم و اعتقد مثل اعتقادهم،و إن لم یسند ذلک إلی حجّة عقل أو شرع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لأحد 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ذلک لا یجوز لأنّه یؤدّی إلی الإغراء بما لا یؤمن أن یکون جهلا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ذلک أنّه لا تؤدّی إلی شیء من ذلک،لأنّ هذا المقلّد لا یمکنه أن یعلم ابتداء أنّ ذلک سائغ له،فهو خائف من الإقدام علی ذلک،و لا یمکنه أیضا أن یعلم سقوط العقاب عنه و یستدیم </w:t>
      </w:r>
      <w:r>
        <w:rPr>
          <w:rStyle w:val="FootnoteAnchor"/>
          <w:rtl w:val="true"/>
        </w:rPr>
        <w:footnoteReference w:id="1615"/>
      </w:r>
      <w:r>
        <w:rPr>
          <w:rFonts w:ascii="IRNazanin" w:hAnsi="IRNazanin" w:eastAsia="IRNazanin"/>
          <w:color w:val="111111"/>
          <w:sz w:val="28"/>
          <w:sz w:val="28"/>
          <w:szCs w:val="28"/>
          <w:rtl w:val="true"/>
          <w:lang w:bidi="fa-IR"/>
        </w:rPr>
        <w:t>الاعتقاد،لأنّه إنّما یمکنه أن یعلم ذلک إذا عرف الأصول و قد فرضنا أنّه مقلّد فی ذلک کلّه،فکیف یعلم إسقاط العقاب؟فیکون مغری باعتقاد ما لا یأمن کونه جهلا أو باستدامته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یعلم ذلک غیره من العلماء الّذین حصل لهم العلم بالأصول و سبروا أحوالهم،و أنّ العلماء لم یقطعوا موالاتهم و لا أنکروا علیهم،و لم یسغ ذلک لهم إلاّ بعد العلم بسقوط العقاب عنهم،و ذلک یخرجه عن باب الإغراء</w:t>
      </w:r>
      <w:r>
        <w:rPr>
          <w:rFonts w:eastAsia="IRNazanin" w:cs="IRNazanin"/>
          <w:color w:val="111111"/>
          <w:sz w:val="28"/>
          <w:szCs w:val="28"/>
          <w:rtl w:val="true"/>
          <w:lang w:bidi="fa-IR"/>
        </w:rPr>
        <w:t>.</w:t>
      </w:r>
    </w:p>
    <w:p>
      <w:pPr>
        <w:sectPr>
          <w:footerReference w:type="default" r:id="rId7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القدر کاف فی هذا الباب إن شاء اللّه تعالی</w:t>
      </w:r>
      <w:r>
        <w:rPr>
          <w:rFonts w:eastAsia="IRNazanin" w:cs="IRNazanin"/>
          <w:color w:val="111111"/>
          <w:sz w:val="28"/>
          <w:szCs w:val="28"/>
          <w:rtl w:val="true"/>
          <w:lang w:bidi="fa-IR"/>
        </w:rPr>
        <w:t xml:space="preserve">. </w:t>
      </w:r>
    </w:p>
    <w:p>
      <w:pPr>
        <w:sectPr>
          <w:footerReference w:type="default" r:id="rId7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أقوی ممّا ذکرنا،أن لا یجوز التقلید فی الأصول،إذا کان للمکلّف طریق إلی العلم إمّا جملة أو تفصیلا،و من لیس له قدرة علی ذلک أصلا فلیس بمکلّف،و هو بمنزلة البهائم التی لیست مکلفة بحال </w:t>
      </w:r>
      <w:r>
        <w:rPr>
          <w:rStyle w:val="FootnoteAnchor"/>
          <w:rtl w:val="true"/>
        </w:rPr>
        <w:footnoteReference w:id="1616"/>
      </w:r>
      <w:r>
        <w:rPr>
          <w:rFonts w:eastAsia="Times New Roman" w:cs="Times New Roman" w:ascii="Times New Roman" w:hAnsi="Times New Roman"/>
          <w:color w:val="111111"/>
          <w:sz w:val="28"/>
          <w:szCs w:val="28"/>
          <w:rtl w:val="true"/>
          <w:lang w:val="en-US" w:bidi="en-US"/>
        </w:rPr>
        <w:t xml:space="preserve">. </w:t>
      </w:r>
      <w:bookmarkStart w:id="397" w:name="pg6519_49935"/>
    </w:p>
    <w:p>
      <w:pPr>
        <w:pStyle w:val="Heading4"/>
        <w:numPr>
          <w:ilvl w:val="3"/>
          <w:numId w:val="1"/>
        </w:numPr>
        <w:rPr/>
      </w:pPr>
      <w:bookmarkStart w:id="398" w:name="__RefHeading___Toc1757403_653776707"/>
      <w:bookmarkStart w:id="399" w:name="_Toc125"/>
      <w:bookmarkEnd w:id="397"/>
      <w:bookmarkEnd w:id="398"/>
      <w:r>
        <w:rPr>
          <w:rtl w:val="true"/>
        </w:rPr>
        <w:t>فصل</w:t>
      </w:r>
      <w:r>
        <w:rPr>
          <w:rtl w:val="true"/>
        </w:rPr>
        <w:t>-</w:t>
      </w:r>
      <w:r>
        <w:rPr/>
        <w:t>3</w:t>
      </w:r>
      <w:r>
        <w:rPr>
          <w:rtl w:val="true"/>
        </w:rPr>
        <w:t xml:space="preserve">: </w:t>
      </w:r>
      <w:r>
        <w:rPr>
          <w:rtl w:val="true"/>
        </w:rPr>
        <w:t>فی أنّ النّبی علیه السّلام هل کان مجتهدا فی شیء من الأحکام؟</w:t>
      </w:r>
      <w:r>
        <w:rPr>
          <w:rtl w:val="true"/>
        </w:rPr>
        <w:t>...</w:t>
      </w:r>
      <w:bookmarkEnd w:id="399"/>
    </w:p>
    <w:p>
      <w:pPr>
        <w:pStyle w:val="BookText"/>
        <w:rPr/>
      </w:pPr>
      <w:r>
        <w:rPr>
          <w:rFonts w:ascii="IRNazanin" w:hAnsi="IRNazanin" w:eastAsia="IRNazanin"/>
          <w:color w:val="111111"/>
          <w:sz w:val="28"/>
          <w:sz w:val="28"/>
          <w:szCs w:val="28"/>
          <w:rtl w:val="true"/>
          <w:lang w:bidi="fa-IR"/>
        </w:rPr>
        <w:t>فی أنّ النّبی علیه السّلام هل کان مجتهدا فی شیء من الأحکام؟</w:t>
      </w:r>
    </w:p>
    <w:p>
      <w:pPr>
        <w:pStyle w:val="BookText"/>
        <w:rPr/>
      </w:pPr>
      <w:r>
        <w:rPr>
          <w:rFonts w:ascii="IRNazanin" w:hAnsi="IRNazanin" w:eastAsia="IRNazanin"/>
          <w:color w:val="111111"/>
          <w:sz w:val="28"/>
          <w:sz w:val="28"/>
          <w:szCs w:val="28"/>
          <w:rtl w:val="true"/>
          <w:lang w:bidi="fa-IR"/>
        </w:rPr>
        <w:t>و هل کان یسوغ ذلک له عقلا أم لا؟و إنّ من غاب عن الرّسول</w:t>
      </w:r>
    </w:p>
    <w:p>
      <w:pPr>
        <w:pStyle w:val="BookText"/>
        <w:rPr/>
      </w:pPr>
      <w:r>
        <w:rPr>
          <w:rFonts w:ascii="IRNazanin" w:hAnsi="IRNazanin" w:eastAsia="IRNazanin"/>
          <w:color w:val="111111"/>
          <w:sz w:val="28"/>
          <w:sz w:val="28"/>
          <w:szCs w:val="28"/>
          <w:rtl w:val="true"/>
          <w:lang w:bidi="fa-IR"/>
        </w:rPr>
        <w:t>صلّی اللّه علیه و آله و سلّم فی حال حیاته هل کان یسوغ له</w:t>
      </w:r>
    </w:p>
    <w:p>
      <w:pPr>
        <w:pStyle w:val="BookText"/>
        <w:rPr/>
      </w:pPr>
      <w:r>
        <w:rPr>
          <w:rFonts w:ascii="IRNazanin" w:hAnsi="IRNazanin" w:eastAsia="IRNazanin"/>
          <w:color w:val="111111"/>
          <w:sz w:val="28"/>
          <w:sz w:val="28"/>
          <w:szCs w:val="28"/>
          <w:rtl w:val="true"/>
          <w:lang w:bidi="fa-IR"/>
        </w:rPr>
        <w:t>الاجتهاد أو لا؟و کیف حال من بحضرته فی جواز ذلک؟</w:t>
      </w:r>
      <w:r>
        <w:rPr>
          <w:rFonts w:eastAsia="IRNazanin" w:cs="IRNazanin"/>
          <w:color w:val="111111"/>
          <w:sz w:val="28"/>
          <w:szCs w:val="28"/>
          <w:rtl w:val="true"/>
          <w:lang w:bidi="fa-IR"/>
        </w:rPr>
        <w:t>»</w:t>
      </w:r>
    </w:p>
    <w:p>
      <w:pPr>
        <w:pStyle w:val="BookText"/>
        <w:rPr/>
      </w:pPr>
      <w:r>
        <w:rPr>
          <w:rStyle w:val="FootnoteAnchor"/>
          <w:rtl w:val="true"/>
        </w:rPr>
        <w:footnoteReference w:id="16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أنّ هذه المسألة تسقط عن </w:t>
      </w:r>
      <w:r>
        <w:rPr>
          <w:rStyle w:val="FootnoteAnchor"/>
          <w:rtl w:val="true"/>
        </w:rPr>
        <w:footnoteReference w:id="1618"/>
      </w:r>
      <w:r>
        <w:rPr>
          <w:rFonts w:ascii="IRNazanin" w:hAnsi="IRNazanin" w:eastAsia="IRNazanin"/>
          <w:color w:val="111111"/>
          <w:sz w:val="28"/>
          <w:sz w:val="28"/>
          <w:szCs w:val="28"/>
          <w:rtl w:val="true"/>
          <w:lang w:bidi="fa-IR"/>
        </w:rPr>
        <w:t xml:space="preserve">أصولنا،لأنا قد بیّنا أنّ القیاس و الاجتهاد </w:t>
      </w:r>
      <w:r>
        <w:rPr>
          <w:rStyle w:val="FootnoteAnchor"/>
          <w:rtl w:val="true"/>
        </w:rPr>
        <w:footnoteReference w:id="1619"/>
      </w:r>
      <w:r>
        <w:rPr>
          <w:rFonts w:ascii="IRNazanin" w:hAnsi="IRNazanin" w:eastAsia="IRNazanin"/>
          <w:color w:val="111111"/>
          <w:sz w:val="28"/>
          <w:sz w:val="28"/>
          <w:szCs w:val="28"/>
          <w:rtl w:val="true"/>
          <w:lang w:bidi="fa-IR"/>
        </w:rPr>
        <w:t>لا یجوز استعمالهما فی الشّرع،و إذا ثبت ذلک فلا یجوز للنّبی صلّی اللّه علیه و آله و سلّم ذلک و لا لأحد من رعیّته حاضرا کان أو غائبا،لا حال حیاته و لا بعد وفاته استعمال ذلک علی حال</w:t>
      </w:r>
      <w:r>
        <w:rPr>
          <w:rFonts w:eastAsia="IRNazanin" w:cs="IRNazanin"/>
          <w:color w:val="111111"/>
          <w:sz w:val="28"/>
          <w:szCs w:val="28"/>
          <w:rtl w:val="true"/>
          <w:lang w:bidi="fa-IR"/>
        </w:rPr>
        <w:t>.</w:t>
      </w:r>
    </w:p>
    <w:p>
      <w:pPr>
        <w:sectPr>
          <w:footerReference w:type="default" r:id="rId7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علی مذهب المخالفین لنا فی ذلک فقد اختلفوا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فذهب أبو علیّ،و أبو هاشم إلی أنّه لم یتعبّد فی الشّرعیّات بذلک،و لا وقع منه الاجتهاد فیها،و أوجب </w:t>
      </w:r>
      <w:r>
        <w:rPr>
          <w:rStyle w:val="FootnoteAnchor"/>
          <w:rtl w:val="true"/>
        </w:rPr>
        <w:footnoteReference w:id="1620"/>
      </w:r>
      <w:r>
        <w:rPr>
          <w:rFonts w:ascii="IRNazanin" w:hAnsi="IRNazanin" w:eastAsia="IRNazanin"/>
          <w:color w:val="111111"/>
          <w:sz w:val="28"/>
          <w:sz w:val="28"/>
          <w:szCs w:val="28"/>
          <w:rtl w:val="true"/>
          <w:lang w:bidi="fa-IR"/>
        </w:rPr>
        <w:t xml:space="preserve">کونه متعبّدا بالاجتهاد فی الحروب </w:t>
      </w:r>
      <w:r>
        <w:rPr>
          <w:rStyle w:val="FootnoteAnchor"/>
          <w:rtl w:val="true"/>
        </w:rPr>
        <w:footnoteReference w:id="16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حکی عن أبی یوسف القول بأنّ النّبی علیه السّلام قد اجتهد فی الأحکام </w:t>
      </w:r>
      <w:r>
        <w:rPr>
          <w:rStyle w:val="FootnoteAnchor"/>
          <w:rtl w:val="true"/>
        </w:rPr>
        <w:footnoteReference w:id="16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ذکر الشّافعی فی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یدلّ علی أنّه یجوّز أن یکون فی أحکامه ما قاله من جهة الاجتهاد </w:t>
      </w:r>
      <w:r>
        <w:rPr>
          <w:rStyle w:val="FootnoteAnchor"/>
          <w:rtl w:val="true"/>
        </w:rPr>
        <w:footnoteReference w:id="16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ادّعی أبو علیّ الإجماع علی أنّه لم یجتهد النّبی علیه السّلام فی شیء من الأحکام </w:t>
      </w:r>
      <w:r>
        <w:rPr>
          <w:rStyle w:val="FootnoteAnchor"/>
          <w:rtl w:val="true"/>
        </w:rPr>
        <w:footnoteReference w:id="16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استدلّ أیضا علی ذلک بأن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اجتهد فی بعض الأحکام لم یجب أن یجعل أصلا و لا یکفّر من ردّه،بل کان یجوز مخالفته کما یجوز مثل ذلک فی أقاویل المجتهدین،فلمّا ثبت کفر من ردّ بعض أحکامه و خالفه،و ساغ جعل جمیعها أصولا، دلّ علی أنّه حکم به من جهة الوحی </w:t>
      </w:r>
      <w:r>
        <w:rPr>
          <w:rStyle w:val="FootnoteAnchor"/>
          <w:rtl w:val="true"/>
        </w:rPr>
        <w:footnoteReference w:id="1625"/>
      </w:r>
      <w:r>
        <w:rPr>
          <w:rFonts w:eastAsia="Times New Roman" w:cs="Times New Roman" w:ascii="Times New Roman" w:hAnsi="Times New Roman"/>
          <w:color w:val="111111"/>
          <w:sz w:val="28"/>
          <w:szCs w:val="28"/>
          <w:rtl w:val="true"/>
          <w:lang w:val="en-US" w:bidi="en-US"/>
        </w:rPr>
        <w:t>.</w:t>
      </w:r>
    </w:p>
    <w:p>
      <w:pPr>
        <w:sectPr>
          <w:footerReference w:type="default" r:id="rId7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الدّلیل لیس بصحیح،لأنّه لا یمتنع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فی أحکامه ما حکم به من جهة الاجتهاد،و مع ذلک لا یسوغ مخالفته من حیث أوجب اللّه تعالی اتّباعه </w:t>
      </w:r>
    </w:p>
    <w:p>
      <w:pPr>
        <w:pStyle w:val="BookText"/>
        <w:rPr/>
      </w:pPr>
      <w:r>
        <w:rPr>
          <w:rFonts w:ascii="IRNazanin" w:hAnsi="IRNazanin" w:eastAsia="IRNazanin"/>
          <w:color w:val="111111"/>
          <w:sz w:val="28"/>
          <w:sz w:val="28"/>
          <w:szCs w:val="28"/>
          <w:rtl w:val="true"/>
          <w:lang w:bidi="fa-IR"/>
        </w:rPr>
        <w:t>و سوّی فی ذلک اتّباعه بین ما قاله بوحی،و بین ما قال من جهة الاجتهاد،کما یقول من قال إنّ الأمّة یجوز أن تجمع علی حکم من طریق الاجتهاد و إن کان لا یجوز خلافه،و إذا ثبت ذلک لم یمکن التّعلّق بما حکینا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یمکن أن یستدلّ علی ذلک بقوله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یَنْطِقُ عَنِ الْهَوی إِنْ هُوَ إِلاّ وَحْیٌ یُوحی   </w:t>
      </w:r>
      <w:r>
        <w:rPr>
          <w:rStyle w:val="FootnoteAnchor"/>
          <w:rtl w:val="true"/>
        </w:rPr>
        <w:footnoteReference w:id="1626"/>
      </w:r>
      <w:r>
        <w:rPr>
          <w:rFonts w:ascii="IRNazanin" w:hAnsi="IRNazanin" w:eastAsia="IRNazanin"/>
          <w:color w:val="111111"/>
          <w:sz w:val="28"/>
          <w:sz w:val="28"/>
          <w:szCs w:val="28"/>
          <w:rtl w:val="true"/>
          <w:lang w:bidi="fa-IR"/>
        </w:rPr>
        <w:t>فحکم بأنّ جمیع ما یقوله وحی یوحی،فینبغی أن لا یثبت بعض ذلک من جهة الاجتهاد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المعتمد ما قلناه أوّلا من عدم الدّلیل علی ورود العبادة بالقیاس و الاجتهاد فی جمیع المکلّفین،و علی جمیع الأحوال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من حضر النّبی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فذهب أبو علیّ إلی أنّه لا یجوز أن یجتهد،و یجوز ذلک لمن غاب </w:t>
      </w:r>
      <w:r>
        <w:rPr>
          <w:rStyle w:val="FootnoteAnchor"/>
          <w:rtl w:val="true"/>
        </w:rPr>
        <w:footnoteReference w:id="16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النّاس من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لمن حضر النّبی صلّی اللّه علیه و آله و سلّم أیضا أن یجتهد </w:t>
      </w:r>
      <w:r>
        <w:rPr>
          <w:rStyle w:val="FootnoteAnchor"/>
          <w:rtl w:val="true"/>
        </w:rPr>
        <w:footnoteReference w:id="1628"/>
      </w:r>
      <w:r>
        <w:rPr>
          <w:rFonts w:ascii="IRNazanin" w:hAnsi="IRNazanin" w:eastAsia="IRNazanin"/>
          <w:color w:val="111111"/>
          <w:sz w:val="28"/>
          <w:sz w:val="28"/>
          <w:szCs w:val="28"/>
          <w:rtl w:val="true"/>
          <w:lang w:bidi="fa-IR"/>
        </w:rPr>
        <w:t xml:space="preserve">،و یستدلّ علی ذلک بخبر یروی أنّ النّبی علیه السّلام أمر عمرو بن العاص و عقبة بن عامر </w:t>
      </w:r>
      <w:r>
        <w:rPr>
          <w:rStyle w:val="FootnoteAnchor"/>
          <w:rtl w:val="true"/>
        </w:rPr>
        <w:footnoteReference w:id="1629"/>
      </w:r>
      <w:r>
        <w:rPr>
          <w:rFonts w:ascii="IRNazanin" w:hAnsi="IRNazanin" w:eastAsia="IRNazanin"/>
          <w:color w:val="111111"/>
          <w:sz w:val="28"/>
          <w:sz w:val="28"/>
          <w:szCs w:val="28"/>
          <w:rtl w:val="true"/>
          <w:lang w:bidi="fa-IR"/>
        </w:rPr>
        <w:t>أن یقضیا بحضرته بین خصمین،و قال لهما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أصبتما فکلما عشر حسنات،و إن أخطأتما فکلما حسنة</w:t>
      </w:r>
      <w:r>
        <w:rPr>
          <w:rFonts w:eastAsia="IRNazanin" w:cs="IRNazanin"/>
          <w:color w:val="111111"/>
          <w:sz w:val="28"/>
          <w:szCs w:val="28"/>
          <w:rtl w:val="true"/>
          <w:lang w:bidi="fa-IR"/>
        </w:rPr>
        <w:t xml:space="preserve">» </w:t>
      </w:r>
      <w:r>
        <w:rPr>
          <w:rStyle w:val="FootnoteAnchor"/>
          <w:rtl w:val="true"/>
        </w:rPr>
        <w:footnoteReference w:id="16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هذا خبر ضعیف من أخبار الآحاد الّتی لا تعتمد فی مثل هذه المسألة،لأنّ طریقها العلم</w:t>
      </w:r>
      <w:r>
        <w:rPr>
          <w:rFonts w:eastAsia="IRNazanin" w:cs="IRNazanin"/>
          <w:color w:val="111111"/>
          <w:sz w:val="28"/>
          <w:szCs w:val="28"/>
          <w:rtl w:val="true"/>
          <w:lang w:bidi="fa-IR"/>
        </w:rPr>
        <w:t>.</w:t>
      </w:r>
    </w:p>
    <w:p>
      <w:pPr>
        <w:sectPr>
          <w:footerReference w:type="default" r:id="rId7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المعتمد فی هذه المسألة أیضا ما قدّمناه من عدم الدّلیل علی ورود العبادة بالقیاس و الاجتهاد،و ذلک عامّ فی جمیع الأحوال</w:t>
      </w:r>
      <w:r>
        <w:rPr>
          <w:rFonts w:eastAsia="IRNazanin" w:cs="IRNazanin"/>
          <w:color w:val="111111"/>
          <w:sz w:val="28"/>
          <w:szCs w:val="28"/>
          <w:rtl w:val="true"/>
          <w:lang w:bidi="fa-IR"/>
        </w:rPr>
        <w:t xml:space="preserve">. </w:t>
      </w:r>
    </w:p>
    <w:p>
      <w:pPr>
        <w:sectPr>
          <w:footerReference w:type="default" r:id="rId7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00" w:name="pg6519_49939"/>
      <w:bookmarkStart w:id="401" w:name="pg6519_49939"/>
      <w:bookmarkEnd w:id="401"/>
    </w:p>
    <w:p>
      <w:pPr>
        <w:pStyle w:val="Heading3"/>
        <w:numPr>
          <w:ilvl w:val="2"/>
          <w:numId w:val="1"/>
        </w:numPr>
        <w:rPr/>
      </w:pPr>
      <w:bookmarkStart w:id="402" w:name="pg6519_49939"/>
      <w:bookmarkStart w:id="403" w:name="__RefHeading___Toc1757405_653776707"/>
      <w:bookmarkStart w:id="404" w:name="_Toc126"/>
      <w:bookmarkEnd w:id="402"/>
      <w:bookmarkEnd w:id="403"/>
      <w:r>
        <w:rPr>
          <w:rtl w:val="true"/>
        </w:rPr>
        <w:t>الباب الثّانی عشر</w:t>
      </w:r>
      <w:r>
        <w:rPr>
          <w:rtl w:val="true"/>
        </w:rPr>
        <w:t xml:space="preserve">: </w:t>
      </w:r>
      <w:r>
        <w:rPr>
          <w:rtl w:val="true"/>
        </w:rPr>
        <w:t>الکلام فی الحظر و الإباحة</w:t>
      </w:r>
      <w:bookmarkEnd w:id="404"/>
    </w:p>
    <w:p>
      <w:pPr>
        <w:sectPr>
          <w:footerReference w:type="default" r:id="rId7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05" w:name="__RefHeading___Toc1757407_653776707"/>
      <w:bookmarkStart w:id="406" w:name="_Toc127"/>
      <w:bookmarkEnd w:id="405"/>
      <w:r>
        <w:rPr>
          <w:rtl w:val="true"/>
        </w:rPr>
        <w:t>اشارة</w:t>
      </w:r>
      <w:bookmarkEnd w:id="406"/>
    </w:p>
    <w:p>
      <w:pPr>
        <w:sectPr>
          <w:footerReference w:type="default" r:id="rId7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07" w:name="pg6519_49941"/>
      <w:bookmarkStart w:id="408" w:name="pg6519_49941"/>
      <w:bookmarkEnd w:id="408"/>
    </w:p>
    <w:p>
      <w:pPr>
        <w:pStyle w:val="Heading4"/>
        <w:numPr>
          <w:ilvl w:val="3"/>
          <w:numId w:val="1"/>
        </w:numPr>
        <w:rPr/>
      </w:pPr>
      <w:bookmarkStart w:id="409" w:name="pg6519_49941"/>
      <w:bookmarkStart w:id="410" w:name="__RefHeading___Toc1757409_653776707"/>
      <w:bookmarkStart w:id="411" w:name="_Toc128"/>
      <w:bookmarkEnd w:id="409"/>
      <w:bookmarkEnd w:id="410"/>
      <w:r>
        <w:rPr>
          <w:rtl w:val="true"/>
        </w:rPr>
        <w:t>فصل</w:t>
      </w:r>
      <w:r>
        <w:rPr>
          <w:rtl w:val="true"/>
        </w:rPr>
        <w:t>-</w:t>
      </w:r>
      <w:r>
        <w:rPr/>
        <w:t>1</w:t>
      </w:r>
      <w:r>
        <w:rPr>
          <w:rtl w:val="true"/>
        </w:rPr>
        <w:t>: «</w:t>
      </w:r>
      <w:r>
        <w:rPr>
          <w:rtl w:val="true"/>
        </w:rPr>
        <w:t>فی ذکر حقیقة الحظر و الإباحة،و المراد بذلک</w:t>
      </w:r>
      <w:r>
        <w:rPr>
          <w:rtl w:val="true"/>
        </w:rPr>
        <w:t>»</w:t>
      </w:r>
      <w:bookmarkEnd w:id="411"/>
    </w:p>
    <w:p>
      <w:pPr>
        <w:pStyle w:val="BookText"/>
        <w:rPr/>
      </w:pPr>
      <w:r>
        <w:rPr>
          <w:rFonts w:ascii="IRNazanin" w:hAnsi="IRNazanin" w:eastAsia="IRNazanin"/>
          <w:color w:val="111111"/>
          <w:sz w:val="28"/>
          <w:sz w:val="28"/>
          <w:szCs w:val="28"/>
          <w:rtl w:val="true"/>
          <w:lang w:bidi="fa-IR"/>
        </w:rPr>
        <w:t>اعلم أنّ معنی قولنا فی الشّیء إنّه محظور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قبیح لا یجوز له فعله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،إلاّ أنّه لا یسمّی بذلک إلاّ بعد أن یکون فاعله اعلم حظره،أو دلّ علیه،و لأجل هذا لا یقال فی أفعال اللّه تعالی أنّها محظورة،لما لم یکن أعلم قبحها،و لا دلّ علیه،و إن کان فی أفعاله ما لو کان </w:t>
      </w:r>
      <w:r>
        <w:rPr>
          <w:rStyle w:val="FootnoteAnchor"/>
          <w:rtl w:val="true"/>
        </w:rPr>
        <w:footnoteReference w:id="1631"/>
      </w:r>
      <w:r>
        <w:rPr>
          <w:rFonts w:ascii="IRNazanin" w:hAnsi="IRNazanin" w:eastAsia="IRNazanin"/>
          <w:color w:val="111111"/>
          <w:sz w:val="28"/>
          <w:sz w:val="28"/>
          <w:szCs w:val="28"/>
          <w:rtl w:val="true"/>
          <w:lang w:bidi="fa-IR"/>
        </w:rPr>
        <w:t xml:space="preserve">فعله لکان </w:t>
      </w:r>
      <w:r>
        <w:rPr>
          <w:rStyle w:val="FootnoteAnchor"/>
          <w:rtl w:val="true"/>
        </w:rPr>
        <w:footnoteReference w:id="1632"/>
      </w:r>
      <w:r>
        <w:rPr>
          <w:rFonts w:ascii="IRNazanin" w:hAnsi="IRNazanin" w:eastAsia="IRNazanin"/>
          <w:color w:val="111111"/>
          <w:sz w:val="28"/>
          <w:sz w:val="28"/>
          <w:szCs w:val="28"/>
          <w:rtl w:val="true"/>
          <w:lang w:bidi="fa-IR"/>
        </w:rPr>
        <w:t>قبیحا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کذلک </w:t>
      </w:r>
      <w:r>
        <w:rPr>
          <w:rStyle w:val="FootnoteAnchor"/>
          <w:rtl w:val="true"/>
        </w:rPr>
        <w:footnoteReference w:id="1633"/>
      </w:r>
      <w:r>
        <w:rPr>
          <w:rFonts w:ascii="IRNazanin" w:hAnsi="IRNazanin" w:eastAsia="IRNazanin"/>
          <w:color w:val="111111"/>
          <w:sz w:val="28"/>
          <w:sz w:val="28"/>
          <w:szCs w:val="28"/>
          <w:rtl w:val="true"/>
          <w:lang w:bidi="fa-IR"/>
        </w:rPr>
        <w:t>لا یقال فی أفعال البهائم و المجانین أنّها محظورة،لما لم یکن هذه الأشیاء اعلم قبحها و لا دلّ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معنی 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مباح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حسن و لیس له صفة زائدة علی حسنه،و لا یوصف بذلک إلاّ بالشّرطین اللّذین ذکرناهما من إعلام فاعله ذلک أو دلالته علیه، و لذلک لا یقال أنّ فعل اللّه تعالی العقاب بأهل النّار مباح،لما لم یکن أعلمه و لا دلّ علیه،و إن لم یکن لفعله العقاب صفة زائدة علی حسنه و هی کونه مستحقّا</w:t>
      </w:r>
      <w:r>
        <w:rPr>
          <w:rFonts w:eastAsia="IRNazanin" w:cs="IRNazanin"/>
          <w:color w:val="111111"/>
          <w:sz w:val="28"/>
          <w:szCs w:val="28"/>
          <w:rtl w:val="true"/>
          <w:lang w:bidi="fa-IR"/>
        </w:rPr>
        <w:t>.</w:t>
      </w:r>
    </w:p>
    <w:p>
      <w:pPr>
        <w:sectPr>
          <w:footerReference w:type="default" r:id="rId7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کذلک لا یقال فی أفعال البهائم أنّها مباحة،لعدم هذین الشّرطین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لأجل ذلک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المباح یقتضی مبیحا،و المحظور یقتضی حاضرا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قیل فی حدّ المباح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أنّ لفاعله أن ینتفع به و لا یخاف ضررا فی ذلک،لا عاجلا و لا آجلا</w:t>
      </w:r>
      <w:r>
        <w:rPr>
          <w:rFonts w:eastAsia="IRNazanin" w:cs="IRNazanin"/>
          <w:color w:val="111111"/>
          <w:sz w:val="28"/>
          <w:szCs w:val="28"/>
          <w:rtl w:val="true"/>
          <w:lang w:bidi="fa-IR"/>
        </w:rPr>
        <w:t>.</w:t>
      </w:r>
    </w:p>
    <w:p>
      <w:pPr>
        <w:sectPr>
          <w:footerReference w:type="default" r:id="rId7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حدّ الحظر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لیس له الانتفاع به،و أنّ علیه فی ذلک ضررا إمّا عاجلا أو آجلا،و هذا یرجع إلی المعنی الّذی قلناه</w:t>
      </w:r>
      <w:r>
        <w:rPr>
          <w:rFonts w:eastAsia="IRNazanin" w:cs="IRNazanin"/>
          <w:color w:val="111111"/>
          <w:sz w:val="28"/>
          <w:szCs w:val="28"/>
          <w:rtl w:val="true"/>
          <w:lang w:bidi="fa-IR"/>
        </w:rPr>
        <w:t xml:space="preserve">. </w:t>
      </w:r>
      <w:bookmarkStart w:id="412" w:name="pg6519_49943"/>
    </w:p>
    <w:p>
      <w:pPr>
        <w:pStyle w:val="Heading4"/>
        <w:numPr>
          <w:ilvl w:val="3"/>
          <w:numId w:val="1"/>
        </w:numPr>
        <w:rPr/>
      </w:pPr>
      <w:bookmarkStart w:id="413" w:name="__RefHeading___Toc1757411_653776707"/>
      <w:bookmarkStart w:id="414" w:name="_Toc129"/>
      <w:bookmarkEnd w:id="412"/>
      <w:bookmarkEnd w:id="413"/>
      <w:r>
        <w:rPr>
          <w:rtl w:val="true"/>
        </w:rPr>
        <w:t>فصل</w:t>
      </w:r>
      <w:r>
        <w:rPr>
          <w:rtl w:val="true"/>
        </w:rPr>
        <w:t>-</w:t>
      </w:r>
      <w:r>
        <w:rPr/>
        <w:t>2</w:t>
      </w:r>
      <w:r>
        <w:rPr>
          <w:rtl w:val="true"/>
        </w:rPr>
        <w:t>: «</w:t>
      </w:r>
      <w:r>
        <w:rPr>
          <w:rtl w:val="true"/>
        </w:rPr>
        <w:t>فی ذکر بیان الأشیاء الّتی یقال إنّها علی الحظر أو الإباحة، و الفصل بینها و بین غیرها،و الدّلیل علی الصّحیح من ذلک</w:t>
      </w:r>
      <w:r>
        <w:rPr>
          <w:rtl w:val="true"/>
        </w:rPr>
        <w:t>»</w:t>
      </w:r>
      <w:bookmarkEnd w:id="414"/>
    </w:p>
    <w:p>
      <w:pPr>
        <w:pStyle w:val="BookText"/>
        <w:rPr/>
      </w:pPr>
      <w:r>
        <w:rPr>
          <w:rFonts w:ascii="IRNazanin" w:hAnsi="IRNazanin" w:eastAsia="IRNazanin"/>
          <w:color w:val="111111"/>
          <w:sz w:val="28"/>
          <w:sz w:val="28"/>
          <w:szCs w:val="28"/>
          <w:rtl w:val="true"/>
          <w:lang w:bidi="fa-IR"/>
        </w:rPr>
        <w:t>أفعال المکلّف لا تخلو من أن تکون حسنة،أو قبیحة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الحسنة لا تخلو من أن تکون واجبة،أو ندبا،أو مباحا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 فعل یعلم جهة قبحه بالعقل علی التّفصیل،فلا خلاف بین أهل العلم المحصّلین فی أنّه علی الحظر،و ذلک نحو الظّلم،و الکذب،و العبث،و الجهل،و ما شاکل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یعلم جهة وجوبه علی التّفصیل،فلا خلاف أیضا أنّه علی الوجوب،و ذلک نحو وجوب ردّ الودیعة،و شکر المنعم،و الإنصاف،و ما شاکل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یعلم جهة کونه ندبا،فلا خلاف أیضا أنّه علی النّدب،و ذلک نحو الإحسان،و التّفضّل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کان الأمر فی هذه الأشیاء علی ما ذکرناه،لأنّها لا یصحّ أن تتغیّر من حسن إلی قبح،و من قبح إلی حسن</w:t>
      </w:r>
      <w:r>
        <w:rPr>
          <w:rFonts w:eastAsia="IRNazanin" w:cs="IRNazanin"/>
          <w:color w:val="111111"/>
          <w:sz w:val="28"/>
          <w:szCs w:val="28"/>
          <w:rtl w:val="true"/>
          <w:lang w:bidi="fa-IR"/>
        </w:rPr>
        <w:t>.</w:t>
      </w:r>
    </w:p>
    <w:p>
      <w:pPr>
        <w:sectPr>
          <w:footerReference w:type="default" r:id="rId7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اختلفوا فی الأشیاء الّتی ینتفع بها هل هی علی الحظر،أو الإباحة،أو علی الوقف؟ </w:t>
      </w:r>
    </w:p>
    <w:p>
      <w:pPr>
        <w:pStyle w:val="BookText"/>
        <w:rPr/>
      </w:pPr>
      <w:r>
        <w:rPr>
          <w:rFonts w:ascii="IRNazanin" w:hAnsi="IRNazanin" w:eastAsia="IRNazanin"/>
          <w:color w:val="111111"/>
          <w:sz w:val="28"/>
          <w:sz w:val="28"/>
          <w:szCs w:val="28"/>
          <w:rtl w:val="true"/>
          <w:lang w:bidi="fa-IR"/>
        </w:rPr>
        <w:t xml:space="preserve">و ذهب کثیر من البغدادیّین،و طائفة من أصحابنا الإمامیّة إلی أنّها علی الحظر، و وافقهم علی ذلک جماعة من الفقهاء </w:t>
      </w:r>
      <w:r>
        <w:rPr>
          <w:rStyle w:val="FootnoteAnchor"/>
          <w:rtl w:val="true"/>
        </w:rPr>
        <w:footnoteReference w:id="16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ذهب أکثر المتکلّمین من البصریّین،و هی المحکیّ عن أبی الحسن و کثیر من الفقهاء إلی أنّها علی الإباحة </w:t>
      </w:r>
      <w:r>
        <w:rPr>
          <w:rStyle w:val="FootnoteAnchor"/>
          <w:rtl w:val="true"/>
        </w:rPr>
        <w:footnoteReference w:id="1635"/>
      </w:r>
      <w:r>
        <w:rPr>
          <w:rFonts w:ascii="IRNazanin" w:hAnsi="IRNazanin" w:eastAsia="IRNazanin"/>
          <w:color w:val="111111"/>
          <w:sz w:val="28"/>
          <w:sz w:val="28"/>
          <w:szCs w:val="28"/>
          <w:rtl w:val="true"/>
          <w:lang w:bidi="fa-IR"/>
        </w:rPr>
        <w:t xml:space="preserve">،و هو الّذی یختاره </w:t>
      </w:r>
      <w:r>
        <w:rPr>
          <w:rStyle w:val="FootnoteAnchor"/>
          <w:rtl w:val="true"/>
        </w:rPr>
        <w:footnoteReference w:id="1636"/>
      </w:r>
      <w:r>
        <w:rPr>
          <w:rFonts w:ascii="IRNazanin" w:hAnsi="IRNazanin" w:eastAsia="IRNazanin"/>
          <w:color w:val="111111"/>
          <w:sz w:val="28"/>
          <w:sz w:val="28"/>
          <w:szCs w:val="28"/>
          <w:rtl w:val="true"/>
          <w:lang w:bidi="fa-IR"/>
        </w:rPr>
        <w:t xml:space="preserve">سیّدنا المرتضی </w:t>
      </w:r>
      <w:r>
        <w:rPr>
          <w:rStyle w:val="FootnoteAnchor"/>
          <w:rtl w:val="true"/>
        </w:rPr>
        <w:footnoteReference w:id="1637"/>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ذهب کثیر من النّاس إلی أنّها علی الوقف </w:t>
      </w:r>
      <w:r>
        <w:rPr>
          <w:rStyle w:val="FootnoteAnchor"/>
          <w:rtl w:val="true"/>
        </w:rPr>
        <w:footnoteReference w:id="1638"/>
      </w:r>
      <w:r>
        <w:rPr>
          <w:rFonts w:ascii="IRNazanin" w:hAnsi="IRNazanin" w:eastAsia="IRNazanin"/>
          <w:color w:val="111111"/>
          <w:sz w:val="28"/>
          <w:sz w:val="28"/>
          <w:szCs w:val="28"/>
          <w:rtl w:val="true"/>
          <w:lang w:bidi="fa-IR"/>
        </w:rPr>
        <w:t>،و یجوّز کلّ واحد من الأمرین فیه،و ینتظر ورود السّمع بواحد منهما،و هذا المذهب کان ینصره شیخنا أبو عبد اللّه رحمه اللّه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الّذی یقوی فی نفسی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یدلّ علی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قد ثبت فی العقول أنّ الإقدام علی ما لا یؤمن المکلّف کونه قبیحا،مثل إقدامه علی ما یعلم قبحه،أ لا تری أنّ من أقدم علی الإخبار بما لا یعلم صحّة مخبره،جری فی القبح مجری من أخبر مع علمه بأنّ مخبره علی خلاف ما أخبر به علی حدّ واحد،و إذا ثبت ذلک و فقدنا الأدلّة علی حسن هذه الأشیاء قطعا ینبغی أن نجوّز کونها قبیحة،و إذا جوّزنا ذلک فیها قبح الإقدام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نأمن من قبحها،لأنّها لو کانت قبیحة لم تکن إلاّ لکونها مفسدة، لأنّه لیس لها جهة قبح یلزمها مثل الجهل،و الظّلم،و الکذب،و العبث و غیر ذلک،و لو کانت قبیحة لمفسدة لوجب علی القدیم أن یعلمنا ذلک و إلاّ قبح التّکلیف،فلمّا لم یعلمنا ذلک علمنا حسنها عند ذلک،و ذلک یفیدنا الإباحة</w:t>
      </w:r>
      <w:r>
        <w:rPr>
          <w:rFonts w:eastAsia="IRNazanin" w:cs="IRNazanin"/>
          <w:color w:val="111111"/>
          <w:sz w:val="28"/>
          <w:szCs w:val="28"/>
          <w:rtl w:val="true"/>
          <w:lang w:bidi="fa-IR"/>
        </w:rPr>
        <w:t>.</w:t>
      </w:r>
    </w:p>
    <w:p>
      <w:pPr>
        <w:sectPr>
          <w:footerReference w:type="default" r:id="rId7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تمتنع أن تتعلّق المفسدة بإعلامنا جهة الفعل علی التّفصیل فیقبح </w:t>
      </w:r>
    </w:p>
    <w:p>
      <w:pPr>
        <w:pStyle w:val="BookText"/>
        <w:rPr/>
      </w:pPr>
      <w:r>
        <w:rPr>
          <w:rFonts w:ascii="IRNazanin" w:hAnsi="IRNazanin" w:eastAsia="IRNazanin"/>
          <w:color w:val="111111"/>
          <w:sz w:val="28"/>
          <w:sz w:val="28"/>
          <w:szCs w:val="28"/>
          <w:rtl w:val="true"/>
          <w:lang w:bidi="fa-IR"/>
        </w:rPr>
        <w:t>الإعلام،و تکون المصلحة لنا فی التّوقّف فی ذلک و الشّک،و تجویز کلّ واحد من الأمرین،و إذا لم یمتنع أن تتعلّق المصلحة بشکّنا و المفسدة بإعلامنا جهة الفعل،لم یلزم إعلامنا علی کلّ حال،و صار ذلک موقوفا علی تعلّق المصلحة بالإعلام أو المفسدة بالشّک،فحینئذ یجب الاعلام،و ذلک موقوف علی السّمع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لأحد 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الّذی فرضتموه یکاد یعلم ضرورة تعذّره،لأنّ الفعل لا یخلو من أن یکون قبیحا أو لا یکون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کان قبیحا،فلا یکون کذلک إلاّ للمفسدة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یکن قبیحا،فذلک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قسمة متردّدة بین النّفی و الإثبات،فکیف اخترتم أنتم قسما ثالثا لا یکاد یعقل؟،و ذلک أنّ الفعل کما قالوا لا یخلو من أن یکون قبیحا أو لا یکون کذلک،و لکن لا یمتنع أن یکون للمکلّف حالة أخری تتعلّق بها المفسدة و المصلحة،و هی الحالة الّتی یقطع فیها علی جهة الفعل علی التّفصیل،و إذا کان ذلک جائزا لم ینفعنا تردّد الفعل فی نفسه بین القبح و الحسن،و احتجنا أن نراعی حال المکلّف،فمتی وجدنا المصلحة تعلّقت بإعلامه جهة الفعل وجب ذلک فیه،و متی تعلّقت المفسدة بذلک وجب أن لا یعلم ذلک،و کان فرضه الوقف و الشّک،و هو الّذی لحظناه،ینبغی أن یتأمّل جیدا فانّه یسقط معتمد القوم فی أدلّتهم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لم یتصوّر کثیر من الّذین یتکلمون فی هذا الباب ما بینّاه،و متی تأمّله من یضبط الأصول وقف علی وجه الصّواب فی ذلک</w:t>
      </w:r>
      <w:r>
        <w:rPr>
          <w:rFonts w:eastAsia="IRNazanin" w:cs="IRNazanin"/>
          <w:color w:val="111111"/>
          <w:sz w:val="28"/>
          <w:szCs w:val="28"/>
          <w:rtl w:val="true"/>
          <w:lang w:bidi="fa-IR"/>
        </w:rPr>
        <w:t>.</w:t>
      </w:r>
    </w:p>
    <w:p>
      <w:pPr>
        <w:sectPr>
          <w:footerReference w:type="default" r:id="rId7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کیف یمکنکم أن تدفعوا حسن هذه الأشیاء و نحن نعلم ضرورة حسن التّنفّس فی الهواء،و تناول ما تقوم به الحیاة طول مدّة النّظر فی حدوث العالم، و إثبات الصّانع،و بیان صفاته؟،و علی ما قلتموه ینبغی أن یمتنع فی هذه الأوقات من الغذاء و غیر ذلک،و ذلک یؤدّی إلی تلفه و عطبه </w:t>
      </w:r>
      <w:r>
        <w:rPr>
          <w:rStyle w:val="FootnoteAnchor"/>
          <w:rtl w:val="true"/>
        </w:rPr>
        <w:footnoteReference w:id="1639"/>
      </w:r>
      <w:r>
        <w:rPr>
          <w:rFonts w:ascii="IRNazanin" w:hAnsi="IRNazanin" w:eastAsia="IRNazanin"/>
          <w:color w:val="111111"/>
          <w:sz w:val="28"/>
          <w:sz w:val="28"/>
          <w:szCs w:val="28"/>
          <w:rtl w:val="true"/>
          <w:lang w:bidi="fa-IR"/>
        </w:rPr>
        <w:t>،و من ارتکب ذلک علم بطلان قوله ضرورة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قیل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التّنفّس فی الهواء،فالإنسان ملجأ إلیه مضطرّ،و ما یکون ذلک حکمه فهو خارج عن حدّ التّکلیف،فان فرضتموه فیما زاد علی قدر الحاجة فلا نسلّم ذلک، بل ربّما کان قبیحا علی جهة القطع،لأنّه عبث لا فائدة فیه و لا نفع فی ذلک یعقل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أحوال النّظر فمستثناة أیضا،لأنّه فی تلک الأحوال لیس بمکلّف أن یعلم حسن هذه الأشیاء و لا قبحها،لأنّه لا طریق له إلی ذلک،و إنّما یمکنه ذلک إذا عرف اللّه تعالی بجمیع صفاته،و أنّه ینبغی أن یعلمنا مصالحنا و مفاسدنا،و إذا علم جمیع ذلک حینئذ تعلّق فرضه بأن یعلم هذه الأشیاء هل هی علی الحظر أو علی الإباحة؟ و فی هذه الأحوال لا یجوز له أن یقدم إلاّ علی قدر ما یمسک رمقه و یقوم به حیاته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w:t>
      </w:r>
      <w:r>
        <w:rPr>
          <w:rStyle w:val="FootnoteAnchor"/>
          <w:rtl w:val="true"/>
        </w:rPr>
        <w:footnoteReference w:id="1640"/>
      </w:r>
      <w:r>
        <w:rPr>
          <w:rFonts w:ascii="IRNazanin" w:hAnsi="IRNazanin" w:eastAsia="IRNazanin"/>
          <w:color w:val="111111"/>
          <w:sz w:val="28"/>
          <w:sz w:val="28"/>
          <w:szCs w:val="28"/>
          <w:rtl w:val="true"/>
          <w:lang w:bidi="fa-IR"/>
        </w:rPr>
        <w:t>أصحابنا 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فی هذه الأحوال لا بدّ من أن یعلمه اللّه تعالی ذلک بسمع یبعثه إلیه فیعلمه أنّ ذلک مفسدة یتجنّبه،أو مصلحة یجب علیه فعله،أو مباح یجوز له تناوله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ما قرّرته من الدّلیل لا یجب ذلک،لأنّه إذا فرضنا تعلّق المصلحة و المفسدة بحال المکلّف لم یمتنع أن یدوم ذلک زمانا کثیرا،و یکون فرضه فیه کلّه الوقف و الشکّ و الاقتصار علی قدر ما یمسک رمقه و حیاته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الدّلیل الّذی ذکرناه هو المعتمد فی هذا الباب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یلی ذلک فی القوّة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فقدنا الدّلالة علی حظر هذه الأشیاء و علی إباحتها،وجب التّوقّف فیها و تجویز کلّ واحد من الأمرین،و لیس یلزمنا أکثر من أن نبیّن أنّ ما تعلّق به کلّ واحد من الفریقین لیس بدلیل فی هذا الباب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استدلّ به من قال إنّ الأشیاء علی الحظر قطعا أن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علمنا أنّ هذه الأشیاء لها مالک،و لا یجوز لنا أن نتصرّف فی ملک الغیر إلاّ بإذنه،کما علمنا قبح التّصرّف فیما لا نملکه فی الشّاهد</w:t>
      </w:r>
      <w:r>
        <w:rPr>
          <w:rFonts w:eastAsia="IRNazanin" w:cs="IRNazanin"/>
          <w:color w:val="111111"/>
          <w:sz w:val="28"/>
          <w:szCs w:val="28"/>
          <w:rtl w:val="true"/>
          <w:lang w:bidi="fa-IR"/>
        </w:rPr>
        <w:t>.</w:t>
      </w:r>
    </w:p>
    <w:p>
      <w:pPr>
        <w:sectPr>
          <w:footerReference w:type="default" r:id="rId7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اعترض القائلون بالإباحة هذه الطّریقة بأن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إنّما قبح فی الشّاهد التّصرف </w:t>
      </w:r>
    </w:p>
    <w:p>
      <w:pPr>
        <w:pStyle w:val="BookText"/>
        <w:rPr/>
      </w:pPr>
      <w:r>
        <w:rPr>
          <w:rFonts w:ascii="IRNazanin" w:hAnsi="IRNazanin" w:eastAsia="IRNazanin"/>
          <w:color w:val="111111"/>
          <w:sz w:val="28"/>
          <w:sz w:val="28"/>
          <w:szCs w:val="28"/>
          <w:rtl w:val="true"/>
          <w:lang w:bidi="fa-IR"/>
        </w:rPr>
        <w:t>فی ملک الغیر لأنّه یؤدّی إلی ضرر مالکه بدلالة أنّ ما لا ضرر علیه فی ذلک جاز لنا أن نتصرّف فیه مثل الاستظلال بفیء داره،و الاستصباح بضوء ناره،و الاقتباس منها، و أخذ ما یتساقط من حبّة عند الحصاد،و غیر ذلک من حیث لا ضرر علیه فی ذلک، فعلمنا أنّ الّذی قبح من ذلک إنّما قبح لضرر مالکه لا لکونه مالکا،و القدیم تعالی لا یجوز علیه الضّرر علی حال،فینبغی أن یسوغ لنا التّصرف فی ملکه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لمن نصر هذا الدّلیل 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حسن الانتفاع فی المواضع الّتی ذکرتموها لا لارتفاع الضّرر،بل لأنّ هذه الأشیاء لا یصحّ تملّکها،لأنّ فی الحائط لیس بشیء یملک إذا کان فی طریق غیر مملوک،و متی کان الفیء فی ملک صاحبه و قبح الدّخول إلیه،و کذلک القول فی المصباح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أخذ ما یتناثر من حبّة فلا نسلّم أنّه یحسن،و کیف نسلّم و له أن یمنعه من ذلک و أن یجمعه لنفسه،و لو کان مباحا له لم یجز له منعه منه،علی أنّه علی العلّة الّتی ذکروها من اعتبار دخول الضّرر علی مالکه کان ینبغی أن لا یسوغ له أخذ ما یتناثر من حبّة،لأنّا لا نعلم أنّ ذلک یدخل علیه فیه ضرر و إن کان یسیرا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المذهبین جمیعا،کان ینبغی أن یقبح ذلک،علی أنّ ذلک لو قبح لضرر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لفقد الإذن من مالکه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لکان ینبغی أن لو أذن فیه ألاّ یحسن ذلک لأنّ الضرر حاصل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لهم أن یقولوا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یحصل له عوض أکثر منه من الثّواب أو السرور عاجلا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ذلک أنّا نفرض فی من لا یعتقد العوض علی ذلک من الملاحدة </w:t>
      </w:r>
      <w:r>
        <w:rPr>
          <w:rStyle w:val="FootnoteAnchor"/>
          <w:rtl w:val="true"/>
        </w:rPr>
        <w:footnoteReference w:id="1641"/>
      </w:r>
      <w:r>
        <w:rPr>
          <w:rFonts w:ascii="IRNazanin" w:hAnsi="IRNazanin" w:eastAsia="IRNazanin"/>
          <w:color w:val="111111"/>
          <w:sz w:val="28"/>
          <w:sz w:val="28"/>
          <w:szCs w:val="28"/>
          <w:rtl w:val="true"/>
          <w:lang w:bidi="fa-IR"/>
        </w:rPr>
        <w:t>،و لیس هو أیضا ممّا یسرّ به بل ربّما شقّ علیه و اغتمّ به،و مع ذلک حسن التصرف منه إذا أذن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لأحد 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دلیل العقل الدّال علی إباحة هذه الأشیاء یجری مجری إذن سمعیّ،فجاز لنا التّصرّف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أنّ لمن نصر هذا الدّلیل 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یثبت ذلک،و لو ثبت لکان الأمر علی ما قالوه</w:t>
      </w:r>
      <w:r>
        <w:rPr>
          <w:rFonts w:eastAsia="IRNazanin" w:cs="IRNazanin"/>
          <w:color w:val="111111"/>
          <w:sz w:val="28"/>
          <w:szCs w:val="28"/>
          <w:rtl w:val="true"/>
          <w:lang w:bidi="fa-IR"/>
        </w:rPr>
        <w:t>.</w:t>
      </w:r>
    </w:p>
    <w:p>
      <w:pPr>
        <w:sectPr>
          <w:footerReference w:type="default" r:id="rId7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نحن نتّبع ما یستدلّ به أصحاب الإباحة و نتکلّم علیها إن شاء اللّه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استدلّ کثیر من الفقهاء علی أنّ الأشیاء علی الحظر </w:t>
      </w:r>
      <w:r>
        <w:rPr>
          <w:rStyle w:val="FootnoteAnchor"/>
          <w:rtl w:val="true"/>
        </w:rPr>
        <w:footnoteReference w:id="1642"/>
      </w:r>
      <w:r>
        <w:rPr>
          <w:rFonts w:ascii="IRNazanin" w:hAnsi="IRNazanin" w:eastAsia="IRNazanin"/>
          <w:color w:val="111111"/>
          <w:sz w:val="28"/>
          <w:sz w:val="28"/>
          <w:szCs w:val="28"/>
          <w:rtl w:val="true"/>
          <w:lang w:bidi="fa-IR"/>
        </w:rPr>
        <w:t>و الوقف بقوله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کُنّا مُعَذِّبِینَ حَتّی نَبْعَثَ رَسُولاً   </w:t>
      </w:r>
      <w:r>
        <w:rPr>
          <w:rStyle w:val="FootnoteAnchor"/>
          <w:rtl w:val="true"/>
        </w:rPr>
        <w:footnoteReference w:id="1643"/>
      </w:r>
      <w:r>
        <w:rPr>
          <w:rFonts w:ascii="Amiri" w:hAnsi="Amiri" w:eastAsia="Amiri" w:cs="Amiri"/>
          <w:color w:val="111111"/>
          <w:sz w:val="28"/>
          <w:sz w:val="28"/>
          <w:szCs w:val="28"/>
          <w:rtl w:val="true"/>
          <w:lang w:bidi="ar-SA"/>
        </w:rPr>
        <w:t>،و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لِئَلاّ یَکُونَ لِلنّاسِ عَلَی اللّهِ حُجَّةٌ بَعْدَ الرُّسُلِ  </w:t>
      </w:r>
      <w:r>
        <w:rPr>
          <w:rStyle w:val="FootnoteAnchor"/>
          <w:rtl w:val="true"/>
        </w:rPr>
        <w:footnoteReference w:id="16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اللّه تعالی أنّه لا یستحقّ أحد العقاب،و لا یکون للّه علیهم حجّة إلاّ بعد إنفاذ الرسل،و ذلک یفید أنّ من جهتهم یعلم حسن هذه الأشیاء أو قبحها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لا یصحّ الاستدلال به من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هاهنا أمورا کثیرا معلومة من جهة العقل وجوبها و قبحها،مثل ردّ الودیعة،و شکر المنعم و الإنصاف،و قضاء الدّین،و قبح الظّلم،و العبث،و الکذب، و الجهل،و حسن الإحسان الخالص،و غیر ذلک،فعلمنا أنّه لیس المراد بالآیة ما ذکروه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متی ارتکبوا دفع کون هذه الأشیاء معلومة إلاّ بالسّمع،علم بطلان قولهم، و کانت المسألة خارجة عن هذا الباب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للّه حججا کثیرة غیر الرّسل من أدلّة العقل الدّالة علی توحیده، و عدله،و جمیع صفاته الّتی من لا یعرفها لا یصحّ أن یعرف صحّة السّمع،فکیف 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تقوم الحجّة إلاّ بعد إنفاذ الرسل؟و المعنیّ فی الآیتین أن یحملا علی أنّه إذا کان المعلوم أنّ لهم ألطافا و مصالح لا یعلمونها إلاّ بالسمع،وجب علی القدیم تعالی إعلامهم إیّاها،و لم یحسن أن یعاقبهم علی ترکها إلاّ بعد تعریفهم إیّاها،فلم تقم الحجّة علیهم إلاّ بعد إنفاذ الرّسل،و متی کان الأمر علی ذلک وجبت بعثة الرّسل،لأنّه لا یمکن معرفة هذه الأشیاء إلاّ من جهتهم</w:t>
      </w:r>
      <w:r>
        <w:rPr>
          <w:rFonts w:eastAsia="IRNazanin" w:cs="IRNazanin"/>
          <w:color w:val="111111"/>
          <w:sz w:val="28"/>
          <w:szCs w:val="28"/>
          <w:rtl w:val="true"/>
          <w:lang w:bidi="fa-IR"/>
        </w:rPr>
        <w:t>.</w:t>
      </w:r>
    </w:p>
    <w:p>
      <w:pPr>
        <w:sectPr>
          <w:footerReference w:type="default" r:id="rId7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استدلّ 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هذه الأشیاء علی الإباحة بأن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نحن نعلم ضرورة أنّ </w:t>
      </w:r>
    </w:p>
    <w:p>
      <w:pPr>
        <w:pStyle w:val="BookText"/>
        <w:rPr/>
      </w:pPr>
      <w:r>
        <w:rPr>
          <w:rFonts w:ascii="IRNazanin" w:hAnsi="IRNazanin" w:eastAsia="IRNazanin"/>
          <w:color w:val="111111"/>
          <w:sz w:val="28"/>
          <w:sz w:val="28"/>
          <w:szCs w:val="28"/>
          <w:rtl w:val="true"/>
          <w:lang w:bidi="fa-IR"/>
        </w:rPr>
        <w:t>کلّ ما یصحّ الانتفاع به و لا ضرر علی أحد فیه عاجلا و لا آجلا فإنّه حسن،کما یعلم أنّ کلّ ألم لا یقع فیه عاجلا و لا آجلا قبیح،فدافع أحد الأمرین کدافع الآخر،و إذا ثبت ذلک و کانت هذه الأشیاء لا ضرر فیها عاجلا و لا آجلا فیجب أن تکون حسنة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یجوز أن یکون فیها ضرر أصلا،لأنّه لو کان کذلک لم یکن إلاّ لکونها مفسدة فی الدّین،و لو کان کذلک لوجب علی القدیم تعالی إعلامنا ذلک،فلمّا لم یعلمنا ذلک علمنا أنّه حسنة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مضی فی دلیلنا ما یمکن أن یکون کلامنا علی هذه الشّبه،و ذلک أنّا قلنا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هذه الأشیاء لا نأمن أن تکون فیها ضرر آجل و إذا لم نأمن ذلک قبح الإقدام علیها، کما لو قطعنا أنّ فیها ضررا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أجبنا عن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فیهم ضرر لکان ذلک لأجل المفسدة،و ذلک یجب علی القدیم إعلامنا إیّاه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یمتنع أن تتعلّق المفسدة بإعلامنا جهة الفعل علی وجه التّفصیل،و یکون مصلحتنا فی الوقف و الشکّ،و تجویز کلّ واحد من الوجهین فی الفعل،و إذا کان ذلک جائزا لم یجب علیه تعالی إعلامنا ذلک،و جاز أن یقتصر بالمکلّف علی هذه المنزلة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استدلّوا أیضا بأن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صحّ أن یخلق تعالی الأجسام خالیة من الألوان و الطّعوم،فخلقته تعالی للطّعم و اللّون لا بدّ أن یکون فیه وجه حسن،فلا یخلو ذلک من أن یکون لنفع نفسه،أو لنفع الغیر،أو خلقها لیضرّ بها؟ و لا یجوز أن یخلقها لنفع نفسه،لأنّه یتعالی عن ذلک علوّا کبیرا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یحسن أن یخلقها لیضرّ بها،لأنّ ذلک قبیح الابتداء به،فلم یبق إلاّ أنّه خلقها لنفع الغیر،و ذلک یقتضی کونها مباحة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عن ذلک من وجوه</w:t>
      </w:r>
      <w:r>
        <w:rPr>
          <w:rFonts w:eastAsia="IRNazanin" w:cs="IRNazanin"/>
          <w:color w:val="111111"/>
          <w:sz w:val="28"/>
          <w:szCs w:val="28"/>
          <w:rtl w:val="true"/>
          <w:lang w:bidi="fa-IR"/>
        </w:rPr>
        <w:t>:</w:t>
      </w:r>
    </w:p>
    <w:p>
      <w:pPr>
        <w:sectPr>
          <w:footerReference w:type="default" r:id="rId7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إنّما خلق هذه الأشیاء إذا کانت فیها ألطاف و مصالح،و إن لم یجز لنا أن ننتفع بها بالأکل،بل نفعنا بالامتناع منها،فیحصل لنا بها الثواب،کما أنّه خلق أشیاء کثیرة یصحّ الانتفاع بها،و مع ذلک فقد حظرها بالسّمع مثل شرب الخمر، </w:t>
      </w:r>
    </w:p>
    <w:p>
      <w:pPr>
        <w:pStyle w:val="BookText"/>
        <w:rPr/>
      </w:pPr>
      <w:r>
        <w:rPr>
          <w:rFonts w:ascii="IRNazanin" w:hAnsi="IRNazanin" w:eastAsia="IRNazanin"/>
          <w:color w:val="111111"/>
          <w:sz w:val="28"/>
          <w:sz w:val="28"/>
          <w:szCs w:val="28"/>
          <w:rtl w:val="true"/>
          <w:lang w:bidi="fa-IR"/>
        </w:rPr>
        <w:t>و المیتة،و الزّنا 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لهم أن یقولوا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هذه الأشیاء إنّما حظرها لمّا کانت مفسدة فی الدّین و أعلمنا ذلک،و لیس کذلک ما یصحّ الانتفاع به و لا یعلم ذلک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أنّا قد بیّنا أنّه لا فرق فی أن تتعلّق المصلحة بإعلامنا جهة الفعل من قبح أو حسن فیجب علیه أن یعلمنا ذلک،و بین أن تتعلّق المصلحة بحال لنا جوّز معها کلّ واحد من الأمرین فیجب أن یقتصر بنا علی تلک الحال،لأنّ المراعی حصول المصلحة،و إذا ثبت ذلک لحق ثبوت ما علمنا قبحه علی طریق القطع و الثّبات فی أنّه لا یحسن منّا الإقدام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علی مذهب کثیر من أهل العدل إنّما خلق الطّعوم و الأراییح فی الأجسام لأنّها لا تصحّ أن تخلو منها،فجرت فی هذا الباب مجری الأکوان الّتی لا یصحّ خلوّ الجسم منها،و خلق الجسم إذا ثبت أنّه مصلحة وجب أن یخلق معه جمیع ما یحتاج إلیه فی وجوده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الانتفاع بهذه الأشیاء قد یکون بالاستدلال بها علی اللّه تعالی و علی صفاته،فلیس الانتفاع مقصورا علی التّناول فحسب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لهم أن یقولوا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کان یمکن الاستدلال بالأجسام علی وحدانیّة اللّه تعالی و علی صفاته،فلا معنی لخلق الطّعوم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ذلک أنّه لا یمتنع أن یخلقها لما ذکرناه،و إن کان الجسم یصحّ الاستدلال به و یکون ذلک زیادة فی الأدلّة </w:t>
      </w:r>
      <w:r>
        <w:rPr>
          <w:rStyle w:val="FootnoteAnchor"/>
          <w:rtl w:val="true"/>
        </w:rPr>
        <w:footnoteReference w:id="1645"/>
      </w:r>
      <w:r>
        <w:rPr>
          <w:rFonts w:eastAsia="Times New Roman" w:cs="Times New Roman" w:ascii="Times New Roman" w:hAnsi="Times New Roman"/>
          <w:color w:val="111111"/>
          <w:sz w:val="28"/>
          <w:szCs w:val="28"/>
          <w:rtl w:val="true"/>
          <w:lang w:val="en-US" w:bidi="en-US"/>
        </w:rPr>
        <w:t>.</w:t>
      </w:r>
    </w:p>
    <w:p>
      <w:pPr>
        <w:sectPr>
          <w:footerReference w:type="default" r:id="rId7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لسنا ممّن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أن ینصب علی معرفته أدلّة کثیرة،لأنّا إن قلنا ذلک أدّی إلی فساد أکثر الأدلّة الّتی یستدلّ بها علی وحدانیّته تعالی،فإذا ینبغی أن یجوز أن یخلقها للاستدلال بها و ذلک یخرجها عن حکم العبث و یدخلها فی باب ما خلقت للانتفاع بها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لیس لهم أن یقولوا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صحّ الانتفاع بها من الوجهین بالاستدلال و التّناول فینبغی أن یقصد به الوجهین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أنّ هذا محض الدّعوی لا برهان علیها،بل الّذی یحتاج إلیه أن یعلم أنّه لم یخلقها إلاّ بوجه،فأمّا أن یقصد بها جمیع الوجوه الّتی یصحّ الانتفاع بها لا یجب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أنّا قد بیّنا أنّه لا یمتنع أن یفرض فی أحد الوجهین مفسدة فی الدّین فیحسن أن یخلقها للوجه الآخر،و یعلّمنا أنّ فیها فسادا فی الدّین </w:t>
      </w:r>
      <w:r>
        <w:rPr>
          <w:rStyle w:val="FootnoteAnchor"/>
          <w:rtl w:val="true"/>
        </w:rPr>
        <w:footnoteReference w:id="1646"/>
      </w:r>
      <w:r>
        <w:rPr>
          <w:rFonts w:ascii="IRNazanin" w:hAnsi="IRNazanin" w:eastAsia="IRNazanin"/>
          <w:color w:val="111111"/>
          <w:sz w:val="28"/>
          <w:sz w:val="28"/>
          <w:szCs w:val="28"/>
          <w:rtl w:val="true"/>
          <w:lang w:bidi="fa-IR"/>
        </w:rPr>
        <w:t>متی تناولناها، فیجب علینا أن نمتنع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أمکن خلقها للوجهین،و لم یقصدهما کان عبثا من الوجه الّذی لم یقصد الانتفاع به،و جری ذلک مجری فعلین یقصد بهما الانتفاع و لا یقصد بالآخر ذلک،فیکون ذلک عبثا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الأمر علی ذلک،لأنّ الفعل الواحد إذا کان فیه وجه من وجوه الحکمة خرج من باب العبث،و إن کان له وجوه أخر کان یجوز أن یقصد،و لیس کذلک الفعلان لأنّه إذا قصد وجه الحکمة فی أحدهما بقی الآخر خالیا من ذلک و کان عبثا،و لیس کذلک الفعل الواحد علی ما بیّناه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الانتفاع بالاعتبار بالطّعوم لا یمکن إلاّ بعد تناولها،لأنّ الطّعم لیس ممّا یدرک بالعین فینتفع به من هذه الجهة،فإذا لا بدّ من تناوله حتّی یصحّ الاعتبار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الاعتبار یمکن بتناول القلیل منه و هو قدر ما یمسک الرّمق و تبقی معه الحیاة،و قد بیّنا أنّ ذلک القدر فی حکم المباح،و لیس الاعتبار موقوفا علی تناول شیء کثیر من ذلک</w:t>
      </w:r>
      <w:r>
        <w:rPr>
          <w:rFonts w:eastAsia="IRNazanin" w:cs="IRNazanin"/>
          <w:color w:val="111111"/>
          <w:sz w:val="28"/>
          <w:szCs w:val="28"/>
          <w:rtl w:val="true"/>
          <w:lang w:bidi="fa-IR"/>
        </w:rPr>
        <w:t>.</w:t>
      </w:r>
    </w:p>
    <w:p>
      <w:pPr>
        <w:sectPr>
          <w:footerReference w:type="default" r:id="rId7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یمکن أن یقال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 یصحّ أن یعتبر بها إذا تناولها غیر المکلّف من سائر أجناس الحیوان،فانّه إذا شاهد أجناس الحیوان تتناول تلک الأشیاء و یصلح علیها </w:t>
      </w:r>
    </w:p>
    <w:p>
      <w:pPr>
        <w:pStyle w:val="BookText"/>
        <w:rPr/>
      </w:pPr>
      <w:r>
        <w:rPr>
          <w:rFonts w:ascii="IRNazanin" w:hAnsi="IRNazanin" w:eastAsia="IRNazanin"/>
          <w:color w:val="111111"/>
          <w:sz w:val="28"/>
          <w:sz w:val="28"/>
          <w:szCs w:val="28"/>
          <w:rtl w:val="true"/>
          <w:lang w:bidi="fa-IR"/>
        </w:rPr>
        <w:t>أجسامها أو ینفسد بحسب اختلافها و اختلاف طبائعها،جاز معه أن یعبّر بذلک و إن لم یتناولها المکلّف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بمثل هذا أجاب المخالف من قال بالفرق بین السّموم و الأغذیة،بأن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یرجع إلی حال الحیوانات الّتی لیست مکلّفة إذا شاهدها یتناول أشیاء ینتفع بها جعل ذلک طریقا إلی تجربته،و أنّ ذلک ممّن ینصلح علیه أیضا جسمه،و ذلک مثل ما أجبنا به عن السّؤال الّذی أوردوه فی هذا الباب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استدلّوا أیضا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حَرَّمَ زِینَةَ اللّهِ الَّتِی أَخْرَجَ لِعِبادِهِ وَ الطَّیِّباتِ مِنَ الرِّزْقِ   </w:t>
      </w:r>
      <w:r>
        <w:rPr>
          <w:rStyle w:val="FootnoteAnchor"/>
          <w:rtl w:val="true"/>
        </w:rPr>
        <w:footnoteReference w:id="1647"/>
      </w:r>
      <w:r>
        <w:rPr>
          <w:rFonts w:ascii="Amiri" w:hAnsi="Amiri" w:eastAsia="Amiri" w:cs="Amiri"/>
          <w:color w:val="111111"/>
          <w:sz w:val="28"/>
          <w:sz w:val="28"/>
          <w:szCs w:val="28"/>
          <w:rtl w:val="true"/>
          <w:lang w:bidi="ar-SA"/>
        </w:rPr>
        <w:t xml:space="preserve">،و بقوله أُحِلَّ لَکُمُ الطَّیِّباتُ  </w:t>
      </w:r>
      <w:r>
        <w:rPr>
          <w:rStyle w:val="FootnoteAnchor"/>
          <w:rtl w:val="true"/>
        </w:rPr>
        <w:footnoteReference w:id="1648"/>
      </w:r>
      <w:r>
        <w:rPr>
          <w:rFonts w:ascii="IRNazanin" w:hAnsi="IRNazanin" w:eastAsia="IRNazanin"/>
          <w:color w:val="111111"/>
          <w:sz w:val="28"/>
          <w:sz w:val="28"/>
          <w:szCs w:val="28"/>
          <w:rtl w:val="true"/>
          <w:lang w:bidi="fa-IR"/>
        </w:rPr>
        <w:t>،و ما شاکل ذلک من الآیات،و هذه الطّریقة مبنیّة علی السّمع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نحن لا نمتنع أن یدلّ دلیل السّمع علی أنّ الأشیاء علی الإباحة بعد أن کانت علی الوقف،بل عندنا الأمر علی ذلک و إلیه نذهب،و علی هذا سقطت المعارضة بالآیات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استدلّ کثیر من النّاس علی أنّ هذه الأشیاء علی الحظر أو الوقف،بأن قالوا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علمنا أنّ التحرّز من المضارّ واجب فی العقول،و إذا کان ذلک واجبا لم یحسن منّا أن نقدّم علی تناول ما لا نأمن أن یکون سمّا قاتلا فیؤدّی ذلک إلی العطب،لأنّا لا نفرّق بین ما هو سمّ و ما هو غذاء،و إنّما ننتظر ذلک إعلام اللّه تعالی لنا ما هو غذاؤنا، و الفرق بینه و بین السموم القاتلة</w:t>
      </w:r>
      <w:r>
        <w:rPr>
          <w:rFonts w:eastAsia="IRNazanin" w:cs="IRNazanin"/>
          <w:color w:val="111111"/>
          <w:sz w:val="28"/>
          <w:szCs w:val="28"/>
          <w:rtl w:val="true"/>
          <w:lang w:bidi="fa-IR"/>
        </w:rPr>
        <w:t>.</w:t>
      </w:r>
    </w:p>
    <w:p>
      <w:pPr>
        <w:sectPr>
          <w:footerReference w:type="default" r:id="rId7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اعترض من خالف فی ذلک الاستدلال بأن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یمکننا أن نعلم ذلک بالتّجربة،فإنّا إذا شاهدنا الحیوان الّذی لیس بمکلّف یتناول بعض الأشیاء فیصلح علیه جسمه،علمنا أنّه غذاء،و إذا تناول شیئا یفسد علیه علمنا أنّه مضارّ،فحینئذ اعتبرنا بأحوالهما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قال من نصر هذا الدّلیل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الحیوان یختلف طباعه،فلیس ما یصلح الحیوان المستبهم یعلم أنّه یصلح الحیوان النّاطق،لأنّ هاهنا أشیاء کثیرة تغذّی کثیرا من الحیوان و تصلح علیها أجسامها،و إن کان متی تناولها ابن آدم هلک،منها أنّ الظّبایا یأکل شحم الحنظل و یتغذّی به،و لو أکل ذلک ابن آدم لهلک فی الحال،و کذلک النّعامة تأکل النّار و تحصل فی معدتها،و لو أکل ذلک ابن آدم لهلک فی الحال،و کذلک یقال إنّ الفأرة تأکل البیش </w:t>
      </w:r>
      <w:r>
        <w:rPr>
          <w:rStyle w:val="FootnoteAnchor"/>
          <w:rtl w:val="true"/>
        </w:rPr>
        <w:footnoteReference w:id="1649"/>
      </w:r>
      <w:r>
        <w:rPr>
          <w:rFonts w:ascii="IRNazanin" w:hAnsi="IRNazanin" w:eastAsia="IRNazanin"/>
          <w:color w:val="111111"/>
          <w:sz w:val="28"/>
          <w:sz w:val="28"/>
          <w:szCs w:val="28"/>
          <w:rtl w:val="true"/>
          <w:lang w:bidi="fa-IR"/>
        </w:rPr>
        <w:t>فتعیش به،و رائحة ذلک تقتل ابن آدم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فلیس طبائع الحیوان علی حدّ واحد،و إذا لم یکن علی حدّ واحد لم یجز أن یعتبر بأحوال غیرنا أحوال نفوسنا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لمن خالفهم فی ذلک 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أحسب أنّه لا یمکن أن یعتبر بأحوال الحیوان المستبهم أحوال الحیوان من البشر،أ لیس لو أقدم واحد منهم علی طریق الخطأ أو الجهل علی ما یذهبون إلیه علی تناول هذه الأشیاء یعرف بذلک الخطأ ما هو غذاء، و فرّق بینه و بین السّم،فینبغی أن یجوز لغیره أن یعتبر به،و یجوز له بعد ذلک التّناول منها،و إن لم یرد سمع،لأنّه قد أمن العطب و الهلاک</w:t>
      </w:r>
      <w:r>
        <w:rPr>
          <w:rFonts w:eastAsia="IRNazanin" w:cs="IRNazanin"/>
          <w:color w:val="111111"/>
          <w:sz w:val="28"/>
          <w:szCs w:val="28"/>
          <w:rtl w:val="true"/>
          <w:lang w:bidi="fa-IR"/>
        </w:rPr>
        <w:t>.</w:t>
      </w:r>
    </w:p>
    <w:p>
      <w:pPr>
        <w:sectPr>
          <w:footerReference w:type="default" r:id="rId7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فالمعتمد فی هذا الباب ما ذکرناه أوّلا فی صدر هذا الباب،فهذه جملة کافیة فی هذا الباب إن شاء اللّه</w:t>
      </w:r>
      <w:r>
        <w:rPr>
          <w:rFonts w:eastAsia="IRNazanin" w:cs="IRNazanin"/>
          <w:color w:val="111111"/>
          <w:sz w:val="28"/>
          <w:szCs w:val="28"/>
          <w:rtl w:val="true"/>
          <w:lang w:bidi="fa-IR"/>
        </w:rPr>
        <w:t xml:space="preserve">. </w:t>
      </w:r>
      <w:bookmarkStart w:id="415" w:name="pg6519_49954"/>
    </w:p>
    <w:p>
      <w:pPr>
        <w:pStyle w:val="Heading4"/>
        <w:numPr>
          <w:ilvl w:val="3"/>
          <w:numId w:val="1"/>
        </w:numPr>
        <w:rPr/>
      </w:pPr>
      <w:bookmarkStart w:id="416" w:name="__RefHeading___Toc1757413_653776707"/>
      <w:bookmarkStart w:id="417" w:name="_Toc130"/>
      <w:bookmarkEnd w:id="415"/>
      <w:bookmarkEnd w:id="416"/>
      <w:r>
        <w:rPr>
          <w:rtl w:val="true"/>
        </w:rPr>
        <w:t>فصل</w:t>
      </w:r>
      <w:r>
        <w:rPr>
          <w:rtl w:val="true"/>
        </w:rPr>
        <w:t>-</w:t>
      </w:r>
      <w:r>
        <w:rPr/>
        <w:t>3</w:t>
      </w:r>
      <w:r>
        <w:rPr>
          <w:rtl w:val="true"/>
        </w:rPr>
        <w:t>: «</w:t>
      </w:r>
      <w:r>
        <w:rPr>
          <w:rtl w:val="true"/>
        </w:rPr>
        <w:t>فی ذکر حکم النّافی،هل علیه دلیل أم لا؟،و الکلام فی استصحاب الحال</w:t>
      </w:r>
      <w:r>
        <w:rPr>
          <w:rtl w:val="true"/>
        </w:rPr>
        <w:t>»</w:t>
      </w:r>
      <w:bookmarkEnd w:id="417"/>
    </w:p>
    <w:p>
      <w:pPr>
        <w:pStyle w:val="Heading5"/>
        <w:numPr>
          <w:ilvl w:val="4"/>
          <w:numId w:val="1"/>
        </w:numPr>
        <w:rPr/>
      </w:pPr>
      <w:bookmarkStart w:id="418" w:name="__RefHeading___Toc1757415_653776707"/>
      <w:bookmarkStart w:id="419" w:name="_Toc131"/>
      <w:bookmarkEnd w:id="418"/>
      <w:r>
        <w:rPr>
          <w:rtl w:val="true"/>
        </w:rPr>
        <w:t>اشارة</w:t>
      </w:r>
      <w:bookmarkEnd w:id="419"/>
    </w:p>
    <w:p>
      <w:pPr>
        <w:pStyle w:val="BookText"/>
        <w:rPr/>
      </w:pPr>
      <w:r>
        <w:rPr>
          <w:rFonts w:ascii="IRNazanin" w:hAnsi="IRNazanin" w:eastAsia="IRNazanin"/>
          <w:color w:val="111111"/>
          <w:sz w:val="28"/>
          <w:sz w:val="28"/>
          <w:szCs w:val="28"/>
          <w:rtl w:val="true"/>
          <w:lang w:bidi="fa-IR"/>
        </w:rPr>
        <w:t>ذهب قوم إلی أنّ النّافی لیس علیه دلیل،کما أنّ من قال لست عالما بالشّیء لا دلیل علیه،و کما أنّ المنکر للدّعوی لیس علیه بیّنة،و کما لا دلیل علی من نفی نبوّة المدّعی للنّبوّة</w:t>
      </w:r>
      <w:r>
        <w:rPr>
          <w:rFonts w:eastAsia="IRNazanin" w:cs="IRNazanin"/>
          <w:color w:val="111111"/>
          <w:sz w:val="28"/>
          <w:szCs w:val="28"/>
          <w:rtl w:val="true"/>
          <w:lang w:bidi="fa-IR"/>
        </w:rPr>
        <w:t>.</w:t>
      </w:r>
    </w:p>
    <w:p>
      <w:pPr>
        <w:sectPr>
          <w:footerReference w:type="default" r:id="rId7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منهم 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علی النّافی للأحکام العقلیّة دلیلا،و لیس علی النّافی </w:t>
      </w:r>
    </w:p>
    <w:p>
      <w:pPr>
        <w:pStyle w:val="BookText"/>
        <w:rPr/>
      </w:pPr>
      <w:r>
        <w:rPr>
          <w:rFonts w:ascii="Amiri" w:hAnsi="Amiri" w:eastAsia="Amiri" w:cs="Amiri"/>
          <w:color w:val="111111"/>
          <w:sz w:val="28"/>
          <w:sz w:val="28"/>
          <w:szCs w:val="28"/>
          <w:rtl w:val="true"/>
          <w:lang w:bidi="ar-SA"/>
        </w:rPr>
        <w:t xml:space="preserve">للأحکام الشّرعیّة ذلک </w:t>
      </w:r>
      <w:r>
        <w:rPr>
          <w:rStyle w:val="FootnoteAnchor"/>
          <w:rtl w:val="true"/>
        </w:rPr>
        <w:footnoteReference w:id="16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ذهب المحصّلون من المتکلّمین و الفقهاء إلی أنّ کلّ من نفی حکما من الأحکام،عقلیّا کان أو سمعیّا،کان علیه الدّلیل </w:t>
      </w:r>
      <w:r>
        <w:rPr>
          <w:rStyle w:val="FootnoteAnchor"/>
          <w:rtl w:val="true"/>
        </w:rPr>
        <w:footnoteReference w:id="1651"/>
      </w:r>
      <w:r>
        <w:rPr>
          <w:rFonts w:ascii="IRNazanin" w:hAnsi="IRNazanin" w:eastAsia="IRNazanin"/>
          <w:color w:val="111111"/>
          <w:sz w:val="28"/>
          <w:sz w:val="28"/>
          <w:szCs w:val="28"/>
          <w:rtl w:val="true"/>
          <w:lang w:bidi="fa-IR"/>
        </w:rPr>
        <w:t>،و إلیه أذهب لأنّه الصّحیح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الّذی یدلّ علی ذلک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النّافی للحکم مدّع </w:t>
      </w:r>
      <w:r>
        <w:rPr>
          <w:rStyle w:val="FootnoteAnchor"/>
          <w:rtl w:val="true"/>
        </w:rPr>
        <w:footnoteReference w:id="1652"/>
      </w:r>
      <w:r>
        <w:rPr>
          <w:rFonts w:ascii="IRNazanin" w:hAnsi="IRNazanin" w:eastAsia="IRNazanin"/>
          <w:color w:val="111111"/>
          <w:sz w:val="28"/>
          <w:sz w:val="28"/>
          <w:szCs w:val="28"/>
          <w:rtl w:val="true"/>
          <w:lang w:bidi="fa-IR"/>
        </w:rPr>
        <w:t>للعلم بأنّ ما نفاه منفی،لأنّه إن ادّعی الشّک فی ذلک فلا یلزمه الدّلالة،لأنّ قوله لا یعدّ مذهبا و لا یناظر علیه،و إذا کان مدّعیا للعلم و قد ثبت أنّ العلوم المکتسبة لا بدّ لها من أدلّة و طرق موصلة إلی العلم،فإذا ثبت ذلک فمتی طولب النّافی بالدّلالة،فانّما یطالب بما أدّاه النّظر إلیه إلی نفی ما نفاه،فعلیه بیان دلالته،کما یجب علی المثبت ذلک،لکنّ طریق الاستدلال یختلف فی ذلک،لأنّ النّافی للحکم یستدلّ بأن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 الشّرعی إذا تعبّد اللّه تعالی به فلا بدّ من أن یدلّ علیه،فإذا عدمت الدّلالة علی ذلک من الکتاب و السّنّة و الإجماع و جمیع طرق الأدلّة علمت أنّ الحکم منتف،فلیستدلّ بانتفاء التّعبّد به علی نفی لزومه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قد یستدلّ بانتفاء ظهور العلم المعجز علی ید المدّعی للنّبوّة علی نفی نبوّته بأن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نبیا لوجب ظهور المعجز علی یده،فإذا لم یظهر علمت بانتفائه انتفی کونه نبیّا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کذلک یستدلّ بانتفاء أحکام الصّفات عن الموصوف علی نفی الصّفات،کما یستدلّ علی نفی المائیّة </w:t>
      </w:r>
      <w:r>
        <w:rPr>
          <w:rStyle w:val="FootnoteAnchor"/>
          <w:rtl w:val="true"/>
        </w:rPr>
        <w:footnoteReference w:id="1653"/>
      </w:r>
      <w:r>
        <w:rPr>
          <w:rFonts w:ascii="IRNazanin" w:hAnsi="IRNazanin" w:eastAsia="IRNazanin"/>
          <w:color w:val="111111"/>
          <w:sz w:val="28"/>
          <w:sz w:val="28"/>
          <w:szCs w:val="28"/>
          <w:rtl w:val="true"/>
          <w:lang w:bidi="fa-IR"/>
        </w:rPr>
        <w:t>علی القدیم تعالی بانتفاء حکم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له مائیة لوجب أن یکون لها حکم،فلمّا لم نجد لها حکما علمنا انتفاءها</w:t>
      </w:r>
      <w:r>
        <w:rPr>
          <w:rFonts w:eastAsia="IRNazanin" w:cs="IRNazanin"/>
          <w:color w:val="111111"/>
          <w:sz w:val="28"/>
          <w:szCs w:val="28"/>
          <w:rtl w:val="true"/>
          <w:lang w:bidi="fa-IR"/>
        </w:rPr>
        <w:t>.</w:t>
      </w:r>
    </w:p>
    <w:p>
      <w:pPr>
        <w:sectPr>
          <w:footerReference w:type="default" r:id="rId7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کذلک نستدلّ علی انتفاء الصّفات الزّائدة علی الصّفات المعقولة فی الجواهر </w:t>
      </w:r>
    </w:p>
    <w:p>
      <w:pPr>
        <w:pStyle w:val="BookText"/>
        <w:rPr/>
      </w:pPr>
      <w:r>
        <w:rPr>
          <w:rFonts w:ascii="IRNazanin" w:hAnsi="IRNazanin" w:eastAsia="IRNazanin"/>
          <w:color w:val="111111"/>
          <w:sz w:val="28"/>
          <w:sz w:val="28"/>
          <w:szCs w:val="28"/>
          <w:rtl w:val="true"/>
          <w:lang w:bidi="fa-IR"/>
        </w:rPr>
        <w:t>و الأعراض بأن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کانت لها صفات أکثر من ذلک لکانت لها أحکام معلومة إمّا ضرورة أو استدلالا،فلمّا لم نجدها معلومة من هذین الطّریقین علمنا انتفائها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 هذه أدلّة علی الحقیقة،لا إنّا عوّلنا فی نفی ما نفیناه علی القول بأنّا لا نحتاج إلی دلیل،فطرق الأدلّة تختلف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طوّل من تکلّم فی هذا الباب الکلام فیه،و هذا القدر الّذی لخّصناه کاف فانّه یأتی علی المعتمد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فأمّا قول من قال </w:t>
      </w:r>
      <w:r>
        <w:rPr>
          <w:rStyle w:val="FootnoteAnchor"/>
          <w:rtl w:val="true"/>
        </w:rPr>
        <w:footnoteReference w:id="16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علیه دلیل،کما لا بیّنة علی المنکر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فبعید،لأنّ طریق ذلک الشّرع و لیس هو ممّا علیه دلیل عقلی أو سمعی،و ما هذا حکمه یحکم فیه بحسب ما ورد الشّرع به و یفارق ذلک المذاهب علی ما ذکرناه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المنکر لو کان لا دلیل علیه لما وجب علیه الیمین،کما لا یحتاج النّافی إلی دلیل و لا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أنّه قد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کون الشّیء فی یده حکم الدّلالة،و لذلک لو لم یکن فی یده لکان حاله حال المدّعی الآخر،فقد ثبت سقوط التّعلّق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فامّا من نفی نبوّة المتنبّی،فقد بینّا أنّ علیه دلیلا،و هو 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نبیّا لوجب ظهور العلم علی یده،فلمّا لم یظهر علمت أنّه لیس بنبیّ،و أنّه کاذب فی دعواه</w:t>
      </w:r>
      <w:r>
        <w:rPr>
          <w:rFonts w:eastAsia="IRNazanin" w:cs="IRNazanin"/>
          <w:color w:val="111111"/>
          <w:sz w:val="28"/>
          <w:szCs w:val="28"/>
          <w:rtl w:val="true"/>
          <w:lang w:bidi="fa-IR"/>
        </w:rPr>
        <w:t>.</w:t>
      </w:r>
    </w:p>
    <w:p>
      <w:pPr>
        <w:sectPr>
          <w:footerReference w:type="default" r:id="rId7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هذه الجملة الّتی ذکرناها تبیّن لنا أنّ النّافی علیه دلیل،فانّ ذلک لا یخصّ حکما عقلیّا من حکم شرعی،فیجب القضاء بتساویهما فی ذلک</w:t>
      </w:r>
      <w:r>
        <w:rPr>
          <w:rFonts w:eastAsia="IRNazanin" w:cs="IRNazanin"/>
          <w:color w:val="111111"/>
          <w:sz w:val="28"/>
          <w:szCs w:val="28"/>
          <w:rtl w:val="true"/>
          <w:lang w:bidi="fa-IR"/>
        </w:rPr>
        <w:t xml:space="preserve">. </w:t>
      </w:r>
      <w:bookmarkStart w:id="420" w:name="pg6519_49957"/>
    </w:p>
    <w:p>
      <w:pPr>
        <w:pStyle w:val="Heading5"/>
        <w:numPr>
          <w:ilvl w:val="4"/>
          <w:numId w:val="1"/>
        </w:numPr>
        <w:rPr/>
      </w:pPr>
      <w:bookmarkStart w:id="421" w:name="__RefHeading___Toc1757417_653776707"/>
      <w:bookmarkStart w:id="422" w:name="_Toc132"/>
      <w:bookmarkEnd w:id="420"/>
      <w:bookmarkEnd w:id="421"/>
      <w:r>
        <w:rPr>
          <w:rtl w:val="true"/>
        </w:rPr>
        <w:t>الکلام فی استصحاب الحال</w:t>
      </w:r>
      <w:bookmarkEnd w:id="422"/>
    </w:p>
    <w:p>
      <w:pPr>
        <w:sectPr>
          <w:footerReference w:type="default" r:id="rId7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فامّا استصحاب الحال فصورته ما یقوله أصحاب الشّافعی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أنّ المتیمّم إذا دخل فی الصّلاة ثمّ رأی الماء،فانّه قد ثبت أنّه قبل رؤیته للماء یجب علیه المضیّ </w:t>
      </w:r>
    </w:p>
    <w:p>
      <w:pPr>
        <w:pStyle w:val="BookText"/>
        <w:rPr/>
      </w:pPr>
      <w:r>
        <w:rPr>
          <w:rFonts w:ascii="IRNazanin" w:hAnsi="IRNazanin" w:eastAsia="IRNazanin"/>
          <w:color w:val="111111"/>
          <w:sz w:val="28"/>
          <w:sz w:val="28"/>
          <w:szCs w:val="28"/>
          <w:rtl w:val="true"/>
          <w:lang w:bidi="fa-IR"/>
        </w:rPr>
        <w:t>فی الصّلاة بالاتّفاق،فإذا حدث رؤیة الماء فیجب أن یکون علی ما کان علیه من حکم الحال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 ذلک من المسائل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اختلف العلماء فی ذلک،فذهب أکثر المتکلّمین،و کثیر من الفقهاء من أصحاب أبی حنیفة و غیرهم إلی أنّ ذلک لیس بدلیل </w:t>
      </w:r>
      <w:r>
        <w:rPr>
          <w:rStyle w:val="FootnoteAnchor"/>
          <w:rtl w:val="true"/>
        </w:rPr>
        <w:footnoteReference w:id="1655"/>
      </w:r>
      <w:r>
        <w:rPr>
          <w:rFonts w:ascii="IRNazanin" w:hAnsi="IRNazanin" w:eastAsia="IRNazanin"/>
          <w:color w:val="111111"/>
          <w:sz w:val="28"/>
          <w:sz w:val="28"/>
          <w:szCs w:val="28"/>
          <w:rtl w:val="true"/>
          <w:lang w:bidi="fa-IR"/>
        </w:rPr>
        <w:t>،و هو الّذی ینصره المرتضی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رحمه اللّه </w:t>
      </w:r>
      <w:r>
        <w:rPr>
          <w:rStyle w:val="FootnoteAnchor"/>
          <w:rtl w:val="true"/>
        </w:rPr>
        <w:footnoteReference w:id="16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ذهب أکثر أصحاب الشّافعی و غیرهم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الّذی کان ینصره شیخنا أبو عبد اللّه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أنّ ذلک دلیل </w:t>
      </w:r>
      <w:r>
        <w:rPr>
          <w:rStyle w:val="FootnoteAnchor"/>
          <w:rtl w:val="true"/>
        </w:rPr>
        <w:footnoteReference w:id="16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ذلک نظر،غیر أنّه یمکن أن یقال فی المثال الّذی ذکروه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ثبت وجوب المضیّ فی الصّلاة قبل رؤیة الماء،و لم یدلّ دلیل علی أنّ رؤیة الماء حدث، و لو کان حدثا لکان علیه دلیل شرعی،فلمّا لم یکن علیه دلیل دلّ علی أنّه لیس بحدث،و وجب حینئذ المضیّ فی الصّلاة،غیر أنّ هذا یخرج عن باب استصحاب الحال و یرجع إلی الطّریقة الأولی من الاستدلال بطریقة النّفی</w:t>
      </w:r>
      <w:r>
        <w:rPr>
          <w:rFonts w:eastAsia="IRNazanin" w:cs="IRNazanin"/>
          <w:color w:val="111111"/>
          <w:sz w:val="28"/>
          <w:szCs w:val="28"/>
          <w:rtl w:val="true"/>
          <w:lang w:bidi="fa-IR"/>
        </w:rPr>
        <w:t>.</w:t>
      </w:r>
    </w:p>
    <w:p>
      <w:pPr>
        <w:sectPr>
          <w:footerReference w:type="default" r:id="rId7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اعترض من نفی استصحاب الحال طریقة من قال به بأن قال </w:t>
      </w:r>
      <w:r>
        <w:rPr>
          <w:rStyle w:val="FootnoteAnchor"/>
          <w:rtl w:val="true"/>
        </w:rPr>
        <w:footnoteReference w:id="16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الحالة الثانیة غیر الأولی،بل الحالة الثّانیة مختلف فیها،و الحالة الأولی متّفق علیها،فکیف یحکم </w:t>
      </w:r>
    </w:p>
    <w:p>
      <w:pPr>
        <w:pStyle w:val="BookText"/>
        <w:rPr/>
      </w:pPr>
      <w:r>
        <w:rPr>
          <w:rFonts w:ascii="IRNazanin" w:hAnsi="IRNazanin" w:eastAsia="IRNazanin"/>
          <w:color w:val="111111"/>
          <w:sz w:val="28"/>
          <w:sz w:val="28"/>
          <w:szCs w:val="28"/>
          <w:rtl w:val="true"/>
          <w:lang w:bidi="fa-IR"/>
        </w:rPr>
        <w:t>فی أحدهما بحکم الأخری بلا دلیل؟ و لأنّه لا فرق بین من عوّل فی ذلک علی ما قالوه،و بین من عوّل فی حمل مسألة علی أخری،علی أن قال إنّها مثلها من غیر أن یبیّن فیها علّة توجب الجمع بینهما،و ذلک ظاهر البطلان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الّذی یکشف عن ذلک أنّ الّذی لأجله قلنا فی الحالة الأولی ما </w:t>
      </w:r>
      <w:r>
        <w:rPr>
          <w:rStyle w:val="FootnoteAnchor"/>
          <w:rtl w:val="true"/>
        </w:rPr>
        <w:footnoteReference w:id="1659"/>
      </w:r>
      <w:r>
        <w:rPr>
          <w:rFonts w:ascii="IRNazanin" w:hAnsi="IRNazanin" w:eastAsia="IRNazanin"/>
          <w:color w:val="111111"/>
          <w:sz w:val="28"/>
          <w:sz w:val="28"/>
          <w:szCs w:val="28"/>
          <w:rtl w:val="true"/>
          <w:lang w:bidi="fa-IR"/>
        </w:rPr>
        <w:t xml:space="preserve">قلناه، إنّما کان للاتّفاق </w:t>
      </w:r>
      <w:r>
        <w:rPr>
          <w:rStyle w:val="FootnoteAnchor"/>
          <w:rtl w:val="true"/>
        </w:rPr>
        <w:footnoteReference w:id="1660"/>
      </w:r>
      <w:r>
        <w:rPr>
          <w:rFonts w:ascii="IRNazanin" w:hAnsi="IRNazanin" w:eastAsia="IRNazanin"/>
          <w:color w:val="111111"/>
          <w:sz w:val="28"/>
          <w:sz w:val="28"/>
          <w:szCs w:val="28"/>
          <w:rtl w:val="true"/>
          <w:lang w:bidi="fa-IR"/>
        </w:rPr>
        <w:t xml:space="preserve">أو لدلیل </w:t>
      </w:r>
      <w:r>
        <w:rPr>
          <w:rStyle w:val="FootnoteAnchor"/>
          <w:rtl w:val="true"/>
        </w:rPr>
        <w:footnoteReference w:id="1661"/>
      </w:r>
      <w:r>
        <w:rPr>
          <w:rFonts w:ascii="IRNazanin" w:hAnsi="IRNazanin" w:eastAsia="IRNazanin"/>
          <w:color w:val="111111"/>
          <w:sz w:val="28"/>
          <w:sz w:val="28"/>
          <w:szCs w:val="28"/>
          <w:rtl w:val="true"/>
          <w:lang w:bidi="fa-IR"/>
        </w:rPr>
        <w:t>دلّ علی ذلک،و ذلک مفقود فی الحالة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فیجب أن لا یکون حکمها حکم الأولی،بل کان یجب أن لا یقول فی الثانیة</w:t>
      </w:r>
      <w:r>
        <w:rPr>
          <w:rFonts w:eastAsia="IRNazanin" w:cs="IRNazanin"/>
          <w:color w:val="111111"/>
          <w:sz w:val="28"/>
          <w:szCs w:val="28"/>
          <w:rtl w:val="true"/>
          <w:lang w:bidi="fa-IR"/>
        </w:rPr>
        <w:t xml:space="preserve">] </w:t>
      </w:r>
      <w:r>
        <w:rPr>
          <w:rStyle w:val="FootnoteAnchor"/>
          <w:rtl w:val="true"/>
        </w:rPr>
        <w:footnoteReference w:id="1662"/>
      </w:r>
      <w:r>
        <w:rPr>
          <w:rFonts w:ascii="IRNazanin" w:hAnsi="IRNazanin" w:eastAsia="IRNazanin"/>
          <w:color w:val="111111"/>
          <w:sz w:val="28"/>
          <w:sz w:val="28"/>
          <w:szCs w:val="28"/>
          <w:rtl w:val="true"/>
          <w:lang w:bidi="fa-IR"/>
        </w:rPr>
        <w:t>إلاّ بما یقوم علیه دلیل کما قلناه فی الأولی،و ذلک یبطل استصحاب 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علی ما کنّا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بدلیل علی الحالة الثانیة حال اجتهاد عند من قال بذلک،و الحالة الأولی متّفق علیها لا یجوز فیها الاجتهاد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حدوث الحوادث لا یغیّر الأحکام الثّابتة،و لم یحصل فی الحال الثّانیة إلاّ حدوث حادث،فیجب أن لا یزیل الحکم الأوّل إلاّ بدلیل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حدوث الحوادث إنّما لا یؤثّر فی ثبوت الحکم إذا کان الدّلیل قد اقتضی دوامه،فأمّا إذا اقتضی إثباته فی وقت مخصوص فطروّ الوقت الثّانی یقتضی زوال حکمه لا محالة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کلّ الحوادث و إن کانت لا تؤثّر فی الحکم الثّابت،فإنّ الحوادث الّتی اختلف النّاس عند حدوثها فی بقاء الحکم الأوّل عندها مؤثّر فی ذلک،لأنّ الاتّفاق قد زال عند حدوثه،فعلی من استصحب الحکم الأوّل دلیل مبتدأ،کما أنّ علی المنتقل عنه دلیل مبتدأ</w:t>
      </w:r>
      <w:r>
        <w:rPr>
          <w:rFonts w:eastAsia="IRNazanin" w:cs="IRNazanin"/>
          <w:color w:val="111111"/>
          <w:sz w:val="28"/>
          <w:szCs w:val="28"/>
          <w:rtl w:val="true"/>
          <w:lang w:bidi="fa-IR"/>
        </w:rPr>
        <w:t>.</w:t>
      </w:r>
    </w:p>
    <w:p>
      <w:pPr>
        <w:sectPr>
          <w:footerReference w:type="default" r:id="rId7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استدلّ من نصر استصحاب الحال بما روی عن النّبی صلی اللّه علیه و آله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w:t>
      </w:r>
    </w:p>
    <w:p>
      <w:pPr>
        <w:pStyle w:val="BookText"/>
        <w:rPr/>
      </w:pPr>
      <w:r>
        <w:rPr>
          <w:rFonts w:ascii="IRNazanin" w:hAnsi="IRNazanin" w:eastAsia="IRNazanin"/>
          <w:color w:val="111111"/>
          <w:sz w:val="28"/>
          <w:sz w:val="28"/>
          <w:szCs w:val="28"/>
          <w:rtl w:val="true"/>
          <w:lang w:bidi="fa-IR"/>
        </w:rPr>
        <w:t>الشّیطان یأتی أحدکم فینفخ بین ألیتیه فیقول أحدثت أحدثت فلا ینصرفنّ حتی یسمع صوتا أو یجد ریحا</w:t>
      </w:r>
      <w:r>
        <w:rPr>
          <w:rFonts w:eastAsia="IRNazanin" w:cs="IRNazanin"/>
          <w:color w:val="111111"/>
          <w:sz w:val="28"/>
          <w:szCs w:val="28"/>
          <w:rtl w:val="true"/>
          <w:lang w:bidi="fa-IR"/>
        </w:rPr>
        <w:t xml:space="preserve">» </w:t>
      </w:r>
      <w:r>
        <w:rPr>
          <w:rStyle w:val="FootnoteAnchor"/>
          <w:rtl w:val="true"/>
        </w:rPr>
        <w:footnoteReference w:id="1663"/>
      </w:r>
      <w:r>
        <w:rPr>
          <w:rFonts w:ascii="IRNazanin" w:hAnsi="IRNazanin" w:eastAsia="IRNazanin"/>
          <w:color w:val="111111"/>
          <w:sz w:val="28"/>
          <w:sz w:val="28"/>
          <w:szCs w:val="28"/>
          <w:rtl w:val="true"/>
          <w:lang w:bidi="fa-IR"/>
        </w:rPr>
        <w:t>،فبقاه علی الحال 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اتّفقوا علی أنّ من تیقّن الطّهارة ثمّ شکّ فی الحدث،أنّ علیه أن یستصحب الحال الأولی،فینبغی أن یجعل ذلک عبرة فی نظائره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اعترض ذلک من نفی القول به بأن قال </w:t>
      </w:r>
      <w:r>
        <w:rPr>
          <w:rStyle w:val="FootnoteAnchor"/>
          <w:rtl w:val="true"/>
        </w:rPr>
        <w:footnoteReference w:id="16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قلنا فی هذین الموضعین لقیام دلیل و هو قول النبی صلّی اللّه علیه و آله و سلّم و تسویته بین الحالین،و کذلک الاتّفاق علی أنّ حال الشکّ فی الحدث مثل حال یقین الطّهارة فلا شکّ معها،فنظیر ذلک أن یقوم فی کلّ موضع دلیل علی أنّ الحالة الثانیة مثل الحالة الأولی حتی یصیر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یمکن أن ینصر به طریقة استصحاب الحال ما أومأنا إلیه من أن 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کانت الحالة الثّانیة مغیّرة للحکم الأوّل لکان علی ذلک دلیل،و إذا تتبّعنا جمیع الأدلّة فلم نجد ما فیها ما یدلّ علی أنّ الحالة الثانیة مخالفة للحالة الأولی،دلّ علی أنّ حکم الحالة الأولی باق علی ما 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رجوع إلی الاستدلال بطریقة النّفی،و ذلک خارج عن استصحاب الحال؟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نرید باستصحاب الحال هذا الّذی ذکرناه،فأمّا غیر ذلک فلیس یکاد یحصل غرض القائل به</w:t>
      </w:r>
      <w:r>
        <w:rPr>
          <w:rFonts w:eastAsia="IRNazanin" w:cs="IRNazanin"/>
          <w:color w:val="111111"/>
          <w:sz w:val="28"/>
          <w:szCs w:val="28"/>
          <w:rtl w:val="true"/>
          <w:lang w:bidi="fa-IR"/>
        </w:rPr>
        <w:t>.</w:t>
      </w:r>
    </w:p>
    <w:p>
      <w:pPr>
        <w:sectPr>
          <w:footerReference w:type="default" r:id="rId7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هذه الجملة کافیة فی هذا الباب</w:t>
      </w:r>
      <w:r>
        <w:rPr>
          <w:rFonts w:eastAsia="IRNazanin" w:cs="IRNazanin"/>
          <w:color w:val="111111"/>
          <w:sz w:val="28"/>
          <w:szCs w:val="28"/>
          <w:rtl w:val="true"/>
          <w:lang w:bidi="fa-IR"/>
        </w:rPr>
        <w:t xml:space="preserve">. </w:t>
      </w:r>
      <w:bookmarkStart w:id="423" w:name="pg6519_49961"/>
    </w:p>
    <w:p>
      <w:pPr>
        <w:pStyle w:val="Heading4"/>
        <w:numPr>
          <w:ilvl w:val="3"/>
          <w:numId w:val="1"/>
        </w:numPr>
        <w:rPr/>
      </w:pPr>
      <w:bookmarkStart w:id="424" w:name="__RefHeading___Toc1757419_653776707"/>
      <w:bookmarkStart w:id="425" w:name="_Toc133"/>
      <w:bookmarkEnd w:id="423"/>
      <w:bookmarkEnd w:id="424"/>
      <w:r>
        <w:rPr>
          <w:rtl w:val="true"/>
        </w:rPr>
        <w:t>فصل</w:t>
      </w:r>
      <w:r>
        <w:rPr>
          <w:rtl w:val="true"/>
        </w:rPr>
        <w:t>-</w:t>
      </w:r>
      <w:r>
        <w:rPr/>
        <w:t>4</w:t>
      </w:r>
      <w:r>
        <w:rPr>
          <w:rtl w:val="true"/>
        </w:rPr>
        <w:t>: «</w:t>
      </w:r>
      <w:r>
        <w:rPr>
          <w:rtl w:val="true"/>
        </w:rPr>
        <w:t>فی ذکر ما یعلم بالعقل و السّمع</w:t>
      </w:r>
      <w:r>
        <w:rPr>
          <w:rtl w:val="true"/>
        </w:rPr>
        <w:t>»</w:t>
      </w:r>
      <w:bookmarkEnd w:id="425"/>
    </w:p>
    <w:p>
      <w:pPr>
        <w:pStyle w:val="BookText"/>
        <w:rPr/>
      </w:pPr>
      <w:r>
        <w:rPr>
          <w:rFonts w:ascii="IRNazanin" w:hAnsi="IRNazanin" w:eastAsia="IRNazanin"/>
          <w:color w:val="111111"/>
          <w:sz w:val="28"/>
          <w:sz w:val="28"/>
          <w:szCs w:val="28"/>
          <w:rtl w:val="true"/>
          <w:lang w:bidi="fa-IR"/>
        </w:rPr>
        <w:t>المعلومات علی ضربین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ضروریّة،و مکتسبة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المکتسبة علی ضربین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عقلیّ و سمعیّ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فالعقلیّ علی ضربین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ضرب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یصحّ أن یعلم إلاّ بالعقل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الضرب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یصحّ أن یعقل بالعقل و السّمع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فالضّروریات نحو العلم بأنّ الواحد لا یطابق اثنین،و أنّ الجسم الواحد لا یکون فی مکانین فی حال واحدة،و العلم بوجوب ردّ الودیعة،و شکر المنعم،و الإنصاف، و قبح الظّلم،و الکذب،و العبث،و ما یجری مجراه ممّا هو لازم لکمال 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المکتسب الّذی لا یصحّ أن یعلم إلاّ بالعقل،فهو کلّ علم لو لم یحصل للمکلّف لم یمکنه معرفة السّمع،و ما لا یتمّ هذا العلم إلاّ به،و ذلک نحو العلم بأنّ هاهنا حوادث لا یقدر علیها أحد من المحدثین،و أنّ لها محدثا،قادرا،عالما،حیّا، قدیما،لا یشبه الأجسام و لا تشبهه و لا الأعراض،و أنّه غنیّ لا یجوز علیه الحاجة، و أنّه یستحقّ هذه الصّفات لذاته لا لمعان قدیمة أو محدثة سواه،و أنّه لا یفعل إلاّ الحسن،و لا یجوز علیه شیء من القبائح،و لا الإخلال بالواجب</w:t>
      </w:r>
      <w:r>
        <w:rPr>
          <w:rFonts w:eastAsia="IRNazanin" w:cs="IRNazanin"/>
          <w:color w:val="111111"/>
          <w:sz w:val="28"/>
          <w:szCs w:val="28"/>
          <w:rtl w:val="true"/>
          <w:lang w:bidi="fa-IR"/>
        </w:rPr>
        <w:t>.</w:t>
      </w:r>
    </w:p>
    <w:p>
      <w:pPr>
        <w:sectPr>
          <w:footerReference w:type="default" r:id="rId7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فمتی علم هذه الجملة صحّ أن یعلم صحّة السّمع،و متی لم یعلمها أو لم یعلم </w:t>
      </w:r>
    </w:p>
    <w:p>
      <w:pPr>
        <w:pStyle w:val="BookText"/>
        <w:rPr/>
      </w:pPr>
      <w:r>
        <w:rPr>
          <w:rFonts w:ascii="Amiri" w:hAnsi="Amiri" w:eastAsia="Amiri" w:cs="Amiri"/>
          <w:color w:val="111111"/>
          <w:sz w:val="28"/>
          <w:sz w:val="28"/>
          <w:szCs w:val="28"/>
          <w:rtl w:val="true"/>
          <w:lang w:bidi="ar-SA"/>
        </w:rPr>
        <w:t>شیئا منها لا یصحّ أن یعلم صحّة السّمع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إنّما قلنا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متی لم یعلم ما قلناه،لم نأمن أن یکون الّذی فعل المعجز غیر الحکیم،و أنّه ممّن یجوز علیه تصدیق الکذّاب،فلا نثق بصحّة السّمع</w:t>
      </w:r>
      <w:r>
        <w:rPr>
          <w:rFonts w:eastAsia="IRNazanin" w:cs="IRNazanin"/>
          <w:color w:val="111111"/>
          <w:sz w:val="28"/>
          <w:szCs w:val="28"/>
          <w:rtl w:val="true"/>
          <w:lang w:bidi="fa-IR"/>
        </w:rPr>
        <w:t>.</w:t>
      </w:r>
    </w:p>
    <w:p>
      <w:pPr>
        <w:sectPr>
          <w:footerReference w:type="default" r:id="rId7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ما یصحّ أن یعلم بالسّمع و العقل معا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فنحو أنّ اللّه تعالی لا یجوز علیه الرّؤیة علی الحدّ الّذی یجوّزها الأشعریّ و أصحابه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علیه،لأنّ نفی ذلک یصحّ أن </w:t>
      </w:r>
    </w:p>
    <w:p>
      <w:pPr>
        <w:pStyle w:val="BookText"/>
        <w:rPr/>
      </w:pPr>
      <w:r>
        <w:rPr>
          <w:rFonts w:ascii="IRNazanin" w:hAnsi="IRNazanin" w:eastAsia="IRNazanin"/>
          <w:color w:val="111111"/>
          <w:sz w:val="28"/>
          <w:sz w:val="28"/>
          <w:szCs w:val="28"/>
          <w:rtl w:val="true"/>
          <w:lang w:bidi="fa-IR"/>
        </w:rPr>
        <w:t>یعلم بالسّمع کما یصحّ أن یعلم بالعقل،و غیر ذلک ممّا یقدح فیما قدّمناه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ما لا یعلم إلاّ بالسّمع فعلی أضرب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تتعلّق به الأحکام من سبب أو علّة من قال بإثبات العلل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هی أدلّة علی الأحکام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یتعلّق بذلک من شروطه و فروعه و أوصافه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کلّ ذلک لا یصحّ أن یعلم إلاّ بالسّمع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فأمّا الأحکام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فنحو الإباحة الشرعیة،نحو ذبح البهائم و غیر ذلک عند من قال إنّ الأشیاء علی الإباحة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علی ما نذهب إلیه من الوقف،و علی مذهب من قال إنّها علی الحظر، فجمیع المباحات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الطریق إلی العلم بها السّمع لا 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القبائح الشّرعیّة نحو شرب الخمر،و نحو الأکل فی أیّام الصّوم،و نحو الرّبا و ما شاکلها،فإنّ جمیع ذلک لو لا السّمع لما علم قبحها علی طریق القطع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القتل و الظّلم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فمعلوم بالعقل قبحه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یستفاد بالسّمع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 ما یحسن من الآلام و القتل،و هو ما کان قودا أو غیره،و نحو جهاد الکفّار 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یقبح من البیاعات و 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یقف التّملیک فیها علی شروط لا تعرف إلاّ بالشّرع فشرعی،و ما لم یکن کذلک فهو ممّا یعلم بالعقل و بالعادة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أمّا ما رغّب فیه الشّرع </w:t>
      </w:r>
      <w:r>
        <w:rPr>
          <w:rStyle w:val="FootnoteAnchor"/>
          <w:rtl w:val="true"/>
        </w:rPr>
        <w:footnoteReference w:id="16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کلّ فعل لو لا الشّرع لکان قبیحا کالصّوم و الصّلاة و ما شاکلهما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الإحسان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یعلم بالعقل أنّه ندب،إلاّ ما ورد الشّرع به علی أوصاف یرجع إلیه أو إلی المعطی</w:t>
      </w:r>
      <w:r>
        <w:rPr>
          <w:rFonts w:eastAsia="IRNazanin" w:cs="IRNazanin"/>
          <w:color w:val="111111"/>
          <w:sz w:val="28"/>
          <w:szCs w:val="28"/>
          <w:rtl w:val="true"/>
          <w:lang w:bidi="fa-IR"/>
        </w:rPr>
        <w:t>.</w:t>
      </w:r>
    </w:p>
    <w:p>
      <w:pPr>
        <w:sectPr>
          <w:footerReference w:type="default" r:id="rId7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الواجب الشّرعی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کلّ ما لو لا دلیل السّمع لم یعلم وجوبه علی الوجه الّذی وجب علیه و کان قبیحا،و ذلک نحو الصّوم،و الصّلاة،و الزّکاة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شروط جمیع ذلک و أوصافه،و ما یفسد منه،و ما یصحّ،و ما یفسده أو یصحّحه،و ما یجزی منه ما لا یجزی و یجب فیه القضاء،و ما یفسخ من العقود و ما لا یفسخ،و لا یقع به التّملیک إلاّ بشروط،أو علی أوصاف،و ما یجب من نوع الأملاک و غیر ذلک،فجمیع ذلک یعلم 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الجملة تنبّه علی ما یعلم بالشّرع من الأحکام،اختلف الأحوال المحکوم لهم أو علیهم أو اتّفق،مختارا کان أو مکروها،مکلفا أو غیر مکلّف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سبب الأحکام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فکالشهادات و سائر الأمارات الّتی یتعلّق الأحکام بها،أو یسوغ للحاکم الحکم لأجلها،و کذلک سائر أسباب المواریث،و کثیر من التّملیکات من موت،أو غنیمة،و ما شاکله،و کثیر من الولایات الّتی هی سبب لتصرّف الوالی فیما یتصرّف فیه من أمارة،و قضاء،و ولایة علی محجور و غیر ذلک،فجمیع ذلک و جمیع أوصافه و شروطه یعلم بالشرع،و لولاه لم یعلم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علل الأحکام فعند من قال بالقیاس لا یعلم إلاّ بالشّرع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الأدلّة الّتی تعلم بالشّرع فنحو القیاس،و الاجتهاد </w:t>
      </w:r>
      <w:r>
        <w:rPr>
          <w:rStyle w:val="FootnoteAnchor"/>
          <w:rtl w:val="true"/>
        </w:rPr>
        <w:footnoteReference w:id="1666"/>
      </w:r>
      <w:r>
        <w:rPr>
          <w:rFonts w:ascii="IRNazanin" w:hAnsi="IRNazanin" w:eastAsia="IRNazanin"/>
          <w:color w:val="111111"/>
          <w:sz w:val="28"/>
          <w:sz w:val="28"/>
          <w:szCs w:val="28"/>
          <w:rtl w:val="true"/>
          <w:lang w:bidi="fa-IR"/>
        </w:rPr>
        <w:t>عند من أثبتهما و جوّز العمل بهما،و ما یتعلّق بهما من العلل و الأمارات و الأحکام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مذهبنا،فنحو الأفعال الصادرة من النبیّ صلّی اللّه علیه و آله،لأنّ بالشرع یعلم کونها أدلّة علی ما تقدّم القول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الأدلّة الموجبة للعلم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فبالعقل یعلم کونها أدلّة،و لا مدخل للشّرع فی ذلک،فإن کان یتعلّق بالشّرع فی بعض الوجوه لأنّا نقول الرّسول علیه السلام یعلم أنّ القرآن کلام اللّه،و إن کان علمنا بما یدلّ علیه،أو بأنّه دلالة یرجع فیه إلی العقل</w:t>
      </w:r>
      <w:r>
        <w:rPr>
          <w:rFonts w:eastAsia="IRNazanin" w:cs="IRNazanin"/>
          <w:color w:val="111111"/>
          <w:sz w:val="28"/>
          <w:szCs w:val="28"/>
          <w:rtl w:val="true"/>
          <w:lang w:bidi="fa-IR"/>
        </w:rPr>
        <w:t>.</w:t>
      </w:r>
    </w:p>
    <w:p>
      <w:pPr>
        <w:sectPr>
          <w:footerReference w:type="default" r:id="rId7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المباحات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بیّنا أنّ طریق العلم بها کلّها الشّرع علی ما مضی القول فیها علی مذهبنا فی الوقف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قد ذکرنا فی هذا الکتاب جملة موجزة فی کلّ باب بأخصر ما حضرنا،و لو شرعنا فی شرح ذلک لطال الکتاب،و فیما لخّصناه کفایة لمن ضبط هذا الفنّ،و تنبیه بذلک علی ما عداه،و نسأل اللّه تعالی أن یجعله خالصا لوجهه،و ینفعنا بذلک و من نظر فیه،إنّه ولیّ ذلک،و القادر علیه،و الحمد للّه ربّ العالمین،و الصّلاة علی رسوله محمد و آله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 الکتاب و ربّنا محمود  و له المکارم و العلی و الجود</w:t>
      </w:r>
    </w:p>
    <w:p>
      <w:pPr>
        <w:pStyle w:val="BookText"/>
        <w:rPr/>
      </w:pPr>
      <w:r>
        <w:rPr>
          <w:rFonts w:ascii="Amiri" w:hAnsi="Amiri" w:eastAsia="Amiri" w:cs="Amiri"/>
          <w:color w:val="111111"/>
          <w:sz w:val="28"/>
          <w:sz w:val="28"/>
          <w:szCs w:val="28"/>
          <w:rtl w:val="true"/>
          <w:lang w:bidi="ar-SA"/>
        </w:rPr>
        <w:t>علی النّبیّ محمّد صلواته ما ناح قمریّ و أورق عود</w:t>
      </w:r>
    </w:p>
    <w:p>
      <w:pPr>
        <w:sectPr>
          <w:footerReference w:type="default" r:id="rId7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وقع الفراغ من کتبه عبد الصمد بن عبد اللّه بن الحسین بن أحمد فی ذی الحجة سنة ثمان عشرة و خمس مائة هجریة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حامدا للّه و مصلّیا علی نبیّه محمّد و آله الطاهرین </w:t>
      </w:r>
      <w:r>
        <w:rPr>
          <w:rStyle w:val="FootnoteAnchor"/>
          <w:rtl w:val="true"/>
        </w:rPr>
        <w:footnoteReference w:id="1667"/>
      </w:r>
      <w:r>
        <w:rPr>
          <w:rFonts w:eastAsia="Times New Roman" w:cs="Times New Roman" w:ascii="Times New Roman" w:hAnsi="Times New Roman"/>
          <w:color w:val="111111"/>
          <w:sz w:val="28"/>
          <w:szCs w:val="28"/>
          <w:rtl w:val="true"/>
          <w:lang w:val="en-US" w:bidi="en-US"/>
        </w:rPr>
        <w:t xml:space="preserve">. </w:t>
      </w:r>
    </w:p>
    <w:p>
      <w:pPr>
        <w:sectPr>
          <w:footerReference w:type="default" r:id="rId7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26" w:name="pg6519_49967"/>
      <w:bookmarkStart w:id="427" w:name="pg6519_49967"/>
      <w:bookmarkEnd w:id="427"/>
    </w:p>
    <w:p>
      <w:pPr>
        <w:pStyle w:val="Heading3"/>
        <w:numPr>
          <w:ilvl w:val="2"/>
          <w:numId w:val="1"/>
        </w:numPr>
        <w:rPr/>
      </w:pPr>
      <w:bookmarkStart w:id="428" w:name="pg6519_49967"/>
      <w:bookmarkStart w:id="429" w:name="__RefHeading___Toc1757421_653776707"/>
      <w:bookmarkStart w:id="430" w:name="_Toc134"/>
      <w:bookmarkEnd w:id="428"/>
      <w:bookmarkEnd w:id="429"/>
      <w:r>
        <w:rPr>
          <w:rtl w:val="true"/>
        </w:rPr>
        <w:t>الفهارس</w:t>
      </w:r>
      <w:bookmarkEnd w:id="430"/>
    </w:p>
    <w:p>
      <w:pPr>
        <w:pStyle w:val="Heading4"/>
        <w:numPr>
          <w:ilvl w:val="3"/>
          <w:numId w:val="1"/>
        </w:numPr>
        <w:rPr/>
      </w:pPr>
      <w:bookmarkStart w:id="431" w:name="__RefHeading___Toc1757423_653776707"/>
      <w:bookmarkStart w:id="432" w:name="_Toc135"/>
      <w:bookmarkEnd w:id="431"/>
      <w:r>
        <w:rPr>
          <w:rtl w:val="true"/>
        </w:rPr>
        <w:t>اشارة</w:t>
      </w:r>
      <w:bookmarkEnd w:id="432"/>
    </w:p>
    <w:p>
      <w:pPr>
        <w:pStyle w:val="BookText"/>
        <w:rPr/>
      </w:pPr>
      <w:r>
        <w:rPr>
          <w:rFonts w:ascii="IRNazanin" w:hAnsi="IRNazanin" w:eastAsia="IRNazanin"/>
          <w:color w:val="111111"/>
          <w:sz w:val="28"/>
          <w:sz w:val="28"/>
          <w:szCs w:val="28"/>
          <w:rtl w:val="true"/>
          <w:lang w:bidi="fa-IR"/>
        </w:rPr>
        <w:t>تصویر</w:t>
      </w:r>
    </w:p>
    <w:p>
      <w:pPr>
        <w:sectPr>
          <w:footerReference w:type="default" r:id="rId7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974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770"/>
                        <a:stretch/>
                      </pic:blipFill>
                      <pic:spPr>
                        <a:xfrm>
                          <a:off x="0" y="0"/>
                          <a:ext cx="4597560" cy="6985080"/>
                        </a:xfrm>
                        <a:prstGeom prst="rect">
                          <a:avLst/>
                        </a:prstGeom>
                        <a:ln w="0">
                          <a:noFill/>
                        </a:ln>
                      </pic:spPr>
                    </pic:pic>
                  </a:graphicData>
                </a:graphic>
              </wp:inline>
            </w:drawing>
          </mc:Choice>
          <mc:Fallback>
            <w:pict>
              <v:shape id="shape_0" stroked="f" o:allowincell="f" style="position:absolute;margin-left:0pt;margin-top:-550.05pt;width:361.95pt;height:549.95pt;mso-wrap-style:none;v-text-anchor:middle;mso-position-horizontal:left;mso-position-vertical:top" type="_x0000_t75">
                <v:imagedata r:id="rId771" o:detectmouseclick="t"/>
                <v:stroke color="#3465a4" joinstyle="round" endcap="flat"/>
                <w10:wrap type="none"/>
              </v:shape>
            </w:pict>
          </mc:Fallback>
        </mc:AlternateContent>
      </w:r>
    </w:p>
    <w:p>
      <w:pPr>
        <w:sectPr>
          <w:footerReference w:type="default" r:id="rId7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33" w:name="pg6519_49969"/>
      <w:bookmarkStart w:id="434" w:name="pg6519_49969"/>
      <w:bookmarkEnd w:id="434"/>
    </w:p>
    <w:p>
      <w:pPr>
        <w:pStyle w:val="Heading4"/>
        <w:numPr>
          <w:ilvl w:val="3"/>
          <w:numId w:val="1"/>
        </w:numPr>
        <w:rPr/>
      </w:pPr>
      <w:bookmarkStart w:id="435" w:name="pg6519_49969"/>
      <w:bookmarkStart w:id="436" w:name="__RefHeading___Toc1757425_653776707"/>
      <w:bookmarkStart w:id="437" w:name="_Toc136"/>
      <w:bookmarkEnd w:id="435"/>
      <w:bookmarkEnd w:id="436"/>
      <w:r>
        <w:rPr/>
        <w:t>1</w:t>
      </w:r>
      <w:r>
        <w:rPr>
          <w:rtl w:val="true"/>
        </w:rPr>
        <w:t xml:space="preserve">- </w:t>
      </w:r>
      <w:r>
        <w:rPr>
          <w:rtl w:val="true"/>
        </w:rPr>
        <w:t>فهرست الایات القرآنیه</w:t>
      </w:r>
      <w:bookmarkEnd w:id="437"/>
    </w:p>
    <w:p>
      <w:pPr>
        <w:pStyle w:val="BookText"/>
        <w:rPr/>
      </w:pPr>
      <w:r>
        <w:rPr>
          <w:rFonts w:ascii="IRNazanin" w:hAnsi="IRNazanin" w:eastAsia="IRNazanin"/>
          <w:color w:val="111111"/>
          <w:sz w:val="28"/>
          <w:sz w:val="28"/>
          <w:szCs w:val="28"/>
          <w:rtl w:val="true"/>
          <w:lang w:bidi="fa-IR"/>
        </w:rPr>
        <w:t>تصویر</w:t>
      </w:r>
    </w:p>
    <w:p>
      <w:pPr>
        <w:sectPr>
          <w:footerReference w:type="default" r:id="rId7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974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774"/>
                        <a:stretch/>
                      </pic:blipFill>
                      <pic:spPr>
                        <a:xfrm>
                          <a:off x="0" y="0"/>
                          <a:ext cx="4597560" cy="6985080"/>
                        </a:xfrm>
                        <a:prstGeom prst="rect">
                          <a:avLst/>
                        </a:prstGeom>
                        <a:ln w="0">
                          <a:noFill/>
                        </a:ln>
                      </pic:spPr>
                    </pic:pic>
                  </a:graphicData>
                </a:graphic>
              </wp:inline>
            </w:drawing>
          </mc:Choice>
          <mc:Fallback>
            <w:pict>
              <v:shape id="shape_0" stroked="f" o:allowincell="f" style="position:absolute;margin-left:0pt;margin-top:-550.05pt;width:361.95pt;height:549.95pt;mso-wrap-style:none;v-text-anchor:middle;mso-position-horizontal:left;mso-position-vertical:top" type="_x0000_t75">
                <v:imagedata r:id="rId77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7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974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777"/>
                        <a:stretch/>
                      </pic:blipFill>
                      <pic:spPr>
                        <a:xfrm>
                          <a:off x="0" y="0"/>
                          <a:ext cx="4597560" cy="6985080"/>
                        </a:xfrm>
                        <a:prstGeom prst="rect">
                          <a:avLst/>
                        </a:prstGeom>
                        <a:ln w="0">
                          <a:noFill/>
                        </a:ln>
                      </pic:spPr>
                    </pic:pic>
                  </a:graphicData>
                </a:graphic>
              </wp:inline>
            </w:drawing>
          </mc:Choice>
          <mc:Fallback>
            <w:pict>
              <v:shape id="shape_0" stroked="f" o:allowincell="f" style="position:absolute;margin-left:0pt;margin-top:-550.05pt;width:361.95pt;height:549.95pt;mso-wrap-style:none;v-text-anchor:middle;mso-position-horizontal:left;mso-position-vertical:top" type="_x0000_t75">
                <v:imagedata r:id="rId77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7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974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780"/>
                        <a:stretch/>
                      </pic:blipFill>
                      <pic:spPr>
                        <a:xfrm>
                          <a:off x="0" y="0"/>
                          <a:ext cx="4597560" cy="6985080"/>
                        </a:xfrm>
                        <a:prstGeom prst="rect">
                          <a:avLst/>
                        </a:prstGeom>
                        <a:ln w="0">
                          <a:noFill/>
                        </a:ln>
                      </pic:spPr>
                    </pic:pic>
                  </a:graphicData>
                </a:graphic>
              </wp:inline>
            </w:drawing>
          </mc:Choice>
          <mc:Fallback>
            <w:pict>
              <v:shape id="shape_0" stroked="f" o:allowincell="f" style="position:absolute;margin-left:0pt;margin-top:-550.05pt;width:361.95pt;height:549.95pt;mso-wrap-style:none;v-text-anchor:middle;mso-position-horizontal:left;mso-position-vertical:top" type="_x0000_t75">
                <v:imagedata r:id="rId78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7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974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783"/>
                        <a:stretch/>
                      </pic:blipFill>
                      <pic:spPr>
                        <a:xfrm>
                          <a:off x="0" y="0"/>
                          <a:ext cx="4597560" cy="6985080"/>
                        </a:xfrm>
                        <a:prstGeom prst="rect">
                          <a:avLst/>
                        </a:prstGeom>
                        <a:ln w="0">
                          <a:noFill/>
                        </a:ln>
                      </pic:spPr>
                    </pic:pic>
                  </a:graphicData>
                </a:graphic>
              </wp:inline>
            </w:drawing>
          </mc:Choice>
          <mc:Fallback>
            <w:pict>
              <v:shape id="shape_0" stroked="f" o:allowincell="f" style="position:absolute;margin-left:0pt;margin-top:-550.05pt;width:361.95pt;height:549.95pt;mso-wrap-style:none;v-text-anchor:middle;mso-position-horizontal:left;mso-position-vertical:top" type="_x0000_t75">
                <v:imagedata r:id="rId78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7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974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786"/>
                        <a:stretch/>
                      </pic:blipFill>
                      <pic:spPr>
                        <a:xfrm>
                          <a:off x="0" y="0"/>
                          <a:ext cx="4597560" cy="6985080"/>
                        </a:xfrm>
                        <a:prstGeom prst="rect">
                          <a:avLst/>
                        </a:prstGeom>
                        <a:ln w="0">
                          <a:noFill/>
                        </a:ln>
                      </pic:spPr>
                    </pic:pic>
                  </a:graphicData>
                </a:graphic>
              </wp:inline>
            </w:drawing>
          </mc:Choice>
          <mc:Fallback>
            <w:pict>
              <v:shape id="shape_0" stroked="f" o:allowincell="f" style="position:absolute;margin-left:0pt;margin-top:-550.05pt;width:361.95pt;height:549.95pt;mso-wrap-style:none;v-text-anchor:middle;mso-position-horizontal:left;mso-position-vertical:top" type="_x0000_t75">
                <v:imagedata r:id="rId78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7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97400" cy="6985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789"/>
                        <a:stretch/>
                      </pic:blipFill>
                      <pic:spPr>
                        <a:xfrm>
                          <a:off x="0" y="0"/>
                          <a:ext cx="4597560" cy="6985080"/>
                        </a:xfrm>
                        <a:prstGeom prst="rect">
                          <a:avLst/>
                        </a:prstGeom>
                        <a:ln w="0">
                          <a:noFill/>
                        </a:ln>
                      </pic:spPr>
                    </pic:pic>
                  </a:graphicData>
                </a:graphic>
              </wp:inline>
            </w:drawing>
          </mc:Choice>
          <mc:Fallback>
            <w:pict>
              <v:shape id="shape_0" stroked="f" o:allowincell="f" style="position:absolute;margin-left:0pt;margin-top:-550.05pt;width:361.95pt;height:549.95pt;mso-wrap-style:none;v-text-anchor:middle;mso-position-horizontal:left;mso-position-vertical:top" type="_x0000_t75">
                <v:imagedata r:id="rId79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7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97400" cy="69850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792"/>
                        <a:stretch/>
                      </pic:blipFill>
                      <pic:spPr>
                        <a:xfrm>
                          <a:off x="0" y="0"/>
                          <a:ext cx="4597560" cy="6985080"/>
                        </a:xfrm>
                        <a:prstGeom prst="rect">
                          <a:avLst/>
                        </a:prstGeom>
                        <a:ln w="0">
                          <a:noFill/>
                        </a:ln>
                      </pic:spPr>
                    </pic:pic>
                  </a:graphicData>
                </a:graphic>
              </wp:inline>
            </w:drawing>
          </mc:Choice>
          <mc:Fallback>
            <w:pict>
              <v:shape id="shape_0" stroked="f" o:allowincell="f" style="position:absolute;margin-left:0pt;margin-top:-550.05pt;width:361.95pt;height:549.95pt;mso-wrap-style:none;v-text-anchor:middle;mso-position-horizontal:left;mso-position-vertical:top" type="_x0000_t75">
                <v:imagedata r:id="rId79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7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97400" cy="69850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795"/>
                        <a:stretch/>
                      </pic:blipFill>
                      <pic:spPr>
                        <a:xfrm>
                          <a:off x="0" y="0"/>
                          <a:ext cx="4597560" cy="6985080"/>
                        </a:xfrm>
                        <a:prstGeom prst="rect">
                          <a:avLst/>
                        </a:prstGeom>
                        <a:ln w="0">
                          <a:noFill/>
                        </a:ln>
                      </pic:spPr>
                    </pic:pic>
                  </a:graphicData>
                </a:graphic>
              </wp:inline>
            </w:drawing>
          </mc:Choice>
          <mc:Fallback>
            <w:pict>
              <v:shape id="shape_0" stroked="f" o:allowincell="f" style="position:absolute;margin-left:0pt;margin-top:-550.05pt;width:361.95pt;height:549.95pt;mso-wrap-style:none;v-text-anchor:middle;mso-position-horizontal:left;mso-position-vertical:top" type="_x0000_t75">
                <v:imagedata r:id="rId79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8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97400" cy="69850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798"/>
                        <a:stretch/>
                      </pic:blipFill>
                      <pic:spPr>
                        <a:xfrm>
                          <a:off x="0" y="0"/>
                          <a:ext cx="4597560" cy="6985080"/>
                        </a:xfrm>
                        <a:prstGeom prst="rect">
                          <a:avLst/>
                        </a:prstGeom>
                        <a:ln w="0">
                          <a:noFill/>
                        </a:ln>
                      </pic:spPr>
                    </pic:pic>
                  </a:graphicData>
                </a:graphic>
              </wp:inline>
            </w:drawing>
          </mc:Choice>
          <mc:Fallback>
            <w:pict>
              <v:shape id="shape_0" stroked="f" o:allowincell="f" style="position:absolute;margin-left:0pt;margin-top:-550.05pt;width:361.95pt;height:549.95pt;mso-wrap-style:none;v-text-anchor:middle;mso-position-horizontal:left;mso-position-vertical:top" type="_x0000_t75">
                <v:imagedata r:id="rId79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8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97400" cy="69850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801"/>
                        <a:stretch/>
                      </pic:blipFill>
                      <pic:spPr>
                        <a:xfrm>
                          <a:off x="0" y="0"/>
                          <a:ext cx="4597560" cy="6985080"/>
                        </a:xfrm>
                        <a:prstGeom prst="rect">
                          <a:avLst/>
                        </a:prstGeom>
                        <a:ln w="0">
                          <a:noFill/>
                        </a:ln>
                      </pic:spPr>
                    </pic:pic>
                  </a:graphicData>
                </a:graphic>
              </wp:inline>
            </w:drawing>
          </mc:Choice>
          <mc:Fallback>
            <w:pict>
              <v:shape id="shape_0" stroked="f" o:allowincell="f" style="position:absolute;margin-left:0pt;margin-top:-550.05pt;width:361.95pt;height:549.95pt;mso-wrap-style:none;v-text-anchor:middle;mso-position-horizontal:left;mso-position-vertical:top" type="_x0000_t75">
                <v:imagedata r:id="rId80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8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97400" cy="69850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804"/>
                        <a:stretch/>
                      </pic:blipFill>
                      <pic:spPr>
                        <a:xfrm>
                          <a:off x="0" y="0"/>
                          <a:ext cx="4597560" cy="6985080"/>
                        </a:xfrm>
                        <a:prstGeom prst="rect">
                          <a:avLst/>
                        </a:prstGeom>
                        <a:ln w="0">
                          <a:noFill/>
                        </a:ln>
                      </pic:spPr>
                    </pic:pic>
                  </a:graphicData>
                </a:graphic>
              </wp:inline>
            </w:drawing>
          </mc:Choice>
          <mc:Fallback>
            <w:pict>
              <v:shape id="shape_0" stroked="f" o:allowincell="f" style="position:absolute;margin-left:0pt;margin-top:-550.05pt;width:361.95pt;height:549.95pt;mso-wrap-style:none;v-text-anchor:middle;mso-position-horizontal:left;mso-position-vertical:top" type="_x0000_t75">
                <v:imagedata r:id="rId80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8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97400" cy="6985000"/>
                <wp:effectExtent l="0" t="0" r="0" b="0"/>
                <wp:docPr id="15" name=""/>
                <a:graphic xmlns:a="http://schemas.openxmlformats.org/drawingml/2006/main">
                  <a:graphicData uri="http://schemas.openxmlformats.org/drawingml/2006/picture">
                    <pic:pic xmlns:pic="http://schemas.openxmlformats.org/drawingml/2006/picture">
                      <pic:nvPicPr>
                        <pic:cNvPr id="14" name="" descr=""/>
                        <pic:cNvPicPr/>
                      </pic:nvPicPr>
                      <pic:blipFill>
                        <a:blip r:embed="rId807"/>
                        <a:stretch/>
                      </pic:blipFill>
                      <pic:spPr>
                        <a:xfrm>
                          <a:off x="0" y="0"/>
                          <a:ext cx="4597560" cy="6985080"/>
                        </a:xfrm>
                        <a:prstGeom prst="rect">
                          <a:avLst/>
                        </a:prstGeom>
                        <a:ln w="0">
                          <a:noFill/>
                        </a:ln>
                      </pic:spPr>
                    </pic:pic>
                  </a:graphicData>
                </a:graphic>
              </wp:inline>
            </w:drawing>
          </mc:Choice>
          <mc:Fallback>
            <w:pict>
              <v:shape id="shape_0" stroked="f" o:allowincell="f" style="position:absolute;margin-left:0pt;margin-top:-550.05pt;width:361.95pt;height:549.95pt;mso-wrap-style:none;v-text-anchor:middle;mso-position-horizontal:left;mso-position-vertical:top" type="_x0000_t75">
                <v:imagedata r:id="rId80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8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97400" cy="6985000"/>
                <wp:effectExtent l="0" t="0" r="0" b="0"/>
                <wp:docPr id="16" name=""/>
                <a:graphic xmlns:a="http://schemas.openxmlformats.org/drawingml/2006/main">
                  <a:graphicData uri="http://schemas.openxmlformats.org/drawingml/2006/picture">
                    <pic:pic xmlns:pic="http://schemas.openxmlformats.org/drawingml/2006/picture">
                      <pic:nvPicPr>
                        <pic:cNvPr id="15" name="" descr=""/>
                        <pic:cNvPicPr/>
                      </pic:nvPicPr>
                      <pic:blipFill>
                        <a:blip r:embed="rId810"/>
                        <a:stretch/>
                      </pic:blipFill>
                      <pic:spPr>
                        <a:xfrm>
                          <a:off x="0" y="0"/>
                          <a:ext cx="4597560" cy="6985080"/>
                        </a:xfrm>
                        <a:prstGeom prst="rect">
                          <a:avLst/>
                        </a:prstGeom>
                        <a:ln w="0">
                          <a:noFill/>
                        </a:ln>
                      </pic:spPr>
                    </pic:pic>
                  </a:graphicData>
                </a:graphic>
              </wp:inline>
            </w:drawing>
          </mc:Choice>
          <mc:Fallback>
            <w:pict>
              <v:shape id="shape_0" stroked="f" o:allowincell="f" style="position:absolute;margin-left:0pt;margin-top:-550.05pt;width:361.95pt;height:549.95pt;mso-wrap-style:none;v-text-anchor:middle;mso-position-horizontal:left;mso-position-vertical:top" type="_x0000_t75">
                <v:imagedata r:id="rId81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8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97400" cy="6985000"/>
                <wp:effectExtent l="0" t="0" r="0" b="0"/>
                <wp:docPr id="17" name=""/>
                <a:graphic xmlns:a="http://schemas.openxmlformats.org/drawingml/2006/main">
                  <a:graphicData uri="http://schemas.openxmlformats.org/drawingml/2006/picture">
                    <pic:pic xmlns:pic="http://schemas.openxmlformats.org/drawingml/2006/picture">
                      <pic:nvPicPr>
                        <pic:cNvPr id="16" name="" descr=""/>
                        <pic:cNvPicPr/>
                      </pic:nvPicPr>
                      <pic:blipFill>
                        <a:blip r:embed="rId813"/>
                        <a:stretch/>
                      </pic:blipFill>
                      <pic:spPr>
                        <a:xfrm>
                          <a:off x="0" y="0"/>
                          <a:ext cx="4597560" cy="6985080"/>
                        </a:xfrm>
                        <a:prstGeom prst="rect">
                          <a:avLst/>
                        </a:prstGeom>
                        <a:ln w="0">
                          <a:noFill/>
                        </a:ln>
                      </pic:spPr>
                    </pic:pic>
                  </a:graphicData>
                </a:graphic>
              </wp:inline>
            </w:drawing>
          </mc:Choice>
          <mc:Fallback>
            <w:pict>
              <v:shape id="shape_0" stroked="f" o:allowincell="f" style="position:absolute;margin-left:0pt;margin-top:-550.05pt;width:361.95pt;height:549.95pt;mso-wrap-style:none;v-text-anchor:middle;mso-position-horizontal:left;mso-position-vertical:top" type="_x0000_t75">
                <v:imagedata r:id="rId81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8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97400" cy="6985000"/>
                <wp:effectExtent l="0" t="0" r="0" b="0"/>
                <wp:docPr id="18" name=""/>
                <a:graphic xmlns:a="http://schemas.openxmlformats.org/drawingml/2006/main">
                  <a:graphicData uri="http://schemas.openxmlformats.org/drawingml/2006/picture">
                    <pic:pic xmlns:pic="http://schemas.openxmlformats.org/drawingml/2006/picture">
                      <pic:nvPicPr>
                        <pic:cNvPr id="17" name="" descr=""/>
                        <pic:cNvPicPr/>
                      </pic:nvPicPr>
                      <pic:blipFill>
                        <a:blip r:embed="rId816"/>
                        <a:stretch/>
                      </pic:blipFill>
                      <pic:spPr>
                        <a:xfrm>
                          <a:off x="0" y="0"/>
                          <a:ext cx="4597560" cy="6985080"/>
                        </a:xfrm>
                        <a:prstGeom prst="rect">
                          <a:avLst/>
                        </a:prstGeom>
                        <a:ln w="0">
                          <a:noFill/>
                        </a:ln>
                      </pic:spPr>
                    </pic:pic>
                  </a:graphicData>
                </a:graphic>
              </wp:inline>
            </w:drawing>
          </mc:Choice>
          <mc:Fallback>
            <w:pict>
              <v:shape id="shape_0" stroked="f" o:allowincell="f" style="position:absolute;margin-left:0pt;margin-top:-550.05pt;width:361.95pt;height:549.95pt;mso-wrap-style:none;v-text-anchor:middle;mso-position-horizontal:left;mso-position-vertical:top" type="_x0000_t75">
                <v:imagedata r:id="rId817" o:detectmouseclick="t"/>
                <v:stroke color="#3465a4" joinstyle="round" endcap="flat"/>
                <w10:wrap type="none"/>
              </v:shape>
            </w:pict>
          </mc:Fallback>
        </mc:AlternateContent>
      </w:r>
    </w:p>
    <w:p>
      <w:pPr>
        <w:sectPr>
          <w:footerReference w:type="default" r:id="rId8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38" w:name="pg6519_49985"/>
      <w:bookmarkStart w:id="439" w:name="pg6519_49985"/>
      <w:bookmarkEnd w:id="439"/>
    </w:p>
    <w:p>
      <w:pPr>
        <w:pStyle w:val="Heading4"/>
        <w:numPr>
          <w:ilvl w:val="3"/>
          <w:numId w:val="1"/>
        </w:numPr>
        <w:rPr/>
      </w:pPr>
      <w:bookmarkStart w:id="440" w:name="pg6519_49985"/>
      <w:bookmarkStart w:id="441" w:name="__RefHeading___Toc1757427_653776707"/>
      <w:bookmarkStart w:id="442" w:name="_Toc137"/>
      <w:bookmarkEnd w:id="440"/>
      <w:bookmarkEnd w:id="441"/>
      <w:r>
        <w:rPr/>
        <w:t>2</w:t>
      </w:r>
      <w:r>
        <w:rPr>
          <w:rtl w:val="true"/>
        </w:rPr>
        <w:t xml:space="preserve">- </w:t>
      </w:r>
      <w:r>
        <w:rPr>
          <w:rtl w:val="true"/>
        </w:rPr>
        <w:t>فهرس الاحادیث</w:t>
      </w:r>
      <w:bookmarkEnd w:id="442"/>
    </w:p>
    <w:p>
      <w:pPr>
        <w:pStyle w:val="BookText"/>
        <w:rPr/>
      </w:pPr>
      <w:r>
        <w:rPr>
          <w:rFonts w:ascii="IRNazanin" w:hAnsi="IRNazanin" w:eastAsia="IRNazanin"/>
          <w:color w:val="111111"/>
          <w:sz w:val="28"/>
          <w:sz w:val="28"/>
          <w:szCs w:val="28"/>
          <w:rtl w:val="true"/>
          <w:lang w:bidi="fa-IR"/>
        </w:rPr>
        <w:t>تصویر</w:t>
      </w:r>
    </w:p>
    <w:p>
      <w:pPr>
        <w:sectPr>
          <w:footerReference w:type="default" r:id="rId8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97400" cy="6985000"/>
                <wp:effectExtent l="0" t="0" r="0" b="0"/>
                <wp:docPr id="19" name=""/>
                <a:graphic xmlns:a="http://schemas.openxmlformats.org/drawingml/2006/main">
                  <a:graphicData uri="http://schemas.openxmlformats.org/drawingml/2006/picture">
                    <pic:pic xmlns:pic="http://schemas.openxmlformats.org/drawingml/2006/picture">
                      <pic:nvPicPr>
                        <pic:cNvPr id="18" name="" descr=""/>
                        <pic:cNvPicPr/>
                      </pic:nvPicPr>
                      <pic:blipFill>
                        <a:blip r:embed="rId820"/>
                        <a:stretch/>
                      </pic:blipFill>
                      <pic:spPr>
                        <a:xfrm>
                          <a:off x="0" y="0"/>
                          <a:ext cx="4597560" cy="6985080"/>
                        </a:xfrm>
                        <a:prstGeom prst="rect">
                          <a:avLst/>
                        </a:prstGeom>
                        <a:ln w="0">
                          <a:noFill/>
                        </a:ln>
                      </pic:spPr>
                    </pic:pic>
                  </a:graphicData>
                </a:graphic>
              </wp:inline>
            </w:drawing>
          </mc:Choice>
          <mc:Fallback>
            <w:pict>
              <v:shape id="shape_0" stroked="f" o:allowincell="f" style="position:absolute;margin-left:0pt;margin-top:-550.05pt;width:361.95pt;height:549.95pt;mso-wrap-style:none;v-text-anchor:middle;mso-position-horizontal:left;mso-position-vertical:top" type="_x0000_t75">
                <v:imagedata r:id="rId82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8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97400" cy="6985000"/>
                <wp:effectExtent l="0" t="0" r="0" b="0"/>
                <wp:docPr id="20" name=""/>
                <a:graphic xmlns:a="http://schemas.openxmlformats.org/drawingml/2006/main">
                  <a:graphicData uri="http://schemas.openxmlformats.org/drawingml/2006/picture">
                    <pic:pic xmlns:pic="http://schemas.openxmlformats.org/drawingml/2006/picture">
                      <pic:nvPicPr>
                        <pic:cNvPr id="19" name="" descr=""/>
                        <pic:cNvPicPr/>
                      </pic:nvPicPr>
                      <pic:blipFill>
                        <a:blip r:embed="rId823"/>
                        <a:stretch/>
                      </pic:blipFill>
                      <pic:spPr>
                        <a:xfrm>
                          <a:off x="0" y="0"/>
                          <a:ext cx="4597560" cy="6985080"/>
                        </a:xfrm>
                        <a:prstGeom prst="rect">
                          <a:avLst/>
                        </a:prstGeom>
                        <a:ln w="0">
                          <a:noFill/>
                        </a:ln>
                      </pic:spPr>
                    </pic:pic>
                  </a:graphicData>
                </a:graphic>
              </wp:inline>
            </w:drawing>
          </mc:Choice>
          <mc:Fallback>
            <w:pict>
              <v:shape id="shape_0" stroked="f" o:allowincell="f" style="position:absolute;margin-left:0pt;margin-top:-550.05pt;width:361.95pt;height:549.95pt;mso-wrap-style:none;v-text-anchor:middle;mso-position-horizontal:left;mso-position-vertical:top" type="_x0000_t75">
                <v:imagedata r:id="rId82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8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97400" cy="6985000"/>
                <wp:effectExtent l="0" t="0" r="0" b="0"/>
                <wp:docPr id="21" name=""/>
                <a:graphic xmlns:a="http://schemas.openxmlformats.org/drawingml/2006/main">
                  <a:graphicData uri="http://schemas.openxmlformats.org/drawingml/2006/picture">
                    <pic:pic xmlns:pic="http://schemas.openxmlformats.org/drawingml/2006/picture">
                      <pic:nvPicPr>
                        <pic:cNvPr id="20" name="" descr=""/>
                        <pic:cNvPicPr/>
                      </pic:nvPicPr>
                      <pic:blipFill>
                        <a:blip r:embed="rId826"/>
                        <a:stretch/>
                      </pic:blipFill>
                      <pic:spPr>
                        <a:xfrm>
                          <a:off x="0" y="0"/>
                          <a:ext cx="4597560" cy="6985080"/>
                        </a:xfrm>
                        <a:prstGeom prst="rect">
                          <a:avLst/>
                        </a:prstGeom>
                        <a:ln w="0">
                          <a:noFill/>
                        </a:ln>
                      </pic:spPr>
                    </pic:pic>
                  </a:graphicData>
                </a:graphic>
              </wp:inline>
            </w:drawing>
          </mc:Choice>
          <mc:Fallback>
            <w:pict>
              <v:shape id="shape_0" stroked="f" o:allowincell="f" style="position:absolute;margin-left:0pt;margin-top:-550.05pt;width:361.95pt;height:549.95pt;mso-wrap-style:none;v-text-anchor:middle;mso-position-horizontal:left;mso-position-vertical:top" type="_x0000_t75">
                <v:imagedata r:id="rId82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8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97400" cy="6985000"/>
                <wp:effectExtent l="0" t="0" r="0" b="0"/>
                <wp:docPr id="22" name=""/>
                <a:graphic xmlns:a="http://schemas.openxmlformats.org/drawingml/2006/main">
                  <a:graphicData uri="http://schemas.openxmlformats.org/drawingml/2006/picture">
                    <pic:pic xmlns:pic="http://schemas.openxmlformats.org/drawingml/2006/picture">
                      <pic:nvPicPr>
                        <pic:cNvPr id="21" name="" descr=""/>
                        <pic:cNvPicPr/>
                      </pic:nvPicPr>
                      <pic:blipFill>
                        <a:blip r:embed="rId829"/>
                        <a:stretch/>
                      </pic:blipFill>
                      <pic:spPr>
                        <a:xfrm>
                          <a:off x="0" y="0"/>
                          <a:ext cx="4597560" cy="6985080"/>
                        </a:xfrm>
                        <a:prstGeom prst="rect">
                          <a:avLst/>
                        </a:prstGeom>
                        <a:ln w="0">
                          <a:noFill/>
                        </a:ln>
                      </pic:spPr>
                    </pic:pic>
                  </a:graphicData>
                </a:graphic>
              </wp:inline>
            </w:drawing>
          </mc:Choice>
          <mc:Fallback>
            <w:pict>
              <v:shape id="shape_0" stroked="f" o:allowincell="f" style="position:absolute;margin-left:0pt;margin-top:-550.05pt;width:361.95pt;height:549.95pt;mso-wrap-style:none;v-text-anchor:middle;mso-position-horizontal:left;mso-position-vertical:top" type="_x0000_t75">
                <v:imagedata r:id="rId83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8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97400" cy="6985000"/>
                <wp:effectExtent l="0" t="0" r="0" b="0"/>
                <wp:docPr id="23" name=""/>
                <a:graphic xmlns:a="http://schemas.openxmlformats.org/drawingml/2006/main">
                  <a:graphicData uri="http://schemas.openxmlformats.org/drawingml/2006/picture">
                    <pic:pic xmlns:pic="http://schemas.openxmlformats.org/drawingml/2006/picture">
                      <pic:nvPicPr>
                        <pic:cNvPr id="22" name="" descr=""/>
                        <pic:cNvPicPr/>
                      </pic:nvPicPr>
                      <pic:blipFill>
                        <a:blip r:embed="rId832"/>
                        <a:stretch/>
                      </pic:blipFill>
                      <pic:spPr>
                        <a:xfrm>
                          <a:off x="0" y="0"/>
                          <a:ext cx="4597560" cy="6985080"/>
                        </a:xfrm>
                        <a:prstGeom prst="rect">
                          <a:avLst/>
                        </a:prstGeom>
                        <a:ln w="0">
                          <a:noFill/>
                        </a:ln>
                      </pic:spPr>
                    </pic:pic>
                  </a:graphicData>
                </a:graphic>
              </wp:inline>
            </w:drawing>
          </mc:Choice>
          <mc:Fallback>
            <w:pict>
              <v:shape id="shape_0" stroked="f" o:allowincell="f" style="position:absolute;margin-left:0pt;margin-top:-550.05pt;width:361.95pt;height:549.95pt;mso-wrap-style:none;v-text-anchor:middle;mso-position-horizontal:left;mso-position-vertical:top" type="_x0000_t75">
                <v:imagedata r:id="rId83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8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97400" cy="6985000"/>
                <wp:effectExtent l="0" t="0" r="0" b="0"/>
                <wp:docPr id="24" name=""/>
                <a:graphic xmlns:a="http://schemas.openxmlformats.org/drawingml/2006/main">
                  <a:graphicData uri="http://schemas.openxmlformats.org/drawingml/2006/picture">
                    <pic:pic xmlns:pic="http://schemas.openxmlformats.org/drawingml/2006/picture">
                      <pic:nvPicPr>
                        <pic:cNvPr id="23" name="" descr=""/>
                        <pic:cNvPicPr/>
                      </pic:nvPicPr>
                      <pic:blipFill>
                        <a:blip r:embed="rId835"/>
                        <a:stretch/>
                      </pic:blipFill>
                      <pic:spPr>
                        <a:xfrm>
                          <a:off x="0" y="0"/>
                          <a:ext cx="4597560" cy="6985080"/>
                        </a:xfrm>
                        <a:prstGeom prst="rect">
                          <a:avLst/>
                        </a:prstGeom>
                        <a:ln w="0">
                          <a:noFill/>
                        </a:ln>
                      </pic:spPr>
                    </pic:pic>
                  </a:graphicData>
                </a:graphic>
              </wp:inline>
            </w:drawing>
          </mc:Choice>
          <mc:Fallback>
            <w:pict>
              <v:shape id="shape_0" stroked="f" o:allowincell="f" style="position:absolute;margin-left:0pt;margin-top:-550.05pt;width:361.95pt;height:549.95pt;mso-wrap-style:none;v-text-anchor:middle;mso-position-horizontal:left;mso-position-vertical:top" type="_x0000_t75">
                <v:imagedata r:id="rId836" o:detectmouseclick="t"/>
                <v:stroke color="#3465a4" joinstyle="round" endcap="flat"/>
                <w10:wrap type="none"/>
              </v:shape>
            </w:pict>
          </mc:Fallback>
        </mc:AlternateContent>
      </w:r>
      <w:bookmarkStart w:id="443" w:name="pg6519_49991"/>
    </w:p>
    <w:p>
      <w:pPr>
        <w:pStyle w:val="Heading4"/>
        <w:numPr>
          <w:ilvl w:val="3"/>
          <w:numId w:val="1"/>
        </w:numPr>
        <w:rPr/>
      </w:pPr>
      <w:bookmarkStart w:id="444" w:name="__RefHeading___Toc1757429_653776707"/>
      <w:bookmarkStart w:id="445" w:name="_Toc138"/>
      <w:bookmarkEnd w:id="443"/>
      <w:bookmarkEnd w:id="444"/>
      <w:r>
        <w:rPr/>
        <w:t>3</w:t>
      </w:r>
      <w:r>
        <w:rPr>
          <w:rtl w:val="true"/>
        </w:rPr>
        <w:t>-</w:t>
      </w:r>
      <w:r>
        <w:rPr>
          <w:rtl w:val="true"/>
        </w:rPr>
        <w:t>فهرس الاثار و اقوال الصحابه</w:t>
      </w:r>
      <w:bookmarkEnd w:id="445"/>
    </w:p>
    <w:p>
      <w:pPr>
        <w:pStyle w:val="BookText"/>
        <w:rPr/>
      </w:pPr>
      <w:r>
        <w:rPr>
          <w:rFonts w:ascii="IRNazanin" w:hAnsi="IRNazanin" w:eastAsia="IRNazanin"/>
          <w:color w:val="111111"/>
          <w:sz w:val="28"/>
          <w:sz w:val="28"/>
          <w:szCs w:val="28"/>
          <w:rtl w:val="true"/>
          <w:lang w:bidi="fa-IR"/>
        </w:rPr>
        <w:t>تصویر</w:t>
      </w:r>
    </w:p>
    <w:p>
      <w:pPr>
        <w:sectPr>
          <w:footerReference w:type="default" r:id="rId8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97400" cy="6985000"/>
                <wp:effectExtent l="0" t="0" r="0" b="0"/>
                <wp:docPr id="25" name=""/>
                <a:graphic xmlns:a="http://schemas.openxmlformats.org/drawingml/2006/main">
                  <a:graphicData uri="http://schemas.openxmlformats.org/drawingml/2006/picture">
                    <pic:pic xmlns:pic="http://schemas.openxmlformats.org/drawingml/2006/picture">
                      <pic:nvPicPr>
                        <pic:cNvPr id="24" name="" descr=""/>
                        <pic:cNvPicPr/>
                      </pic:nvPicPr>
                      <pic:blipFill>
                        <a:blip r:embed="rId838"/>
                        <a:stretch/>
                      </pic:blipFill>
                      <pic:spPr>
                        <a:xfrm>
                          <a:off x="0" y="0"/>
                          <a:ext cx="4597560" cy="6985080"/>
                        </a:xfrm>
                        <a:prstGeom prst="rect">
                          <a:avLst/>
                        </a:prstGeom>
                        <a:ln w="0">
                          <a:noFill/>
                        </a:ln>
                      </pic:spPr>
                    </pic:pic>
                  </a:graphicData>
                </a:graphic>
              </wp:inline>
            </w:drawing>
          </mc:Choice>
          <mc:Fallback>
            <w:pict>
              <v:shape id="shape_0" stroked="f" o:allowincell="f" style="position:absolute;margin-left:0pt;margin-top:-550.05pt;width:361.95pt;height:549.95pt;mso-wrap-style:none;v-text-anchor:middle;mso-position-horizontal:left;mso-position-vertical:top" type="_x0000_t75">
                <v:imagedata r:id="rId83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8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97400" cy="6985000"/>
                <wp:effectExtent l="0" t="0" r="0" b="0"/>
                <wp:docPr id="26" name=""/>
                <a:graphic xmlns:a="http://schemas.openxmlformats.org/drawingml/2006/main">
                  <a:graphicData uri="http://schemas.openxmlformats.org/drawingml/2006/picture">
                    <pic:pic xmlns:pic="http://schemas.openxmlformats.org/drawingml/2006/picture">
                      <pic:nvPicPr>
                        <pic:cNvPr id="25" name="" descr=""/>
                        <pic:cNvPicPr/>
                      </pic:nvPicPr>
                      <pic:blipFill>
                        <a:blip r:embed="rId841"/>
                        <a:stretch/>
                      </pic:blipFill>
                      <pic:spPr>
                        <a:xfrm>
                          <a:off x="0" y="0"/>
                          <a:ext cx="4597560" cy="6985080"/>
                        </a:xfrm>
                        <a:prstGeom prst="rect">
                          <a:avLst/>
                        </a:prstGeom>
                        <a:ln w="0">
                          <a:noFill/>
                        </a:ln>
                      </pic:spPr>
                    </pic:pic>
                  </a:graphicData>
                </a:graphic>
              </wp:inline>
            </w:drawing>
          </mc:Choice>
          <mc:Fallback>
            <w:pict>
              <v:shape id="shape_0" stroked="f" o:allowincell="f" style="position:absolute;margin-left:0pt;margin-top:-550.05pt;width:361.95pt;height:549.95pt;mso-wrap-style:none;v-text-anchor:middle;mso-position-horizontal:left;mso-position-vertical:top" type="_x0000_t75">
                <v:imagedata r:id="rId84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8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97400" cy="6985000"/>
                <wp:effectExtent l="0" t="0" r="0" b="0"/>
                <wp:docPr id="27" name=""/>
                <a:graphic xmlns:a="http://schemas.openxmlformats.org/drawingml/2006/main">
                  <a:graphicData uri="http://schemas.openxmlformats.org/drawingml/2006/picture">
                    <pic:pic xmlns:pic="http://schemas.openxmlformats.org/drawingml/2006/picture">
                      <pic:nvPicPr>
                        <pic:cNvPr id="26" name="" descr=""/>
                        <pic:cNvPicPr/>
                      </pic:nvPicPr>
                      <pic:blipFill>
                        <a:blip r:embed="rId844"/>
                        <a:stretch/>
                      </pic:blipFill>
                      <pic:spPr>
                        <a:xfrm>
                          <a:off x="0" y="0"/>
                          <a:ext cx="4597560" cy="6985080"/>
                        </a:xfrm>
                        <a:prstGeom prst="rect">
                          <a:avLst/>
                        </a:prstGeom>
                        <a:ln w="0">
                          <a:noFill/>
                        </a:ln>
                      </pic:spPr>
                    </pic:pic>
                  </a:graphicData>
                </a:graphic>
              </wp:inline>
            </w:drawing>
          </mc:Choice>
          <mc:Fallback>
            <w:pict>
              <v:shape id="shape_0" stroked="f" o:allowincell="f" style="position:absolute;margin-left:0pt;margin-top:-550.05pt;width:361.95pt;height:549.95pt;mso-wrap-style:none;v-text-anchor:middle;mso-position-horizontal:left;mso-position-vertical:top" type="_x0000_t75">
                <v:imagedata r:id="rId845" o:detectmouseclick="t"/>
                <v:stroke color="#3465a4" joinstyle="round" endcap="flat"/>
                <w10:wrap type="none"/>
              </v:shape>
            </w:pict>
          </mc:Fallback>
        </mc:AlternateContent>
      </w:r>
    </w:p>
    <w:p>
      <w:pPr>
        <w:sectPr>
          <w:footerReference w:type="default" r:id="rId8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46" w:name="pg6519_49995"/>
      <w:bookmarkStart w:id="447" w:name="pg6519_49995"/>
      <w:bookmarkEnd w:id="447"/>
    </w:p>
    <w:p>
      <w:pPr>
        <w:pStyle w:val="Heading4"/>
        <w:numPr>
          <w:ilvl w:val="3"/>
          <w:numId w:val="1"/>
        </w:numPr>
        <w:rPr/>
      </w:pPr>
      <w:bookmarkStart w:id="448" w:name="pg6519_49995"/>
      <w:bookmarkStart w:id="449" w:name="__RefHeading___Toc1757431_653776707"/>
      <w:bookmarkStart w:id="450" w:name="_Toc139"/>
      <w:bookmarkEnd w:id="448"/>
      <w:bookmarkEnd w:id="449"/>
      <w:r>
        <w:rPr/>
        <w:t>4</w:t>
      </w:r>
      <w:r>
        <w:rPr>
          <w:rtl w:val="true"/>
        </w:rPr>
        <w:t xml:space="preserve">- </w:t>
      </w:r>
      <w:r>
        <w:rPr>
          <w:rtl w:val="true"/>
        </w:rPr>
        <w:t>فهرس الاعلام</w:t>
      </w:r>
      <w:bookmarkEnd w:id="450"/>
    </w:p>
    <w:p>
      <w:pPr>
        <w:pStyle w:val="BookText"/>
        <w:rPr/>
      </w:pPr>
      <w:r>
        <w:rPr>
          <w:rFonts w:ascii="IRNazanin" w:hAnsi="IRNazanin" w:eastAsia="IRNazanin"/>
          <w:color w:val="111111"/>
          <w:sz w:val="28"/>
          <w:sz w:val="28"/>
          <w:szCs w:val="28"/>
          <w:rtl w:val="true"/>
          <w:lang w:bidi="fa-IR"/>
        </w:rPr>
        <w:t>تصویر</w:t>
      </w:r>
    </w:p>
    <w:p>
      <w:pPr>
        <w:sectPr>
          <w:footerReference w:type="default" r:id="rId8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97400" cy="6985000"/>
                <wp:effectExtent l="0" t="0" r="0" b="0"/>
                <wp:docPr id="28" name=""/>
                <a:graphic xmlns:a="http://schemas.openxmlformats.org/drawingml/2006/main">
                  <a:graphicData uri="http://schemas.openxmlformats.org/drawingml/2006/picture">
                    <pic:pic xmlns:pic="http://schemas.openxmlformats.org/drawingml/2006/picture">
                      <pic:nvPicPr>
                        <pic:cNvPr id="27" name="" descr=""/>
                        <pic:cNvPicPr/>
                      </pic:nvPicPr>
                      <pic:blipFill>
                        <a:blip r:embed="rId848"/>
                        <a:stretch/>
                      </pic:blipFill>
                      <pic:spPr>
                        <a:xfrm>
                          <a:off x="0" y="0"/>
                          <a:ext cx="4597560" cy="6985080"/>
                        </a:xfrm>
                        <a:prstGeom prst="rect">
                          <a:avLst/>
                        </a:prstGeom>
                        <a:ln w="0">
                          <a:noFill/>
                        </a:ln>
                      </pic:spPr>
                    </pic:pic>
                  </a:graphicData>
                </a:graphic>
              </wp:inline>
            </w:drawing>
          </mc:Choice>
          <mc:Fallback>
            <w:pict>
              <v:shape id="shape_0" stroked="f" o:allowincell="f" style="position:absolute;margin-left:0pt;margin-top:-550.05pt;width:361.95pt;height:549.95pt;mso-wrap-style:none;v-text-anchor:middle;mso-position-horizontal:left;mso-position-vertical:top" type="_x0000_t75">
                <v:imagedata r:id="rId84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8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97400" cy="6985000"/>
                <wp:effectExtent l="0" t="0" r="0" b="0"/>
                <wp:docPr id="29" name=""/>
                <a:graphic xmlns:a="http://schemas.openxmlformats.org/drawingml/2006/main">
                  <a:graphicData uri="http://schemas.openxmlformats.org/drawingml/2006/picture">
                    <pic:pic xmlns:pic="http://schemas.openxmlformats.org/drawingml/2006/picture">
                      <pic:nvPicPr>
                        <pic:cNvPr id="28" name="" descr=""/>
                        <pic:cNvPicPr/>
                      </pic:nvPicPr>
                      <pic:blipFill>
                        <a:blip r:embed="rId851"/>
                        <a:stretch/>
                      </pic:blipFill>
                      <pic:spPr>
                        <a:xfrm>
                          <a:off x="0" y="0"/>
                          <a:ext cx="4597560" cy="6985080"/>
                        </a:xfrm>
                        <a:prstGeom prst="rect">
                          <a:avLst/>
                        </a:prstGeom>
                        <a:ln w="0">
                          <a:noFill/>
                        </a:ln>
                      </pic:spPr>
                    </pic:pic>
                  </a:graphicData>
                </a:graphic>
              </wp:inline>
            </w:drawing>
          </mc:Choice>
          <mc:Fallback>
            <w:pict>
              <v:shape id="shape_0" stroked="f" o:allowincell="f" style="position:absolute;margin-left:0pt;margin-top:-550.05pt;width:361.95pt;height:549.95pt;mso-wrap-style:none;v-text-anchor:middle;mso-position-horizontal:left;mso-position-vertical:top" type="_x0000_t75">
                <v:imagedata r:id="rId85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8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97400" cy="6985000"/>
                <wp:effectExtent l="0" t="0" r="0" b="0"/>
                <wp:docPr id="30" name=""/>
                <a:graphic xmlns:a="http://schemas.openxmlformats.org/drawingml/2006/main">
                  <a:graphicData uri="http://schemas.openxmlformats.org/drawingml/2006/picture">
                    <pic:pic xmlns:pic="http://schemas.openxmlformats.org/drawingml/2006/picture">
                      <pic:nvPicPr>
                        <pic:cNvPr id="29" name="" descr=""/>
                        <pic:cNvPicPr/>
                      </pic:nvPicPr>
                      <pic:blipFill>
                        <a:blip r:embed="rId854"/>
                        <a:stretch/>
                      </pic:blipFill>
                      <pic:spPr>
                        <a:xfrm>
                          <a:off x="0" y="0"/>
                          <a:ext cx="4597560" cy="6985080"/>
                        </a:xfrm>
                        <a:prstGeom prst="rect">
                          <a:avLst/>
                        </a:prstGeom>
                        <a:ln w="0">
                          <a:noFill/>
                        </a:ln>
                      </pic:spPr>
                    </pic:pic>
                  </a:graphicData>
                </a:graphic>
              </wp:inline>
            </w:drawing>
          </mc:Choice>
          <mc:Fallback>
            <w:pict>
              <v:shape id="shape_0" stroked="f" o:allowincell="f" style="position:absolute;margin-left:0pt;margin-top:-550.05pt;width:361.95pt;height:549.95pt;mso-wrap-style:none;v-text-anchor:middle;mso-position-horizontal:left;mso-position-vertical:top" type="_x0000_t75">
                <v:imagedata r:id="rId85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8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97400" cy="6985000"/>
                <wp:effectExtent l="0" t="0" r="0" b="0"/>
                <wp:docPr id="31" name=""/>
                <a:graphic xmlns:a="http://schemas.openxmlformats.org/drawingml/2006/main">
                  <a:graphicData uri="http://schemas.openxmlformats.org/drawingml/2006/picture">
                    <pic:pic xmlns:pic="http://schemas.openxmlformats.org/drawingml/2006/picture">
                      <pic:nvPicPr>
                        <pic:cNvPr id="30" name="" descr=""/>
                        <pic:cNvPicPr/>
                      </pic:nvPicPr>
                      <pic:blipFill>
                        <a:blip r:embed="rId857"/>
                        <a:stretch/>
                      </pic:blipFill>
                      <pic:spPr>
                        <a:xfrm>
                          <a:off x="0" y="0"/>
                          <a:ext cx="4597560" cy="6985080"/>
                        </a:xfrm>
                        <a:prstGeom prst="rect">
                          <a:avLst/>
                        </a:prstGeom>
                        <a:ln w="0">
                          <a:noFill/>
                        </a:ln>
                      </pic:spPr>
                    </pic:pic>
                  </a:graphicData>
                </a:graphic>
              </wp:inline>
            </w:drawing>
          </mc:Choice>
          <mc:Fallback>
            <w:pict>
              <v:shape id="shape_0" stroked="f" o:allowincell="f" style="position:absolute;margin-left:0pt;margin-top:-550.05pt;width:361.95pt;height:549.95pt;mso-wrap-style:none;v-text-anchor:middle;mso-position-horizontal:left;mso-position-vertical:top" type="_x0000_t75">
                <v:imagedata r:id="rId85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8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97400" cy="6985000"/>
                <wp:effectExtent l="0" t="0" r="0" b="0"/>
                <wp:docPr id="32" name=""/>
                <a:graphic xmlns:a="http://schemas.openxmlformats.org/drawingml/2006/main">
                  <a:graphicData uri="http://schemas.openxmlformats.org/drawingml/2006/picture">
                    <pic:pic xmlns:pic="http://schemas.openxmlformats.org/drawingml/2006/picture">
                      <pic:nvPicPr>
                        <pic:cNvPr id="31" name="" descr=""/>
                        <pic:cNvPicPr/>
                      </pic:nvPicPr>
                      <pic:blipFill>
                        <a:blip r:embed="rId860"/>
                        <a:stretch/>
                      </pic:blipFill>
                      <pic:spPr>
                        <a:xfrm>
                          <a:off x="0" y="0"/>
                          <a:ext cx="4597560" cy="6985080"/>
                        </a:xfrm>
                        <a:prstGeom prst="rect">
                          <a:avLst/>
                        </a:prstGeom>
                        <a:ln w="0">
                          <a:noFill/>
                        </a:ln>
                      </pic:spPr>
                    </pic:pic>
                  </a:graphicData>
                </a:graphic>
              </wp:inline>
            </w:drawing>
          </mc:Choice>
          <mc:Fallback>
            <w:pict>
              <v:shape id="shape_0" stroked="f" o:allowincell="f" style="position:absolute;margin-left:0pt;margin-top:-550.05pt;width:361.95pt;height:549.95pt;mso-wrap-style:none;v-text-anchor:middle;mso-position-horizontal:left;mso-position-vertical:top" type="_x0000_t75">
                <v:imagedata r:id="rId861" o:detectmouseclick="t"/>
                <v:stroke color="#3465a4" joinstyle="round" endcap="flat"/>
                <w10:wrap type="none"/>
              </v:shape>
            </w:pict>
          </mc:Fallback>
        </mc:AlternateContent>
      </w:r>
    </w:p>
    <w:p>
      <w:pPr>
        <w:sectPr>
          <w:footerReference w:type="default" r:id="rId8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51" w:name="pg6519_50001"/>
      <w:bookmarkStart w:id="452" w:name="pg6519_50001"/>
      <w:bookmarkEnd w:id="452"/>
    </w:p>
    <w:p>
      <w:pPr>
        <w:pStyle w:val="Heading4"/>
        <w:numPr>
          <w:ilvl w:val="3"/>
          <w:numId w:val="1"/>
        </w:numPr>
        <w:rPr/>
      </w:pPr>
      <w:bookmarkStart w:id="453" w:name="pg6519_50001"/>
      <w:bookmarkStart w:id="454" w:name="__RefHeading___Toc1757433_653776707"/>
      <w:bookmarkStart w:id="455" w:name="_Toc140"/>
      <w:bookmarkEnd w:id="453"/>
      <w:bookmarkEnd w:id="454"/>
      <w:r>
        <w:rPr/>
        <w:t>5</w:t>
      </w:r>
      <w:r>
        <w:rPr>
          <w:rtl w:val="true"/>
        </w:rPr>
        <w:t xml:space="preserve">- </w:t>
      </w:r>
      <w:r>
        <w:rPr>
          <w:rtl w:val="true"/>
        </w:rPr>
        <w:t>فهرس الفرق و الطوائف و المذاهب</w:t>
      </w:r>
      <w:bookmarkEnd w:id="455"/>
    </w:p>
    <w:p>
      <w:pPr>
        <w:pStyle w:val="BookText"/>
        <w:rPr/>
      </w:pPr>
      <w:r>
        <w:rPr>
          <w:rFonts w:ascii="IRNazanin" w:hAnsi="IRNazanin" w:eastAsia="IRNazanin"/>
          <w:color w:val="111111"/>
          <w:sz w:val="28"/>
          <w:sz w:val="28"/>
          <w:szCs w:val="28"/>
          <w:rtl w:val="true"/>
          <w:lang w:bidi="fa-IR"/>
        </w:rPr>
        <w:t>تصویر</w:t>
      </w:r>
    </w:p>
    <w:p>
      <w:pPr>
        <w:sectPr>
          <w:footerReference w:type="default" r:id="rId8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97400" cy="6985000"/>
                <wp:effectExtent l="0" t="0" r="0" b="0"/>
                <wp:docPr id="33" name=""/>
                <a:graphic xmlns:a="http://schemas.openxmlformats.org/drawingml/2006/main">
                  <a:graphicData uri="http://schemas.openxmlformats.org/drawingml/2006/picture">
                    <pic:pic xmlns:pic="http://schemas.openxmlformats.org/drawingml/2006/picture">
                      <pic:nvPicPr>
                        <pic:cNvPr id="32" name="" descr=""/>
                        <pic:cNvPicPr/>
                      </pic:nvPicPr>
                      <pic:blipFill>
                        <a:blip r:embed="rId864"/>
                        <a:stretch/>
                      </pic:blipFill>
                      <pic:spPr>
                        <a:xfrm>
                          <a:off x="0" y="0"/>
                          <a:ext cx="4597560" cy="6985080"/>
                        </a:xfrm>
                        <a:prstGeom prst="rect">
                          <a:avLst/>
                        </a:prstGeom>
                        <a:ln w="0">
                          <a:noFill/>
                        </a:ln>
                      </pic:spPr>
                    </pic:pic>
                  </a:graphicData>
                </a:graphic>
              </wp:inline>
            </w:drawing>
          </mc:Choice>
          <mc:Fallback>
            <w:pict>
              <v:shape id="shape_0" stroked="f" o:allowincell="f" style="position:absolute;margin-left:0pt;margin-top:-550.05pt;width:361.95pt;height:549.95pt;mso-wrap-style:none;v-text-anchor:middle;mso-position-horizontal:left;mso-position-vertical:top" type="_x0000_t75">
                <v:imagedata r:id="rId86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8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97400" cy="6985000"/>
                <wp:effectExtent l="0" t="0" r="0" b="0"/>
                <wp:docPr id="34" name=""/>
                <a:graphic xmlns:a="http://schemas.openxmlformats.org/drawingml/2006/main">
                  <a:graphicData uri="http://schemas.openxmlformats.org/drawingml/2006/picture">
                    <pic:pic xmlns:pic="http://schemas.openxmlformats.org/drawingml/2006/picture">
                      <pic:nvPicPr>
                        <pic:cNvPr id="33" name="" descr=""/>
                        <pic:cNvPicPr/>
                      </pic:nvPicPr>
                      <pic:blipFill>
                        <a:blip r:embed="rId867"/>
                        <a:stretch/>
                      </pic:blipFill>
                      <pic:spPr>
                        <a:xfrm>
                          <a:off x="0" y="0"/>
                          <a:ext cx="4597560" cy="6985080"/>
                        </a:xfrm>
                        <a:prstGeom prst="rect">
                          <a:avLst/>
                        </a:prstGeom>
                        <a:ln w="0">
                          <a:noFill/>
                        </a:ln>
                      </pic:spPr>
                    </pic:pic>
                  </a:graphicData>
                </a:graphic>
              </wp:inline>
            </w:drawing>
          </mc:Choice>
          <mc:Fallback>
            <w:pict>
              <v:shape id="shape_0" stroked="f" o:allowincell="f" style="position:absolute;margin-left:0pt;margin-top:-550.05pt;width:361.95pt;height:549.95pt;mso-wrap-style:none;v-text-anchor:middle;mso-position-horizontal:left;mso-position-vertical:top" type="_x0000_t75">
                <v:imagedata r:id="rId86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8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97400" cy="6985000"/>
                <wp:effectExtent l="0" t="0" r="0" b="0"/>
                <wp:docPr id="35" name=""/>
                <a:graphic xmlns:a="http://schemas.openxmlformats.org/drawingml/2006/main">
                  <a:graphicData uri="http://schemas.openxmlformats.org/drawingml/2006/picture">
                    <pic:pic xmlns:pic="http://schemas.openxmlformats.org/drawingml/2006/picture">
                      <pic:nvPicPr>
                        <pic:cNvPr id="34" name="" descr=""/>
                        <pic:cNvPicPr/>
                      </pic:nvPicPr>
                      <pic:blipFill>
                        <a:blip r:embed="rId870"/>
                        <a:stretch/>
                      </pic:blipFill>
                      <pic:spPr>
                        <a:xfrm>
                          <a:off x="0" y="0"/>
                          <a:ext cx="4597560" cy="6985080"/>
                        </a:xfrm>
                        <a:prstGeom prst="rect">
                          <a:avLst/>
                        </a:prstGeom>
                        <a:ln w="0">
                          <a:noFill/>
                        </a:ln>
                      </pic:spPr>
                    </pic:pic>
                  </a:graphicData>
                </a:graphic>
              </wp:inline>
            </w:drawing>
          </mc:Choice>
          <mc:Fallback>
            <w:pict>
              <v:shape id="shape_0" stroked="f" o:allowincell="f" style="position:absolute;margin-left:0pt;margin-top:-550.05pt;width:361.95pt;height:549.95pt;mso-wrap-style:none;v-text-anchor:middle;mso-position-horizontal:left;mso-position-vertical:top" type="_x0000_t75">
                <v:imagedata r:id="rId87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8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97400" cy="6985000"/>
                <wp:effectExtent l="0" t="0" r="0" b="0"/>
                <wp:docPr id="36" name=""/>
                <a:graphic xmlns:a="http://schemas.openxmlformats.org/drawingml/2006/main">
                  <a:graphicData uri="http://schemas.openxmlformats.org/drawingml/2006/picture">
                    <pic:pic xmlns:pic="http://schemas.openxmlformats.org/drawingml/2006/picture">
                      <pic:nvPicPr>
                        <pic:cNvPr id="35" name="" descr=""/>
                        <pic:cNvPicPr/>
                      </pic:nvPicPr>
                      <pic:blipFill>
                        <a:blip r:embed="rId873"/>
                        <a:stretch/>
                      </pic:blipFill>
                      <pic:spPr>
                        <a:xfrm>
                          <a:off x="0" y="0"/>
                          <a:ext cx="4597560" cy="6985080"/>
                        </a:xfrm>
                        <a:prstGeom prst="rect">
                          <a:avLst/>
                        </a:prstGeom>
                        <a:ln w="0">
                          <a:noFill/>
                        </a:ln>
                      </pic:spPr>
                    </pic:pic>
                  </a:graphicData>
                </a:graphic>
              </wp:inline>
            </w:drawing>
          </mc:Choice>
          <mc:Fallback>
            <w:pict>
              <v:shape id="shape_0" stroked="f" o:allowincell="f" style="position:absolute;margin-left:0pt;margin-top:-550.05pt;width:361.95pt;height:549.95pt;mso-wrap-style:none;v-text-anchor:middle;mso-position-horizontal:left;mso-position-vertical:top" type="_x0000_t75">
                <v:imagedata r:id="rId874" o:detectmouseclick="t"/>
                <v:stroke color="#3465a4" joinstyle="round" endcap="flat"/>
                <w10:wrap type="none"/>
              </v:shape>
            </w:pict>
          </mc:Fallback>
        </mc:AlternateContent>
      </w:r>
      <w:bookmarkStart w:id="456" w:name="pg6519_50005"/>
    </w:p>
    <w:p>
      <w:pPr>
        <w:pStyle w:val="Heading4"/>
        <w:numPr>
          <w:ilvl w:val="3"/>
          <w:numId w:val="1"/>
        </w:numPr>
        <w:rPr/>
      </w:pPr>
      <w:bookmarkStart w:id="457" w:name="__RefHeading___Toc1757435_653776707"/>
      <w:bookmarkStart w:id="458" w:name="_Toc141"/>
      <w:bookmarkEnd w:id="456"/>
      <w:bookmarkEnd w:id="457"/>
      <w:r>
        <w:rPr/>
        <w:t>6</w:t>
      </w:r>
      <w:r>
        <w:rPr>
          <w:rtl w:val="true"/>
        </w:rPr>
        <w:t xml:space="preserve">- </w:t>
      </w:r>
      <w:r>
        <w:rPr>
          <w:rtl w:val="true"/>
        </w:rPr>
        <w:t>فهرس الکتاب الوارده فی المتن</w:t>
      </w:r>
      <w:bookmarkEnd w:id="458"/>
    </w:p>
    <w:p>
      <w:pPr>
        <w:pStyle w:val="BookText"/>
        <w:rPr/>
      </w:pPr>
      <w:r>
        <w:rPr>
          <w:rFonts w:ascii="IRNazanin" w:hAnsi="IRNazanin" w:eastAsia="IRNazanin"/>
          <w:color w:val="111111"/>
          <w:sz w:val="28"/>
          <w:sz w:val="28"/>
          <w:szCs w:val="28"/>
          <w:rtl w:val="true"/>
          <w:lang w:bidi="fa-IR"/>
        </w:rPr>
        <w:t>تصویر</w:t>
      </w:r>
    </w:p>
    <w:p>
      <w:pPr>
        <w:sectPr>
          <w:footerReference w:type="default" r:id="rId8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97400" cy="6985000"/>
                <wp:effectExtent l="0" t="0" r="0" b="0"/>
                <wp:docPr id="37" name=""/>
                <a:graphic xmlns:a="http://schemas.openxmlformats.org/drawingml/2006/main">
                  <a:graphicData uri="http://schemas.openxmlformats.org/drawingml/2006/picture">
                    <pic:pic xmlns:pic="http://schemas.openxmlformats.org/drawingml/2006/picture">
                      <pic:nvPicPr>
                        <pic:cNvPr id="36" name="" descr=""/>
                        <pic:cNvPicPr/>
                      </pic:nvPicPr>
                      <pic:blipFill>
                        <a:blip r:embed="rId876"/>
                        <a:stretch/>
                      </pic:blipFill>
                      <pic:spPr>
                        <a:xfrm>
                          <a:off x="0" y="0"/>
                          <a:ext cx="4597560" cy="6985080"/>
                        </a:xfrm>
                        <a:prstGeom prst="rect">
                          <a:avLst/>
                        </a:prstGeom>
                        <a:ln w="0">
                          <a:noFill/>
                        </a:ln>
                      </pic:spPr>
                    </pic:pic>
                  </a:graphicData>
                </a:graphic>
              </wp:inline>
            </w:drawing>
          </mc:Choice>
          <mc:Fallback>
            <w:pict>
              <v:shape id="shape_0" stroked="f" o:allowincell="f" style="position:absolute;margin-left:0pt;margin-top:-550.05pt;width:361.95pt;height:549.95pt;mso-wrap-style:none;v-text-anchor:middle;mso-position-horizontal:left;mso-position-vertical:top" type="_x0000_t75">
                <v:imagedata r:id="rId877" o:detectmouseclick="t"/>
                <v:stroke color="#3465a4" joinstyle="round" endcap="flat"/>
                <w10:wrap type="none"/>
              </v:shape>
            </w:pict>
          </mc:Fallback>
        </mc:AlternateContent>
      </w:r>
    </w:p>
    <w:p>
      <w:pPr>
        <w:sectPr>
          <w:footerReference w:type="default" r:id="rId8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59" w:name="pg6519_50007"/>
      <w:bookmarkStart w:id="460" w:name="pg6519_50007"/>
      <w:bookmarkEnd w:id="460"/>
    </w:p>
    <w:p>
      <w:pPr>
        <w:pStyle w:val="Heading4"/>
        <w:numPr>
          <w:ilvl w:val="3"/>
          <w:numId w:val="1"/>
        </w:numPr>
        <w:rPr/>
      </w:pPr>
      <w:bookmarkStart w:id="461" w:name="pg6519_50007"/>
      <w:bookmarkStart w:id="462" w:name="__RefHeading___Toc1757437_653776707"/>
      <w:bookmarkStart w:id="463" w:name="_Toc142"/>
      <w:bookmarkEnd w:id="461"/>
      <w:bookmarkEnd w:id="462"/>
      <w:r>
        <w:rPr/>
        <w:t>7</w:t>
      </w:r>
      <w:r>
        <w:rPr>
          <w:rtl w:val="true"/>
        </w:rPr>
        <w:t xml:space="preserve">- </w:t>
      </w:r>
      <w:r>
        <w:rPr>
          <w:rtl w:val="true"/>
        </w:rPr>
        <w:t>فهرس الاشعار</w:t>
      </w:r>
      <w:bookmarkEnd w:id="463"/>
    </w:p>
    <w:p>
      <w:pPr>
        <w:pStyle w:val="BookText"/>
        <w:rPr/>
      </w:pPr>
      <w:r>
        <w:rPr>
          <w:rFonts w:ascii="IRNazanin" w:hAnsi="IRNazanin" w:eastAsia="IRNazanin"/>
          <w:color w:val="111111"/>
          <w:sz w:val="28"/>
          <w:sz w:val="28"/>
          <w:szCs w:val="28"/>
          <w:rtl w:val="true"/>
          <w:lang w:bidi="fa-IR"/>
        </w:rPr>
        <w:t>تصویر</w:t>
      </w:r>
    </w:p>
    <w:p>
      <w:pPr>
        <w:sectPr>
          <w:footerReference w:type="default" r:id="rId8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97400" cy="6985000"/>
                <wp:effectExtent l="0" t="0" r="0" b="0"/>
                <wp:docPr id="38" name=""/>
                <a:graphic xmlns:a="http://schemas.openxmlformats.org/drawingml/2006/main">
                  <a:graphicData uri="http://schemas.openxmlformats.org/drawingml/2006/picture">
                    <pic:pic xmlns:pic="http://schemas.openxmlformats.org/drawingml/2006/picture">
                      <pic:nvPicPr>
                        <pic:cNvPr id="37" name="" descr=""/>
                        <pic:cNvPicPr/>
                      </pic:nvPicPr>
                      <pic:blipFill>
                        <a:blip r:embed="rId880"/>
                        <a:stretch/>
                      </pic:blipFill>
                      <pic:spPr>
                        <a:xfrm>
                          <a:off x="0" y="0"/>
                          <a:ext cx="4597560" cy="6985080"/>
                        </a:xfrm>
                        <a:prstGeom prst="rect">
                          <a:avLst/>
                        </a:prstGeom>
                        <a:ln w="0">
                          <a:noFill/>
                        </a:ln>
                      </pic:spPr>
                    </pic:pic>
                  </a:graphicData>
                </a:graphic>
              </wp:inline>
            </w:drawing>
          </mc:Choice>
          <mc:Fallback>
            <w:pict>
              <v:shape id="shape_0" stroked="f" o:allowincell="f" style="position:absolute;margin-left:0pt;margin-top:-550.05pt;width:361.95pt;height:549.95pt;mso-wrap-style:none;v-text-anchor:middle;mso-position-horizontal:left;mso-position-vertical:top" type="_x0000_t75">
                <v:imagedata r:id="rId881" o:detectmouseclick="t"/>
                <v:stroke color="#3465a4" joinstyle="round" endcap="flat"/>
                <w10:wrap type="none"/>
              </v:shape>
            </w:pict>
          </mc:Fallback>
        </mc:AlternateContent>
      </w:r>
    </w:p>
    <w:p>
      <w:pPr>
        <w:sectPr>
          <w:footerReference w:type="default" r:id="rId8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64" w:name="pg6519_50009"/>
      <w:bookmarkStart w:id="465" w:name="pg6519_50009"/>
      <w:bookmarkEnd w:id="465"/>
    </w:p>
    <w:p>
      <w:pPr>
        <w:pStyle w:val="Heading4"/>
        <w:numPr>
          <w:ilvl w:val="3"/>
          <w:numId w:val="1"/>
        </w:numPr>
        <w:rPr/>
      </w:pPr>
      <w:bookmarkStart w:id="466" w:name="pg6519_50009"/>
      <w:bookmarkStart w:id="467" w:name="__RefHeading___Toc1757439_653776707"/>
      <w:bookmarkStart w:id="468" w:name="_Toc143"/>
      <w:bookmarkEnd w:id="466"/>
      <w:bookmarkEnd w:id="467"/>
      <w:r>
        <w:rPr/>
        <w:t>8</w:t>
      </w:r>
      <w:r>
        <w:rPr>
          <w:rtl w:val="true"/>
        </w:rPr>
        <w:t>-</w:t>
      </w:r>
      <w:r>
        <w:rPr>
          <w:rtl w:val="true"/>
        </w:rPr>
        <w:t>فهرس الاماکن و البقاع</w:t>
      </w:r>
      <w:bookmarkEnd w:id="468"/>
    </w:p>
    <w:p>
      <w:pPr>
        <w:pStyle w:val="BookText"/>
        <w:rPr/>
      </w:pPr>
      <w:r>
        <w:rPr>
          <w:rFonts w:ascii="IRNazanin" w:hAnsi="IRNazanin" w:eastAsia="IRNazanin"/>
          <w:color w:val="111111"/>
          <w:sz w:val="28"/>
          <w:sz w:val="28"/>
          <w:szCs w:val="28"/>
          <w:rtl w:val="true"/>
          <w:lang w:bidi="fa-IR"/>
        </w:rPr>
        <w:t>تصویر</w:t>
      </w:r>
    </w:p>
    <w:p>
      <w:pPr>
        <w:sectPr>
          <w:footerReference w:type="default" r:id="rId8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97400" cy="6985000"/>
                <wp:effectExtent l="0" t="0" r="0" b="0"/>
                <wp:docPr id="39" name=""/>
                <a:graphic xmlns:a="http://schemas.openxmlformats.org/drawingml/2006/main">
                  <a:graphicData uri="http://schemas.openxmlformats.org/drawingml/2006/picture">
                    <pic:pic xmlns:pic="http://schemas.openxmlformats.org/drawingml/2006/picture">
                      <pic:nvPicPr>
                        <pic:cNvPr id="38" name="" descr=""/>
                        <pic:cNvPicPr/>
                      </pic:nvPicPr>
                      <pic:blipFill>
                        <a:blip r:embed="rId884"/>
                        <a:stretch/>
                      </pic:blipFill>
                      <pic:spPr>
                        <a:xfrm>
                          <a:off x="0" y="0"/>
                          <a:ext cx="4597560" cy="6985080"/>
                        </a:xfrm>
                        <a:prstGeom prst="rect">
                          <a:avLst/>
                        </a:prstGeom>
                        <a:ln w="0">
                          <a:noFill/>
                        </a:ln>
                      </pic:spPr>
                    </pic:pic>
                  </a:graphicData>
                </a:graphic>
              </wp:inline>
            </w:drawing>
          </mc:Choice>
          <mc:Fallback>
            <w:pict>
              <v:shape id="shape_0" stroked="f" o:allowincell="f" style="position:absolute;margin-left:0pt;margin-top:-550.05pt;width:361.95pt;height:549.95pt;mso-wrap-style:none;v-text-anchor:middle;mso-position-horizontal:left;mso-position-vertical:top" type="_x0000_t75">
                <v:imagedata r:id="rId885" o:detectmouseclick="t"/>
                <v:stroke color="#3465a4" joinstyle="round" endcap="flat"/>
                <w10:wrap type="none"/>
              </v:shape>
            </w:pict>
          </mc:Fallback>
        </mc:AlternateContent>
      </w:r>
    </w:p>
    <w:p>
      <w:pPr>
        <w:sectPr>
          <w:footerReference w:type="default" r:id="rId8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69" w:name="pg6519_50011"/>
      <w:bookmarkStart w:id="470" w:name="pg6519_50011"/>
      <w:bookmarkEnd w:id="470"/>
    </w:p>
    <w:p>
      <w:pPr>
        <w:pStyle w:val="Heading4"/>
        <w:numPr>
          <w:ilvl w:val="3"/>
          <w:numId w:val="1"/>
        </w:numPr>
        <w:rPr/>
      </w:pPr>
      <w:bookmarkStart w:id="471" w:name="pg6519_50011"/>
      <w:bookmarkStart w:id="472" w:name="__RefHeading___Toc1757441_653776707"/>
      <w:bookmarkStart w:id="473" w:name="_Toc144"/>
      <w:bookmarkEnd w:id="471"/>
      <w:bookmarkEnd w:id="472"/>
      <w:r>
        <w:rPr/>
        <w:t>9</w:t>
      </w:r>
      <w:r>
        <w:rPr>
          <w:rtl w:val="true"/>
        </w:rPr>
        <w:t>-</w:t>
      </w:r>
      <w:r>
        <w:rPr>
          <w:rtl w:val="true"/>
        </w:rPr>
        <w:t>فهرس مصادر البحث و التحقیق</w:t>
      </w:r>
      <w:bookmarkEnd w:id="473"/>
    </w:p>
    <w:p>
      <w:pPr>
        <w:pStyle w:val="BookText"/>
        <w:rPr/>
      </w:pPr>
      <w:r>
        <w:rPr>
          <w:rFonts w:ascii="IRNazanin" w:hAnsi="IRNazanin" w:eastAsia="IRNazanin"/>
          <w:color w:val="111111"/>
          <w:sz w:val="28"/>
          <w:sz w:val="28"/>
          <w:szCs w:val="28"/>
          <w:rtl w:val="true"/>
          <w:lang w:bidi="fa-IR"/>
        </w:rPr>
        <w:t>تصویر</w:t>
      </w:r>
    </w:p>
    <w:p>
      <w:pPr>
        <w:sectPr>
          <w:footerReference w:type="default" r:id="rId8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97400" cy="6985000"/>
                <wp:effectExtent l="0" t="0" r="0" b="0"/>
                <wp:docPr id="40" name=""/>
                <a:graphic xmlns:a="http://schemas.openxmlformats.org/drawingml/2006/main">
                  <a:graphicData uri="http://schemas.openxmlformats.org/drawingml/2006/picture">
                    <pic:pic xmlns:pic="http://schemas.openxmlformats.org/drawingml/2006/picture">
                      <pic:nvPicPr>
                        <pic:cNvPr id="39" name="" descr=""/>
                        <pic:cNvPicPr/>
                      </pic:nvPicPr>
                      <pic:blipFill>
                        <a:blip r:embed="rId888"/>
                        <a:stretch/>
                      </pic:blipFill>
                      <pic:spPr>
                        <a:xfrm>
                          <a:off x="0" y="0"/>
                          <a:ext cx="4597560" cy="6985080"/>
                        </a:xfrm>
                        <a:prstGeom prst="rect">
                          <a:avLst/>
                        </a:prstGeom>
                        <a:ln w="0">
                          <a:noFill/>
                        </a:ln>
                      </pic:spPr>
                    </pic:pic>
                  </a:graphicData>
                </a:graphic>
              </wp:inline>
            </w:drawing>
          </mc:Choice>
          <mc:Fallback>
            <w:pict>
              <v:shape id="shape_0" stroked="f" o:allowincell="f" style="position:absolute;margin-left:0pt;margin-top:-550.05pt;width:361.95pt;height:549.95pt;mso-wrap-style:none;v-text-anchor:middle;mso-position-horizontal:left;mso-position-vertical:top" type="_x0000_t75">
                <v:imagedata r:id="rId88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8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97400" cy="6985000"/>
                <wp:effectExtent l="0" t="0" r="0" b="0"/>
                <wp:docPr id="41" name=""/>
                <a:graphic xmlns:a="http://schemas.openxmlformats.org/drawingml/2006/main">
                  <a:graphicData uri="http://schemas.openxmlformats.org/drawingml/2006/picture">
                    <pic:pic xmlns:pic="http://schemas.openxmlformats.org/drawingml/2006/picture">
                      <pic:nvPicPr>
                        <pic:cNvPr id="40" name="" descr=""/>
                        <pic:cNvPicPr/>
                      </pic:nvPicPr>
                      <pic:blipFill>
                        <a:blip r:embed="rId891"/>
                        <a:stretch/>
                      </pic:blipFill>
                      <pic:spPr>
                        <a:xfrm>
                          <a:off x="0" y="0"/>
                          <a:ext cx="4597560" cy="6985080"/>
                        </a:xfrm>
                        <a:prstGeom prst="rect">
                          <a:avLst/>
                        </a:prstGeom>
                        <a:ln w="0">
                          <a:noFill/>
                        </a:ln>
                      </pic:spPr>
                    </pic:pic>
                  </a:graphicData>
                </a:graphic>
              </wp:inline>
            </w:drawing>
          </mc:Choice>
          <mc:Fallback>
            <w:pict>
              <v:shape id="shape_0" stroked="f" o:allowincell="f" style="position:absolute;margin-left:0pt;margin-top:-550.05pt;width:361.95pt;height:549.95pt;mso-wrap-style:none;v-text-anchor:middle;mso-position-horizontal:left;mso-position-vertical:top" type="_x0000_t75">
                <v:imagedata r:id="rId89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8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97400" cy="6985000"/>
                <wp:effectExtent l="0" t="0" r="0" b="0"/>
                <wp:docPr id="42" name=""/>
                <a:graphic xmlns:a="http://schemas.openxmlformats.org/drawingml/2006/main">
                  <a:graphicData uri="http://schemas.openxmlformats.org/drawingml/2006/picture">
                    <pic:pic xmlns:pic="http://schemas.openxmlformats.org/drawingml/2006/picture">
                      <pic:nvPicPr>
                        <pic:cNvPr id="41" name="" descr=""/>
                        <pic:cNvPicPr/>
                      </pic:nvPicPr>
                      <pic:blipFill>
                        <a:blip r:embed="rId894"/>
                        <a:stretch/>
                      </pic:blipFill>
                      <pic:spPr>
                        <a:xfrm>
                          <a:off x="0" y="0"/>
                          <a:ext cx="4597560" cy="6985080"/>
                        </a:xfrm>
                        <a:prstGeom prst="rect">
                          <a:avLst/>
                        </a:prstGeom>
                        <a:ln w="0">
                          <a:noFill/>
                        </a:ln>
                      </pic:spPr>
                    </pic:pic>
                  </a:graphicData>
                </a:graphic>
              </wp:inline>
            </w:drawing>
          </mc:Choice>
          <mc:Fallback>
            <w:pict>
              <v:shape id="shape_0" stroked="f" o:allowincell="f" style="position:absolute;margin-left:0pt;margin-top:-550.05pt;width:361.95pt;height:549.95pt;mso-wrap-style:none;v-text-anchor:middle;mso-position-horizontal:left;mso-position-vertical:top" type="_x0000_t75">
                <v:imagedata r:id="rId89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8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97400" cy="6985000"/>
                <wp:effectExtent l="0" t="0" r="0" b="0"/>
                <wp:docPr id="43" name=""/>
                <a:graphic xmlns:a="http://schemas.openxmlformats.org/drawingml/2006/main">
                  <a:graphicData uri="http://schemas.openxmlformats.org/drawingml/2006/picture">
                    <pic:pic xmlns:pic="http://schemas.openxmlformats.org/drawingml/2006/picture">
                      <pic:nvPicPr>
                        <pic:cNvPr id="42" name="" descr=""/>
                        <pic:cNvPicPr/>
                      </pic:nvPicPr>
                      <pic:blipFill>
                        <a:blip r:embed="rId897"/>
                        <a:stretch/>
                      </pic:blipFill>
                      <pic:spPr>
                        <a:xfrm>
                          <a:off x="0" y="0"/>
                          <a:ext cx="4597560" cy="6985080"/>
                        </a:xfrm>
                        <a:prstGeom prst="rect">
                          <a:avLst/>
                        </a:prstGeom>
                        <a:ln w="0">
                          <a:noFill/>
                        </a:ln>
                      </pic:spPr>
                    </pic:pic>
                  </a:graphicData>
                </a:graphic>
              </wp:inline>
            </w:drawing>
          </mc:Choice>
          <mc:Fallback>
            <w:pict>
              <v:shape id="shape_0" stroked="f" o:allowincell="f" style="position:absolute;margin-left:0pt;margin-top:-550.05pt;width:361.95pt;height:549.95pt;mso-wrap-style:none;v-text-anchor:middle;mso-position-horizontal:left;mso-position-vertical:top" type="_x0000_t75">
                <v:imagedata r:id="rId89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9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97400" cy="6985000"/>
                <wp:effectExtent l="0" t="0" r="0" b="0"/>
                <wp:docPr id="44" name=""/>
                <a:graphic xmlns:a="http://schemas.openxmlformats.org/drawingml/2006/main">
                  <a:graphicData uri="http://schemas.openxmlformats.org/drawingml/2006/picture">
                    <pic:pic xmlns:pic="http://schemas.openxmlformats.org/drawingml/2006/picture">
                      <pic:nvPicPr>
                        <pic:cNvPr id="43" name="" descr=""/>
                        <pic:cNvPicPr/>
                      </pic:nvPicPr>
                      <pic:blipFill>
                        <a:blip r:embed="rId900"/>
                        <a:stretch/>
                      </pic:blipFill>
                      <pic:spPr>
                        <a:xfrm>
                          <a:off x="0" y="0"/>
                          <a:ext cx="4597560" cy="6985080"/>
                        </a:xfrm>
                        <a:prstGeom prst="rect">
                          <a:avLst/>
                        </a:prstGeom>
                        <a:ln w="0">
                          <a:noFill/>
                        </a:ln>
                      </pic:spPr>
                    </pic:pic>
                  </a:graphicData>
                </a:graphic>
              </wp:inline>
            </w:drawing>
          </mc:Choice>
          <mc:Fallback>
            <w:pict>
              <v:shape id="shape_0" stroked="f" o:allowincell="f" style="position:absolute;margin-left:0pt;margin-top:-550.05pt;width:361.95pt;height:549.95pt;mso-wrap-style:none;v-text-anchor:middle;mso-position-horizontal:left;mso-position-vertical:top" type="_x0000_t75">
                <v:imagedata r:id="rId90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9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97400" cy="6985000"/>
                <wp:effectExtent l="0" t="0" r="0" b="0"/>
                <wp:docPr id="45" name=""/>
                <a:graphic xmlns:a="http://schemas.openxmlformats.org/drawingml/2006/main">
                  <a:graphicData uri="http://schemas.openxmlformats.org/drawingml/2006/picture">
                    <pic:pic xmlns:pic="http://schemas.openxmlformats.org/drawingml/2006/picture">
                      <pic:nvPicPr>
                        <pic:cNvPr id="44" name="" descr=""/>
                        <pic:cNvPicPr/>
                      </pic:nvPicPr>
                      <pic:blipFill>
                        <a:blip r:embed="rId903"/>
                        <a:stretch/>
                      </pic:blipFill>
                      <pic:spPr>
                        <a:xfrm>
                          <a:off x="0" y="0"/>
                          <a:ext cx="4597560" cy="6985080"/>
                        </a:xfrm>
                        <a:prstGeom prst="rect">
                          <a:avLst/>
                        </a:prstGeom>
                        <a:ln w="0">
                          <a:noFill/>
                        </a:ln>
                      </pic:spPr>
                    </pic:pic>
                  </a:graphicData>
                </a:graphic>
              </wp:inline>
            </w:drawing>
          </mc:Choice>
          <mc:Fallback>
            <w:pict>
              <v:shape id="shape_0" stroked="f" o:allowincell="f" style="position:absolute;margin-left:0pt;margin-top:-550.05pt;width:361.95pt;height:549.95pt;mso-wrap-style:none;v-text-anchor:middle;mso-position-horizontal:left;mso-position-vertical:top" type="_x0000_t75">
                <v:imagedata r:id="rId90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9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97400" cy="6985000"/>
                <wp:effectExtent l="0" t="0" r="0" b="0"/>
                <wp:docPr id="46" name=""/>
                <a:graphic xmlns:a="http://schemas.openxmlformats.org/drawingml/2006/main">
                  <a:graphicData uri="http://schemas.openxmlformats.org/drawingml/2006/picture">
                    <pic:pic xmlns:pic="http://schemas.openxmlformats.org/drawingml/2006/picture">
                      <pic:nvPicPr>
                        <pic:cNvPr id="45" name="" descr=""/>
                        <pic:cNvPicPr/>
                      </pic:nvPicPr>
                      <pic:blipFill>
                        <a:blip r:embed="rId906"/>
                        <a:stretch/>
                      </pic:blipFill>
                      <pic:spPr>
                        <a:xfrm>
                          <a:off x="0" y="0"/>
                          <a:ext cx="4597560" cy="6985080"/>
                        </a:xfrm>
                        <a:prstGeom prst="rect">
                          <a:avLst/>
                        </a:prstGeom>
                        <a:ln w="0">
                          <a:noFill/>
                        </a:ln>
                      </pic:spPr>
                    </pic:pic>
                  </a:graphicData>
                </a:graphic>
              </wp:inline>
            </w:drawing>
          </mc:Choice>
          <mc:Fallback>
            <w:pict>
              <v:shape id="shape_0" stroked="f" o:allowincell="f" style="position:absolute;margin-left:0pt;margin-top:-550.05pt;width:361.95pt;height:549.95pt;mso-wrap-style:none;v-text-anchor:middle;mso-position-horizontal:left;mso-position-vertical:top" type="_x0000_t75">
                <v:imagedata r:id="rId90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9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97400" cy="6985000"/>
                <wp:effectExtent l="0" t="0" r="0" b="0"/>
                <wp:docPr id="47" name=""/>
                <a:graphic xmlns:a="http://schemas.openxmlformats.org/drawingml/2006/main">
                  <a:graphicData uri="http://schemas.openxmlformats.org/drawingml/2006/picture">
                    <pic:pic xmlns:pic="http://schemas.openxmlformats.org/drawingml/2006/picture">
                      <pic:nvPicPr>
                        <pic:cNvPr id="46" name="" descr=""/>
                        <pic:cNvPicPr/>
                      </pic:nvPicPr>
                      <pic:blipFill>
                        <a:blip r:embed="rId909"/>
                        <a:stretch/>
                      </pic:blipFill>
                      <pic:spPr>
                        <a:xfrm>
                          <a:off x="0" y="0"/>
                          <a:ext cx="4597560" cy="6985080"/>
                        </a:xfrm>
                        <a:prstGeom prst="rect">
                          <a:avLst/>
                        </a:prstGeom>
                        <a:ln w="0">
                          <a:noFill/>
                        </a:ln>
                      </pic:spPr>
                    </pic:pic>
                  </a:graphicData>
                </a:graphic>
              </wp:inline>
            </w:drawing>
          </mc:Choice>
          <mc:Fallback>
            <w:pict>
              <v:shape id="shape_0" stroked="f" o:allowincell="f" style="position:absolute;margin-left:0pt;margin-top:-550.05pt;width:361.95pt;height:549.95pt;mso-wrap-style:none;v-text-anchor:middle;mso-position-horizontal:left;mso-position-vertical:top" type="_x0000_t75">
                <v:imagedata r:id="rId91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9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97400" cy="6985000"/>
                <wp:effectExtent l="0" t="0" r="0" b="0"/>
                <wp:docPr id="48" name=""/>
                <a:graphic xmlns:a="http://schemas.openxmlformats.org/drawingml/2006/main">
                  <a:graphicData uri="http://schemas.openxmlformats.org/drawingml/2006/picture">
                    <pic:pic xmlns:pic="http://schemas.openxmlformats.org/drawingml/2006/picture">
                      <pic:nvPicPr>
                        <pic:cNvPr id="47" name="" descr=""/>
                        <pic:cNvPicPr/>
                      </pic:nvPicPr>
                      <pic:blipFill>
                        <a:blip r:embed="rId912"/>
                        <a:stretch/>
                      </pic:blipFill>
                      <pic:spPr>
                        <a:xfrm>
                          <a:off x="0" y="0"/>
                          <a:ext cx="4597560" cy="6985080"/>
                        </a:xfrm>
                        <a:prstGeom prst="rect">
                          <a:avLst/>
                        </a:prstGeom>
                        <a:ln w="0">
                          <a:noFill/>
                        </a:ln>
                      </pic:spPr>
                    </pic:pic>
                  </a:graphicData>
                </a:graphic>
              </wp:inline>
            </w:drawing>
          </mc:Choice>
          <mc:Fallback>
            <w:pict>
              <v:shape id="shape_0" stroked="f" o:allowincell="f" style="position:absolute;margin-left:0pt;margin-top:-550.05pt;width:361.95pt;height:549.95pt;mso-wrap-style:none;v-text-anchor:middle;mso-position-horizontal:left;mso-position-vertical:top" type="_x0000_t75">
                <v:imagedata r:id="rId91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9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97400" cy="6985000"/>
                <wp:effectExtent l="0" t="0" r="0" b="0"/>
                <wp:docPr id="49" name=""/>
                <a:graphic xmlns:a="http://schemas.openxmlformats.org/drawingml/2006/main">
                  <a:graphicData uri="http://schemas.openxmlformats.org/drawingml/2006/picture">
                    <pic:pic xmlns:pic="http://schemas.openxmlformats.org/drawingml/2006/picture">
                      <pic:nvPicPr>
                        <pic:cNvPr id="48" name="" descr=""/>
                        <pic:cNvPicPr/>
                      </pic:nvPicPr>
                      <pic:blipFill>
                        <a:blip r:embed="rId915"/>
                        <a:stretch/>
                      </pic:blipFill>
                      <pic:spPr>
                        <a:xfrm>
                          <a:off x="0" y="0"/>
                          <a:ext cx="4597560" cy="6985080"/>
                        </a:xfrm>
                        <a:prstGeom prst="rect">
                          <a:avLst/>
                        </a:prstGeom>
                        <a:ln w="0">
                          <a:noFill/>
                        </a:ln>
                      </pic:spPr>
                    </pic:pic>
                  </a:graphicData>
                </a:graphic>
              </wp:inline>
            </w:drawing>
          </mc:Choice>
          <mc:Fallback>
            <w:pict>
              <v:shape id="shape_0" stroked="f" o:allowincell="f" style="position:absolute;margin-left:0pt;margin-top:-550.05pt;width:361.95pt;height:549.95pt;mso-wrap-style:none;v-text-anchor:middle;mso-position-horizontal:left;mso-position-vertical:top" type="_x0000_t75">
                <v:imagedata r:id="rId91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9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97400" cy="6985000"/>
                <wp:effectExtent l="0" t="0" r="0" b="0"/>
                <wp:docPr id="50" name=""/>
                <a:graphic xmlns:a="http://schemas.openxmlformats.org/drawingml/2006/main">
                  <a:graphicData uri="http://schemas.openxmlformats.org/drawingml/2006/picture">
                    <pic:pic xmlns:pic="http://schemas.openxmlformats.org/drawingml/2006/picture">
                      <pic:nvPicPr>
                        <pic:cNvPr id="49" name="" descr=""/>
                        <pic:cNvPicPr/>
                      </pic:nvPicPr>
                      <pic:blipFill>
                        <a:blip r:embed="rId918"/>
                        <a:stretch/>
                      </pic:blipFill>
                      <pic:spPr>
                        <a:xfrm>
                          <a:off x="0" y="0"/>
                          <a:ext cx="4597560" cy="6985080"/>
                        </a:xfrm>
                        <a:prstGeom prst="rect">
                          <a:avLst/>
                        </a:prstGeom>
                        <a:ln w="0">
                          <a:noFill/>
                        </a:ln>
                      </pic:spPr>
                    </pic:pic>
                  </a:graphicData>
                </a:graphic>
              </wp:inline>
            </w:drawing>
          </mc:Choice>
          <mc:Fallback>
            <w:pict>
              <v:shape id="shape_0" stroked="f" o:allowincell="f" style="position:absolute;margin-left:0pt;margin-top:-550.05pt;width:361.95pt;height:549.95pt;mso-wrap-style:none;v-text-anchor:middle;mso-position-horizontal:left;mso-position-vertical:top" type="_x0000_t75">
                <v:imagedata r:id="rId91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9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97400" cy="6985000"/>
                <wp:effectExtent l="0" t="0" r="0" b="0"/>
                <wp:docPr id="51" name=""/>
                <a:graphic xmlns:a="http://schemas.openxmlformats.org/drawingml/2006/main">
                  <a:graphicData uri="http://schemas.openxmlformats.org/drawingml/2006/picture">
                    <pic:pic xmlns:pic="http://schemas.openxmlformats.org/drawingml/2006/picture">
                      <pic:nvPicPr>
                        <pic:cNvPr id="50" name="" descr=""/>
                        <pic:cNvPicPr/>
                      </pic:nvPicPr>
                      <pic:blipFill>
                        <a:blip r:embed="rId921"/>
                        <a:stretch/>
                      </pic:blipFill>
                      <pic:spPr>
                        <a:xfrm>
                          <a:off x="0" y="0"/>
                          <a:ext cx="4597560" cy="6985080"/>
                        </a:xfrm>
                        <a:prstGeom prst="rect">
                          <a:avLst/>
                        </a:prstGeom>
                        <a:ln w="0">
                          <a:noFill/>
                        </a:ln>
                      </pic:spPr>
                    </pic:pic>
                  </a:graphicData>
                </a:graphic>
              </wp:inline>
            </w:drawing>
          </mc:Choice>
          <mc:Fallback>
            <w:pict>
              <v:shape id="shape_0" stroked="f" o:allowincell="f" style="position:absolute;margin-left:0pt;margin-top:-550.05pt;width:361.95pt;height:549.95pt;mso-wrap-style:none;v-text-anchor:middle;mso-position-horizontal:left;mso-position-vertical:top" type="_x0000_t75">
                <v:imagedata r:id="rId922" o:detectmouseclick="t"/>
                <v:stroke color="#3465a4" joinstyle="round" endcap="flat"/>
                <w10:wrap type="none"/>
              </v:shape>
            </w:pict>
          </mc:Fallback>
        </mc:AlternateContent>
      </w:r>
      <w:bookmarkStart w:id="474" w:name="pg6519_50023"/>
    </w:p>
    <w:p>
      <w:pPr>
        <w:pStyle w:val="Heading4"/>
        <w:numPr>
          <w:ilvl w:val="3"/>
          <w:numId w:val="1"/>
        </w:numPr>
        <w:rPr/>
      </w:pPr>
      <w:bookmarkStart w:id="475" w:name="__RefHeading___Toc1757443_653776707"/>
      <w:bookmarkStart w:id="476" w:name="_Toc145"/>
      <w:bookmarkEnd w:id="474"/>
      <w:bookmarkEnd w:id="475"/>
      <w:r>
        <w:rPr/>
        <w:t>10</w:t>
      </w:r>
      <w:r>
        <w:rPr>
          <w:rtl w:val="true"/>
        </w:rPr>
        <w:t>-</w:t>
      </w:r>
      <w:r>
        <w:rPr>
          <w:rtl w:val="true"/>
        </w:rPr>
        <w:t>فهرس محتوی الکتاب</w:t>
      </w:r>
      <w:bookmarkEnd w:id="476"/>
    </w:p>
    <w:p>
      <w:pPr>
        <w:pStyle w:val="BookText"/>
        <w:rPr/>
      </w:pPr>
      <w:r>
        <w:rPr>
          <w:rFonts w:ascii="IRNazanin" w:hAnsi="IRNazanin" w:eastAsia="IRNazanin"/>
          <w:color w:val="111111"/>
          <w:sz w:val="28"/>
          <w:sz w:val="28"/>
          <w:szCs w:val="28"/>
          <w:rtl w:val="true"/>
          <w:lang w:bidi="fa-IR"/>
        </w:rPr>
        <w:t>تصویر</w:t>
      </w:r>
    </w:p>
    <w:p>
      <w:pPr>
        <w:sectPr>
          <w:footerReference w:type="default" r:id="rId9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97400" cy="6985000"/>
                <wp:effectExtent l="0" t="0" r="0" b="0"/>
                <wp:docPr id="52" name=""/>
                <a:graphic xmlns:a="http://schemas.openxmlformats.org/drawingml/2006/main">
                  <a:graphicData uri="http://schemas.openxmlformats.org/drawingml/2006/picture">
                    <pic:pic xmlns:pic="http://schemas.openxmlformats.org/drawingml/2006/picture">
                      <pic:nvPicPr>
                        <pic:cNvPr id="51" name="" descr=""/>
                        <pic:cNvPicPr/>
                      </pic:nvPicPr>
                      <pic:blipFill>
                        <a:blip r:embed="rId924"/>
                        <a:stretch/>
                      </pic:blipFill>
                      <pic:spPr>
                        <a:xfrm>
                          <a:off x="0" y="0"/>
                          <a:ext cx="4597560" cy="6985080"/>
                        </a:xfrm>
                        <a:prstGeom prst="rect">
                          <a:avLst/>
                        </a:prstGeom>
                        <a:ln w="0">
                          <a:noFill/>
                        </a:ln>
                      </pic:spPr>
                    </pic:pic>
                  </a:graphicData>
                </a:graphic>
              </wp:inline>
            </w:drawing>
          </mc:Choice>
          <mc:Fallback>
            <w:pict>
              <v:shape id="shape_0" stroked="f" o:allowincell="f" style="position:absolute;margin-left:0pt;margin-top:-550.05pt;width:361.95pt;height:549.95pt;mso-wrap-style:none;v-text-anchor:middle;mso-position-horizontal:left;mso-position-vertical:top" type="_x0000_t75">
                <v:imagedata r:id="rId92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9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97400" cy="6985000"/>
                <wp:effectExtent l="0" t="0" r="0" b="0"/>
                <wp:docPr id="53" name=""/>
                <a:graphic xmlns:a="http://schemas.openxmlformats.org/drawingml/2006/main">
                  <a:graphicData uri="http://schemas.openxmlformats.org/drawingml/2006/picture">
                    <pic:pic xmlns:pic="http://schemas.openxmlformats.org/drawingml/2006/picture">
                      <pic:nvPicPr>
                        <pic:cNvPr id="52" name="" descr=""/>
                        <pic:cNvPicPr/>
                      </pic:nvPicPr>
                      <pic:blipFill>
                        <a:blip r:embed="rId927"/>
                        <a:stretch/>
                      </pic:blipFill>
                      <pic:spPr>
                        <a:xfrm>
                          <a:off x="0" y="0"/>
                          <a:ext cx="4597560" cy="6985080"/>
                        </a:xfrm>
                        <a:prstGeom prst="rect">
                          <a:avLst/>
                        </a:prstGeom>
                        <a:ln w="0">
                          <a:noFill/>
                        </a:ln>
                      </pic:spPr>
                    </pic:pic>
                  </a:graphicData>
                </a:graphic>
              </wp:inline>
            </w:drawing>
          </mc:Choice>
          <mc:Fallback>
            <w:pict>
              <v:shape id="shape_0" stroked="f" o:allowincell="f" style="position:absolute;margin-left:0pt;margin-top:-550.05pt;width:361.95pt;height:549.95pt;mso-wrap-style:none;v-text-anchor:middle;mso-position-horizontal:left;mso-position-vertical:top" type="_x0000_t75">
                <v:imagedata r:id="rId92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9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97400" cy="6985000"/>
                <wp:effectExtent l="0" t="0" r="0" b="0"/>
                <wp:docPr id="54" name=""/>
                <a:graphic xmlns:a="http://schemas.openxmlformats.org/drawingml/2006/main">
                  <a:graphicData uri="http://schemas.openxmlformats.org/drawingml/2006/picture">
                    <pic:pic xmlns:pic="http://schemas.openxmlformats.org/drawingml/2006/picture">
                      <pic:nvPicPr>
                        <pic:cNvPr id="53" name="" descr=""/>
                        <pic:cNvPicPr/>
                      </pic:nvPicPr>
                      <pic:blipFill>
                        <a:blip r:embed="rId930"/>
                        <a:stretch/>
                      </pic:blipFill>
                      <pic:spPr>
                        <a:xfrm>
                          <a:off x="0" y="0"/>
                          <a:ext cx="4597560" cy="6985080"/>
                        </a:xfrm>
                        <a:prstGeom prst="rect">
                          <a:avLst/>
                        </a:prstGeom>
                        <a:ln w="0">
                          <a:noFill/>
                        </a:ln>
                      </pic:spPr>
                    </pic:pic>
                  </a:graphicData>
                </a:graphic>
              </wp:inline>
            </w:drawing>
          </mc:Choice>
          <mc:Fallback>
            <w:pict>
              <v:shape id="shape_0" stroked="f" o:allowincell="f" style="position:absolute;margin-left:0pt;margin-top:-550.05pt;width:361.95pt;height:549.95pt;mso-wrap-style:none;v-text-anchor:middle;mso-position-horizontal:left;mso-position-vertical:top" type="_x0000_t75">
                <v:imagedata r:id="rId93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9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97400" cy="6985000"/>
                <wp:effectExtent l="0" t="0" r="0" b="0"/>
                <wp:docPr id="55" name=""/>
                <a:graphic xmlns:a="http://schemas.openxmlformats.org/drawingml/2006/main">
                  <a:graphicData uri="http://schemas.openxmlformats.org/drawingml/2006/picture">
                    <pic:pic xmlns:pic="http://schemas.openxmlformats.org/drawingml/2006/picture">
                      <pic:nvPicPr>
                        <pic:cNvPr id="54" name="" descr=""/>
                        <pic:cNvPicPr/>
                      </pic:nvPicPr>
                      <pic:blipFill>
                        <a:blip r:embed="rId933"/>
                        <a:stretch/>
                      </pic:blipFill>
                      <pic:spPr>
                        <a:xfrm>
                          <a:off x="0" y="0"/>
                          <a:ext cx="4597560" cy="6985080"/>
                        </a:xfrm>
                        <a:prstGeom prst="rect">
                          <a:avLst/>
                        </a:prstGeom>
                        <a:ln w="0">
                          <a:noFill/>
                        </a:ln>
                      </pic:spPr>
                    </pic:pic>
                  </a:graphicData>
                </a:graphic>
              </wp:inline>
            </w:drawing>
          </mc:Choice>
          <mc:Fallback>
            <w:pict>
              <v:shape id="shape_0" stroked="f" o:allowincell="f" style="position:absolute;margin-left:0pt;margin-top:-550.05pt;width:361.95pt;height:549.95pt;mso-wrap-style:none;v-text-anchor:middle;mso-position-horizontal:left;mso-position-vertical:top" type="_x0000_t75">
                <v:imagedata r:id="rId93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9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97400" cy="6985000"/>
                <wp:effectExtent l="0" t="0" r="0" b="0"/>
                <wp:docPr id="56" name=""/>
                <a:graphic xmlns:a="http://schemas.openxmlformats.org/drawingml/2006/main">
                  <a:graphicData uri="http://schemas.openxmlformats.org/drawingml/2006/picture">
                    <pic:pic xmlns:pic="http://schemas.openxmlformats.org/drawingml/2006/picture">
                      <pic:nvPicPr>
                        <pic:cNvPr id="55" name="" descr=""/>
                        <pic:cNvPicPr/>
                      </pic:nvPicPr>
                      <pic:blipFill>
                        <a:blip r:embed="rId936"/>
                        <a:stretch/>
                      </pic:blipFill>
                      <pic:spPr>
                        <a:xfrm>
                          <a:off x="0" y="0"/>
                          <a:ext cx="4597560" cy="6985080"/>
                        </a:xfrm>
                        <a:prstGeom prst="rect">
                          <a:avLst/>
                        </a:prstGeom>
                        <a:ln w="0">
                          <a:noFill/>
                        </a:ln>
                      </pic:spPr>
                    </pic:pic>
                  </a:graphicData>
                </a:graphic>
              </wp:inline>
            </w:drawing>
          </mc:Choice>
          <mc:Fallback>
            <w:pict>
              <v:shape id="shape_0" stroked="f" o:allowincell="f" style="position:absolute;margin-left:0pt;margin-top:-550.05pt;width:361.95pt;height:549.95pt;mso-wrap-style:none;v-text-anchor:middle;mso-position-horizontal:left;mso-position-vertical:top" type="_x0000_t75">
                <v:imagedata r:id="rId93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9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97400" cy="6985000"/>
                <wp:effectExtent l="0" t="0" r="0" b="0"/>
                <wp:docPr id="57" name=""/>
                <a:graphic xmlns:a="http://schemas.openxmlformats.org/drawingml/2006/main">
                  <a:graphicData uri="http://schemas.openxmlformats.org/drawingml/2006/picture">
                    <pic:pic xmlns:pic="http://schemas.openxmlformats.org/drawingml/2006/picture">
                      <pic:nvPicPr>
                        <pic:cNvPr id="56" name="" descr=""/>
                        <pic:cNvPicPr/>
                      </pic:nvPicPr>
                      <pic:blipFill>
                        <a:blip r:embed="rId939"/>
                        <a:stretch/>
                      </pic:blipFill>
                      <pic:spPr>
                        <a:xfrm>
                          <a:off x="0" y="0"/>
                          <a:ext cx="4597560" cy="6985080"/>
                        </a:xfrm>
                        <a:prstGeom prst="rect">
                          <a:avLst/>
                        </a:prstGeom>
                        <a:ln w="0">
                          <a:noFill/>
                        </a:ln>
                      </pic:spPr>
                    </pic:pic>
                  </a:graphicData>
                </a:graphic>
              </wp:inline>
            </w:drawing>
          </mc:Choice>
          <mc:Fallback>
            <w:pict>
              <v:shape id="shape_0" stroked="f" o:allowincell="f" style="position:absolute;margin-left:0pt;margin-top:-550.05pt;width:361.95pt;height:549.95pt;mso-wrap-style:none;v-text-anchor:middle;mso-position-horizontal:left;mso-position-vertical:top" type="_x0000_t75">
                <v:imagedata r:id="rId94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9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97400" cy="6985000"/>
                <wp:effectExtent l="0" t="0" r="0" b="0"/>
                <wp:docPr id="58" name=""/>
                <a:graphic xmlns:a="http://schemas.openxmlformats.org/drawingml/2006/main">
                  <a:graphicData uri="http://schemas.openxmlformats.org/drawingml/2006/picture">
                    <pic:pic xmlns:pic="http://schemas.openxmlformats.org/drawingml/2006/picture">
                      <pic:nvPicPr>
                        <pic:cNvPr id="57" name="" descr=""/>
                        <pic:cNvPicPr/>
                      </pic:nvPicPr>
                      <pic:blipFill>
                        <a:blip r:embed="rId942"/>
                        <a:stretch/>
                      </pic:blipFill>
                      <pic:spPr>
                        <a:xfrm>
                          <a:off x="0" y="0"/>
                          <a:ext cx="4597560" cy="6985080"/>
                        </a:xfrm>
                        <a:prstGeom prst="rect">
                          <a:avLst/>
                        </a:prstGeom>
                        <a:ln w="0">
                          <a:noFill/>
                        </a:ln>
                      </pic:spPr>
                    </pic:pic>
                  </a:graphicData>
                </a:graphic>
              </wp:inline>
            </w:drawing>
          </mc:Choice>
          <mc:Fallback>
            <w:pict>
              <v:shape id="shape_0" stroked="f" o:allowincell="f" style="position:absolute;margin-left:0pt;margin-top:-550.05pt;width:361.95pt;height:549.95pt;mso-wrap-style:none;v-text-anchor:middle;mso-position-horizontal:left;mso-position-vertical:top" type="_x0000_t75">
                <v:imagedata r:id="rId94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9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97400" cy="6985000"/>
                <wp:effectExtent l="0" t="0" r="0" b="0"/>
                <wp:docPr id="59" name=""/>
                <a:graphic xmlns:a="http://schemas.openxmlformats.org/drawingml/2006/main">
                  <a:graphicData uri="http://schemas.openxmlformats.org/drawingml/2006/picture">
                    <pic:pic xmlns:pic="http://schemas.openxmlformats.org/drawingml/2006/picture">
                      <pic:nvPicPr>
                        <pic:cNvPr id="58" name="" descr=""/>
                        <pic:cNvPicPr/>
                      </pic:nvPicPr>
                      <pic:blipFill>
                        <a:blip r:embed="rId945"/>
                        <a:stretch/>
                      </pic:blipFill>
                      <pic:spPr>
                        <a:xfrm>
                          <a:off x="0" y="0"/>
                          <a:ext cx="4597560" cy="6985080"/>
                        </a:xfrm>
                        <a:prstGeom prst="rect">
                          <a:avLst/>
                        </a:prstGeom>
                        <a:ln w="0">
                          <a:noFill/>
                        </a:ln>
                      </pic:spPr>
                    </pic:pic>
                  </a:graphicData>
                </a:graphic>
              </wp:inline>
            </w:drawing>
          </mc:Choice>
          <mc:Fallback>
            <w:pict>
              <v:shape id="shape_0" stroked="f" o:allowincell="f" style="position:absolute;margin-left:0pt;margin-top:-550.05pt;width:361.95pt;height:549.95pt;mso-wrap-style:none;v-text-anchor:middle;mso-position-horizontal:left;mso-position-vertical:top" type="_x0000_t75">
                <v:imagedata r:id="rId94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9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97400" cy="6985000"/>
                <wp:effectExtent l="0" t="0" r="0" b="0"/>
                <wp:docPr id="60" name=""/>
                <a:graphic xmlns:a="http://schemas.openxmlformats.org/drawingml/2006/main">
                  <a:graphicData uri="http://schemas.openxmlformats.org/drawingml/2006/picture">
                    <pic:pic xmlns:pic="http://schemas.openxmlformats.org/drawingml/2006/picture">
                      <pic:nvPicPr>
                        <pic:cNvPr id="59" name="" descr=""/>
                        <pic:cNvPicPr/>
                      </pic:nvPicPr>
                      <pic:blipFill>
                        <a:blip r:embed="rId948"/>
                        <a:stretch/>
                      </pic:blipFill>
                      <pic:spPr>
                        <a:xfrm>
                          <a:off x="0" y="0"/>
                          <a:ext cx="4597560" cy="6985080"/>
                        </a:xfrm>
                        <a:prstGeom prst="rect">
                          <a:avLst/>
                        </a:prstGeom>
                        <a:ln w="0">
                          <a:noFill/>
                        </a:ln>
                      </pic:spPr>
                    </pic:pic>
                  </a:graphicData>
                </a:graphic>
              </wp:inline>
            </w:drawing>
          </mc:Choice>
          <mc:Fallback>
            <w:pict>
              <v:shape id="shape_0" stroked="f" o:allowincell="f" style="position:absolute;margin-left:0pt;margin-top:-550.05pt;width:361.95pt;height:549.95pt;mso-wrap-style:none;v-text-anchor:middle;mso-position-horizontal:left;mso-position-vertical:top" type="_x0000_t75">
                <v:imagedata r:id="rId94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9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97400" cy="6985000"/>
                <wp:effectExtent l="0" t="0" r="0" b="0"/>
                <wp:docPr id="61" name=""/>
                <a:graphic xmlns:a="http://schemas.openxmlformats.org/drawingml/2006/main">
                  <a:graphicData uri="http://schemas.openxmlformats.org/drawingml/2006/picture">
                    <pic:pic xmlns:pic="http://schemas.openxmlformats.org/drawingml/2006/picture">
                      <pic:nvPicPr>
                        <pic:cNvPr id="60" name="" descr=""/>
                        <pic:cNvPicPr/>
                      </pic:nvPicPr>
                      <pic:blipFill>
                        <a:blip r:embed="rId951"/>
                        <a:stretch/>
                      </pic:blipFill>
                      <pic:spPr>
                        <a:xfrm>
                          <a:off x="0" y="0"/>
                          <a:ext cx="4597560" cy="6985080"/>
                        </a:xfrm>
                        <a:prstGeom prst="rect">
                          <a:avLst/>
                        </a:prstGeom>
                        <a:ln w="0">
                          <a:noFill/>
                        </a:ln>
                      </pic:spPr>
                    </pic:pic>
                  </a:graphicData>
                </a:graphic>
              </wp:inline>
            </w:drawing>
          </mc:Choice>
          <mc:Fallback>
            <w:pict>
              <v:shape id="shape_0" stroked="f" o:allowincell="f" style="position:absolute;margin-left:0pt;margin-top:-550.05pt;width:361.95pt;height:549.95pt;mso-wrap-style:none;v-text-anchor:middle;mso-position-horizontal:left;mso-position-vertical:top" type="_x0000_t75">
                <v:imagedata r:id="rId952"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62" name=""/>
                <a:graphic xmlns:a="http://schemas.openxmlformats.org/drawingml/2006/main">
                  <a:graphicData uri="http://schemas.openxmlformats.org/drawingml/2006/picture">
                    <pic:pic xmlns:pic="http://schemas.openxmlformats.org/drawingml/2006/picture">
                      <pic:nvPicPr>
                        <pic:cNvPr id="61" name="" descr=""/>
                        <pic:cNvPicPr/>
                      </pic:nvPicPr>
                      <pic:blipFill>
                        <a:blip r:embed="rId95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95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9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641</w:t>
    </w:r>
  </w:p>
</w:ftr>
</file>

<file path=word/footer6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642</w:t>
    </w:r>
  </w:p>
</w:ftr>
</file>

<file path=word/footer6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643</w:t>
    </w:r>
  </w:p>
</w:ftr>
</file>

<file path=word/footer6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644</w:t>
    </w:r>
  </w:p>
</w:ftr>
</file>

<file path=word/footer6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645</w:t>
    </w:r>
  </w:p>
</w:ftr>
</file>

<file path=word/footer6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646</w:t>
    </w:r>
  </w:p>
</w:ftr>
</file>

<file path=word/footer6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647</w:t>
    </w:r>
  </w:p>
</w:ftr>
</file>

<file path=word/footer6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648</w:t>
    </w:r>
  </w:p>
</w:ftr>
</file>

<file path=word/footer6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649</w:t>
    </w:r>
  </w:p>
</w:ftr>
</file>

<file path=word/footer6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650</w:t>
    </w:r>
  </w:p>
</w:ftr>
</file>

<file path=word/footer6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651</w:t>
    </w:r>
  </w:p>
</w:ftr>
</file>

<file path=word/footer6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652</w:t>
    </w:r>
  </w:p>
</w:ftr>
</file>

<file path=word/footer6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653</w:t>
    </w:r>
  </w:p>
</w:ftr>
</file>

<file path=word/footer6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654</w:t>
    </w:r>
  </w:p>
</w:ftr>
</file>

<file path=word/footer6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655</w:t>
    </w:r>
  </w:p>
</w:ftr>
</file>

<file path=word/footer6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656</w:t>
    </w:r>
  </w:p>
</w:ftr>
</file>

<file path=word/footer6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657</w:t>
    </w:r>
  </w:p>
</w:ftr>
</file>

<file path=word/footer6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658</w:t>
    </w:r>
  </w:p>
</w:ftr>
</file>

<file path=word/footer6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659</w:t>
    </w:r>
  </w:p>
</w:ftr>
</file>

<file path=word/footer6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660</w:t>
    </w:r>
  </w:p>
</w:ftr>
</file>

<file path=word/footer6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661</w:t>
    </w:r>
  </w:p>
</w:ftr>
</file>

<file path=word/footer6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662</w:t>
    </w:r>
  </w:p>
</w:ftr>
</file>

<file path=word/footer6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663</w:t>
    </w:r>
  </w:p>
</w:ftr>
</file>

<file path=word/footer6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664</w:t>
    </w:r>
  </w:p>
</w:ftr>
</file>

<file path=word/footer6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665</w:t>
    </w:r>
  </w:p>
</w:ftr>
</file>

<file path=word/footer6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666</w:t>
    </w:r>
  </w:p>
</w:ftr>
</file>

<file path=word/footer6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667</w:t>
    </w:r>
  </w:p>
</w:ftr>
</file>

<file path=word/footer6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668</w:t>
    </w:r>
  </w:p>
</w:ftr>
</file>

<file path=word/footer6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669</w:t>
    </w:r>
  </w:p>
</w:ftr>
</file>

<file path=word/footer6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670</w:t>
    </w:r>
  </w:p>
</w:ftr>
</file>

<file path=word/footer6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671</w:t>
    </w:r>
  </w:p>
</w:ftr>
</file>

<file path=word/footer6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672</w:t>
    </w:r>
  </w:p>
</w:ftr>
</file>

<file path=word/footer6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673</w:t>
    </w:r>
  </w:p>
</w:ftr>
</file>

<file path=word/footer6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674</w:t>
    </w:r>
  </w:p>
</w:ftr>
</file>

<file path=word/footer6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675</w:t>
    </w:r>
  </w:p>
</w:ftr>
</file>

<file path=word/footer6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676</w:t>
    </w:r>
  </w:p>
</w:ftr>
</file>

<file path=word/footer6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677</w:t>
    </w:r>
  </w:p>
</w:ftr>
</file>

<file path=word/footer6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678</w:t>
    </w:r>
  </w:p>
</w:ftr>
</file>

<file path=word/footer6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679</w:t>
    </w:r>
  </w:p>
</w:ftr>
</file>

<file path=word/footer6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680</w:t>
    </w:r>
  </w:p>
</w:ftr>
</file>

<file path=word/footer6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681</w:t>
    </w:r>
  </w:p>
</w:ftr>
</file>

<file path=word/footer6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682</w:t>
    </w:r>
  </w:p>
</w:ftr>
</file>

<file path=word/footer6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683</w:t>
    </w:r>
  </w:p>
</w:ftr>
</file>

<file path=word/footer6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684</w:t>
    </w:r>
  </w:p>
</w:ftr>
</file>

<file path=word/footer6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685</w:t>
    </w:r>
  </w:p>
</w:ftr>
</file>

<file path=word/footer6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686</w:t>
    </w:r>
  </w:p>
</w:ftr>
</file>

<file path=word/footer6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687</w:t>
    </w:r>
  </w:p>
</w:ftr>
</file>

<file path=word/footer6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688</w:t>
    </w:r>
  </w:p>
</w:ftr>
</file>

<file path=word/footer6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689</w:t>
    </w:r>
  </w:p>
</w:ftr>
</file>

<file path=word/footer6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690</w:t>
    </w:r>
  </w:p>
</w:ftr>
</file>

<file path=word/footer6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691</w:t>
    </w:r>
  </w:p>
</w:ftr>
</file>

<file path=word/footer6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692</w:t>
    </w:r>
  </w:p>
</w:ftr>
</file>

<file path=word/footer6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693</w:t>
    </w:r>
  </w:p>
</w:ftr>
</file>

<file path=word/footer6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694</w:t>
    </w:r>
  </w:p>
</w:ftr>
</file>

<file path=word/footer6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695</w:t>
    </w:r>
  </w:p>
</w:ftr>
</file>

<file path=word/footer6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696</w:t>
    </w:r>
  </w:p>
</w:ftr>
</file>

<file path=word/footer6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697</w:t>
    </w:r>
  </w:p>
</w:ftr>
</file>

<file path=word/footer6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698</w:t>
    </w:r>
  </w:p>
</w:ftr>
</file>

<file path=word/footer6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699</w:t>
    </w:r>
  </w:p>
</w:ftr>
</file>

<file path=word/footer7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700</w:t>
    </w:r>
  </w:p>
</w:ftr>
</file>

<file path=word/footer7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701</w:t>
    </w:r>
  </w:p>
</w:ftr>
</file>

<file path=word/footer7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702</w:t>
    </w:r>
  </w:p>
</w:ftr>
</file>

<file path=word/footer7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703</w:t>
    </w:r>
  </w:p>
</w:ftr>
</file>

<file path=word/footer7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704</w:t>
    </w:r>
  </w:p>
</w:ftr>
</file>

<file path=word/footer7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705</w:t>
    </w:r>
  </w:p>
</w:ftr>
</file>

<file path=word/footer7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706</w:t>
    </w:r>
  </w:p>
</w:ftr>
</file>

<file path=word/footer7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707</w:t>
    </w:r>
  </w:p>
</w:ftr>
</file>

<file path=word/footer7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708</w:t>
    </w:r>
  </w:p>
</w:ftr>
</file>

<file path=word/footer7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709</w:t>
    </w:r>
  </w:p>
</w:ftr>
</file>

<file path=word/footer7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710</w:t>
    </w:r>
  </w:p>
</w:ftr>
</file>

<file path=word/footer7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711</w:t>
    </w:r>
  </w:p>
</w:ftr>
</file>

<file path=word/footer7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712</w:t>
    </w:r>
  </w:p>
</w:ftr>
</file>

<file path=word/footer7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713</w:t>
    </w:r>
  </w:p>
</w:ftr>
</file>

<file path=word/footer7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714</w:t>
    </w:r>
  </w:p>
</w:ftr>
</file>

<file path=word/footer7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715</w:t>
    </w:r>
  </w:p>
</w:ftr>
</file>

<file path=word/footer7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716</w:t>
    </w:r>
  </w:p>
</w:ftr>
</file>

<file path=word/footer7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717</w:t>
    </w:r>
  </w:p>
</w:ftr>
</file>

<file path=word/footer7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718</w:t>
    </w:r>
  </w:p>
</w:ftr>
</file>

<file path=word/footer7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719</w:t>
    </w:r>
  </w:p>
</w:ftr>
</file>

<file path=word/footer7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720</w:t>
    </w:r>
  </w:p>
</w:ftr>
</file>

<file path=word/footer7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721</w:t>
    </w:r>
  </w:p>
</w:ftr>
</file>

<file path=word/footer7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722</w:t>
    </w:r>
  </w:p>
</w:ftr>
</file>

<file path=word/footer7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723</w:t>
    </w:r>
  </w:p>
</w:ftr>
</file>

<file path=word/footer7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724</w:t>
    </w:r>
  </w:p>
</w:ftr>
</file>

<file path=word/footer7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725</w:t>
    </w:r>
  </w:p>
</w:ftr>
</file>

<file path=word/footer7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726</w:t>
    </w:r>
  </w:p>
</w:ftr>
</file>

<file path=word/footer7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727</w:t>
    </w:r>
  </w:p>
</w:ftr>
</file>

<file path=word/footer7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728</w:t>
    </w:r>
  </w:p>
</w:ftr>
</file>

<file path=word/footer7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729</w:t>
    </w:r>
  </w:p>
</w:ftr>
</file>

<file path=word/footer7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730</w:t>
    </w:r>
  </w:p>
</w:ftr>
</file>

<file path=word/footer7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731</w:t>
    </w:r>
  </w:p>
</w:ftr>
</file>

<file path=word/footer7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732</w:t>
    </w:r>
  </w:p>
</w:ftr>
</file>

<file path=word/footer7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733</w:t>
    </w:r>
  </w:p>
</w:ftr>
</file>

<file path=word/footer7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734</w:t>
    </w:r>
  </w:p>
</w:ftr>
</file>

<file path=word/footer7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735</w:t>
    </w:r>
  </w:p>
</w:ftr>
</file>

<file path=word/footer7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736</w:t>
    </w:r>
  </w:p>
</w:ftr>
</file>

<file path=word/footer7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737</w:t>
    </w:r>
  </w:p>
</w:ftr>
</file>

<file path=word/footer7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738</w:t>
    </w:r>
  </w:p>
</w:ftr>
</file>

<file path=word/footer7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739</w:t>
    </w:r>
  </w:p>
</w:ftr>
</file>

<file path=word/footer7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740</w:t>
    </w:r>
  </w:p>
</w:ftr>
</file>

<file path=word/footer7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741</w:t>
    </w:r>
  </w:p>
</w:ftr>
</file>

<file path=word/footer7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742</w:t>
    </w:r>
  </w:p>
</w:ftr>
</file>

<file path=word/footer7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743</w:t>
    </w:r>
  </w:p>
</w:ftr>
</file>

<file path=word/footer7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744</w:t>
    </w:r>
  </w:p>
</w:ftr>
</file>

<file path=word/footer7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745</w:t>
    </w:r>
  </w:p>
</w:ftr>
</file>

<file path=word/footer7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746</w:t>
    </w:r>
  </w:p>
</w:ftr>
</file>

<file path=word/footer7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747</w:t>
    </w:r>
  </w:p>
</w:ftr>
</file>

<file path=word/footer7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748</w:t>
    </w:r>
  </w:p>
</w:ftr>
</file>

<file path=word/footer7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749</w:t>
    </w:r>
  </w:p>
</w:ftr>
</file>

<file path=word/footer7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750</w:t>
    </w:r>
  </w:p>
</w:ftr>
</file>

<file path=word/footer7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751</w:t>
    </w:r>
  </w:p>
</w:ftr>
</file>

<file path=word/footer7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752</w:t>
    </w:r>
  </w:p>
</w:ftr>
</file>

<file path=word/footer7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753</w:t>
    </w:r>
  </w:p>
</w:ftr>
</file>

<file path=word/footer7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754</w:t>
    </w:r>
  </w:p>
</w:ftr>
</file>

<file path=word/footer7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755</w:t>
    </w:r>
  </w:p>
</w:ftr>
</file>

<file path=word/footer7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756</w:t>
    </w:r>
  </w:p>
</w:ftr>
</file>

<file path=word/footer7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757</w:t>
    </w:r>
  </w:p>
</w:ftr>
</file>

<file path=word/footer7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758</w:t>
    </w:r>
  </w:p>
</w:ftr>
</file>

<file path=word/footer7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759</w:t>
    </w:r>
  </w:p>
</w:ftr>
</file>

<file path=word/footer7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760</w:t>
    </w:r>
  </w:p>
</w:ftr>
</file>

<file path=word/footer7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761</w:t>
    </w:r>
  </w:p>
</w:ftr>
</file>

<file path=word/footer7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762</w:t>
    </w:r>
  </w:p>
</w:ftr>
</file>

<file path=word/footer7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763</w:t>
    </w:r>
  </w:p>
</w:ftr>
</file>

<file path=word/footer7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764</w:t>
    </w:r>
  </w:p>
</w:ftr>
</file>

<file path=word/footer7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765</w:t>
    </w:r>
  </w:p>
</w:ftr>
</file>

<file path=word/footer7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766</w:t>
    </w:r>
  </w:p>
</w:ftr>
</file>

<file path=word/footer7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767</w:t>
    </w:r>
  </w:p>
</w:ftr>
</file>

<file path=word/footer7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768</w:t>
    </w:r>
  </w:p>
</w:ftr>
</file>

<file path=word/footer7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769</w:t>
    </w:r>
  </w:p>
</w:ftr>
</file>

<file path=word/footer7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770</w:t>
    </w:r>
  </w:p>
</w:ftr>
</file>

<file path=word/footer7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771</w:t>
    </w:r>
  </w:p>
</w:ftr>
</file>

<file path=word/footer7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772</w:t>
    </w:r>
  </w:p>
</w:ftr>
</file>

<file path=word/footer7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773</w:t>
    </w:r>
  </w:p>
</w:ftr>
</file>

<file path=word/footer7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774</w:t>
    </w:r>
  </w:p>
</w:ftr>
</file>

<file path=word/footer7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775</w:t>
    </w:r>
  </w:p>
</w:ftr>
</file>

<file path=word/footer7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776</w:t>
    </w:r>
  </w:p>
</w:ftr>
</file>

<file path=word/footer7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777</w:t>
    </w:r>
  </w:p>
</w:ftr>
</file>

<file path=word/footer7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778</w:t>
    </w:r>
  </w:p>
</w:ftr>
</file>

<file path=word/footer7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779</w:t>
    </w:r>
  </w:p>
</w:ftr>
</file>

<file path=word/footer7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780</w:t>
    </w:r>
  </w:p>
</w:ftr>
</file>

<file path=word/footer7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781</w:t>
    </w:r>
  </w:p>
</w:ftr>
</file>

<file path=word/footer7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782</w:t>
    </w:r>
  </w:p>
</w:ftr>
</file>

<file path=word/footer7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783</w:t>
    </w:r>
  </w:p>
</w:ftr>
</file>

<file path=word/footer7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784</w:t>
    </w:r>
  </w:p>
</w:ftr>
</file>

<file path=word/footer7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785</w:t>
    </w:r>
  </w:p>
</w:ftr>
</file>

<file path=word/footer7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786</w:t>
    </w:r>
  </w:p>
</w:ftr>
</file>

<file path=word/footer7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787</w:t>
    </w:r>
  </w:p>
</w:ftr>
</file>

<file path=word/footer7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788</w:t>
    </w:r>
  </w:p>
</w:ftr>
</file>

<file path=word/footer7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789</w:t>
    </w:r>
  </w:p>
</w:ftr>
</file>

<file path=word/footer7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790</w:t>
    </w:r>
  </w:p>
</w:ftr>
</file>

<file path=word/footer7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791</w:t>
    </w:r>
  </w:p>
</w:ftr>
</file>

<file path=word/footer7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792</w:t>
    </w:r>
  </w:p>
</w:ftr>
</file>

<file path=word/footer7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793</w:t>
    </w:r>
  </w:p>
</w:ftr>
</file>

<file path=word/footer7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794</w:t>
    </w:r>
  </w:p>
</w:ftr>
</file>

<file path=word/footer7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795</w:t>
    </w:r>
  </w:p>
</w:ftr>
</file>

<file path=word/footer7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796</w:t>
    </w:r>
  </w:p>
</w:ftr>
</file>

<file path=word/footer7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797</w:t>
    </w:r>
  </w:p>
</w:ftr>
</file>

<file path=word/footer7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798</w:t>
    </w:r>
  </w:p>
</w:ftr>
</file>

<file path=word/footer7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799</w:t>
    </w:r>
  </w:p>
</w:ftr>
</file>

<file path=word/footer8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800</w:t>
    </w:r>
  </w:p>
</w:ftr>
</file>

<file path=word/footer8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801</w:t>
    </w:r>
  </w:p>
</w:ftr>
</file>

<file path=word/footer8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802</w:t>
    </w:r>
  </w:p>
</w:ftr>
</file>

<file path=word/footer8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803</w:t>
    </w:r>
  </w:p>
</w:ftr>
</file>

<file path=word/footer8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804</w:t>
    </w:r>
  </w:p>
</w:ftr>
</file>

<file path=word/footer8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805</w:t>
    </w:r>
  </w:p>
</w:ftr>
</file>

<file path=word/footer8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806</w:t>
    </w:r>
  </w:p>
</w:ftr>
</file>

<file path=word/footer8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807</w:t>
    </w:r>
  </w:p>
</w:ftr>
</file>

<file path=word/footer8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808</w:t>
    </w:r>
  </w:p>
</w:ftr>
</file>

<file path=word/footer8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809</w:t>
    </w:r>
  </w:p>
</w:ftr>
</file>

<file path=word/footer8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810</w:t>
    </w:r>
  </w:p>
</w:ftr>
</file>

<file path=word/footer8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811</w:t>
    </w:r>
  </w:p>
</w:ftr>
</file>

<file path=word/footer8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812</w:t>
    </w:r>
  </w:p>
</w:ftr>
</file>

<file path=word/footer8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813</w:t>
    </w:r>
  </w:p>
</w:ftr>
</file>

<file path=word/footer8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814</w:t>
    </w:r>
  </w:p>
</w:ftr>
</file>

<file path=word/footer8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815</w:t>
    </w:r>
  </w:p>
</w:ftr>
</file>

<file path=word/footer8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816</w:t>
    </w:r>
  </w:p>
</w:ftr>
</file>

<file path=word/footer8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817</w:t>
    </w:r>
  </w:p>
</w:ftr>
</file>

<file path=word/footer8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818</w:t>
    </w:r>
  </w:p>
</w:ftr>
</file>

<file path=word/footer8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819</w:t>
    </w:r>
  </w:p>
</w:ftr>
</file>

<file path=word/footer8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820</w:t>
    </w:r>
  </w:p>
</w:ftr>
</file>

<file path=word/footer8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821</w:t>
    </w:r>
  </w:p>
</w:ftr>
</file>

<file path=word/footer8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822</w:t>
    </w:r>
  </w:p>
</w:ftr>
</file>

<file path=word/footer8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823</w:t>
    </w:r>
  </w:p>
</w:ftr>
</file>

<file path=word/footer8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824</w:t>
    </w:r>
  </w:p>
</w:ftr>
</file>

<file path=word/footer8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825</w:t>
    </w:r>
  </w:p>
</w:ftr>
</file>

<file path=word/footer8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826</w:t>
    </w:r>
  </w:p>
</w:ftr>
</file>

<file path=word/footer8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827</w:t>
    </w:r>
  </w:p>
</w:ftr>
</file>

<file path=word/footer8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828</w:t>
    </w:r>
  </w:p>
</w:ftr>
</file>

<file path=word/footer8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829</w:t>
    </w:r>
  </w:p>
</w:ftr>
</file>

<file path=word/footer8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830</w:t>
    </w:r>
  </w:p>
</w:ftr>
</file>

<file path=word/footer8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اسمه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التذکرة بأصول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کتاب مختصر فی علم أصول الفقه، ألفه الشیخ المفید لبعض إخوانه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جاء فی مقدمتها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لخصه العلامة الشیخ أبی الفتح محمد بن علی الکراجکی المتوفی عام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 سماه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مختصر التذکرة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أدرجه فی کتابه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کنز الفوائد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قد وصل إلینا المختصر دون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طبع لأول مرة عام  </w:t>
      </w:r>
      <w:r>
        <w:rPr>
          <w:rFonts w:eastAsia="IRNazanin" w:cs="IRNazanin"/>
          <w:b w:val="false"/>
          <w:bCs w:val="false"/>
          <w:i w:val="false"/>
          <w:iCs w:val="false"/>
          <w:color w:val="333333"/>
          <w:sz w:val="20"/>
          <w:szCs w:val="20"/>
        </w:rPr>
        <w:t>1322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و تلاها طبعات عدیدة أخری</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الشریف المرتضی، أبو القاسم علی بن الحسین بن موسی 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علی بن أبی طالب علیهم السلام</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یعین</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أبدأ</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آخره</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یفتقر</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یقترن</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لمن</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ظانا</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بهذا التعریف المذکور ثانیا لا یتمیّز الظّن عن غیره إلاّ بتوضیح و تفسیر</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یتبیّن</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ممّا</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دلالة</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الاستدلال</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شبهة</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یرجع</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القیامة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العرف</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فینقسم</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معناه ما معنی الأمر</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دلائل الإعجاز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 الذریعة إلی أصول الشریعة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 و راجع أیضا المصادر الواردة فی التعلیقة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الجملة</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الإحکام فی أصول الأحکام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تفیدهما فی اللغة بدون ترتیب</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یستحق</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لها</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اجتنبوا</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موضع یتعدی الفعل</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زیادة فی الأصل</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یمکن الإشارة إلی بعض هذه المصنفات</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غیرها</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کالفاعل و المفعول و نحوهما</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القیامة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223:1</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أمن</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یقبح هذا الوجه الأول لما قلناه</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سواء کان وقت الحاجة أو قبله</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للقائل</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سندل</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القراءتین المختلفی</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أوقف</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القراءة، کنز العمال </w:t>
      </w:r>
      <w:r>
        <w:rPr>
          <w:rFonts w:eastAsia="IRNazanin" w:cs="IRNazanin"/>
          <w:b w:val="false"/>
          <w:bCs w:val="false"/>
          <w:i w:val="false"/>
          <w:iCs w:val="false"/>
          <w:color w:val="333333"/>
          <w:sz w:val="20"/>
          <w:szCs w:val="20"/>
        </w:rPr>
        <w:t>443:7</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113:7</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المعتمد فی أصول الفقه </w:t>
      </w:r>
      <w:r>
        <w:rPr>
          <w:rFonts w:eastAsia="IRNazanin" w:cs="IRNazanin"/>
          <w:b w:val="false"/>
          <w:bCs w:val="false"/>
          <w:i w:val="false"/>
          <w:iCs w:val="false"/>
          <w:color w:val="333333"/>
          <w:sz w:val="20"/>
          <w:szCs w:val="20"/>
        </w:rPr>
        <w:t>307:1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کراهیة ذلک</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الزیادة من النسخة الثانیة</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کتابه</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التعلیقة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القول بالجواز العقلی، أو به و بالجواز اللغوی أقرب إلی الصواب</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أبو عبد اللّه الحسین بن علی البصری</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هاشم عبد السلام بن محمد بن عبد الوهاب الجبائی</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القاضی عبد الجبار المعتزلی</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دلیل</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یدل علی أن الإخبار بما یکون مظنونا لیس بحسن</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حال</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بالاستدلال</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واحد</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فأما</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یقصد به الشیخ المفید رحمه اللّه، و قد صرح المفید بقوله هذا فی کتابه أوائل المقالات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علی محمد بن عبد الوهاب الجبائی، ولد سنة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فی جبا بخوزستان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درس علی أبی یعقوب الشحام الّذی کان رأس المعتزلة بالبصرة، و أصبح الجبائی رئیسا لهذه المدرسة بعد موت شیخه، و ظل هکذا إلی أن توفی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تلامیذه أبو الحسن البصری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الجبائی یعتقد أن صفات اللّه هی عین ذاته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تصانیف کثیرة</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متکلمو البصرة من أتباع مدرسة الاعتزال البصری</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أوائل المقالات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المعتمد فی أصول الفقه </w:t>
      </w:r>
      <w:r>
        <w:rPr>
          <w:rFonts w:eastAsia="IRNazanin" w:cs="IRNazanin"/>
          <w:b w:val="false"/>
          <w:bCs w:val="false"/>
          <w:i w:val="false"/>
          <w:iCs w:val="false"/>
          <w:color w:val="333333"/>
          <w:sz w:val="20"/>
          <w:szCs w:val="20"/>
        </w:rPr>
        <w:t>81:2</w:t>
      </w:r>
      <w:r>
        <w:rPr>
          <w:rFonts w:ascii="IRNazanin" w:hAnsi="IRNazanin" w:eastAsia="IRNazanin"/>
          <w:b w:val="false"/>
          <w:b w:val="false"/>
          <w:bCs w:val="false"/>
          <w:i w:val="false"/>
          <w:i w:val="false"/>
          <w:iCs w:val="false"/>
          <w:color w:val="333333"/>
          <w:sz w:val="20"/>
          <w:sz w:val="20"/>
          <w:szCs w:val="20"/>
          <w:rtl w:val="true"/>
        </w:rPr>
        <w:t>، المنخول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الذخیرة فی علم الکلام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التبصرة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الأحکام للآمدی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الإبهاج </w:t>
      </w:r>
      <w:r>
        <w:rPr>
          <w:rFonts w:eastAsia="IRNazanin" w:cs="IRNazanin"/>
          <w:b w:val="false"/>
          <w:bCs w:val="false"/>
          <w:i w:val="false"/>
          <w:iCs w:val="false"/>
          <w:color w:val="333333"/>
          <w:sz w:val="20"/>
          <w:szCs w:val="20"/>
        </w:rPr>
        <w:t>186:2</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اللمع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شرح اللمع </w:t>
      </w:r>
      <w:r>
        <w:rPr>
          <w:rFonts w:eastAsia="IRNazanin" w:cs="IRNazanin"/>
          <w:b w:val="false"/>
          <w:bCs w:val="false"/>
          <w:i w:val="false"/>
          <w:iCs w:val="false"/>
          <w:color w:val="333333"/>
          <w:sz w:val="20"/>
          <w:szCs w:val="20"/>
        </w:rPr>
        <w:t>575:2</w:t>
      </w:r>
      <w:r>
        <w:rPr>
          <w:rFonts w:ascii="IRNazanin" w:hAnsi="IRNazanin" w:eastAsia="IRNazanin"/>
          <w:b w:val="false"/>
          <w:b w:val="false"/>
          <w:bCs w:val="false"/>
          <w:i w:val="false"/>
          <w:i w:val="false"/>
          <w:iCs w:val="false"/>
          <w:color w:val="333333"/>
          <w:sz w:val="20"/>
          <w:sz w:val="20"/>
          <w:szCs w:val="20"/>
          <w:rtl w:val="true"/>
        </w:rPr>
        <w:t>، التبصرة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المنخول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اللمع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شرح اللمع </w:t>
      </w:r>
      <w:r>
        <w:rPr>
          <w:rFonts w:eastAsia="IRNazanin" w:cs="IRNazanin"/>
          <w:b w:val="false"/>
          <w:bCs w:val="false"/>
          <w:i w:val="false"/>
          <w:iCs w:val="false"/>
          <w:color w:val="333333"/>
          <w:sz w:val="20"/>
          <w:szCs w:val="20"/>
        </w:rPr>
        <w:t>575:2</w:t>
      </w:r>
      <w:r>
        <w:rPr>
          <w:rFonts w:ascii="IRNazanin" w:hAnsi="IRNazanin" w:eastAsia="IRNazanin"/>
          <w:b w:val="false"/>
          <w:b w:val="false"/>
          <w:bCs w:val="false"/>
          <w:i w:val="false"/>
          <w:i w:val="false"/>
          <w:iCs w:val="false"/>
          <w:color w:val="333333"/>
          <w:sz w:val="20"/>
          <w:sz w:val="20"/>
          <w:szCs w:val="20"/>
          <w:rtl w:val="true"/>
        </w:rPr>
        <w:t>، التبصرة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المنخول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النص منقول عن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الذخیرة فی علم الکلام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للشریف المرتضی</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لا</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ذکرناهما</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یمنع</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اللمع </w:t>
      </w:r>
      <w:r>
        <w:rPr>
          <w:rFonts w:eastAsia="IRNazanin" w:cs="IRNazanin"/>
          <w:b w:val="false"/>
          <w:bCs w:val="false"/>
          <w:i w:val="false"/>
          <w:iCs w:val="false"/>
          <w:color w:val="333333"/>
          <w:sz w:val="20"/>
          <w:szCs w:val="20"/>
        </w:rPr>
        <w:t>574:2</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نبینا صلی اللّه علیه و آله و سلم</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بدایة لفقرة ینقلها المصنف عن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الذخیرة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للشریف المرتضی</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زیادة من النسخة الحجریة</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الفقرة المنقولة عن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الذخیرة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للشریف المرتضی</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لو</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یجمعا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الحجریة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الذخیرة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یجمعهما</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خبرت من المتوسطات عنه</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زیادة من الأصل</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جماعة کثیرة</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بالرسول صلی اللّه علیه و آله و سلم</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زیادة من النسخة الثانیة</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المعتمد فی أصول الدین </w:t>
      </w:r>
      <w:r>
        <w:rPr>
          <w:rFonts w:eastAsia="IRNazanin" w:cs="IRNazanin"/>
          <w:b w:val="false"/>
          <w:bCs w:val="false"/>
          <w:i w:val="false"/>
          <w:iCs w:val="false"/>
          <w:color w:val="333333"/>
          <w:sz w:val="20"/>
          <w:szCs w:val="20"/>
        </w:rPr>
        <w:t>123:2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اللمع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شرح اللمع </w:t>
      </w:r>
      <w:r>
        <w:rPr>
          <w:rFonts w:eastAsia="IRNazanin" w:cs="IRNazanin"/>
          <w:b w:val="false"/>
          <w:bCs w:val="false"/>
          <w:i w:val="false"/>
          <w:iCs w:val="false"/>
          <w:color w:val="333333"/>
          <w:sz w:val="20"/>
          <w:szCs w:val="20"/>
        </w:rPr>
        <w:t>583:2</w:t>
      </w:r>
      <w:r>
        <w:rPr>
          <w:rFonts w:ascii="IRNazanin" w:hAnsi="IRNazanin" w:eastAsia="IRNazanin"/>
          <w:b w:val="false"/>
          <w:b w:val="false"/>
          <w:bCs w:val="false"/>
          <w:i w:val="false"/>
          <w:i w:val="false"/>
          <w:iCs w:val="false"/>
          <w:color w:val="333333"/>
          <w:sz w:val="20"/>
          <w:sz w:val="20"/>
          <w:szCs w:val="20"/>
          <w:rtl w:val="true"/>
        </w:rPr>
        <w:t>، الرسالة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التبصرة</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فأما</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زیادة ساقطة من الأصل</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یعرض</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زیادة فی الأصل</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تجویز</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یسهون</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المعتمد فی أصول الفقه </w:t>
      </w:r>
      <w:r>
        <w:rPr>
          <w:rFonts w:eastAsia="IRNazanin" w:cs="IRNazanin"/>
          <w:b w:val="false"/>
          <w:bCs w:val="false"/>
          <w:i w:val="false"/>
          <w:iCs w:val="false"/>
          <w:color w:val="333333"/>
          <w:sz w:val="20"/>
          <w:szCs w:val="20"/>
        </w:rPr>
        <w:t>80:2</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المعتمد فی أصول الفقه </w:t>
      </w:r>
      <w:r>
        <w:rPr>
          <w:rFonts w:eastAsia="IRNazanin" w:cs="IRNazanin"/>
          <w:b w:val="false"/>
          <w:bCs w:val="false"/>
          <w:i w:val="false"/>
          <w:iCs w:val="false"/>
          <w:color w:val="333333"/>
          <w:sz w:val="20"/>
          <w:szCs w:val="20"/>
        </w:rPr>
        <w:t>80:2</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الحجریة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یکون، و هو خطاء واضح</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 النبی</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محرق یلطم</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هامش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زیادة من النسخة الثانیة</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قیل</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زیادة من الحجریة</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المعتمد فی أصول الفقه </w:t>
      </w:r>
      <w:r>
        <w:rPr>
          <w:rFonts w:eastAsia="IRNazanin" w:cs="IRNazanin"/>
          <w:b w:val="false"/>
          <w:bCs w:val="false"/>
          <w:i w:val="false"/>
          <w:iCs w:val="false"/>
          <w:color w:val="333333"/>
          <w:sz w:val="20"/>
          <w:szCs w:val="20"/>
        </w:rPr>
        <w:t>101:2</w:t>
      </w:r>
      <w:r>
        <w:rPr>
          <w:rFonts w:ascii="IRNazanin" w:hAnsi="IRNazanin" w:eastAsia="IRNazanin"/>
          <w:b w:val="false"/>
          <w:b w:val="false"/>
          <w:bCs w:val="false"/>
          <w:i w:val="false"/>
          <w:i w:val="false"/>
          <w:iCs w:val="false"/>
          <w:color w:val="333333"/>
          <w:sz w:val="20"/>
          <w:sz w:val="20"/>
          <w:szCs w:val="20"/>
          <w:rtl w:val="true"/>
        </w:rPr>
        <w:t>، التبصرة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الذریعة إلی أصول الشریعة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هامش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هامش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فأما</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هامش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استخراج کنه 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150:6</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مبقیا</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مبقیا</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التبصرة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الأحکام </w:t>
      </w:r>
      <w:r>
        <w:rPr>
          <w:rFonts w:eastAsia="IRNazanin" w:cs="IRNazanin"/>
          <w:b w:val="false"/>
          <w:bCs w:val="false"/>
          <w:i w:val="false"/>
          <w:iCs w:val="false"/>
          <w:color w:val="333333"/>
          <w:sz w:val="20"/>
          <w:szCs w:val="20"/>
        </w:rPr>
        <w:t>103:1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المعتمد </w:t>
      </w:r>
      <w:r>
        <w:rPr>
          <w:rFonts w:eastAsia="IRNazanin" w:cs="IRNazanin"/>
          <w:b w:val="false"/>
          <w:bCs w:val="false"/>
          <w:i w:val="false"/>
          <w:iCs w:val="false"/>
          <w:color w:val="333333"/>
          <w:sz w:val="20"/>
          <w:szCs w:val="20"/>
        </w:rPr>
        <w:t>110:2</w:t>
      </w:r>
      <w:r>
        <w:rPr>
          <w:rFonts w:ascii="IRNazanin" w:hAnsi="IRNazanin" w:eastAsia="IRNazanin"/>
          <w:b w:val="false"/>
          <w:b w:val="false"/>
          <w:bCs w:val="false"/>
          <w:i w:val="false"/>
          <w:i w:val="false"/>
          <w:iCs w:val="false"/>
          <w:color w:val="333333"/>
          <w:sz w:val="20"/>
          <w:sz w:val="20"/>
          <w:szCs w:val="20"/>
          <w:rtl w:val="true"/>
        </w:rPr>
        <w:t xml:space="preserve">، شرح اللمع </w:t>
      </w:r>
      <w:r>
        <w:rPr>
          <w:rFonts w:eastAsia="IRNazanin" w:cs="IRNazanin"/>
          <w:b w:val="false"/>
          <w:bCs w:val="false"/>
          <w:i w:val="false"/>
          <w:iCs w:val="false"/>
          <w:color w:val="333333"/>
          <w:sz w:val="20"/>
          <w:szCs w:val="20"/>
        </w:rPr>
        <w:t>588:2</w:t>
      </w:r>
      <w:r>
        <w:rPr>
          <w:rFonts w:ascii="IRNazanin" w:hAnsi="IRNazanin" w:eastAsia="IRNazanin"/>
          <w:b w:val="false"/>
          <w:b w:val="false"/>
          <w:bCs w:val="false"/>
          <w:i w:val="false"/>
          <w:i w:val="false"/>
          <w:iCs w:val="false"/>
          <w:color w:val="333333"/>
          <w:sz w:val="20"/>
          <w:sz w:val="20"/>
          <w:szCs w:val="20"/>
          <w:rtl w:val="true"/>
        </w:rPr>
        <w:t xml:space="preserve">، الذریعة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تخریج الحدیث فی هامش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ذلک</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بخبر</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الإحکام </w:t>
      </w:r>
      <w:r>
        <w:rPr>
          <w:rFonts w:eastAsia="IRNazanin" w:cs="IRNazanin"/>
          <w:b w:val="false"/>
          <w:bCs w:val="false"/>
          <w:i w:val="false"/>
          <w:iCs w:val="false"/>
          <w:color w:val="333333"/>
          <w:sz w:val="20"/>
          <w:szCs w:val="20"/>
        </w:rPr>
        <w:t>107:1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المعتمد </w:t>
      </w:r>
      <w:r>
        <w:rPr>
          <w:rFonts w:eastAsia="IRNazanin" w:cs="IRNazanin"/>
          <w:b w:val="false"/>
          <w:bCs w:val="false"/>
          <w:i w:val="false"/>
          <w:iCs w:val="false"/>
          <w:color w:val="333333"/>
          <w:sz w:val="20"/>
          <w:szCs w:val="20"/>
        </w:rPr>
        <w:t>120:2</w:t>
      </w:r>
      <w:r>
        <w:rPr>
          <w:rFonts w:ascii="IRNazanin" w:hAnsi="IRNazanin" w:eastAsia="IRNazanin"/>
          <w:b w:val="false"/>
          <w:b w:val="false"/>
          <w:bCs w:val="false"/>
          <w:i w:val="false"/>
          <w:i w:val="false"/>
          <w:iCs w:val="false"/>
          <w:color w:val="333333"/>
          <w:sz w:val="20"/>
          <w:sz w:val="20"/>
          <w:szCs w:val="20"/>
          <w:rtl w:val="true"/>
        </w:rPr>
        <w:t xml:space="preserve">، شرح اللمع </w:t>
      </w:r>
      <w:r>
        <w:rPr>
          <w:rFonts w:eastAsia="IRNazanin" w:cs="IRNazanin"/>
          <w:b w:val="false"/>
          <w:bCs w:val="false"/>
          <w:i w:val="false"/>
          <w:iCs w:val="false"/>
          <w:color w:val="333333"/>
          <w:sz w:val="20"/>
          <w:szCs w:val="20"/>
        </w:rPr>
        <w:t>589:2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588</w:t>
      </w:r>
      <w:r>
        <w:rPr>
          <w:rFonts w:ascii="IRNazanin" w:hAnsi="IRNazanin" w:eastAsia="IRNazanin"/>
          <w:b w:val="false"/>
          <w:b w:val="false"/>
          <w:bCs w:val="false"/>
          <w:i w:val="false"/>
          <w:i w:val="false"/>
          <w:iCs w:val="false"/>
          <w:color w:val="333333"/>
          <w:sz w:val="20"/>
          <w:sz w:val="20"/>
          <w:szCs w:val="20"/>
          <w:rtl w:val="true"/>
        </w:rPr>
        <w:t>، التبصرة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المنخول</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التعلیقة صفحة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أجوبة المصنف و ردوده فی صفحة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نحن لا نسلم</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هل</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بمجردها</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استخراج کنه الأمر</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دلیل العقل</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نقطع</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لیس القطع بحظره من باب العمل حتی یکون هذا الخبر موجبه فیعمل به، فالتقدیر و لا هو موجب العمل من هذه الحیثیة</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عدم أعماله لأنه لیس من جزئیاته</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منی</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بالنص، المتواتر دون القراءة الشاذة، فهو القدر المشترک بین الصریح و الظاهر</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العلم بجواز العمل به سواء أوجب العلم بکون متضمنه حکم اللّه فی الواقع فیجوز الفتوی به أیضا أم لا</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یخالفه</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إلی ذلک موجب العلم</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هامش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مع قطع النّظر عن المعارض أو مع المعارض أیضا</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رقم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و نحوه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301:6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412:7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و 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فهی</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فلأجل</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فلأجل</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مشیخة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xml:space="preserve">، و مشیخة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یقتضی</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الإباحة</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جمیعا عندنا</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التعلیقة فی صفحة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إلا أن الطوسی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یوجه نقده لکلام شیخه الشریف المرتضی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التبیان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ظاهرا</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الأمر</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أطلق</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نفهم</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زیادة فی النسخة الثانیة</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التعلیقة فی صفحة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التعلیقة فی صفحة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تعلقوا</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أیضا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التبیان فی تفسیر القرآن </w:t>
      </w:r>
      <w:r>
        <w:rPr>
          <w:rFonts w:eastAsia="IRNazanin" w:cs="IRNazanin"/>
          <w:b w:val="false"/>
          <w:bCs w:val="false"/>
          <w:i w:val="false"/>
          <w:iCs w:val="false"/>
          <w:color w:val="333333"/>
          <w:sz w:val="20"/>
          <w:szCs w:val="20"/>
        </w:rPr>
        <w:t>359:4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التقریع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التأنیب و التعنیف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الإیجاع باللوم، و قرعت الرّجل إذا وبخته و عذلته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121:11</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و أیضا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التبیان فی تفسیر القرآن </w:t>
      </w:r>
      <w:r>
        <w:rPr>
          <w:rFonts w:eastAsia="IRNazanin" w:cs="IRNazanin"/>
          <w:b w:val="false"/>
          <w:bCs w:val="false"/>
          <w:i w:val="false"/>
          <w:iCs w:val="false"/>
          <w:color w:val="333333"/>
          <w:sz w:val="20"/>
          <w:szCs w:val="20"/>
        </w:rPr>
        <w:t>467:7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الوجود</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قولک</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قولکم</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المعتمد فی أصول الفقه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التعلیقة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صفحة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إلی أصول الشریعة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جائزا أمره بالمباحات</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 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فَإِذا تَطَهَّرْنَ فَأْتُوهُنَّ مِنْ حَیْثُ أَمَرَکُمُ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التبصرة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المعتمد </w:t>
      </w:r>
      <w:r>
        <w:rPr>
          <w:rFonts w:eastAsia="IRNazanin" w:cs="IRNazanin"/>
          <w:b w:val="false"/>
          <w:bCs w:val="false"/>
          <w:i w:val="false"/>
          <w:iCs w:val="false"/>
          <w:color w:val="333333"/>
          <w:sz w:val="20"/>
          <w:szCs w:val="20"/>
        </w:rPr>
        <w:t>77:1</w:t>
      </w:r>
      <w:r>
        <w:rPr>
          <w:rFonts w:ascii="IRNazanin" w:hAnsi="IRNazanin" w:eastAsia="IRNazanin"/>
          <w:b w:val="false"/>
          <w:b w:val="false"/>
          <w:bCs w:val="false"/>
          <w:i w:val="false"/>
          <w:i w:val="false"/>
          <w:iCs w:val="false"/>
          <w:color w:val="333333"/>
          <w:sz w:val="20"/>
          <w:sz w:val="20"/>
          <w:szCs w:val="20"/>
          <w:rtl w:val="true"/>
        </w:rPr>
        <w:t xml:space="preserve">، میزان الأصول </w:t>
      </w:r>
      <w:r>
        <w:rPr>
          <w:rFonts w:eastAsia="IRNazanin" w:cs="IRNazanin"/>
          <w:b w:val="false"/>
          <w:bCs w:val="false"/>
          <w:i w:val="false"/>
          <w:iCs w:val="false"/>
          <w:color w:val="333333"/>
          <w:sz w:val="20"/>
          <w:szCs w:val="20"/>
        </w:rPr>
        <w:t>228:1</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الفتاوی الهندیة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185:2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کیف یعدل الصیام</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عدوا</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بمستضاد</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زیادة من الأصل</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أمر مثله صادر من الآمر الحکیم</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التعلیقة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التعلیقة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التبصرة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شرح اللمع </w:t>
      </w:r>
      <w:r>
        <w:rPr>
          <w:rFonts w:eastAsia="IRNazanin" w:cs="IRNazanin"/>
          <w:b w:val="false"/>
          <w:bCs w:val="false"/>
          <w:i w:val="false"/>
          <w:iCs w:val="false"/>
          <w:color w:val="333333"/>
          <w:sz w:val="20"/>
          <w:szCs w:val="20"/>
        </w:rPr>
        <w:t>228:1</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التعلیقة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الأمر</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التعلیقة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المعتمد </w:t>
      </w:r>
      <w:r>
        <w:rPr>
          <w:rFonts w:eastAsia="IRNazanin" w:cs="IRNazanin"/>
          <w:b w:val="false"/>
          <w:bCs w:val="false"/>
          <w:i w:val="false"/>
          <w:iCs w:val="false"/>
          <w:color w:val="333333"/>
          <w:sz w:val="20"/>
          <w:szCs w:val="20"/>
        </w:rPr>
        <w:t>109:1</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التبصرة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شرح اللمع </w:t>
      </w:r>
      <w:r>
        <w:rPr>
          <w:rFonts w:eastAsia="IRNazanin" w:cs="IRNazanin"/>
          <w:b w:val="false"/>
          <w:bCs w:val="false"/>
          <w:i w:val="false"/>
          <w:iCs w:val="false"/>
          <w:color w:val="333333"/>
          <w:sz w:val="20"/>
          <w:szCs w:val="20"/>
        </w:rPr>
        <w:t>230:1</w:t>
      </w:r>
      <w:r>
        <w:rPr>
          <w:rFonts w:ascii="IRNazanin" w:hAnsi="IRNazanin" w:eastAsia="IRNazanin"/>
          <w:b w:val="false"/>
          <w:b w:val="false"/>
          <w:bCs w:val="false"/>
          <w:i w:val="false"/>
          <w:i w:val="false"/>
          <w:iCs w:val="false"/>
          <w:color w:val="333333"/>
          <w:sz w:val="20"/>
          <w:sz w:val="20"/>
          <w:szCs w:val="20"/>
          <w:rtl w:val="true"/>
        </w:rPr>
        <w:t xml:space="preserve">، المعتمد </w:t>
      </w:r>
      <w:r>
        <w:rPr>
          <w:rFonts w:eastAsia="IRNazanin" w:cs="IRNazanin"/>
          <w:b w:val="false"/>
          <w:bCs w:val="false"/>
          <w:i w:val="false"/>
          <w:iCs w:val="false"/>
          <w:color w:val="333333"/>
          <w:sz w:val="20"/>
          <w:szCs w:val="20"/>
        </w:rPr>
        <w:t>108:1</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التبصرة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شرح اللمع </w:t>
      </w:r>
      <w:r>
        <w:rPr>
          <w:rFonts w:eastAsia="IRNazanin" w:cs="IRNazanin"/>
          <w:b w:val="false"/>
          <w:bCs w:val="false"/>
          <w:i w:val="false"/>
          <w:iCs w:val="false"/>
          <w:color w:val="333333"/>
          <w:sz w:val="20"/>
          <w:szCs w:val="20"/>
        </w:rPr>
        <w:t>230:1</w:t>
      </w:r>
      <w:r>
        <w:rPr>
          <w:rFonts w:ascii="IRNazanin" w:hAnsi="IRNazanin" w:eastAsia="IRNazanin"/>
          <w:b w:val="false"/>
          <w:b w:val="false"/>
          <w:bCs w:val="false"/>
          <w:i w:val="false"/>
          <w:i w:val="false"/>
          <w:iCs w:val="false"/>
          <w:color w:val="333333"/>
          <w:sz w:val="20"/>
          <w:sz w:val="20"/>
          <w:szCs w:val="20"/>
          <w:rtl w:val="true"/>
        </w:rPr>
        <w:t xml:space="preserve">، المعتمد </w:t>
      </w:r>
      <w:r>
        <w:rPr>
          <w:rFonts w:eastAsia="IRNazanin" w:cs="IRNazanin"/>
          <w:b w:val="false"/>
          <w:bCs w:val="false"/>
          <w:i w:val="false"/>
          <w:iCs w:val="false"/>
          <w:color w:val="333333"/>
          <w:sz w:val="20"/>
          <w:szCs w:val="20"/>
        </w:rPr>
        <w:t>108:1</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النسخة، و الأولی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کذا لو بطل کونه مصلحة علی ما تناوله الأمر</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التبصرة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شرح اللمع </w:t>
      </w:r>
      <w:r>
        <w:rPr>
          <w:rFonts w:eastAsia="IRNazanin" w:cs="IRNazanin"/>
          <w:b w:val="false"/>
          <w:bCs w:val="false"/>
          <w:i w:val="false"/>
          <w:iCs w:val="false"/>
          <w:color w:val="333333"/>
          <w:sz w:val="20"/>
          <w:szCs w:val="20"/>
        </w:rPr>
        <w:t>265:1</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کذلک</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کلام الشیخ حول بطلان تسمیة الفعل الثانی قضاء فی صفحة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رأی المصنف فی صفحة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النسخة و الأظهر أن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عین الأول</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 و 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الخبر إذا تکرر اقتضی</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التبیان فی تفسیر القرآن </w:t>
      </w:r>
      <w:r>
        <w:rPr>
          <w:rFonts w:eastAsia="IRNazanin" w:cs="IRNazanin"/>
          <w:b w:val="false"/>
          <w:bCs w:val="false"/>
          <w:i w:val="false"/>
          <w:iCs w:val="false"/>
          <w:color w:val="333333"/>
          <w:sz w:val="20"/>
          <w:szCs w:val="20"/>
        </w:rPr>
        <w:t>484:9</w:t>
      </w:r>
      <w:r>
        <w:rPr>
          <w:rFonts w:ascii="IRNazanin" w:hAnsi="IRNazanin" w:eastAsia="IRNazanin"/>
          <w:b w:val="false"/>
          <w:b w:val="false"/>
          <w:bCs w:val="false"/>
          <w:i w:val="false"/>
          <w:i w:val="false"/>
          <w:iCs w:val="false"/>
          <w:color w:val="333333"/>
          <w:sz w:val="20"/>
          <w:sz w:val="20"/>
          <w:szCs w:val="20"/>
          <w:rtl w:val="true"/>
        </w:rPr>
        <w:t xml:space="preserve">، تفسیر الطبری </w:t>
      </w:r>
      <w:r>
        <w:rPr>
          <w:rFonts w:eastAsia="IRNazanin" w:cs="IRNazanin"/>
          <w:b w:val="false"/>
          <w:bCs w:val="false"/>
          <w:i w:val="false"/>
          <w:iCs w:val="false"/>
          <w:color w:val="333333"/>
          <w:sz w:val="20"/>
          <w:szCs w:val="20"/>
        </w:rPr>
        <w:t>91:27</w:t>
      </w:r>
      <w:r>
        <w:rPr>
          <w:rFonts w:ascii="IRNazanin" w:hAnsi="IRNazanin" w:eastAsia="IRNazanin"/>
          <w:b w:val="false"/>
          <w:b w:val="false"/>
          <w:bCs w:val="false"/>
          <w:i w:val="false"/>
          <w:i w:val="false"/>
          <w:iCs w:val="false"/>
          <w:color w:val="333333"/>
          <w:sz w:val="20"/>
          <w:sz w:val="20"/>
          <w:szCs w:val="20"/>
          <w:rtl w:val="true"/>
        </w:rPr>
        <w:t xml:space="preserve">، الکشاف </w:t>
      </w:r>
      <w:r>
        <w:rPr>
          <w:rFonts w:eastAsia="IRNazanin" w:cs="IRNazanin"/>
          <w:b w:val="false"/>
          <w:bCs w:val="false"/>
          <w:i w:val="false"/>
          <w:iCs w:val="false"/>
          <w:color w:val="333333"/>
          <w:sz w:val="20"/>
          <w:szCs w:val="20"/>
        </w:rPr>
        <w:t>453:4</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التعلیقة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التعلیقة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الشیخ أبو عبد اللّه الحسین بن علی البصری المعروف بالجعل</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التعلیقة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التعلیقة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زیادة فی الأصل</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التعلیقة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التعلیقة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زیادة تقتضیها العبارة لتتطابق مع مذهب الشیخ الطوسی</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مختار الشیخ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استدلاله علی ذلک فی صفحة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الباقی</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التعلیقة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التعلیقة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زیادة من النسخة الثانیة</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إلی أصول الشریعة </w:t>
      </w:r>
      <w:r>
        <w:rPr>
          <w:rFonts w:eastAsia="IRNazanin" w:cs="IRNazanin"/>
          <w:b w:val="false"/>
          <w:bCs w:val="false"/>
          <w:i w:val="false"/>
          <w:iCs w:val="false"/>
          <w:color w:val="333333"/>
          <w:sz w:val="20"/>
          <w:szCs w:val="20"/>
        </w:rPr>
        <w:t>131:1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زیادة من الأصل</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استدلال الشّیخ علی هذه المسألة فی صفحة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خطأ</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التبصرة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شرح اللّمع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کلامه فی صفحة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حینما یقول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 الجواب عنه أن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ذلک کلّه</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التعلیقة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التعلیقة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التعلیقة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التعلیقة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 السمرقندی هذا القول لأبی الحسن الکرخی، و نسبه أبو الحسین البصری للکرخی و لأکثر أصحابه من المعتزلة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میزان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المعتمد </w:t>
      </w:r>
      <w:r>
        <w:rPr>
          <w:rFonts w:eastAsia="IRNazanin" w:cs="IRNazanin"/>
          <w:b w:val="false"/>
          <w:bCs w:val="false"/>
          <w:i w:val="false"/>
          <w:iCs w:val="false"/>
          <w:color w:val="333333"/>
          <w:sz w:val="20"/>
          <w:szCs w:val="20"/>
        </w:rPr>
        <w:t>125:1</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علمنا</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أجری علی الواجب، و فی الحجریة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أجزأت</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التعلیقة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المفید أبو عبد اللّه محمّد بن محمّد بن النعمان العکبری البغدادی رضی اللّه تعالی عنه</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w:t>
      </w:r>
      <w:r>
        <w:rPr>
          <w:rFonts w:eastAsia="IRNazanin" w:cs="IRNazanin"/>
          <w:b w:val="false"/>
          <w:bCs w:val="false"/>
          <w:i w:val="false"/>
          <w:iCs w:val="false"/>
          <w:color w:val="333333"/>
          <w:sz w:val="20"/>
          <w:szCs w:val="20"/>
        </w:rPr>
        <w:t>150:1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المعبّر بوقت مضیّق</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فأمّا</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اجتمعت</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النهایة فی مجرد الفقه و الفتاوی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کتاب الطهارة، باب حکم الحائض و المستحاضة و النفساء</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یشبه</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قول المجبّرة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نسبه إلیهم المرتضی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الراوندی و عباد الصیمری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المعتزلة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التعلیقة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w:t>
      </w:r>
      <w:r>
        <w:rPr>
          <w:rFonts w:eastAsia="IRNazanin" w:cs="IRNazanin"/>
          <w:b w:val="false"/>
          <w:bCs w:val="false"/>
          <w:i w:val="false"/>
          <w:iCs w:val="false"/>
          <w:color w:val="333333"/>
          <w:sz w:val="20"/>
          <w:szCs w:val="20"/>
        </w:rPr>
        <w:t>172:1</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یصحّ</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التعلیقة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استدلال المصنّف علی مختاره فی صفحة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زیادة من النسخة الثّانیة</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التعلیقة 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بیان المصنف فی صفحة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و التعلیقة 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صفحة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إلی أدلّة الشیخ الطوسی فی الأمر المؤقّت فی صفحة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النّهی عن الشّیء فلیس بأمر بضدّه</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مجزی</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التعلیقة 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کان یکون جوابنا</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لحکمت</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الذریعة </w:t>
      </w:r>
      <w:r>
        <w:rPr>
          <w:rFonts w:eastAsia="IRNazanin" w:cs="IRNazanin"/>
          <w:b w:val="false"/>
          <w:bCs w:val="false"/>
          <w:i w:val="false"/>
          <w:iCs w:val="false"/>
          <w:color w:val="333333"/>
          <w:sz w:val="20"/>
          <w:szCs w:val="20"/>
        </w:rPr>
        <w:t>189:1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المعتمد </w:t>
      </w:r>
      <w:r>
        <w:rPr>
          <w:rFonts w:eastAsia="IRNazanin" w:cs="IRNazanin"/>
          <w:b w:val="false"/>
          <w:bCs w:val="false"/>
          <w:i w:val="false"/>
          <w:iCs w:val="false"/>
          <w:color w:val="333333"/>
          <w:sz w:val="20"/>
          <w:szCs w:val="20"/>
        </w:rPr>
        <w:t>177:1</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الذریعة </w:t>
      </w:r>
      <w:r>
        <w:rPr>
          <w:rFonts w:eastAsia="IRNazanin" w:cs="IRNazanin"/>
          <w:b w:val="false"/>
          <w:bCs w:val="false"/>
          <w:i w:val="false"/>
          <w:iCs w:val="false"/>
          <w:color w:val="333333"/>
          <w:sz w:val="20"/>
          <w:szCs w:val="20"/>
        </w:rPr>
        <w:t>189:1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المعتمد </w:t>
      </w:r>
      <w:r>
        <w:rPr>
          <w:rFonts w:eastAsia="IRNazanin" w:cs="IRNazanin"/>
          <w:b w:val="false"/>
          <w:bCs w:val="false"/>
          <w:i w:val="false"/>
          <w:iCs w:val="false"/>
          <w:color w:val="333333"/>
          <w:sz w:val="20"/>
          <w:szCs w:val="20"/>
        </w:rPr>
        <w:t>177:1</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البیع</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أتی أبو الحسین البصری فی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المعتمد </w:t>
      </w:r>
      <w:r>
        <w:rPr>
          <w:rFonts w:eastAsia="IRNazanin" w:cs="IRNazanin"/>
          <w:b w:val="false"/>
          <w:bCs w:val="false"/>
          <w:i w:val="false"/>
          <w:iCs w:val="false"/>
          <w:color w:val="333333"/>
          <w:sz w:val="20"/>
          <w:szCs w:val="20"/>
        </w:rPr>
        <w:t>179:1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بهذه الحکایة و نسبها للشیخ أبی عبد اللّه البصری نفسه</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المنهیّ</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میزان الأصول </w:t>
      </w:r>
      <w:r>
        <w:rPr>
          <w:rFonts w:eastAsia="IRNazanin" w:cs="IRNazanin"/>
          <w:b w:val="false"/>
          <w:bCs w:val="false"/>
          <w:i w:val="false"/>
          <w:iCs w:val="false"/>
          <w:color w:val="333333"/>
          <w:sz w:val="20"/>
          <w:szCs w:val="20"/>
        </w:rPr>
        <w:t>396:1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 المعتمد </w:t>
      </w:r>
      <w:r>
        <w:rPr>
          <w:rFonts w:eastAsia="IRNazanin" w:cs="IRNazanin"/>
          <w:b w:val="false"/>
          <w:bCs w:val="false"/>
          <w:i w:val="false"/>
          <w:iCs w:val="false"/>
          <w:color w:val="333333"/>
          <w:sz w:val="20"/>
          <w:szCs w:val="20"/>
        </w:rPr>
        <w:t>223:1</w:t>
      </w:r>
      <w:r>
        <w:rPr>
          <w:rFonts w:ascii="IRNazanin" w:hAnsi="IRNazanin" w:eastAsia="IRNazanin"/>
          <w:b w:val="false"/>
          <w:b w:val="false"/>
          <w:bCs w:val="false"/>
          <w:i w:val="false"/>
          <w:i w:val="false"/>
          <w:iCs w:val="false"/>
          <w:color w:val="333333"/>
          <w:sz w:val="20"/>
          <w:sz w:val="20"/>
          <w:szCs w:val="20"/>
          <w:rtl w:val="true"/>
        </w:rPr>
        <w:t xml:space="preserve">، الذریعة </w:t>
      </w:r>
      <w:r>
        <w:rPr>
          <w:rFonts w:eastAsia="IRNazanin" w:cs="IRNazanin"/>
          <w:b w:val="false"/>
          <w:bCs w:val="false"/>
          <w:i w:val="false"/>
          <w:iCs w:val="false"/>
          <w:color w:val="333333"/>
          <w:sz w:val="20"/>
          <w:szCs w:val="20"/>
        </w:rPr>
        <w:t>222:1</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میزان الأصول </w:t>
      </w:r>
      <w:r>
        <w:rPr>
          <w:rFonts w:eastAsia="IRNazanin" w:cs="IRNazanin"/>
          <w:b w:val="false"/>
          <w:bCs w:val="false"/>
          <w:i w:val="false"/>
          <w:iCs w:val="false"/>
          <w:color w:val="333333"/>
          <w:sz w:val="20"/>
          <w:szCs w:val="20"/>
        </w:rPr>
        <w:t>396:1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 المعتمد </w:t>
      </w:r>
      <w:r>
        <w:rPr>
          <w:rFonts w:eastAsia="IRNazanin" w:cs="IRNazanin"/>
          <w:b w:val="false"/>
          <w:bCs w:val="false"/>
          <w:i w:val="false"/>
          <w:iCs w:val="false"/>
          <w:color w:val="333333"/>
          <w:sz w:val="20"/>
          <w:szCs w:val="20"/>
        </w:rPr>
        <w:t>223:1</w:t>
      </w:r>
      <w:r>
        <w:rPr>
          <w:rFonts w:ascii="IRNazanin" w:hAnsi="IRNazanin" w:eastAsia="IRNazanin"/>
          <w:b w:val="false"/>
          <w:b w:val="false"/>
          <w:bCs w:val="false"/>
          <w:i w:val="false"/>
          <w:i w:val="false"/>
          <w:iCs w:val="false"/>
          <w:color w:val="333333"/>
          <w:sz w:val="20"/>
          <w:sz w:val="20"/>
          <w:szCs w:val="20"/>
          <w:rtl w:val="true"/>
        </w:rPr>
        <w:t xml:space="preserve">، الذریعة </w:t>
      </w:r>
      <w:r>
        <w:rPr>
          <w:rFonts w:eastAsia="IRNazanin" w:cs="IRNazanin"/>
          <w:b w:val="false"/>
          <w:bCs w:val="false"/>
          <w:i w:val="false"/>
          <w:iCs w:val="false"/>
          <w:color w:val="333333"/>
          <w:sz w:val="20"/>
          <w:szCs w:val="20"/>
        </w:rPr>
        <w:t>222:1</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التعلیقة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المعتمد فی أصول الفقه </w:t>
      </w:r>
      <w:r>
        <w:rPr>
          <w:rFonts w:eastAsia="IRNazanin" w:cs="IRNazanin"/>
          <w:b w:val="false"/>
          <w:bCs w:val="false"/>
          <w:i w:val="false"/>
          <w:iCs w:val="false"/>
          <w:color w:val="333333"/>
          <w:sz w:val="20"/>
          <w:szCs w:val="20"/>
        </w:rPr>
        <w:t>230:1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منفردا عن أبیه أبی علیّ</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الانفطار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المعتمد فی أصول الفقه </w:t>
      </w:r>
      <w:r>
        <w:rPr>
          <w:rFonts w:eastAsia="IRNazanin" w:cs="IRNazanin"/>
          <w:b w:val="false"/>
          <w:bCs w:val="false"/>
          <w:i w:val="false"/>
          <w:iCs w:val="false"/>
          <w:color w:val="333333"/>
          <w:sz w:val="20"/>
          <w:szCs w:val="20"/>
        </w:rPr>
        <w:t>228:1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هامش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صفحة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الانفطار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إرادة الجنس فی بعض الأحوال</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المعتمد فی أصول الفقه </w:t>
      </w:r>
      <w:r>
        <w:rPr>
          <w:rFonts w:eastAsia="IRNazanin" w:cs="IRNazanin"/>
          <w:b w:val="false"/>
          <w:bCs w:val="false"/>
          <w:i w:val="false"/>
          <w:iCs w:val="false"/>
          <w:color w:val="333333"/>
          <w:sz w:val="20"/>
          <w:szCs w:val="20"/>
        </w:rPr>
        <w:t>228:1</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 و الکسر من الملابس، معروفة</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علی القدر المشترک بینهما، و هو الجنس من حیث هو</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المعتمد فی أصول الفقه </w:t>
      </w:r>
      <w:r>
        <w:rPr>
          <w:rFonts w:eastAsia="IRNazanin" w:cs="IRNazanin"/>
          <w:b w:val="false"/>
          <w:bCs w:val="false"/>
          <w:i w:val="false"/>
          <w:iCs w:val="false"/>
          <w:color w:val="333333"/>
          <w:sz w:val="20"/>
          <w:szCs w:val="20"/>
        </w:rPr>
        <w:t>224:1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المعتمد فی أصول الفقه </w:t>
      </w:r>
      <w:r>
        <w:rPr>
          <w:rFonts w:eastAsia="IRNazanin" w:cs="IRNazanin"/>
          <w:b w:val="false"/>
          <w:bCs w:val="false"/>
          <w:i w:val="false"/>
          <w:iCs w:val="false"/>
          <w:color w:val="333333"/>
          <w:sz w:val="20"/>
          <w:szCs w:val="20"/>
        </w:rPr>
        <w:t>225:1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کلام المصنّف فی الفصل الوارد بعنوان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ذکر جملة من أحکام الشّرط، و تخصیص العموم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ألحق المصنّف فیما بعد قسما رابعا و هو التّخصیص بتعلیق الحکم بالغایة، انظر صفحة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 المبتدأ عن المبتدأ</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باب العموم</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فأمّا</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المعتمد فی أصول الفقه </w:t>
      </w:r>
      <w:r>
        <w:rPr>
          <w:rFonts w:eastAsia="IRNazanin" w:cs="IRNazanin"/>
          <w:b w:val="false"/>
          <w:bCs w:val="false"/>
          <w:i w:val="false"/>
          <w:iCs w:val="false"/>
          <w:color w:val="333333"/>
          <w:sz w:val="20"/>
          <w:szCs w:val="20"/>
        </w:rPr>
        <w:t>244:1</w:t>
      </w:r>
      <w:r>
        <w:rPr>
          <w:rFonts w:ascii="IRNazanin" w:hAnsi="IRNazanin" w:eastAsia="IRNazanin"/>
          <w:b w:val="false"/>
          <w:b w:val="false"/>
          <w:bCs w:val="false"/>
          <w:i w:val="false"/>
          <w:i w:val="false"/>
          <w:iCs w:val="false"/>
          <w:color w:val="333333"/>
          <w:sz w:val="20"/>
          <w:sz w:val="20"/>
          <w:szCs w:val="20"/>
          <w:rtl w:val="true"/>
        </w:rPr>
        <w:t xml:space="preserve">، میزان الأصول </w:t>
      </w:r>
      <w:r>
        <w:rPr>
          <w:rFonts w:eastAsia="IRNazanin" w:cs="IRNazanin"/>
          <w:b w:val="false"/>
          <w:bCs w:val="false"/>
          <w:i w:val="false"/>
          <w:iCs w:val="false"/>
          <w:color w:val="333333"/>
          <w:sz w:val="20"/>
          <w:szCs w:val="20"/>
        </w:rPr>
        <w:t>458:1</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المعتمد فی أصول الفقه </w:t>
      </w:r>
      <w:r>
        <w:rPr>
          <w:rFonts w:eastAsia="IRNazanin" w:cs="IRNazanin"/>
          <w:b w:val="false"/>
          <w:bCs w:val="false"/>
          <w:i w:val="false"/>
          <w:iCs w:val="false"/>
          <w:color w:val="333333"/>
          <w:sz w:val="20"/>
          <w:szCs w:val="20"/>
        </w:rPr>
        <w:t>245:1</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ذیل التعلیقة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قدّس اللّه روحه</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لا یکون</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 أن یشاء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یطلق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شاء اللّه</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أقوالهم و استدلالاتهم فی المصادر المذکورة ذیل التعلیقة 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نوعا و إن اتّحدا جنسا</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لصحّ</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العنکبوت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سیّما إذا لم یتأخّر فی الزمان</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استدلالات الشافعی حول القیاس فی کتابه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الرسالة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بحال</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زیادة من النسخة الثّانیة</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دلیل</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هامش 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المعتمد </w:t>
      </w:r>
      <w:r>
        <w:rPr>
          <w:rFonts w:eastAsia="IRNazanin" w:cs="IRNazanin"/>
          <w:b w:val="false"/>
          <w:bCs w:val="false"/>
          <w:i w:val="false"/>
          <w:iCs w:val="false"/>
          <w:color w:val="333333"/>
          <w:sz w:val="20"/>
          <w:szCs w:val="20"/>
        </w:rPr>
        <w:t>255:1</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استدلال المصنّف حول عدم حجیّة خبر الواحد و أنّه لا یوجب العلم فی صفحة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تخریج الحدیث فی هامش 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مستند الإجماع هنا عقلا ما ذکره من أنّه إقدام علی ما لا نأمن کونه جهلا مرکّبا</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نقلها</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274:7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التعلیقة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التبصرة فی أصول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للصحابة</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زیادة من الأصل</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بخصوصه بأن یقتضی قبحه کما فی الکذب الضّار، أو حسنه کما فی الصدق النافع</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استعمل فی خلافه یبیّن به</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کلام المصنّف فی صفحة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لغایة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منهم الشّیخ أبی إسحاق الشیرازی حیث صرّح بهذا الرّأی فی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اللّمع </w:t>
      </w:r>
      <w:r>
        <w:rPr>
          <w:rFonts w:eastAsia="IRNazanin" w:cs="IRNazanin"/>
          <w:b w:val="false"/>
          <w:bCs w:val="false"/>
          <w:i w:val="false"/>
          <w:iCs w:val="false"/>
          <w:color w:val="333333"/>
          <w:sz w:val="20"/>
          <w:szCs w:val="20"/>
        </w:rPr>
        <w:t>390:1</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البخاری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الوضوء ح رقم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هذا مذهب الشّریف المرتضی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الذریعة </w:t>
      </w:r>
      <w:r>
        <w:rPr>
          <w:rFonts w:eastAsia="IRNazanin" w:cs="IRNazanin"/>
          <w:b w:val="false"/>
          <w:bCs w:val="false"/>
          <w:i w:val="false"/>
          <w:iCs w:val="false"/>
          <w:color w:val="333333"/>
          <w:sz w:val="20"/>
          <w:szCs w:val="20"/>
        </w:rPr>
        <w:t>306:1</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أن یکون الحکم واحدا و محلّ الحکم أعمّ</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93:4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9698</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572:9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27473</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الإحسان بترتیب صحیح ابن حبّان </w:t>
      </w:r>
      <w:r>
        <w:rPr>
          <w:rFonts w:eastAsia="IRNazanin" w:cs="IRNazanin"/>
          <w:b w:val="false"/>
          <w:bCs w:val="false"/>
          <w:i w:val="false"/>
          <w:iCs w:val="false"/>
          <w:color w:val="333333"/>
          <w:sz w:val="20"/>
          <w:szCs w:val="20"/>
        </w:rPr>
        <w:t>234:7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4982</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 الشّراب من فیه رمی به</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615:8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24401</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لابن قدامة </w:t>
      </w:r>
      <w:r>
        <w:rPr>
          <w:rFonts w:eastAsia="IRNazanin" w:cs="IRNazanin"/>
          <w:b w:val="false"/>
          <w:bCs w:val="false"/>
          <w:i w:val="false"/>
          <w:iCs w:val="false"/>
          <w:color w:val="333333"/>
          <w:sz w:val="20"/>
          <w:szCs w:val="20"/>
        </w:rPr>
        <w:t>13:12</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93:4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9698</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الأحادیث الواردة فی سجدتی السهو و المشهورتین بسجدتی السهو المرغمتین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السهو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المستدرک علی الصحیحین </w:t>
      </w:r>
      <w:r>
        <w:rPr>
          <w:rFonts w:eastAsia="IRNazanin" w:cs="IRNazanin"/>
          <w:b w:val="false"/>
          <w:bCs w:val="false"/>
          <w:i w:val="false"/>
          <w:iCs w:val="false"/>
          <w:color w:val="333333"/>
          <w:sz w:val="20"/>
          <w:szCs w:val="20"/>
        </w:rPr>
        <w:t>325:1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زکاة الأنعام، حدیث 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الفصل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 فی المجامیع الشعریة المتوفّرة لدینا</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بدلیل</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زیادة من النّسخة الثانیة</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فی 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الصّلاة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أحکام المساکین، کنز العمّال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41561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41565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41566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41567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اختلافات یسیرة</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البخاری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الزکاة، باب زکاة الورق حدیث رقم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زیادة فی الأصل</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قیل</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بشرط عدم الصّارف</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الوجوه الأخر فی المصادر الواردة فی التعلیقة 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صفحة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اقتل من قتل أباک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تقتل من قتل أباک</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النسختین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الصّحیح ما أثبتناه، و المقصود منه العدم أی لم یقترن بهما التّاریخ، و هو قسیم الصورة الأولی</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المحلّی </w:t>
      </w:r>
      <w:r>
        <w:rPr>
          <w:rFonts w:eastAsia="IRNazanin" w:cs="IRNazanin"/>
          <w:b w:val="false"/>
          <w:bCs w:val="false"/>
          <w:i w:val="false"/>
          <w:iCs w:val="false"/>
          <w:color w:val="333333"/>
          <w:sz w:val="20"/>
          <w:szCs w:val="20"/>
        </w:rPr>
        <w:t>522:9</w:t>
      </w:r>
      <w:r>
        <w:rPr>
          <w:rFonts w:ascii="IRNazanin" w:hAnsi="IRNazanin" w:eastAsia="IRNazanin"/>
          <w:b w:val="false"/>
          <w:b w:val="false"/>
          <w:bCs w:val="false"/>
          <w:i w:val="false"/>
          <w:i w:val="false"/>
          <w:iCs w:val="false"/>
          <w:color w:val="333333"/>
          <w:sz w:val="20"/>
          <w:sz w:val="20"/>
          <w:szCs w:val="20"/>
          <w:rtl w:val="true"/>
        </w:rPr>
        <w:t xml:space="preserve">، المعتمد </w:t>
      </w:r>
      <w:r>
        <w:rPr>
          <w:rFonts w:eastAsia="IRNazanin" w:cs="IRNazanin"/>
          <w:b w:val="false"/>
          <w:bCs w:val="false"/>
          <w:i w:val="false"/>
          <w:iCs w:val="false"/>
          <w:color w:val="333333"/>
          <w:sz w:val="20"/>
          <w:szCs w:val="20"/>
        </w:rPr>
        <w:t>268:1</w:t>
      </w:r>
      <w:r>
        <w:rPr>
          <w:rFonts w:ascii="IRNazanin" w:hAnsi="IRNazanin" w:eastAsia="IRNazanin"/>
          <w:b w:val="false"/>
          <w:b w:val="false"/>
          <w:bCs w:val="false"/>
          <w:i w:val="false"/>
          <w:i w:val="false"/>
          <w:iCs w:val="false"/>
          <w:color w:val="333333"/>
          <w:sz w:val="20"/>
          <w:sz w:val="20"/>
          <w:szCs w:val="20"/>
          <w:rtl w:val="true"/>
        </w:rPr>
        <w:t xml:space="preserve">، الجامع لأحکام القرآن </w:t>
      </w:r>
      <w:r>
        <w:rPr>
          <w:rFonts w:eastAsia="IRNazanin" w:cs="IRNazanin"/>
          <w:b w:val="false"/>
          <w:bCs w:val="false"/>
          <w:i w:val="false"/>
          <w:iCs w:val="false"/>
          <w:color w:val="333333"/>
          <w:sz w:val="20"/>
          <w:szCs w:val="20"/>
        </w:rPr>
        <w:t>117:5</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کلام المصنّف عمّا ترجّح به الأخبار فی صفحة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256:7</w:t>
      </w:r>
      <w:r>
        <w:rPr>
          <w:rFonts w:ascii="IRNazanin" w:hAnsi="IRNazanin" w:eastAsia="IRNazanin"/>
          <w:b w:val="false"/>
          <w:b w:val="false"/>
          <w:bCs w:val="false"/>
          <w:i w:val="false"/>
          <w:i w:val="false"/>
          <w:iCs w:val="false"/>
          <w:color w:val="333333"/>
          <w:sz w:val="20"/>
          <w:sz w:val="20"/>
          <w:szCs w:val="20"/>
          <w:rtl w:val="true"/>
        </w:rPr>
        <w:t xml:space="preserve">، التّهذیب الأحکام </w:t>
      </w:r>
      <w:r>
        <w:rPr>
          <w:rFonts w:eastAsia="IRNazanin" w:cs="IRNazanin"/>
          <w:b w:val="false"/>
          <w:bCs w:val="false"/>
          <w:i w:val="false"/>
          <w:iCs w:val="false"/>
          <w:color w:val="333333"/>
          <w:sz w:val="20"/>
          <w:szCs w:val="20"/>
        </w:rPr>
        <w:t>140:10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255:4</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یرجّح</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الغزالی هذا التّعریف للقاضی عبد الجبّار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المنخول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المصادر الواردة فی هامش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المعتمد </w:t>
      </w:r>
      <w:r>
        <w:rPr>
          <w:rFonts w:eastAsia="IRNazanin" w:cs="IRNazanin"/>
          <w:b w:val="false"/>
          <w:bCs w:val="false"/>
          <w:i w:val="false"/>
          <w:iCs w:val="false"/>
          <w:color w:val="333333"/>
          <w:sz w:val="20"/>
          <w:szCs w:val="20"/>
        </w:rPr>
        <w:t>294:1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مجتمعة الأصول</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المعتمد </w:t>
      </w:r>
      <w:r>
        <w:rPr>
          <w:rFonts w:eastAsia="IRNazanin" w:cs="IRNazanin"/>
          <w:b w:val="false"/>
          <w:bCs w:val="false"/>
          <w:i w:val="false"/>
          <w:iCs w:val="false"/>
          <w:color w:val="333333"/>
          <w:sz w:val="20"/>
          <w:szCs w:val="20"/>
        </w:rPr>
        <w:t>294:1</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أبو الحسین البصری المعتزلی فی کتابه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المعتمد </w:t>
      </w:r>
      <w:r>
        <w:rPr>
          <w:rFonts w:eastAsia="IRNazanin" w:cs="IRNazanin"/>
          <w:b w:val="false"/>
          <w:bCs w:val="false"/>
          <w:i w:val="false"/>
          <w:iCs w:val="false"/>
          <w:color w:val="333333"/>
          <w:sz w:val="20"/>
          <w:szCs w:val="20"/>
        </w:rPr>
        <w:t>294:1</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هذه المسألة فیها کلام</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المعتمد </w:t>
      </w:r>
      <w:r>
        <w:rPr>
          <w:rFonts w:eastAsia="IRNazanin" w:cs="IRNazanin"/>
          <w:b w:val="false"/>
          <w:bCs w:val="false"/>
          <w:i w:val="false"/>
          <w:iCs w:val="false"/>
          <w:color w:val="333333"/>
          <w:sz w:val="20"/>
          <w:szCs w:val="20"/>
        </w:rPr>
        <w:t>294:1</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المعتمد </w:t>
      </w:r>
      <w:r>
        <w:rPr>
          <w:rFonts w:eastAsia="IRNazanin" w:cs="IRNazanin"/>
          <w:b w:val="false"/>
          <w:bCs w:val="false"/>
          <w:i w:val="false"/>
          <w:iCs w:val="false"/>
          <w:color w:val="333333"/>
          <w:sz w:val="20"/>
          <w:szCs w:val="20"/>
        </w:rPr>
        <w:t>294:1</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شبیها</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الارتفاع، فیسمّی ما تجلس علیه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لارتفاعها</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علی عادته فی السکون و الرّفق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التحریک حتی یستخرج أقصی سیر الناقة، و أصل النصّ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أقصی الشیء و غایته، ثمّ سمی به ضرب من السیر سریع</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یجوز</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أجلی</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کنزل العمّال </w:t>
      </w:r>
      <w:r>
        <w:rPr>
          <w:rFonts w:eastAsia="IRNazanin" w:cs="IRNazanin"/>
          <w:b w:val="false"/>
          <w:bCs w:val="false"/>
          <w:i w:val="false"/>
          <w:iCs w:val="false"/>
          <w:color w:val="333333"/>
          <w:sz w:val="20"/>
          <w:szCs w:val="20"/>
        </w:rPr>
        <w:t>400:9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26684</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فی نهایة الجزء الأول من النسخة الحجریة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قد تم الجزء الأول من کتاب العدّة فی أصول الفقه تصنیف شیخ الطائفة المحقّة أبی جعفر محمد بن الحسن الطوسی قدس سره فی شهر جمادی الأولی سنة  </w:t>
      </w:r>
      <w:r>
        <w:rPr>
          <w:rFonts w:eastAsia="IRNazanin" w:cs="IRNazanin"/>
          <w:b w:val="false"/>
          <w:bCs w:val="false"/>
          <w:i w:val="false"/>
          <w:iCs w:val="false"/>
          <w:color w:val="333333"/>
          <w:sz w:val="20"/>
          <w:szCs w:val="20"/>
        </w:rPr>
        <w:t>1314</w:t>
      </w:r>
      <w:r>
        <w:rPr>
          <w:rFonts w:ascii="IRNazanin" w:hAnsi="IRNazanin" w:eastAsia="IRNazanin"/>
          <w:b w:val="false"/>
          <w:b w:val="false"/>
          <w:bCs w:val="false"/>
          <w:i w:val="false"/>
          <w:i w:val="false"/>
          <w:iCs w:val="false"/>
          <w:color w:val="333333"/>
          <w:sz w:val="20"/>
          <w:sz w:val="20"/>
          <w:szCs w:val="20"/>
          <w:rtl w:val="true"/>
        </w:rPr>
        <w:t>، علی ید أقل الجانیّ محمد صادق بن محمد رضا التّویسرکانی غفر اللّه له و لوالدیه</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2:227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85:279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صحیح البخاری،ب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الأذان ح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w:t>
      </w:r>
      <w:r>
        <w:rPr>
          <w:rFonts w:eastAsia="IRNazanin" w:cs="IRNazanin"/>
          <w:b w:val="false"/>
          <w:bCs w:val="false"/>
          <w:i w:val="false"/>
          <w:iCs w:val="false"/>
          <w:color w:val="333333"/>
          <w:sz w:val="20"/>
          <w:szCs w:val="20"/>
        </w:rPr>
        <w:t>2:345</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w:t>
      </w:r>
      <w:r>
        <w:rPr>
          <w:rFonts w:eastAsia="IRNazanin" w:cs="IRNazanin"/>
          <w:b w:val="false"/>
          <w:bCs w:val="false"/>
          <w:i w:val="false"/>
          <w:iCs w:val="false"/>
          <w:color w:val="333333"/>
          <w:sz w:val="20"/>
          <w:szCs w:val="20"/>
        </w:rPr>
        <w:t>5:125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خذوا عنّی مناسککم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أیضا رواه مسلم عن جابر،و النّسائی بلفظ الأمر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أیّها النّاس خذوا عنّی مناسککم</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،و نحوه فی کنز العمّال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26957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26938</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الثالث</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جاز</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زیادة من النسخة الثّانیة</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القول</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بنفسه</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المطالب العالیة بزوائد المسانید الثمانیة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،صحیح البخاری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الوضوء،ح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التبصرة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میزان الأصول </w:t>
      </w:r>
      <w:r>
        <w:rPr>
          <w:rFonts w:eastAsia="IRNazanin" w:cs="IRNazanin"/>
          <w:b w:val="false"/>
          <w:bCs w:val="false"/>
          <w:i w:val="false"/>
          <w:iCs w:val="false"/>
          <w:color w:val="333333"/>
          <w:sz w:val="20"/>
          <w:szCs w:val="20"/>
        </w:rPr>
        <w:t>1:422</w:t>
      </w:r>
      <w:r>
        <w:rPr>
          <w:rFonts w:ascii="IRNazanin" w:hAnsi="IRNazanin" w:eastAsia="IRNazanin"/>
          <w:b w:val="false"/>
          <w:b w:val="false"/>
          <w:bCs w:val="false"/>
          <w:i w:val="false"/>
          <w:i w:val="false"/>
          <w:iCs w:val="false"/>
          <w:color w:val="333333"/>
          <w:sz w:val="20"/>
          <w:sz w:val="20"/>
          <w:szCs w:val="20"/>
          <w:rtl w:val="true"/>
        </w:rPr>
        <w:t xml:space="preserve">،المعتمد </w:t>
      </w:r>
      <w:r>
        <w:rPr>
          <w:rFonts w:eastAsia="IRNazanin" w:cs="IRNazanin"/>
          <w:b w:val="false"/>
          <w:bCs w:val="false"/>
          <w:i w:val="false"/>
          <w:iCs w:val="false"/>
          <w:color w:val="333333"/>
          <w:sz w:val="20"/>
          <w:szCs w:val="20"/>
        </w:rPr>
        <w:t>1:265</w:t>
      </w:r>
      <w:r>
        <w:rPr>
          <w:rFonts w:ascii="IRNazanin" w:hAnsi="IRNazanin" w:eastAsia="IRNazanin"/>
          <w:b w:val="false"/>
          <w:b w:val="false"/>
          <w:bCs w:val="false"/>
          <w:i w:val="false"/>
          <w:i w:val="false"/>
          <w:iCs w:val="false"/>
          <w:color w:val="333333"/>
          <w:sz w:val="20"/>
          <w:sz w:val="20"/>
          <w:szCs w:val="20"/>
          <w:rtl w:val="true"/>
        </w:rPr>
        <w:t xml:space="preserve">،شرح اللّمع </w:t>
      </w:r>
      <w:r>
        <w:rPr>
          <w:rFonts w:eastAsia="IRNazanin" w:cs="IRNazanin"/>
          <w:b w:val="false"/>
          <w:bCs w:val="false"/>
          <w:i w:val="false"/>
          <w:iCs w:val="false"/>
          <w:color w:val="333333"/>
          <w:sz w:val="20"/>
          <w:szCs w:val="20"/>
        </w:rPr>
        <w:t>1:344</w:t>
      </w:r>
      <w:r>
        <w:rPr>
          <w:rFonts w:ascii="IRNazanin" w:hAnsi="IRNazanin" w:eastAsia="IRNazanin"/>
          <w:b w:val="false"/>
          <w:b w:val="false"/>
          <w:bCs w:val="false"/>
          <w:i w:val="false"/>
          <w:i w:val="false"/>
          <w:iCs w:val="false"/>
          <w:color w:val="333333"/>
          <w:sz w:val="20"/>
          <w:sz w:val="20"/>
          <w:szCs w:val="20"/>
          <w:rtl w:val="true"/>
        </w:rPr>
        <w:t xml:space="preserve">،الذریعة </w:t>
      </w:r>
      <w:r>
        <w:rPr>
          <w:rFonts w:eastAsia="IRNazanin" w:cs="IRNazanin"/>
          <w:b w:val="false"/>
          <w:bCs w:val="false"/>
          <w:i w:val="false"/>
          <w:iCs w:val="false"/>
          <w:color w:val="333333"/>
          <w:sz w:val="20"/>
          <w:szCs w:val="20"/>
        </w:rPr>
        <w:t>1:239</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القاضی عبد الجبّار المعتزلی</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المعتمد </w:t>
      </w:r>
      <w:r>
        <w:rPr>
          <w:rFonts w:eastAsia="IRNazanin" w:cs="IRNazanin"/>
          <w:b w:val="false"/>
          <w:bCs w:val="false"/>
          <w:i w:val="false"/>
          <w:iCs w:val="false"/>
          <w:color w:val="333333"/>
          <w:sz w:val="20"/>
          <w:szCs w:val="20"/>
        </w:rPr>
        <w:t>1:266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التعلیقة 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501</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المعتمد </w:t>
      </w:r>
      <w:r>
        <w:rPr>
          <w:rFonts w:eastAsia="IRNazanin" w:cs="IRNazanin"/>
          <w:b w:val="false"/>
          <w:bCs w:val="false"/>
          <w:i w:val="false"/>
          <w:iCs w:val="false"/>
          <w:color w:val="333333"/>
          <w:sz w:val="20"/>
          <w:szCs w:val="20"/>
        </w:rPr>
        <w:t>1:268</w:t>
      </w:r>
      <w:r>
        <w:rPr>
          <w:rFonts w:ascii="IRNazanin" w:hAnsi="IRNazanin" w:eastAsia="IRNazanin"/>
          <w:b w:val="false"/>
          <w:b w:val="false"/>
          <w:bCs w:val="false"/>
          <w:i w:val="false"/>
          <w:i w:val="false"/>
          <w:iCs w:val="false"/>
          <w:color w:val="333333"/>
          <w:sz w:val="20"/>
          <w:sz w:val="20"/>
          <w:szCs w:val="20"/>
          <w:rtl w:val="true"/>
        </w:rPr>
        <w:t xml:space="preserve">،الجامع لأحکام القرآن </w:t>
      </w:r>
      <w:r>
        <w:rPr>
          <w:rFonts w:eastAsia="IRNazanin" w:cs="IRNazanin"/>
          <w:b w:val="false"/>
          <w:bCs w:val="false"/>
          <w:i w:val="false"/>
          <w:iCs w:val="false"/>
          <w:color w:val="333333"/>
          <w:sz w:val="20"/>
          <w:szCs w:val="20"/>
        </w:rPr>
        <w:t>5:117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المحلّی </w:t>
      </w:r>
      <w:r>
        <w:rPr>
          <w:rFonts w:eastAsia="IRNazanin" w:cs="IRNazanin"/>
          <w:b w:val="false"/>
          <w:bCs w:val="false"/>
          <w:i w:val="false"/>
          <w:iCs w:val="false"/>
          <w:color w:val="333333"/>
          <w:sz w:val="20"/>
          <w:szCs w:val="20"/>
        </w:rPr>
        <w:t>9:522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المعتمد </w:t>
      </w:r>
      <w:r>
        <w:rPr>
          <w:rFonts w:eastAsia="IRNazanin" w:cs="IRNazanin"/>
          <w:b w:val="false"/>
          <w:bCs w:val="false"/>
          <w:i w:val="false"/>
          <w:iCs w:val="false"/>
          <w:color w:val="333333"/>
          <w:sz w:val="20"/>
          <w:szCs w:val="20"/>
        </w:rPr>
        <w:t>1:269</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القاضی عبد الجبّار المعتزلی</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17700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الصقب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القرب و الملاصقة،و یروی بالسّین و المراد به الشفعة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غریب الحدیث </w:t>
      </w:r>
      <w:r>
        <w:rPr>
          <w:rFonts w:eastAsia="IRNazanin" w:cs="IRNazanin"/>
          <w:b w:val="false"/>
          <w:bCs w:val="false"/>
          <w:i w:val="false"/>
          <w:iCs w:val="false"/>
          <w:color w:val="333333"/>
          <w:sz w:val="20"/>
          <w:szCs w:val="20"/>
        </w:rPr>
        <w:t>1:337</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7:328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15880</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تخریج الحدیث فی هامش 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تخریج الحدیث فی هامش 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شائعا</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المشهور بالوضوءات البیانیّة،انظر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،شرح معانی الآثار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،المصنّف لعبد الرزّاق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و غیرها من الأحادیث البیانیّة الواردة فی أبواب الوضوء من المجامیع الروائیّة</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کلام المصنّف فی صفحة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2:227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85:279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صحیح البخاری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الأذان ح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5:53</w:t>
      </w:r>
      <w:r>
        <w:rPr>
          <w:rFonts w:ascii="IRNazanin" w:hAnsi="IRNazanin" w:eastAsia="IRNazanin"/>
          <w:b w:val="false"/>
          <w:b w:val="false"/>
          <w:bCs w:val="false"/>
          <w:i w:val="false"/>
          <w:i w:val="false"/>
          <w:iCs w:val="false"/>
          <w:color w:val="333333"/>
          <w:sz w:val="20"/>
          <w:sz w:val="20"/>
          <w:szCs w:val="20"/>
          <w:rtl w:val="true"/>
        </w:rPr>
        <w:t xml:space="preserve">، السنن الکبری </w:t>
      </w:r>
      <w:r>
        <w:rPr>
          <w:rFonts w:eastAsia="IRNazanin" w:cs="IRNazanin"/>
          <w:b w:val="false"/>
          <w:bCs w:val="false"/>
          <w:i w:val="false"/>
          <w:iCs w:val="false"/>
          <w:color w:val="333333"/>
          <w:sz w:val="20"/>
          <w:szCs w:val="20"/>
        </w:rPr>
        <w:t>2:345</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w:t>
      </w:r>
      <w:r>
        <w:rPr>
          <w:rFonts w:eastAsia="IRNazanin" w:cs="IRNazanin"/>
          <w:b w:val="false"/>
          <w:bCs w:val="false"/>
          <w:i w:val="false"/>
          <w:iCs w:val="false"/>
          <w:color w:val="333333"/>
          <w:sz w:val="20"/>
          <w:szCs w:val="20"/>
        </w:rPr>
        <w:t>5:125</w:t>
      </w:r>
      <w:r>
        <w:rPr>
          <w:rFonts w:ascii="IRNazanin" w:hAnsi="IRNazanin" w:eastAsia="IRNazanin"/>
          <w:b w:val="false"/>
          <w:b w:val="false"/>
          <w:bCs w:val="false"/>
          <w:i w:val="false"/>
          <w:i w:val="false"/>
          <w:iCs w:val="false"/>
          <w:color w:val="333333"/>
          <w:sz w:val="20"/>
          <w:sz w:val="20"/>
          <w:szCs w:val="20"/>
          <w:rtl w:val="true"/>
        </w:rPr>
        <w:t>،و رواه أیضا مسلم عن جابر،و النسائی بلفظ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أیّها النّاس خذوا عنّی مناسککم</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 الترمذی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الصلاة</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الصّلاة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إذا</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تفصیل الأقوال فی صفحة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استدلال المصنّف فی صفحة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استدلال المصنّف فی صفحة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استدلال المصنّف فی صفحة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المعتمد </w:t>
      </w:r>
      <w:r>
        <w:rPr>
          <w:rFonts w:eastAsia="IRNazanin" w:cs="IRNazanin"/>
          <w:b w:val="false"/>
          <w:bCs w:val="false"/>
          <w:i w:val="false"/>
          <w:iCs w:val="false"/>
          <w:color w:val="333333"/>
          <w:sz w:val="20"/>
          <w:szCs w:val="20"/>
        </w:rPr>
        <w:t>1:307</w:t>
      </w:r>
      <w:r>
        <w:rPr>
          <w:rFonts w:ascii="IRNazanin" w:hAnsi="IRNazanin" w:eastAsia="IRNazanin"/>
          <w:b w:val="false"/>
          <w:b w:val="false"/>
          <w:bCs w:val="false"/>
          <w:i w:val="false"/>
          <w:i w:val="false"/>
          <w:iCs w:val="false"/>
          <w:color w:val="333333"/>
          <w:sz w:val="20"/>
          <w:sz w:val="20"/>
          <w:szCs w:val="20"/>
          <w:rtl w:val="true"/>
        </w:rPr>
        <w:t xml:space="preserve">،الأحکام للآمدی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،التبصرة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اللّمع </w:t>
      </w:r>
      <w:r>
        <w:rPr>
          <w:rFonts w:eastAsia="IRNazanin" w:cs="IRNazanin"/>
          <w:b w:val="false"/>
          <w:bCs w:val="false"/>
          <w:i w:val="false"/>
          <w:iCs w:val="false"/>
          <w:color w:val="333333"/>
          <w:sz w:val="20"/>
          <w:szCs w:val="20"/>
        </w:rPr>
        <w:t>1:458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أیضا مذهب بعض الشّافعیة</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المعتمد </w:t>
      </w:r>
      <w:r>
        <w:rPr>
          <w:rFonts w:eastAsia="IRNazanin" w:cs="IRNazanin"/>
          <w:b w:val="false"/>
          <w:bCs w:val="false"/>
          <w:i w:val="false"/>
          <w:iCs w:val="false"/>
          <w:color w:val="333333"/>
          <w:sz w:val="20"/>
          <w:szCs w:val="20"/>
        </w:rPr>
        <w:t>1:307</w:t>
      </w:r>
      <w:r>
        <w:rPr>
          <w:rFonts w:ascii="IRNazanin" w:hAnsi="IRNazanin" w:eastAsia="IRNazanin"/>
          <w:b w:val="false"/>
          <w:b w:val="false"/>
          <w:bCs w:val="false"/>
          <w:i w:val="false"/>
          <w:i w:val="false"/>
          <w:iCs w:val="false"/>
          <w:color w:val="333333"/>
          <w:sz w:val="20"/>
          <w:sz w:val="20"/>
          <w:szCs w:val="20"/>
          <w:rtl w:val="true"/>
        </w:rPr>
        <w:t>،التبصرة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،شرح اللّمع </w:t>
      </w:r>
      <w:r>
        <w:rPr>
          <w:rFonts w:eastAsia="IRNazanin" w:cs="IRNazanin"/>
          <w:b w:val="false"/>
          <w:bCs w:val="false"/>
          <w:i w:val="false"/>
          <w:iCs w:val="false"/>
          <w:color w:val="333333"/>
          <w:sz w:val="20"/>
          <w:szCs w:val="20"/>
        </w:rPr>
        <w:t>1:458</w:t>
      </w:r>
      <w:r>
        <w:rPr>
          <w:rFonts w:ascii="IRNazanin" w:hAnsi="IRNazanin" w:eastAsia="IRNazanin"/>
          <w:b w:val="false"/>
          <w:b w:val="false"/>
          <w:bCs w:val="false"/>
          <w:i w:val="false"/>
          <w:i w:val="false"/>
          <w:iCs w:val="false"/>
          <w:color w:val="333333"/>
          <w:sz w:val="20"/>
          <w:sz w:val="20"/>
          <w:szCs w:val="20"/>
          <w:rtl w:val="true"/>
        </w:rPr>
        <w:t xml:space="preserve">،الأحکام للآمدی </w:t>
      </w:r>
      <w:r>
        <w:rPr>
          <w:rFonts w:eastAsia="IRNazanin" w:cs="IRNazanin"/>
          <w:b w:val="false"/>
          <w:bCs w:val="false"/>
          <w:i w:val="false"/>
          <w:iCs w:val="false"/>
          <w:color w:val="333333"/>
          <w:sz w:val="20"/>
          <w:szCs w:val="20"/>
        </w:rPr>
        <w:t>3:112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هذا المذهب مختار القاضی عبد الجبّار،و أبی الحسین البصری،و أبی إسحاق الشّیرازی،و الآمدی،و ابن الحاجب،و الغزّالی، و الرّازی،و البیضاوی،و جماعة من الأحناف</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بیان المصنّف فی صفحة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مذهب الشّافعی،و الحسن البصری،و أبی علی الجبّائی،و القاضی عبد الجبّار،و ابن جنّی،و الآمدی، و أبی الحسین البصری،و السرخسی و آخرون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المعتمد </w:t>
      </w:r>
      <w:r>
        <w:rPr>
          <w:rFonts w:eastAsia="IRNazanin" w:cs="IRNazanin"/>
          <w:b w:val="false"/>
          <w:bCs w:val="false"/>
          <w:i w:val="false"/>
          <w:iCs w:val="false"/>
          <w:color w:val="333333"/>
          <w:sz w:val="20"/>
          <w:szCs w:val="20"/>
        </w:rPr>
        <w:t>1:308</w:t>
      </w:r>
      <w:r>
        <w:rPr>
          <w:rFonts w:ascii="IRNazanin" w:hAnsi="IRNazanin" w:eastAsia="IRNazanin"/>
          <w:b w:val="false"/>
          <w:b w:val="false"/>
          <w:bCs w:val="false"/>
          <w:i w:val="false"/>
          <w:i w:val="false"/>
          <w:iCs w:val="false"/>
          <w:color w:val="333333"/>
          <w:sz w:val="20"/>
          <w:sz w:val="20"/>
          <w:szCs w:val="20"/>
          <w:rtl w:val="true"/>
        </w:rPr>
        <w:t xml:space="preserve">،الأحکام للآمدی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،الذریعة </w:t>
      </w:r>
      <w:r>
        <w:rPr>
          <w:rFonts w:eastAsia="IRNazanin" w:cs="IRNazanin"/>
          <w:b w:val="false"/>
          <w:bCs w:val="false"/>
          <w:i w:val="false"/>
          <w:iCs w:val="false"/>
          <w:color w:val="333333"/>
          <w:sz w:val="20"/>
          <w:szCs w:val="20"/>
        </w:rPr>
        <w:t>1:349</w:t>
      </w:r>
      <w:r>
        <w:rPr>
          <w:rFonts w:ascii="IRNazanin" w:hAnsi="IRNazanin" w:eastAsia="IRNazanin"/>
          <w:b w:val="false"/>
          <w:b w:val="false"/>
          <w:bCs w:val="false"/>
          <w:i w:val="false"/>
          <w:i w:val="false"/>
          <w:iCs w:val="false"/>
          <w:color w:val="333333"/>
          <w:sz w:val="20"/>
          <w:sz w:val="20"/>
          <w:szCs w:val="20"/>
          <w:rtl w:val="true"/>
        </w:rPr>
        <w:t xml:space="preserve">،أصول السرخسی </w:t>
      </w:r>
      <w:r>
        <w:rPr>
          <w:rFonts w:eastAsia="IRNazanin" w:cs="IRNazanin"/>
          <w:b w:val="false"/>
          <w:bCs w:val="false"/>
          <w:i w:val="false"/>
          <w:iCs w:val="false"/>
          <w:color w:val="333333"/>
          <w:sz w:val="20"/>
          <w:szCs w:val="20"/>
        </w:rPr>
        <w:t>1:229</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 أبو الحسین البصری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المعتمد </w:t>
      </w:r>
      <w:r>
        <w:rPr>
          <w:rFonts w:eastAsia="IRNazanin" w:cs="IRNazanin"/>
          <w:b w:val="false"/>
          <w:bCs w:val="false"/>
          <w:i w:val="false"/>
          <w:iCs w:val="false"/>
          <w:color w:val="333333"/>
          <w:sz w:val="20"/>
          <w:szCs w:val="20"/>
        </w:rPr>
        <w:t>1:310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القول إلی بعض الأحناف العراقیین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أیضا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الذریعة </w:t>
      </w:r>
      <w:r>
        <w:rPr>
          <w:rFonts w:eastAsia="IRNazanin" w:cs="IRNazanin"/>
          <w:b w:val="false"/>
          <w:bCs w:val="false"/>
          <w:i w:val="false"/>
          <w:iCs w:val="false"/>
          <w:color w:val="333333"/>
          <w:sz w:val="20"/>
          <w:szCs w:val="20"/>
        </w:rPr>
        <w:t>1:350</w:t>
      </w:r>
      <w:r>
        <w:rPr>
          <w:rFonts w:ascii="IRNazanin" w:hAnsi="IRNazanin" w:eastAsia="IRNazanin"/>
          <w:b w:val="false"/>
          <w:b w:val="false"/>
          <w:bCs w:val="false"/>
          <w:i w:val="false"/>
          <w:i w:val="false"/>
          <w:iCs w:val="false"/>
          <w:color w:val="333333"/>
          <w:sz w:val="20"/>
          <w:sz w:val="20"/>
          <w:szCs w:val="20"/>
          <w:rtl w:val="true"/>
        </w:rPr>
        <w:t xml:space="preserve">،الأحکام للآمدی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المذهب مختار الشّریف المرتضی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الذریعة </w:t>
      </w:r>
      <w:r>
        <w:rPr>
          <w:rFonts w:eastAsia="IRNazanin" w:cs="IRNazanin"/>
          <w:b w:val="false"/>
          <w:bCs w:val="false"/>
          <w:i w:val="false"/>
          <w:iCs w:val="false"/>
          <w:color w:val="333333"/>
          <w:sz w:val="20"/>
          <w:szCs w:val="20"/>
        </w:rPr>
        <w:t>1:350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حیث ذهب إلی إجمال الآیة،لأنّ الید تقع علی العضو بکماله و تقع علی أبعاضه</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هذا مذهب أبی الحسن البصری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المعتمد </w:t>
      </w:r>
      <w:r>
        <w:rPr>
          <w:rFonts w:eastAsia="IRNazanin" w:cs="IRNazanin"/>
          <w:b w:val="false"/>
          <w:bCs w:val="false"/>
          <w:i w:val="false"/>
          <w:iCs w:val="false"/>
          <w:color w:val="333333"/>
          <w:sz w:val="20"/>
          <w:szCs w:val="20"/>
        </w:rPr>
        <w:t>1:310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أیضا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الأحکام للآمدی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Pr>
        <w:t>4:594</w:t>
      </w:r>
      <w:r>
        <w:rPr>
          <w:rFonts w:ascii="IRNazanin" w:hAnsi="IRNazanin" w:eastAsia="IRNazanin"/>
          <w:b w:val="false"/>
          <w:b w:val="false"/>
          <w:bCs w:val="false"/>
          <w:i w:val="false"/>
          <w:i w:val="false"/>
          <w:iCs w:val="false"/>
          <w:color w:val="333333"/>
          <w:sz w:val="20"/>
          <w:sz w:val="20"/>
          <w:szCs w:val="20"/>
          <w:rtl w:val="true"/>
        </w:rPr>
        <w:t>،الرقّة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هی الدّراهم المضروبة</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حیث نسب هذا القول إلی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دون أن یسمّیهم</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6:15870</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Pr>
        <w:t>4:587</w:t>
      </w:r>
      <w:r>
        <w:rPr>
          <w:rFonts w:ascii="IRNazanin" w:hAnsi="IRNazanin" w:eastAsia="IRNazanin"/>
          <w:b w:val="false"/>
          <w:b w:val="false"/>
          <w:bCs w:val="false"/>
          <w:i w:val="false"/>
          <w:i w:val="false"/>
          <w:iCs w:val="false"/>
          <w:color w:val="333333"/>
          <w:sz w:val="20"/>
          <w:sz w:val="20"/>
          <w:szCs w:val="20"/>
          <w:rtl w:val="true"/>
        </w:rPr>
        <w:t xml:space="preserve">،الإحسان بترتیب صحیح ابن حبّان </w:t>
      </w:r>
      <w:r>
        <w:rPr>
          <w:rFonts w:eastAsia="IRNazanin" w:cs="IRNazanin"/>
          <w:b w:val="false"/>
          <w:bCs w:val="false"/>
          <w:i w:val="false"/>
          <w:iCs w:val="false"/>
          <w:color w:val="333333"/>
          <w:sz w:val="20"/>
          <w:szCs w:val="20"/>
        </w:rPr>
        <w:t>5:117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w:t>
      </w:r>
      <w:r>
        <w:rPr>
          <w:rFonts w:eastAsia="IRNazanin" w:cs="IRNazanin"/>
          <w:b w:val="false"/>
          <w:bCs w:val="false"/>
          <w:i w:val="false"/>
          <w:iCs w:val="false"/>
          <w:color w:val="333333"/>
          <w:sz w:val="20"/>
          <w:szCs w:val="20"/>
        </w:rPr>
        <w:t>1:348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الحدیث رواه أصحاب المسانید و السنن،انظر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البخاری،کتاب الصلاة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مسلم </w:t>
      </w:r>
      <w:r>
        <w:rPr>
          <w:rFonts w:eastAsia="IRNazanin" w:cs="IRNazanin"/>
          <w:b w:val="false"/>
          <w:bCs w:val="false"/>
          <w:i w:val="false"/>
          <w:iCs w:val="false"/>
          <w:color w:val="333333"/>
          <w:sz w:val="20"/>
          <w:szCs w:val="20"/>
        </w:rPr>
        <w:t>4:100</w:t>
      </w:r>
      <w:r>
        <w:rPr>
          <w:rFonts w:ascii="IRNazanin" w:hAnsi="IRNazanin" w:eastAsia="IRNazanin"/>
          <w:b w:val="false"/>
          <w:b w:val="false"/>
          <w:bCs w:val="false"/>
          <w:i w:val="false"/>
          <w:i w:val="false"/>
          <w:iCs w:val="false"/>
          <w:color w:val="333333"/>
          <w:sz w:val="20"/>
          <w:sz w:val="20"/>
          <w:szCs w:val="20"/>
          <w:rtl w:val="true"/>
        </w:rPr>
        <w:t xml:space="preserve">،الترمذی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،أبو داود </w:t>
      </w:r>
      <w:r>
        <w:rPr>
          <w:rFonts w:eastAsia="IRNazanin" w:cs="IRNazanin"/>
          <w:b w:val="false"/>
          <w:bCs w:val="false"/>
          <w:i w:val="false"/>
          <w:iCs w:val="false"/>
          <w:color w:val="333333"/>
          <w:sz w:val="20"/>
          <w:szCs w:val="20"/>
        </w:rPr>
        <w:t>822</w:t>
      </w:r>
      <w:r>
        <w:rPr>
          <w:rFonts w:ascii="IRNazanin" w:hAnsi="IRNazanin" w:eastAsia="IRNazanin"/>
          <w:b w:val="false"/>
          <w:b w:val="false"/>
          <w:bCs w:val="false"/>
          <w:i w:val="false"/>
          <w:i w:val="false"/>
          <w:iCs w:val="false"/>
          <w:color w:val="333333"/>
          <w:sz w:val="20"/>
          <w:sz w:val="20"/>
          <w:szCs w:val="20"/>
          <w:rtl w:val="true"/>
        </w:rPr>
        <w:t xml:space="preserve">،النسائی </w:t>
      </w:r>
      <w:r>
        <w:rPr>
          <w:rFonts w:eastAsia="IRNazanin" w:cs="IRNazanin"/>
          <w:b w:val="false"/>
          <w:bCs w:val="false"/>
          <w:i w:val="false"/>
          <w:iCs w:val="false"/>
          <w:color w:val="333333"/>
          <w:sz w:val="20"/>
          <w:szCs w:val="20"/>
        </w:rPr>
        <w:t>2:106</w:t>
      </w:r>
      <w:r>
        <w:rPr>
          <w:rFonts w:ascii="IRNazanin" w:hAnsi="IRNazanin" w:eastAsia="IRNazanin"/>
          <w:b w:val="false"/>
          <w:b w:val="false"/>
          <w:bCs w:val="false"/>
          <w:i w:val="false"/>
          <w:i w:val="false"/>
          <w:iCs w:val="false"/>
          <w:color w:val="333333"/>
          <w:sz w:val="20"/>
          <w:sz w:val="20"/>
          <w:szCs w:val="20"/>
          <w:rtl w:val="true"/>
        </w:rPr>
        <w:t xml:space="preserve">،ابن ماجة </w:t>
      </w:r>
      <w:r>
        <w:rPr>
          <w:rFonts w:eastAsia="IRNazanin" w:cs="IRNazanin"/>
          <w:b w:val="false"/>
          <w:bCs w:val="false"/>
          <w:i w:val="false"/>
          <w:iCs w:val="false"/>
          <w:color w:val="333333"/>
          <w:sz w:val="20"/>
          <w:szCs w:val="20"/>
        </w:rPr>
        <w:t>837</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w:t>
      </w:r>
      <w:r>
        <w:rPr>
          <w:rFonts w:eastAsia="IRNazanin" w:cs="IRNazanin"/>
          <w:b w:val="false"/>
          <w:bCs w:val="false"/>
          <w:i w:val="false"/>
          <w:iCs w:val="false"/>
          <w:color w:val="333333"/>
          <w:sz w:val="20"/>
          <w:szCs w:val="20"/>
        </w:rPr>
        <w:t>2:255</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الحدیث رواه أحمد بن حنبل،و الدار قطنیّ،و البیهقیّ فی العلل،و نسبه السیوطی لأبی داود،و الترمذی، و النسائی و ابن ماجة</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20737</w:t>
      </w:r>
      <w:r>
        <w:rPr>
          <w:rFonts w:ascii="IRNazanin" w:hAnsi="IRNazanin" w:eastAsia="IRNazanin"/>
          <w:b w:val="false"/>
          <w:b w:val="false"/>
          <w:bCs w:val="false"/>
          <w:i w:val="false"/>
          <w:i w:val="false"/>
          <w:iCs w:val="false"/>
          <w:color w:val="333333"/>
          <w:sz w:val="20"/>
          <w:sz w:val="20"/>
          <w:szCs w:val="20"/>
          <w:rtl w:val="true"/>
        </w:rPr>
        <w:t>،المستدرک علی الصحیحین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المذهب مختار أبی عبد اللّه البصری،و القاضی أبی بکر الباقلاّنی،و بعض الشّافعیة کما نسبه إلیهم أبو إسحاق الشّیرازی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التبصرة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المستصفی </w:t>
      </w:r>
      <w:r>
        <w:rPr>
          <w:rFonts w:eastAsia="IRNazanin" w:cs="IRNazanin"/>
          <w:b w:val="false"/>
          <w:bCs w:val="false"/>
          <w:i w:val="false"/>
          <w:iCs w:val="false"/>
          <w:color w:val="333333"/>
          <w:sz w:val="20"/>
          <w:szCs w:val="20"/>
        </w:rPr>
        <w:t>1:345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الأحکام للآمدی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القاضی عبد الجبّار المعتزلی</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مقدّمة العبارات،کنز العمّال </w:t>
      </w:r>
      <w:r>
        <w:rPr>
          <w:rFonts w:eastAsia="IRNazanin" w:cs="IRNazanin"/>
          <w:b w:val="false"/>
          <w:bCs w:val="false"/>
          <w:i w:val="false"/>
          <w:iCs w:val="false"/>
          <w:color w:val="333333"/>
          <w:sz w:val="20"/>
          <w:szCs w:val="20"/>
        </w:rPr>
        <w:t>3:793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8779</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هامش 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7:492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19933</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الذریعة </w:t>
      </w:r>
      <w:r>
        <w:rPr>
          <w:rFonts w:eastAsia="IRNazanin" w:cs="IRNazanin"/>
          <w:b w:val="false"/>
          <w:bCs w:val="false"/>
          <w:i w:val="false"/>
          <w:iCs w:val="false"/>
          <w:color w:val="333333"/>
          <w:sz w:val="20"/>
          <w:szCs w:val="20"/>
        </w:rPr>
        <w:t>1:358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النسخة الثانیة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یدلّ علی کون النّهی عن الإنفاق من بعض ما</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نسب الشّریف المرتضی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الذریعة </w:t>
      </w:r>
      <w:r>
        <w:rPr>
          <w:rFonts w:eastAsia="IRNazanin" w:cs="IRNazanin"/>
          <w:b w:val="false"/>
          <w:bCs w:val="false"/>
          <w:i w:val="false"/>
          <w:iCs w:val="false"/>
          <w:color w:val="333333"/>
          <w:sz w:val="20"/>
          <w:szCs w:val="20"/>
        </w:rPr>
        <w:t>1:358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القول لأصحاب الشّافعی</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فی وسائل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قصاص النّفس،کنزل العمّال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11289</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11289</w:t>
      </w:r>
      <w:r>
        <w:rPr>
          <w:rFonts w:ascii="IRNazanin" w:hAnsi="IRNazanin" w:eastAsia="IRNazanin"/>
          <w:b w:val="false"/>
          <w:b w:val="false"/>
          <w:bCs w:val="false"/>
          <w:i w:val="false"/>
          <w:i w:val="false"/>
          <w:iCs w:val="false"/>
          <w:color w:val="333333"/>
          <w:sz w:val="20"/>
          <w:sz w:val="20"/>
          <w:szCs w:val="20"/>
          <w:rtl w:val="true"/>
        </w:rPr>
        <w:t>،رواه الطبرانی،و النوویّ،و ابن ماجة،و ابن حبّان،و الدار قطنی فی المستدرک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کتاب الإیمان و الکفر،باب ما رفع عن الأمّة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یعلم</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اللّطیف من الکلام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غمض معناه و خفی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12:283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التعلیقة 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المصادر الواردة فیها</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التعلیقة 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المصادر الواردة فیها</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التعلیقة 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المصادر الواردة فیها</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التعلیقة 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المصادر الواردة فیها</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التعلیقة 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المصادر الواردة فی التّعلیقة 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المصادر الواردة فی التّعلیقة 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التعلیقة 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التعلیقة 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التبصرة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،المعتمد </w:t>
      </w:r>
      <w:r>
        <w:rPr>
          <w:rFonts w:eastAsia="IRNazanin" w:cs="IRNazanin"/>
          <w:b w:val="false"/>
          <w:bCs w:val="false"/>
          <w:i w:val="false"/>
          <w:iCs w:val="false"/>
          <w:color w:val="333333"/>
          <w:sz w:val="20"/>
          <w:szCs w:val="20"/>
        </w:rPr>
        <w:t>1:316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الطّریق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13:226</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یخاطبه</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مسألته</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بدایة لفقرة طویلة ینقلها المصنّف من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الذریعة إلی أصول الشّریعة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للشّریف المرتضی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تصرّف بسیط منه فیها و نحن نشیر فی الهامش إلی اختلاف النصّین</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أمرهم بذبح بقرة لها هذه الصفات المذکورة کلّها و لم یبیّن فی أوّل وقت الخطاب ذلک</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هذا صریح فی جواز تأخیر البیان</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 قیل</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فلو امتثلوا و ذبحوا أیّ بقرة اتّفقت</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فلمّا توقّفوا و راجعوا</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فأمروا بذبح ما له کلّ الصّفات</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سؤال من لا یعرف عادة أهل اللّغة فی کنایاتهم</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عند متأمّل</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لأنّه لم یجر ذکر لغیرها،فیکنّی عنه</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الأمر</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جوابا عن غیر المسئول عنه؟</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زیادة من المصدر</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المعتمد </w:t>
      </w:r>
      <w:r>
        <w:rPr>
          <w:rFonts w:eastAsia="IRNazanin" w:cs="IRNazanin"/>
          <w:b w:val="false"/>
          <w:bCs w:val="false"/>
          <w:i w:val="false"/>
          <w:iCs w:val="false"/>
          <w:color w:val="333333"/>
          <w:sz w:val="20"/>
          <w:szCs w:val="20"/>
        </w:rPr>
        <w:t>1:326</w:t>
      </w:r>
      <w:r>
        <w:rPr>
          <w:rFonts w:ascii="IRNazanin" w:hAnsi="IRNazanin" w:eastAsia="IRNazanin"/>
          <w:b w:val="false"/>
          <w:b w:val="false"/>
          <w:bCs w:val="false"/>
          <w:i w:val="false"/>
          <w:i w:val="false"/>
          <w:iCs w:val="false"/>
          <w:color w:val="333333"/>
          <w:sz w:val="20"/>
          <w:sz w:val="20"/>
          <w:szCs w:val="20"/>
          <w:rtl w:val="true"/>
        </w:rPr>
        <w:t xml:space="preserve">،الأحکام للآمدی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،أمالی المرتضی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،تفسیر الرازی </w:t>
      </w:r>
      <w:r>
        <w:rPr>
          <w:rFonts w:eastAsia="IRNazanin" w:cs="IRNazanin"/>
          <w:b w:val="false"/>
          <w:bCs w:val="false"/>
          <w:i w:val="false"/>
          <w:iCs w:val="false"/>
          <w:color w:val="333333"/>
          <w:sz w:val="20"/>
          <w:szCs w:val="20"/>
        </w:rPr>
        <w:t>3:123</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استحسن</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زیادة من المصدر</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نصرناه</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الطبری </w:t>
      </w:r>
      <w:r>
        <w:rPr>
          <w:rFonts w:eastAsia="IRNazanin" w:cs="IRNazanin"/>
          <w:b w:val="false"/>
          <w:bCs w:val="false"/>
          <w:i w:val="false"/>
          <w:iCs w:val="false"/>
          <w:color w:val="333333"/>
          <w:sz w:val="20"/>
          <w:szCs w:val="20"/>
        </w:rPr>
        <w:t>1:270</w:t>
      </w:r>
      <w:r>
        <w:rPr>
          <w:rFonts w:ascii="IRNazanin" w:hAnsi="IRNazanin" w:eastAsia="IRNazanin"/>
          <w:b w:val="false"/>
          <w:b w:val="false"/>
          <w:bCs w:val="false"/>
          <w:i w:val="false"/>
          <w:i w:val="false"/>
          <w:iCs w:val="false"/>
          <w:color w:val="333333"/>
          <w:sz w:val="20"/>
          <w:sz w:val="20"/>
          <w:szCs w:val="20"/>
          <w:rtl w:val="true"/>
        </w:rPr>
        <w:t xml:space="preserve">،تفسیر الرازی </w:t>
      </w:r>
      <w:r>
        <w:rPr>
          <w:rFonts w:eastAsia="IRNazanin" w:cs="IRNazanin"/>
          <w:b w:val="false"/>
          <w:bCs w:val="false"/>
          <w:i w:val="false"/>
          <w:iCs w:val="false"/>
          <w:color w:val="333333"/>
          <w:sz w:val="20"/>
          <w:szCs w:val="20"/>
        </w:rPr>
        <w:t>3:123</w:t>
      </w:r>
      <w:r>
        <w:rPr>
          <w:rFonts w:ascii="IRNazanin" w:hAnsi="IRNazanin" w:eastAsia="IRNazanin"/>
          <w:b w:val="false"/>
          <w:b w:val="false"/>
          <w:bCs w:val="false"/>
          <w:i w:val="false"/>
          <w:i w:val="false"/>
          <w:iCs w:val="false"/>
          <w:color w:val="333333"/>
          <w:sz w:val="20"/>
          <w:sz w:val="20"/>
          <w:szCs w:val="20"/>
          <w:rtl w:val="true"/>
        </w:rPr>
        <w:t xml:space="preserve">،الکشّاف </w:t>
      </w:r>
      <w:r>
        <w:rPr>
          <w:rFonts w:eastAsia="IRNazanin" w:cs="IRNazanin"/>
          <w:b w:val="false"/>
          <w:bCs w:val="false"/>
          <w:i w:val="false"/>
          <w:iCs w:val="false"/>
          <w:color w:val="333333"/>
          <w:sz w:val="20"/>
          <w:szCs w:val="20"/>
        </w:rPr>
        <w:t>1:152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قاله</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یعتبر</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یبتاعونه و یذبحونه</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فعلم</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للبقرة الأولی</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البیان بالمراد</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إلی أصول الشّریعة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أمّا</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کلام المصنّف فی صفحة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استدلال المصنف فی فصل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278</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المعتمد </w:t>
      </w:r>
      <w:r>
        <w:rPr>
          <w:rFonts w:eastAsia="IRNazanin" w:cs="IRNazanin"/>
          <w:b w:val="false"/>
          <w:bCs w:val="false"/>
          <w:i w:val="false"/>
          <w:iCs w:val="false"/>
          <w:color w:val="333333"/>
          <w:sz w:val="20"/>
          <w:szCs w:val="20"/>
        </w:rPr>
        <w:t>1:331</w:t>
      </w:r>
      <w:r>
        <w:rPr>
          <w:rFonts w:ascii="IRNazanin" w:hAnsi="IRNazanin" w:eastAsia="IRNazanin"/>
          <w:b w:val="false"/>
          <w:b w:val="false"/>
          <w:bCs w:val="false"/>
          <w:i w:val="false"/>
          <w:i w:val="false"/>
          <w:iCs w:val="false"/>
          <w:color w:val="333333"/>
          <w:sz w:val="20"/>
          <w:sz w:val="20"/>
          <w:szCs w:val="20"/>
          <w:rtl w:val="true"/>
        </w:rPr>
        <w:t xml:space="preserve">،الذریعة </w:t>
      </w:r>
      <w:r>
        <w:rPr>
          <w:rFonts w:eastAsia="IRNazanin" w:cs="IRNazanin"/>
          <w:b w:val="false"/>
          <w:bCs w:val="false"/>
          <w:i w:val="false"/>
          <w:iCs w:val="false"/>
          <w:color w:val="333333"/>
          <w:sz w:val="20"/>
          <w:szCs w:val="20"/>
        </w:rPr>
        <w:t>1:391</w:t>
      </w:r>
      <w:r>
        <w:rPr>
          <w:rFonts w:ascii="IRNazanin" w:hAnsi="IRNazanin" w:eastAsia="IRNazanin"/>
          <w:b w:val="false"/>
          <w:b w:val="false"/>
          <w:bCs w:val="false"/>
          <w:i w:val="false"/>
          <w:i w:val="false"/>
          <w:iCs w:val="false"/>
          <w:color w:val="333333"/>
          <w:sz w:val="20"/>
          <w:sz w:val="20"/>
          <w:szCs w:val="20"/>
          <w:rtl w:val="true"/>
        </w:rPr>
        <w:t xml:space="preserve">،الأحکام للآمدی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،المستصفی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التبصرة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الإبهاج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،شرح اللّمع </w:t>
      </w:r>
      <w:r>
        <w:rPr>
          <w:rFonts w:eastAsia="IRNazanin" w:cs="IRNazanin"/>
          <w:b w:val="false"/>
          <w:bCs w:val="false"/>
          <w:i w:val="false"/>
          <w:iCs w:val="false"/>
          <w:color w:val="333333"/>
          <w:sz w:val="20"/>
          <w:szCs w:val="20"/>
        </w:rPr>
        <w:t>1:326</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المعتمد </w:t>
      </w:r>
      <w:r>
        <w:rPr>
          <w:rFonts w:eastAsia="IRNazanin" w:cs="IRNazanin"/>
          <w:b w:val="false"/>
          <w:bCs w:val="false"/>
          <w:i w:val="false"/>
          <w:iCs w:val="false"/>
          <w:color w:val="333333"/>
          <w:sz w:val="20"/>
          <w:szCs w:val="20"/>
        </w:rPr>
        <w:t>1:332</w:t>
      </w:r>
      <w:r>
        <w:rPr>
          <w:rFonts w:ascii="IRNazanin" w:hAnsi="IRNazanin" w:eastAsia="IRNazanin"/>
          <w:b w:val="false"/>
          <w:b w:val="false"/>
          <w:bCs w:val="false"/>
          <w:i w:val="false"/>
          <w:i w:val="false"/>
          <w:iCs w:val="false"/>
          <w:color w:val="333333"/>
          <w:sz w:val="20"/>
          <w:sz w:val="20"/>
          <w:szCs w:val="20"/>
          <w:rtl w:val="true"/>
        </w:rPr>
        <w:t xml:space="preserve">،الذریعة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یصرف</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المعتمد </w:t>
      </w:r>
      <w:r>
        <w:rPr>
          <w:rFonts w:eastAsia="IRNazanin" w:cs="IRNazanin"/>
          <w:b w:val="false"/>
          <w:bCs w:val="false"/>
          <w:i w:val="false"/>
          <w:iCs w:val="false"/>
          <w:color w:val="333333"/>
          <w:sz w:val="20"/>
          <w:szCs w:val="20"/>
        </w:rPr>
        <w:t>1:332</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مذهب أبی بکر الدّقّاق من أصحاب الشّافعی</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زکاة الأنعام،ح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الأحکام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،الذریعة </w:t>
      </w:r>
      <w:r>
        <w:rPr>
          <w:rFonts w:eastAsia="IRNazanin" w:cs="IRNazanin"/>
          <w:b w:val="false"/>
          <w:bCs w:val="false"/>
          <w:i w:val="false"/>
          <w:iCs w:val="false"/>
          <w:color w:val="333333"/>
          <w:sz w:val="20"/>
          <w:szCs w:val="20"/>
        </w:rPr>
        <w:t>1:392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تابعة علی هذا المذهب الهراسی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أصحاب الشّافعی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الکرخی،و أبو الحسین البصری</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النسختین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شریح،تصحیف و صوابه ما أثبتناه،انظر هامش 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التعلیقة 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w:t>
      </w:r>
      <w:r>
        <w:rPr>
          <w:rFonts w:eastAsia="IRNazanin" w:cs="IRNazanin"/>
          <w:b w:val="false"/>
          <w:bCs w:val="false"/>
          <w:i w:val="false"/>
          <w:iCs w:val="false"/>
          <w:color w:val="333333"/>
          <w:sz w:val="20"/>
          <w:szCs w:val="20"/>
        </w:rPr>
        <w:t>1:394</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المعتمد </w:t>
      </w:r>
      <w:r>
        <w:rPr>
          <w:rFonts w:eastAsia="IRNazanin" w:cs="IRNazanin"/>
          <w:b w:val="false"/>
          <w:bCs w:val="false"/>
          <w:i w:val="false"/>
          <w:iCs w:val="false"/>
          <w:color w:val="333333"/>
          <w:sz w:val="20"/>
          <w:szCs w:val="20"/>
        </w:rPr>
        <w:t>1:149</w:t>
      </w:r>
      <w:r>
        <w:rPr>
          <w:rFonts w:ascii="IRNazanin" w:hAnsi="IRNazanin" w:eastAsia="IRNazanin"/>
          <w:b w:val="false"/>
          <w:b w:val="false"/>
          <w:bCs w:val="false"/>
          <w:i w:val="false"/>
          <w:i w:val="false"/>
          <w:iCs w:val="false"/>
          <w:color w:val="333333"/>
          <w:sz w:val="20"/>
          <w:sz w:val="20"/>
          <w:szCs w:val="20"/>
          <w:rtl w:val="true"/>
        </w:rPr>
        <w:t xml:space="preserve">،الأحکام للآمدی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،الذریعة </w:t>
      </w:r>
      <w:r>
        <w:rPr>
          <w:rFonts w:eastAsia="IRNazanin" w:cs="IRNazanin"/>
          <w:b w:val="false"/>
          <w:bCs w:val="false"/>
          <w:i w:val="false"/>
          <w:iCs w:val="false"/>
          <w:color w:val="333333"/>
          <w:sz w:val="20"/>
          <w:szCs w:val="20"/>
        </w:rPr>
        <w:t>1:392</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الشّریف المرتضی،حیث یبدأ المصنّف بنقل فقرة طویلة من کلام المرتضی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کتابه الذریعة </w:t>
      </w:r>
      <w:r>
        <w:rPr>
          <w:rFonts w:eastAsia="IRNazanin" w:cs="IRNazanin"/>
          <w:b w:val="false"/>
          <w:bCs w:val="false"/>
          <w:i w:val="false"/>
          <w:iCs w:val="false"/>
          <w:color w:val="333333"/>
          <w:sz w:val="20"/>
          <w:szCs w:val="20"/>
        </w:rPr>
        <w:t>2:413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ضرورة خلاف ذلک</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أنّ</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ضرب</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النسخة الثّانیة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 یکون هذا إلاّ ما قال هذا قط</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 غیر موجودة فی نسخة المصدر المطبوعة</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زیادة غیر موجودة فی نسخة المصدر المطبوعة</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ربّما قوّی</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یطهّر کالماء</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فأجراه مجری کون الإبل سائمة و معلوفة</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الصّفات</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بالأسماء</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 لم یکن فی العالم من اسمه زید</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 غیر موجودة فی نسخة المصدر المطبوعة</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زکاة الأنعام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،و قد أخرجه البخاری،و أحمد،و أبو داود،و النّسائی و الدّار قطنی،و البیهقی،و الحاکم النیسابوری کلّهم فی کتاب الزّکاة</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یمکن الخلاف فیما یدخل تحت الحسّ</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متناقضا</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زیادة تقتضیها العبارة</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زکاة الأنعام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،و قد أخرجه البخاری،و أحمد،و أبو داود،و النّسائی و الدّار قطنی،و البیهقی،و الحاکم النیسابوری کلّهم فی کتاب الزّکاة</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المصدر</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شراف</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یتعلّق اللّفظ به</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فهو</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سواء علمنا مذهبه فی دلیل الخطاب أو شککنا فیه،و أهل اللّغة یستفهم بعضهم بعضا فی مثل هذا الخطاب،و لیس لهم مذهب مخصوص فی دلیل الخطاب</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 و النسخة الثانیة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التقریر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الصّحیح ما أثبتناه من المصدر</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قرن به ما یدلّ علی أنّه متجوّز،و لا یحسن منه الإطلاق</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حکی الشّریف المرتضی استدلالات من خالفه فی هذه المسألة</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استدلّ المخالف لنا فی هذه المسألة بأشیاء</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تعلیق الحکم فی قوله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سائمة الغنم زکاة</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تعلیق الحکم فی قوله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سائمة الغنم زکاة</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الطبری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المجلّد السّادس،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فسألت عنه رسول اللّه صلّی اللّه علیه و آله و سلّم</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قال الشّریف المرتضی رحمه اللّه</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زیادة من المصدر</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وکلنا فی إثباته فی غیرها إلی دلالة أخری من قیاس أو غیره</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،و قد أخرجه البخاری،و أحمد،و أبو داود،و النّسائی،و الدار قطنی،و البیهقی،و الحاکم النیسابوری کلّهم فی کتاب الزکاة</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لتعلّق</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فما</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یکون الاستثناء واردا</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لتعلّق</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بدلیل منفصل</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مقام الثّانی</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فإنّا نعلم</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مائة درهم</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الصوم</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زیادة من النسخة الثّانیة</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 قیل</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بالصفة</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أعقل</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دلیل سواه</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الأصل مباحا</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أنّه</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Pr>
        <w:t>7:272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 مسلم و الترمذی</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9814</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جمیعا بالنّص</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طریقة</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 الحدیث مسلم و الدارمی،و التّرمذی،و ابن ماجة،و أبو داود،و ابن حنبل،کلّهم فی کتاب الحدود،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أیضا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التبیان </w:t>
      </w:r>
      <w:r>
        <w:rPr>
          <w:rFonts w:eastAsia="IRNazanin" w:cs="IRNazanin"/>
          <w:b w:val="false"/>
          <w:bCs w:val="false"/>
          <w:i w:val="false"/>
          <w:iCs w:val="false"/>
          <w:color w:val="333333"/>
          <w:sz w:val="20"/>
          <w:szCs w:val="20"/>
        </w:rPr>
        <w:t>3:143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فی المنسوخ</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سورة البقرة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نسخ وجوب ثبات الرّجل الواحد للعشرة</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Pr>
        <w:t>11:152</w:t>
      </w:r>
      <w:r>
        <w:rPr>
          <w:rFonts w:ascii="IRNazanin" w:hAnsi="IRNazanin" w:eastAsia="IRNazanin"/>
          <w:b w:val="false"/>
          <w:b w:val="false"/>
          <w:bCs w:val="false"/>
          <w:i w:val="false"/>
          <w:i w:val="false"/>
          <w:iCs w:val="false"/>
          <w:color w:val="333333"/>
          <w:sz w:val="20"/>
          <w:sz w:val="20"/>
          <w:szCs w:val="20"/>
          <w:rtl w:val="true"/>
        </w:rPr>
        <w:t xml:space="preserve">،السنن الکبری </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الإحسان بترتیب صحیح ابن حبّان </w:t>
      </w:r>
      <w:r>
        <w:rPr>
          <w:rFonts w:eastAsia="IRNazanin" w:cs="IRNazanin"/>
          <w:b w:val="false"/>
          <w:bCs w:val="false"/>
          <w:i w:val="false"/>
          <w:iCs w:val="false"/>
          <w:color w:val="333333"/>
          <w:sz w:val="20"/>
          <w:szCs w:val="20"/>
        </w:rPr>
        <w:t>7:382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المصادر الواردة فی هامش 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فارس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بدو،الباء و الدال و الواو أصل واحد و هو ظهور الشّیء،یقال بدأ الشّیء یبدو،إذا ظهر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مقاییس اللّغة </w:t>
      </w:r>
      <w:r>
        <w:rPr>
          <w:rFonts w:eastAsia="IRNazanin" w:cs="IRNazanin"/>
          <w:b w:val="false"/>
          <w:bCs w:val="false"/>
          <w:i w:val="false"/>
          <w:iCs w:val="false"/>
          <w:color w:val="333333"/>
          <w:sz w:val="20"/>
          <w:szCs w:val="20"/>
        </w:rPr>
        <w:t>1:212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1:347</w:t>
      </w:r>
      <w:r>
        <w:rPr>
          <w:rFonts w:ascii="IRNazanin" w:hAnsi="IRNazanin" w:eastAsia="IRNazanin"/>
          <w:b w:val="false"/>
          <w:b w:val="false"/>
          <w:bCs w:val="false"/>
          <w:i w:val="false"/>
          <w:i w:val="false"/>
          <w:iCs w:val="false"/>
          <w:color w:val="333333"/>
          <w:sz w:val="20"/>
          <w:sz w:val="20"/>
          <w:szCs w:val="20"/>
          <w:rtl w:val="true"/>
        </w:rPr>
        <w:t xml:space="preserve">،المصباح المنیر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الجاثیة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الأحادیث الواردة فی کتاب أصول الکافی </w:t>
      </w:r>
      <w:r>
        <w:rPr>
          <w:rFonts w:eastAsia="IRNazanin" w:cs="IRNazanin"/>
          <w:b w:val="false"/>
          <w:bCs w:val="false"/>
          <w:i w:val="false"/>
          <w:iCs w:val="false"/>
          <w:color w:val="333333"/>
          <w:sz w:val="20"/>
          <w:szCs w:val="20"/>
        </w:rPr>
        <w:t>1:146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البداء</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اللّه روحه</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 مصدر هذا القول فی مصنفات الشریف المرتضی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لعل المصنف نقله عن مجالس الشریف المرتضی مشافهة</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کلام المصنّف فی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العقلیات</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کونها</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 من النسخة الثّانیة</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التعلیقة 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التعلیقة 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500</w:t>
      </w:r>
    </w:p>
  </w:footnote>
  <w:footnote w:id="1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الّذی ینبغی أن یحصل فی هذا الباب</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تلک الموصوف</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لنا أن</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الحجریة 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الوقت</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وجب</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أن</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قیل له</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یوجب</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العنکبوت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أقوال المخالفین فی المصادر الواردة فی ذیل هامش 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استدلال المصنّف فی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p>
  </w:footnote>
  <w:footnote w:id="1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لأنّ ماله</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تفاصیل هذه الاعتراضات و النقوض فی المصادر الواردة فی ذیل التعلیقة السابقة</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النسختین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بقیَ</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التعلیقة 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أخرجه أبو داود و مالک،و الدارمی،و النسائی و مسلم </w:t>
      </w:r>
      <w:r>
        <w:rPr>
          <w:rFonts w:eastAsia="IRNazanin" w:cs="IRNazanin"/>
          <w:b w:val="false"/>
          <w:bCs w:val="false"/>
          <w:i w:val="false"/>
          <w:iCs w:val="false"/>
          <w:color w:val="333333"/>
          <w:sz w:val="20"/>
          <w:szCs w:val="20"/>
        </w:rPr>
        <w:t>2:1075</w:t>
      </w:r>
      <w:r>
        <w:rPr>
          <w:rFonts w:ascii="IRNazanin" w:hAnsi="IRNazanin" w:eastAsia="IRNazanin"/>
          <w:b w:val="false"/>
          <w:b w:val="false"/>
          <w:bCs w:val="false"/>
          <w:i w:val="false"/>
          <w:i w:val="false"/>
          <w:iCs w:val="false"/>
          <w:color w:val="333333"/>
          <w:sz w:val="20"/>
          <w:sz w:val="20"/>
          <w:szCs w:val="20"/>
          <w:rtl w:val="true"/>
        </w:rPr>
        <w:t xml:space="preserve">،و الترمذی </w:t>
      </w:r>
      <w:r>
        <w:rPr>
          <w:rFonts w:eastAsia="IRNazanin" w:cs="IRNazanin"/>
          <w:b w:val="false"/>
          <w:bCs w:val="false"/>
          <w:i w:val="false"/>
          <w:iCs w:val="false"/>
          <w:color w:val="333333"/>
          <w:sz w:val="20"/>
          <w:szCs w:val="20"/>
        </w:rPr>
        <w:t>3:456</w:t>
      </w:r>
      <w:r>
        <w:rPr>
          <w:rFonts w:ascii="IRNazanin" w:hAnsi="IRNazanin" w:eastAsia="IRNazanin"/>
          <w:b w:val="false"/>
          <w:b w:val="false"/>
          <w:bCs w:val="false"/>
          <w:i w:val="false"/>
          <w:i w:val="false"/>
          <w:iCs w:val="false"/>
          <w:color w:val="333333"/>
          <w:sz w:val="20"/>
          <w:sz w:val="20"/>
          <w:szCs w:val="20"/>
          <w:rtl w:val="true"/>
        </w:rPr>
        <w:t>،انظر أیضا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میزان الأصول </w:t>
      </w:r>
      <w:r>
        <w:rPr>
          <w:rFonts w:eastAsia="IRNazanin" w:cs="IRNazanin"/>
          <w:b w:val="false"/>
          <w:bCs w:val="false"/>
          <w:i w:val="false"/>
          <w:iCs w:val="false"/>
          <w:color w:val="333333"/>
          <w:sz w:val="20"/>
          <w:szCs w:val="20"/>
        </w:rPr>
        <w:t>2:1009</w:t>
      </w:r>
      <w:r>
        <w:rPr>
          <w:rFonts w:ascii="IRNazanin" w:hAnsi="IRNazanin" w:eastAsia="IRNazanin"/>
          <w:b w:val="false"/>
          <w:b w:val="false"/>
          <w:bCs w:val="false"/>
          <w:i w:val="false"/>
          <w:i w:val="false"/>
          <w:iCs w:val="false"/>
          <w:color w:val="333333"/>
          <w:sz w:val="20"/>
          <w:sz w:val="20"/>
          <w:szCs w:val="20"/>
          <w:rtl w:val="true"/>
        </w:rPr>
        <w:t xml:space="preserve">،الأحکام </w:t>
      </w:r>
      <w:r>
        <w:rPr>
          <w:rFonts w:eastAsia="IRNazanin" w:cs="IRNazanin"/>
          <w:b w:val="false"/>
          <w:bCs w:val="false"/>
          <w:i w:val="false"/>
          <w:iCs w:val="false"/>
          <w:color w:val="333333"/>
          <w:sz w:val="20"/>
          <w:szCs w:val="20"/>
        </w:rPr>
        <w:t>3:128</w:t>
      </w:r>
      <w:r>
        <w:rPr>
          <w:rFonts w:ascii="IRNazanin" w:hAnsi="IRNazanin" w:eastAsia="IRNazanin"/>
          <w:b w:val="false"/>
          <w:b w:val="false"/>
          <w:bCs w:val="false"/>
          <w:i w:val="false"/>
          <w:i w:val="false"/>
          <w:iCs w:val="false"/>
          <w:color w:val="333333"/>
          <w:sz w:val="20"/>
          <w:sz w:val="20"/>
          <w:szCs w:val="20"/>
          <w:rtl w:val="true"/>
        </w:rPr>
        <w:t xml:space="preserve">،شرح اللّمع </w:t>
      </w:r>
      <w:r>
        <w:rPr>
          <w:rFonts w:eastAsia="IRNazanin" w:cs="IRNazanin"/>
          <w:b w:val="false"/>
          <w:bCs w:val="false"/>
          <w:i w:val="false"/>
          <w:iCs w:val="false"/>
          <w:color w:val="333333"/>
          <w:sz w:val="20"/>
          <w:szCs w:val="20"/>
        </w:rPr>
        <w:t>1:497</w:t>
      </w:r>
      <w:r>
        <w:rPr>
          <w:rFonts w:ascii="IRNazanin" w:hAnsi="IRNazanin" w:eastAsia="IRNazanin"/>
          <w:b w:val="false"/>
          <w:b w:val="false"/>
          <w:bCs w:val="false"/>
          <w:i w:val="false"/>
          <w:i w:val="false"/>
          <w:iCs w:val="false"/>
          <w:color w:val="333333"/>
          <w:sz w:val="20"/>
          <w:sz w:val="20"/>
          <w:szCs w:val="20"/>
          <w:rtl w:val="true"/>
        </w:rPr>
        <w:t xml:space="preserve">،أصول السرخسی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التعلیقة 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519</w:t>
      </w:r>
    </w:p>
  </w:footnote>
  <w:footnote w:id="1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التعلیقة 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519</w:t>
      </w:r>
    </w:p>
  </w:footnote>
  <w:footnote w:id="1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w:t>
      </w:r>
      <w:r>
        <w:rPr>
          <w:rFonts w:eastAsia="IRNazanin" w:cs="IRNazanin"/>
          <w:b w:val="false"/>
          <w:bCs w:val="false"/>
          <w:i w:val="false"/>
          <w:iCs w:val="false"/>
          <w:color w:val="333333"/>
          <w:sz w:val="20"/>
          <w:szCs w:val="20"/>
        </w:rPr>
        <w:t>1:430</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قدّس اللّه روحه</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تلو</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تفصیل استدلال المخالفین فی المصادر الواردة فی هامش 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التبیان </w:t>
      </w:r>
      <w:r>
        <w:rPr>
          <w:rFonts w:eastAsia="IRNazanin" w:cs="IRNazanin"/>
          <w:b w:val="false"/>
          <w:bCs w:val="false"/>
          <w:i w:val="false"/>
          <w:iCs w:val="false"/>
          <w:color w:val="333333"/>
          <w:sz w:val="20"/>
          <w:szCs w:val="20"/>
        </w:rPr>
        <w:t>6:263</w:t>
      </w:r>
      <w:r>
        <w:rPr>
          <w:rFonts w:ascii="IRNazanin" w:hAnsi="IRNazanin" w:eastAsia="IRNazanin"/>
          <w:b w:val="false"/>
          <w:b w:val="false"/>
          <w:bCs w:val="false"/>
          <w:i w:val="false"/>
          <w:i w:val="false"/>
          <w:iCs w:val="false"/>
          <w:color w:val="333333"/>
          <w:sz w:val="20"/>
          <w:sz w:val="20"/>
          <w:szCs w:val="20"/>
          <w:rtl w:val="true"/>
        </w:rPr>
        <w:t xml:space="preserve">،تفسیر الطبری </w:t>
      </w:r>
      <w:r>
        <w:rPr>
          <w:rFonts w:eastAsia="IRNazanin" w:cs="IRNazanin"/>
          <w:b w:val="false"/>
          <w:bCs w:val="false"/>
          <w:i w:val="false"/>
          <w:iCs w:val="false"/>
          <w:color w:val="333333"/>
          <w:sz w:val="20"/>
          <w:szCs w:val="20"/>
        </w:rPr>
        <w:t>13:111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فخر الرازی </w:t>
      </w:r>
      <w:r>
        <w:rPr>
          <w:rFonts w:eastAsia="IRNazanin" w:cs="IRNazanin"/>
          <w:b w:val="false"/>
          <w:bCs w:val="false"/>
          <w:i w:val="false"/>
          <w:iCs w:val="false"/>
          <w:color w:val="333333"/>
          <w:sz w:val="20"/>
          <w:szCs w:val="20"/>
        </w:rPr>
        <w:t>19:64</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استدلال المصنّف فی ص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التبیان </w:t>
      </w:r>
      <w:r>
        <w:rPr>
          <w:rFonts w:eastAsia="IRNazanin" w:cs="IRNazanin"/>
          <w:b w:val="false"/>
          <w:bCs w:val="false"/>
          <w:i w:val="false"/>
          <w:iCs w:val="false"/>
          <w:color w:val="333333"/>
          <w:sz w:val="20"/>
          <w:szCs w:val="20"/>
        </w:rPr>
        <w:t>8:518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التعلیقة 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التعلیقة 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آراء و أقوال و أدلّة هؤلاء المتفقّهة القائلین بعدم جواز النّسخ قبل الفعل فی المصادر الواردة فی التّعلیقة 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التعلیقة 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المصادر الواردة فیها</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التعلیقة 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المصادر الواردة فیها</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 و النسخة الثانیة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قبیحا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تصحیف صحیحة ما أثبتناه</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 و النسخة الثانیة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قبیحا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تصحیف صحیحة ما أثبتناه</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التعلیقة 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التعلیقة 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المصادر الواردة فیها</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التعلیقة 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527</w:t>
      </w:r>
    </w:p>
  </w:footnote>
  <w:footnote w:id="1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صلاة رکعتین</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عبادة</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انّ الاختلاف لفظی و لیس بمعنوی</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حاصله</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فإذا</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زیادة من النسخة الثانیة</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کلام المصنّف فی صفحة </w:t>
      </w:r>
      <w:r>
        <w:rPr>
          <w:rFonts w:eastAsia="IRNazanin" w:cs="IRNazanin"/>
          <w:b w:val="false"/>
          <w:bCs w:val="false"/>
          <w:i w:val="false"/>
          <w:iCs w:val="false"/>
          <w:color w:val="333333"/>
          <w:sz w:val="20"/>
          <w:szCs w:val="20"/>
        </w:rPr>
        <w:t>329</w:t>
      </w:r>
    </w:p>
  </w:footnote>
  <w:footnote w:id="1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رأی المصنّف و مختاره فی صفحة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354</w:t>
      </w:r>
    </w:p>
  </w:footnote>
  <w:footnote w:id="1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ثابتا</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التعلیقة 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أحد</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تفاصیل هذه الاستدلالات و الردود و النقوض الواردة علیها فی المصادر الواردة فی التعلیقة 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النسختین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16:615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46062</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Pr>
        <w:t>9:622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11:633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11:750</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زاد فی الحجریة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النسخ</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فیهما</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میزان الأصول </w:t>
      </w:r>
      <w:r>
        <w:rPr>
          <w:rFonts w:eastAsia="IRNazanin" w:cs="IRNazanin"/>
          <w:b w:val="false"/>
          <w:bCs w:val="false"/>
          <w:i w:val="false"/>
          <w:iCs w:val="false"/>
          <w:color w:val="333333"/>
          <w:sz w:val="20"/>
          <w:szCs w:val="20"/>
        </w:rPr>
        <w:t>2:1005</w:t>
      </w:r>
      <w:r>
        <w:rPr>
          <w:rFonts w:ascii="IRNazanin" w:hAnsi="IRNazanin" w:eastAsia="IRNazanin"/>
          <w:b w:val="false"/>
          <w:b w:val="false"/>
          <w:bCs w:val="false"/>
          <w:i w:val="false"/>
          <w:i w:val="false"/>
          <w:iCs w:val="false"/>
          <w:color w:val="333333"/>
          <w:sz w:val="20"/>
          <w:sz w:val="20"/>
          <w:szCs w:val="20"/>
          <w:rtl w:val="true"/>
        </w:rPr>
        <w:t xml:space="preserve">،الذریعة </w:t>
      </w:r>
      <w:r>
        <w:rPr>
          <w:rFonts w:eastAsia="IRNazanin" w:cs="IRNazanin"/>
          <w:b w:val="false"/>
          <w:bCs w:val="false"/>
          <w:i w:val="false"/>
          <w:iCs w:val="false"/>
          <w:color w:val="333333"/>
          <w:sz w:val="20"/>
          <w:szCs w:val="20"/>
        </w:rPr>
        <w:t>1:455</w:t>
      </w:r>
      <w:r>
        <w:rPr>
          <w:rFonts w:ascii="IRNazanin" w:hAnsi="IRNazanin" w:eastAsia="IRNazanin"/>
          <w:b w:val="false"/>
          <w:b w:val="false"/>
          <w:bCs w:val="false"/>
          <w:i w:val="false"/>
          <w:i w:val="false"/>
          <w:iCs w:val="false"/>
          <w:color w:val="333333"/>
          <w:sz w:val="20"/>
          <w:sz w:val="20"/>
          <w:szCs w:val="20"/>
          <w:rtl w:val="true"/>
        </w:rPr>
        <w:t>،التذکرة بأصول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الأحکام للآمدی </w:t>
      </w:r>
      <w:r>
        <w:rPr>
          <w:rFonts w:eastAsia="IRNazanin" w:cs="IRNazanin"/>
          <w:b w:val="false"/>
          <w:bCs w:val="false"/>
          <w:i w:val="false"/>
          <w:iCs w:val="false"/>
          <w:color w:val="333333"/>
          <w:sz w:val="20"/>
          <w:szCs w:val="20"/>
        </w:rPr>
        <w:t>3:132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اللّمع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،شرح اللّمع </w:t>
      </w:r>
      <w:r>
        <w:rPr>
          <w:rFonts w:eastAsia="IRNazanin" w:cs="IRNazanin"/>
          <w:b w:val="false"/>
          <w:bCs w:val="false"/>
          <w:i w:val="false"/>
          <w:iCs w:val="false"/>
          <w:color w:val="333333"/>
          <w:sz w:val="20"/>
          <w:szCs w:val="20"/>
        </w:rPr>
        <w:t>1:498</w:t>
      </w:r>
      <w:r>
        <w:rPr>
          <w:rFonts w:ascii="IRNazanin" w:hAnsi="IRNazanin" w:eastAsia="IRNazanin"/>
          <w:b w:val="false"/>
          <w:b w:val="false"/>
          <w:bCs w:val="false"/>
          <w:i w:val="false"/>
          <w:i w:val="false"/>
          <w:iCs w:val="false"/>
          <w:color w:val="333333"/>
          <w:sz w:val="20"/>
          <w:sz w:val="20"/>
          <w:szCs w:val="20"/>
          <w:rtl w:val="true"/>
        </w:rPr>
        <w:t xml:space="preserve">،شرح المنهاج </w:t>
      </w:r>
      <w:r>
        <w:rPr>
          <w:rFonts w:eastAsia="IRNazanin" w:cs="IRNazanin"/>
          <w:b w:val="false"/>
          <w:bCs w:val="false"/>
          <w:i w:val="false"/>
          <w:iCs w:val="false"/>
          <w:color w:val="333333"/>
          <w:sz w:val="20"/>
          <w:szCs w:val="20"/>
        </w:rPr>
        <w:t>1:477</w:t>
      </w:r>
      <w:r>
        <w:rPr>
          <w:rFonts w:ascii="IRNazanin" w:hAnsi="IRNazanin" w:eastAsia="IRNazanin"/>
          <w:b w:val="false"/>
          <w:b w:val="false"/>
          <w:bCs w:val="false"/>
          <w:i w:val="false"/>
          <w:i w:val="false"/>
          <w:iCs w:val="false"/>
          <w:color w:val="333333"/>
          <w:sz w:val="20"/>
          <w:sz w:val="20"/>
          <w:szCs w:val="20"/>
          <w:rtl w:val="true"/>
        </w:rPr>
        <w:t xml:space="preserve">،المعتمد </w:t>
      </w:r>
      <w:r>
        <w:rPr>
          <w:rFonts w:eastAsia="IRNazanin" w:cs="IRNazanin"/>
          <w:b w:val="false"/>
          <w:bCs w:val="false"/>
          <w:i w:val="false"/>
          <w:iCs w:val="false"/>
          <w:color w:val="333333"/>
          <w:sz w:val="20"/>
          <w:szCs w:val="20"/>
        </w:rPr>
        <w:t>1:390</w:t>
      </w:r>
      <w:r>
        <w:rPr>
          <w:rFonts w:ascii="IRNazanin" w:hAnsi="IRNazanin" w:eastAsia="IRNazanin"/>
          <w:b w:val="false"/>
          <w:b w:val="false"/>
          <w:bCs w:val="false"/>
          <w:i w:val="false"/>
          <w:i w:val="false"/>
          <w:iCs w:val="false"/>
          <w:color w:val="333333"/>
          <w:sz w:val="20"/>
          <w:sz w:val="20"/>
          <w:szCs w:val="20"/>
          <w:rtl w:val="true"/>
        </w:rPr>
        <w:t>،الأحکام لابن حزم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505</w:t>
      </w:r>
      <w:r>
        <w:rPr>
          <w:rFonts w:ascii="IRNazanin" w:hAnsi="IRNazanin" w:eastAsia="IRNazanin"/>
          <w:b w:val="false"/>
          <w:b w:val="false"/>
          <w:bCs w:val="false"/>
          <w:i w:val="false"/>
          <w:i w:val="false"/>
          <w:iCs w:val="false"/>
          <w:color w:val="333333"/>
          <w:sz w:val="20"/>
          <w:sz w:val="20"/>
          <w:szCs w:val="20"/>
          <w:rtl w:val="true"/>
        </w:rPr>
        <w:t xml:space="preserve">،أصول السرخسی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،روضة النّاظر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،المنخول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،إرشاد الفحول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الأحکام لابن حزم الأندلسی </w:t>
      </w:r>
      <w:r>
        <w:rPr>
          <w:rFonts w:eastAsia="IRNazanin" w:cs="IRNazanin"/>
          <w:b w:val="false"/>
          <w:bCs w:val="false"/>
          <w:i w:val="false"/>
          <w:iCs w:val="false"/>
          <w:color w:val="333333"/>
          <w:sz w:val="20"/>
          <w:szCs w:val="20"/>
        </w:rPr>
        <w:t>4:517</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تفصیل الکلام فی هاتین المسألتین فی صفحة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الذریعة </w:t>
      </w:r>
      <w:r>
        <w:rPr>
          <w:rFonts w:eastAsia="IRNazanin" w:cs="IRNazanin"/>
          <w:b w:val="false"/>
          <w:bCs w:val="false"/>
          <w:i w:val="false"/>
          <w:iCs w:val="false"/>
          <w:color w:val="333333"/>
          <w:sz w:val="20"/>
          <w:szCs w:val="20"/>
        </w:rPr>
        <w:t>1:456</w:t>
      </w:r>
      <w:r>
        <w:rPr>
          <w:rFonts w:ascii="IRNazanin" w:hAnsi="IRNazanin" w:eastAsia="IRNazanin"/>
          <w:b w:val="false"/>
          <w:b w:val="false"/>
          <w:bCs w:val="false"/>
          <w:i w:val="false"/>
          <w:i w:val="false"/>
          <w:iCs w:val="false"/>
          <w:color w:val="333333"/>
          <w:sz w:val="20"/>
          <w:sz w:val="20"/>
          <w:szCs w:val="20"/>
          <w:rtl w:val="true"/>
        </w:rPr>
        <w:t xml:space="preserve">،الأحکام للآمدی </w:t>
      </w:r>
      <w:r>
        <w:rPr>
          <w:rFonts w:eastAsia="IRNazanin" w:cs="IRNazanin"/>
          <w:b w:val="false"/>
          <w:bCs w:val="false"/>
          <w:i w:val="false"/>
          <w:iCs w:val="false"/>
          <w:color w:val="333333"/>
          <w:sz w:val="20"/>
          <w:szCs w:val="20"/>
        </w:rPr>
        <w:t>3:144</w:t>
      </w:r>
      <w:r>
        <w:rPr>
          <w:rFonts w:ascii="IRNazanin" w:hAnsi="IRNazanin" w:eastAsia="IRNazanin"/>
          <w:b w:val="false"/>
          <w:b w:val="false"/>
          <w:bCs w:val="false"/>
          <w:i w:val="false"/>
          <w:i w:val="false"/>
          <w:iCs w:val="false"/>
          <w:color w:val="333333"/>
          <w:sz w:val="20"/>
          <w:sz w:val="20"/>
          <w:szCs w:val="20"/>
          <w:rtl w:val="true"/>
        </w:rPr>
        <w:t>،اللّمع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،شرح اللّمع </w:t>
      </w:r>
      <w:r>
        <w:rPr>
          <w:rFonts w:eastAsia="IRNazanin" w:cs="IRNazanin"/>
          <w:b w:val="false"/>
          <w:bCs w:val="false"/>
          <w:i w:val="false"/>
          <w:iCs w:val="false"/>
          <w:color w:val="333333"/>
          <w:sz w:val="20"/>
          <w:szCs w:val="20"/>
        </w:rPr>
        <w:t>1:490</w:t>
      </w:r>
      <w:r>
        <w:rPr>
          <w:rFonts w:ascii="IRNazanin" w:hAnsi="IRNazanin" w:eastAsia="IRNazanin"/>
          <w:b w:val="false"/>
          <w:b w:val="false"/>
          <w:bCs w:val="false"/>
          <w:i w:val="false"/>
          <w:i w:val="false"/>
          <w:iCs w:val="false"/>
          <w:color w:val="333333"/>
          <w:sz w:val="20"/>
          <w:sz w:val="20"/>
          <w:szCs w:val="20"/>
          <w:rtl w:val="true"/>
        </w:rPr>
        <w:t xml:space="preserve">،شرح المنهاج </w:t>
      </w:r>
      <w:r>
        <w:rPr>
          <w:rFonts w:eastAsia="IRNazanin" w:cs="IRNazanin"/>
          <w:b w:val="false"/>
          <w:bCs w:val="false"/>
          <w:i w:val="false"/>
          <w:iCs w:val="false"/>
          <w:color w:val="333333"/>
          <w:sz w:val="20"/>
          <w:szCs w:val="20"/>
        </w:rPr>
        <w:t>1:484</w:t>
      </w:r>
      <w:r>
        <w:rPr>
          <w:rFonts w:ascii="IRNazanin" w:hAnsi="IRNazanin" w:eastAsia="IRNazanin"/>
          <w:b w:val="false"/>
          <w:b w:val="false"/>
          <w:bCs w:val="false"/>
          <w:i w:val="false"/>
          <w:i w:val="false"/>
          <w:iCs w:val="false"/>
          <w:color w:val="333333"/>
          <w:sz w:val="20"/>
          <w:sz w:val="20"/>
          <w:szCs w:val="20"/>
          <w:rtl w:val="true"/>
        </w:rPr>
        <w:t xml:space="preserve">، المعتمد </w:t>
      </w:r>
      <w:r>
        <w:rPr>
          <w:rFonts w:eastAsia="IRNazanin" w:cs="IRNazanin"/>
          <w:b w:val="false"/>
          <w:bCs w:val="false"/>
          <w:i w:val="false"/>
          <w:iCs w:val="false"/>
          <w:color w:val="333333"/>
          <w:sz w:val="20"/>
          <w:szCs w:val="20"/>
        </w:rPr>
        <w:t>1:400</w:t>
      </w:r>
      <w:r>
        <w:rPr>
          <w:rFonts w:ascii="IRNazanin" w:hAnsi="IRNazanin" w:eastAsia="IRNazanin"/>
          <w:b w:val="false"/>
          <w:b w:val="false"/>
          <w:bCs w:val="false"/>
          <w:i w:val="false"/>
          <w:i w:val="false"/>
          <w:iCs w:val="false"/>
          <w:color w:val="333333"/>
          <w:sz w:val="20"/>
          <w:sz w:val="20"/>
          <w:szCs w:val="20"/>
          <w:rtl w:val="true"/>
        </w:rPr>
        <w:t>،روضة النّاظر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،الأحکام لابن حزم </w:t>
      </w:r>
      <w:r>
        <w:rPr>
          <w:rFonts w:eastAsia="IRNazanin" w:cs="IRNazanin"/>
          <w:b w:val="false"/>
          <w:bCs w:val="false"/>
          <w:i w:val="false"/>
          <w:iCs w:val="false"/>
          <w:color w:val="333333"/>
          <w:sz w:val="20"/>
          <w:szCs w:val="20"/>
        </w:rPr>
        <w:t>4:517</w:t>
      </w:r>
      <w:r>
        <w:rPr>
          <w:rFonts w:ascii="IRNazanin" w:hAnsi="IRNazanin" w:eastAsia="IRNazanin"/>
          <w:b w:val="false"/>
          <w:b w:val="false"/>
          <w:bCs w:val="false"/>
          <w:i w:val="false"/>
          <w:i w:val="false"/>
          <w:iCs w:val="false"/>
          <w:color w:val="333333"/>
          <w:sz w:val="20"/>
          <w:sz w:val="20"/>
          <w:szCs w:val="20"/>
          <w:rtl w:val="true"/>
        </w:rPr>
        <w:t>،إرشاد الفحول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الذریعة </w:t>
      </w:r>
      <w:r>
        <w:rPr>
          <w:rFonts w:eastAsia="IRNazanin" w:cs="IRNazanin"/>
          <w:b w:val="false"/>
          <w:bCs w:val="false"/>
          <w:i w:val="false"/>
          <w:iCs w:val="false"/>
          <w:color w:val="333333"/>
          <w:sz w:val="20"/>
          <w:szCs w:val="20"/>
        </w:rPr>
        <w:t>1:456</w:t>
      </w:r>
      <w:r>
        <w:rPr>
          <w:rFonts w:ascii="IRNazanin" w:hAnsi="IRNazanin" w:eastAsia="IRNazanin"/>
          <w:b w:val="false"/>
          <w:b w:val="false"/>
          <w:bCs w:val="false"/>
          <w:i w:val="false"/>
          <w:i w:val="false"/>
          <w:iCs w:val="false"/>
          <w:color w:val="333333"/>
          <w:sz w:val="20"/>
          <w:sz w:val="20"/>
          <w:szCs w:val="20"/>
          <w:rtl w:val="true"/>
        </w:rPr>
        <w:t xml:space="preserve">،الأحکام للآمدی </w:t>
      </w:r>
      <w:r>
        <w:rPr>
          <w:rFonts w:eastAsia="IRNazanin" w:cs="IRNazanin"/>
          <w:b w:val="false"/>
          <w:bCs w:val="false"/>
          <w:i w:val="false"/>
          <w:iCs w:val="false"/>
          <w:color w:val="333333"/>
          <w:sz w:val="20"/>
          <w:szCs w:val="20"/>
        </w:rPr>
        <w:t>3:144</w:t>
      </w:r>
      <w:r>
        <w:rPr>
          <w:rFonts w:ascii="IRNazanin" w:hAnsi="IRNazanin" w:eastAsia="IRNazanin"/>
          <w:b w:val="false"/>
          <w:b w:val="false"/>
          <w:bCs w:val="false"/>
          <w:i w:val="false"/>
          <w:i w:val="false"/>
          <w:iCs w:val="false"/>
          <w:color w:val="333333"/>
          <w:sz w:val="20"/>
          <w:sz w:val="20"/>
          <w:szCs w:val="20"/>
          <w:rtl w:val="true"/>
        </w:rPr>
        <w:t>،اللّمع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،شرح اللّمع </w:t>
      </w:r>
      <w:r>
        <w:rPr>
          <w:rFonts w:eastAsia="IRNazanin" w:cs="IRNazanin"/>
          <w:b w:val="false"/>
          <w:bCs w:val="false"/>
          <w:i w:val="false"/>
          <w:iCs w:val="false"/>
          <w:color w:val="333333"/>
          <w:sz w:val="20"/>
          <w:szCs w:val="20"/>
        </w:rPr>
        <w:t>1:490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المنهاج </w:t>
      </w:r>
      <w:r>
        <w:rPr>
          <w:rFonts w:eastAsia="IRNazanin" w:cs="IRNazanin"/>
          <w:b w:val="false"/>
          <w:bCs w:val="false"/>
          <w:i w:val="false"/>
          <w:iCs w:val="false"/>
          <w:color w:val="333333"/>
          <w:sz w:val="20"/>
          <w:szCs w:val="20"/>
        </w:rPr>
        <w:t>1:484</w:t>
      </w:r>
      <w:r>
        <w:rPr>
          <w:rFonts w:ascii="IRNazanin" w:hAnsi="IRNazanin" w:eastAsia="IRNazanin"/>
          <w:b w:val="false"/>
          <w:b w:val="false"/>
          <w:bCs w:val="false"/>
          <w:i w:val="false"/>
          <w:i w:val="false"/>
          <w:iCs w:val="false"/>
          <w:color w:val="333333"/>
          <w:sz w:val="20"/>
          <w:sz w:val="20"/>
          <w:szCs w:val="20"/>
          <w:rtl w:val="true"/>
        </w:rPr>
        <w:t xml:space="preserve">، المعتمد </w:t>
      </w:r>
      <w:r>
        <w:rPr>
          <w:rFonts w:eastAsia="IRNazanin" w:cs="IRNazanin"/>
          <w:b w:val="false"/>
          <w:bCs w:val="false"/>
          <w:i w:val="false"/>
          <w:iCs w:val="false"/>
          <w:color w:val="333333"/>
          <w:sz w:val="20"/>
          <w:szCs w:val="20"/>
        </w:rPr>
        <w:t>1:400</w:t>
      </w:r>
      <w:r>
        <w:rPr>
          <w:rFonts w:ascii="IRNazanin" w:hAnsi="IRNazanin" w:eastAsia="IRNazanin"/>
          <w:b w:val="false"/>
          <w:b w:val="false"/>
          <w:bCs w:val="false"/>
          <w:i w:val="false"/>
          <w:i w:val="false"/>
          <w:iCs w:val="false"/>
          <w:color w:val="333333"/>
          <w:sz w:val="20"/>
          <w:sz w:val="20"/>
          <w:szCs w:val="20"/>
          <w:rtl w:val="true"/>
        </w:rPr>
        <w:t>،روضة النّاظر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،الأحکام لابن حزم </w:t>
      </w:r>
      <w:r>
        <w:rPr>
          <w:rFonts w:eastAsia="IRNazanin" w:cs="IRNazanin"/>
          <w:b w:val="false"/>
          <w:bCs w:val="false"/>
          <w:i w:val="false"/>
          <w:iCs w:val="false"/>
          <w:color w:val="333333"/>
          <w:sz w:val="20"/>
          <w:szCs w:val="20"/>
        </w:rPr>
        <w:t>4:517</w:t>
      </w:r>
      <w:r>
        <w:rPr>
          <w:rFonts w:ascii="IRNazanin" w:hAnsi="IRNazanin" w:eastAsia="IRNazanin"/>
          <w:b w:val="false"/>
          <w:b w:val="false"/>
          <w:bCs w:val="false"/>
          <w:i w:val="false"/>
          <w:i w:val="false"/>
          <w:iCs w:val="false"/>
          <w:color w:val="333333"/>
          <w:sz w:val="20"/>
          <w:sz w:val="20"/>
          <w:szCs w:val="20"/>
          <w:rtl w:val="true"/>
        </w:rPr>
        <w:t>،إرشاد الفحول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الذریعة </w:t>
      </w:r>
      <w:r>
        <w:rPr>
          <w:rFonts w:eastAsia="IRNazanin" w:cs="IRNazanin"/>
          <w:b w:val="false"/>
          <w:bCs w:val="false"/>
          <w:i w:val="false"/>
          <w:iCs w:val="false"/>
          <w:color w:val="333333"/>
          <w:sz w:val="20"/>
          <w:szCs w:val="20"/>
        </w:rPr>
        <w:t>1:456</w:t>
      </w:r>
      <w:r>
        <w:rPr>
          <w:rFonts w:ascii="IRNazanin" w:hAnsi="IRNazanin" w:eastAsia="IRNazanin"/>
          <w:b w:val="false"/>
          <w:b w:val="false"/>
          <w:bCs w:val="false"/>
          <w:i w:val="false"/>
          <w:i w:val="false"/>
          <w:iCs w:val="false"/>
          <w:color w:val="333333"/>
          <w:sz w:val="20"/>
          <w:sz w:val="20"/>
          <w:szCs w:val="20"/>
          <w:rtl w:val="true"/>
        </w:rPr>
        <w:t xml:space="preserve">،الأحکام للآمدی </w:t>
      </w:r>
      <w:r>
        <w:rPr>
          <w:rFonts w:eastAsia="IRNazanin" w:cs="IRNazanin"/>
          <w:b w:val="false"/>
          <w:bCs w:val="false"/>
          <w:i w:val="false"/>
          <w:iCs w:val="false"/>
          <w:color w:val="333333"/>
          <w:sz w:val="20"/>
          <w:szCs w:val="20"/>
        </w:rPr>
        <w:t>3:144</w:t>
      </w:r>
      <w:r>
        <w:rPr>
          <w:rFonts w:ascii="IRNazanin" w:hAnsi="IRNazanin" w:eastAsia="IRNazanin"/>
          <w:b w:val="false"/>
          <w:b w:val="false"/>
          <w:bCs w:val="false"/>
          <w:i w:val="false"/>
          <w:i w:val="false"/>
          <w:iCs w:val="false"/>
          <w:color w:val="333333"/>
          <w:sz w:val="20"/>
          <w:sz w:val="20"/>
          <w:szCs w:val="20"/>
          <w:rtl w:val="true"/>
        </w:rPr>
        <w:t>،اللّمع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،شرح اللّمع </w:t>
      </w:r>
      <w:r>
        <w:rPr>
          <w:rFonts w:eastAsia="IRNazanin" w:cs="IRNazanin"/>
          <w:b w:val="false"/>
          <w:bCs w:val="false"/>
          <w:i w:val="false"/>
          <w:iCs w:val="false"/>
          <w:color w:val="333333"/>
          <w:sz w:val="20"/>
          <w:szCs w:val="20"/>
        </w:rPr>
        <w:t>1:490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المنهاج </w:t>
      </w:r>
      <w:r>
        <w:rPr>
          <w:rFonts w:eastAsia="IRNazanin" w:cs="IRNazanin"/>
          <w:b w:val="false"/>
          <w:bCs w:val="false"/>
          <w:i w:val="false"/>
          <w:iCs w:val="false"/>
          <w:color w:val="333333"/>
          <w:sz w:val="20"/>
          <w:szCs w:val="20"/>
        </w:rPr>
        <w:t>1:484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المعتمد </w:t>
      </w:r>
      <w:r>
        <w:rPr>
          <w:rFonts w:eastAsia="IRNazanin" w:cs="IRNazanin"/>
          <w:b w:val="false"/>
          <w:bCs w:val="false"/>
          <w:i w:val="false"/>
          <w:iCs w:val="false"/>
          <w:color w:val="333333"/>
          <w:sz w:val="20"/>
          <w:szCs w:val="20"/>
        </w:rPr>
        <w:t>1:400</w:t>
      </w:r>
      <w:r>
        <w:rPr>
          <w:rFonts w:ascii="IRNazanin" w:hAnsi="IRNazanin" w:eastAsia="IRNazanin"/>
          <w:b w:val="false"/>
          <w:b w:val="false"/>
          <w:bCs w:val="false"/>
          <w:i w:val="false"/>
          <w:i w:val="false"/>
          <w:iCs w:val="false"/>
          <w:color w:val="333333"/>
          <w:sz w:val="20"/>
          <w:sz w:val="20"/>
          <w:szCs w:val="20"/>
          <w:rtl w:val="true"/>
        </w:rPr>
        <w:t>،روضة النّاظر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،الأحکام لابن حزم </w:t>
      </w:r>
      <w:r>
        <w:rPr>
          <w:rFonts w:eastAsia="IRNazanin" w:cs="IRNazanin"/>
          <w:b w:val="false"/>
          <w:bCs w:val="false"/>
          <w:i w:val="false"/>
          <w:iCs w:val="false"/>
          <w:color w:val="333333"/>
          <w:sz w:val="20"/>
          <w:szCs w:val="20"/>
        </w:rPr>
        <w:t>4:517</w:t>
      </w:r>
      <w:r>
        <w:rPr>
          <w:rFonts w:ascii="IRNazanin" w:hAnsi="IRNazanin" w:eastAsia="IRNazanin"/>
          <w:b w:val="false"/>
          <w:b w:val="false"/>
          <w:bCs w:val="false"/>
          <w:i w:val="false"/>
          <w:i w:val="false"/>
          <w:iCs w:val="false"/>
          <w:color w:val="333333"/>
          <w:sz w:val="20"/>
          <w:sz w:val="20"/>
          <w:szCs w:val="20"/>
          <w:rtl w:val="true"/>
        </w:rPr>
        <w:t>،إرشاد الفحول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التعلیقة 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حول مفهوم الاجتهاد عند متقدّمی الإمامیّة</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النسختین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نسخه</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هامش 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الاجتهاد،و لمعرفة مفهوم اصطلاح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الاجتهاد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عند مدرسة الإمامیّة و أهل السّنّة راجع التعلیقة 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هامش 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الذریعة </w:t>
      </w:r>
      <w:r>
        <w:rPr>
          <w:rFonts w:eastAsia="IRNazanin" w:cs="IRNazanin"/>
          <w:b w:val="false"/>
          <w:bCs w:val="false"/>
          <w:i w:val="false"/>
          <w:iCs w:val="false"/>
          <w:color w:val="333333"/>
          <w:sz w:val="20"/>
          <w:szCs w:val="20"/>
        </w:rPr>
        <w:t>1:462</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استدل</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یرید</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المصادر الواردة فی هامش 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 و النسخة الثانیة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العبّاس بن شریح و هو تصحیف،راجع هامش 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المعتمد </w:t>
      </w:r>
      <w:r>
        <w:rPr>
          <w:rFonts w:eastAsia="IRNazanin" w:cs="IRNazanin"/>
          <w:b w:val="false"/>
          <w:bCs w:val="false"/>
          <w:i w:val="false"/>
          <w:iCs w:val="false"/>
          <w:color w:val="333333"/>
          <w:sz w:val="20"/>
          <w:szCs w:val="20"/>
        </w:rPr>
        <w:t>1:397</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اعترض</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متی</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المصادر الواردة فی هامش 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التبصرة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،اللّمع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،شرح اللّمع </w:t>
      </w:r>
      <w:r>
        <w:rPr>
          <w:rFonts w:eastAsia="IRNazanin" w:cs="IRNazanin"/>
          <w:b w:val="false"/>
          <w:bCs w:val="false"/>
          <w:i w:val="false"/>
          <w:iCs w:val="false"/>
          <w:color w:val="333333"/>
          <w:sz w:val="20"/>
          <w:szCs w:val="20"/>
        </w:rPr>
        <w:t>1:499</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 من النسخة الثّانیة</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بأنّ السّنّة</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هامش 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القرطبی </w:t>
      </w:r>
      <w:r>
        <w:rPr>
          <w:rFonts w:eastAsia="IRNazanin" w:cs="IRNazanin"/>
          <w:b w:val="false"/>
          <w:bCs w:val="false"/>
          <w:i w:val="false"/>
          <w:iCs w:val="false"/>
          <w:color w:val="333333"/>
          <w:sz w:val="20"/>
          <w:szCs w:val="20"/>
        </w:rPr>
        <w:t>1007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المجادلة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4255515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42998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42554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السنن الکبری </w:t>
      </w:r>
      <w:r>
        <w:rPr>
          <w:rFonts w:eastAsia="IRNazanin" w:cs="IRNazanin"/>
          <w:b w:val="false"/>
          <w:bCs w:val="false"/>
          <w:i w:val="false"/>
          <w:iCs w:val="false"/>
          <w:color w:val="333333"/>
          <w:sz w:val="20"/>
          <w:szCs w:val="20"/>
        </w:rPr>
        <w:t>774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أیضا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هامش 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538</w:t>
      </w:r>
    </w:p>
  </w:footnote>
  <w:footnote w:id="1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129165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14574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4606516</w:t>
      </w:r>
      <w:r>
        <w:rPr>
          <w:rFonts w:ascii="IRNazanin" w:hAnsi="IRNazanin" w:eastAsia="IRNazanin"/>
          <w:b w:val="false"/>
          <w:b w:val="false"/>
          <w:bCs w:val="false"/>
          <w:i w:val="false"/>
          <w:i w:val="false"/>
          <w:iCs w:val="false"/>
          <w:color w:val="333333"/>
          <w:sz w:val="20"/>
          <w:sz w:val="20"/>
          <w:szCs w:val="20"/>
          <w:rtl w:val="true"/>
        </w:rPr>
        <w:t>،و الحدیث أخرجه التّرمذی،و النسائی،و أحمد،و ابن ماجة</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طاوس بن کیسان الخولانی الهمدانی،أبو عبد الرحمن،من أکابر التّابعین فقها و روایة للحدیث و زهدا و تقشّفا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أصله من بلاد فارس،ولد بالیمن سنة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 نشأ بها و توفّی بمکّة حاجّا عام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 المصنّف إشارة إلی الوجوه الخمسة الّتی مرّت فی الصفحة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هی أن یکون الثّانی منبّئا عن نسخ الأوّل لفظا أو معنی</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تفسیر التبیان </w:t>
      </w:r>
      <w:r>
        <w:rPr>
          <w:rFonts w:eastAsia="IRNazanin" w:cs="IRNazanin"/>
          <w:b w:val="false"/>
          <w:bCs w:val="false"/>
          <w:i w:val="false"/>
          <w:iCs w:val="false"/>
          <w:color w:val="333333"/>
          <w:sz w:val="20"/>
          <w:szCs w:val="20"/>
        </w:rPr>
        <w:t>4573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تخریج الحدیث فی هامش 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 أبی الحسین،و الصّحیح ما أثبتناه و هو أبو الحسن الکرخی من أعلام الحنفیّة</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 هذا الحدیث فی المصادر المتوفّرة لدینا</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مختار القاضی عبد الجبّار المعتزلی،انظر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الأحکام للآمدی </w:t>
      </w:r>
      <w:r>
        <w:rPr>
          <w:rFonts w:eastAsia="IRNazanin" w:cs="IRNazanin"/>
          <w:b w:val="false"/>
          <w:bCs w:val="false"/>
          <w:i w:val="false"/>
          <w:iCs w:val="false"/>
          <w:color w:val="333333"/>
          <w:sz w:val="20"/>
          <w:szCs w:val="20"/>
        </w:rPr>
        <w:t>1633</w:t>
      </w:r>
      <w:r>
        <w:rPr>
          <w:rFonts w:ascii="IRNazanin" w:hAnsi="IRNazanin" w:eastAsia="IRNazanin"/>
          <w:b w:val="false"/>
          <w:b w:val="false"/>
          <w:bCs w:val="false"/>
          <w:i w:val="false"/>
          <w:i w:val="false"/>
          <w:iCs w:val="false"/>
          <w:color w:val="333333"/>
          <w:sz w:val="20"/>
          <w:sz w:val="20"/>
          <w:szCs w:val="20"/>
          <w:rtl w:val="true"/>
        </w:rPr>
        <w:t xml:space="preserve">،المعتمد </w:t>
      </w:r>
      <w:r>
        <w:rPr>
          <w:rFonts w:eastAsia="IRNazanin" w:cs="IRNazanin"/>
          <w:b w:val="false"/>
          <w:bCs w:val="false"/>
          <w:i w:val="false"/>
          <w:iCs w:val="false"/>
          <w:color w:val="333333"/>
          <w:sz w:val="20"/>
          <w:szCs w:val="20"/>
        </w:rPr>
        <w:t>4181</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 یستلزم نسخ المتواتر بقول الواحد</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هامش 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 ما کان بها</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زیادة تقتضیها العبارة</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المعتمد </w:t>
      </w:r>
      <w:r>
        <w:rPr>
          <w:rFonts w:eastAsia="IRNazanin" w:cs="IRNazanin"/>
          <w:b w:val="false"/>
          <w:bCs w:val="false"/>
          <w:i w:val="false"/>
          <w:iCs w:val="false"/>
          <w:color w:val="333333"/>
          <w:sz w:val="20"/>
          <w:szCs w:val="20"/>
        </w:rPr>
        <w:t>1:335</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1:211</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2:115</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أحمد بن فارس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السین و النون أصل واحد مطرد،و هو جریان الشّیء و اطراده فی سهولة،و الأصل قولهم سننت الماء علی وجهی أسنّه سنّا،إذا أرسلته إرسالا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ممّا اشتقّ منه السّنّة،و هی السّیرة و إنّما سمّیت بذلک لأنّها تجری جریا</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استعملت</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العراة</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زیادة من النسخة الثّانیة،و فی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سواء کان من البشر</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کیف القول فیه</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المغنی لابن قدّامة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1187</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لابن قدّامة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1188</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النسختین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نفعل</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یخالف</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جمیع أفعاله الشّرعیّة</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التعلیقة 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575</w:t>
      </w:r>
    </w:p>
  </w:footnote>
  <w:footnote w:id="1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التعلیقة 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575</w:t>
      </w:r>
    </w:p>
  </w:footnote>
  <w:footnote w:id="1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فیفعلوه</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صحیح البخاری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الصّوم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رقم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کتاب الصیام،باب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،ح رقم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لفظه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 و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إنّی لأتقاکم للّه،و أخشاکم له</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المصادر الواردة فی ذیل التّعلیقة السابقة</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بیان المصنّف فی صفحة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أقوالهم فی المصادر الواردة فی التّعلیقة 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استدلال القوم علی مذاهبهم فی المصادر الواردة فی التّعلیقة 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السجدة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الفصل الأوّل من باب الأوامر صفحة </w:t>
      </w:r>
      <w:r>
        <w:rPr>
          <w:rFonts w:eastAsia="IRNazanin" w:cs="IRNazanin"/>
          <w:b w:val="false"/>
          <w:bCs w:val="false"/>
          <w:i w:val="false"/>
          <w:iCs w:val="false"/>
          <w:color w:val="333333"/>
          <w:sz w:val="20"/>
          <w:szCs w:val="20"/>
        </w:rPr>
        <w:t>159</w:t>
      </w:r>
    </w:p>
  </w:footnote>
  <w:footnote w:id="1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فعلین</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استشهادهم بأخبار الآحاد فی هذا الباب فی المصادر الواردة فی ذیل التّعلیقة 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قول</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فأمّا</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علی الحدّ</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یعلم</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التّعلیقة 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5:495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13723</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لاحظ أقوالهم و مذاهبهم و استدلالاتهم فی المصادر التالیة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المعتمد </w:t>
      </w:r>
      <w:r>
        <w:rPr>
          <w:rFonts w:eastAsia="IRNazanin" w:cs="IRNazanin"/>
          <w:b w:val="false"/>
          <w:bCs w:val="false"/>
          <w:i w:val="false"/>
          <w:iCs w:val="false"/>
          <w:color w:val="333333"/>
          <w:sz w:val="20"/>
          <w:szCs w:val="20"/>
        </w:rPr>
        <w:t>2:336</w:t>
      </w:r>
      <w:r>
        <w:rPr>
          <w:rFonts w:ascii="IRNazanin" w:hAnsi="IRNazanin" w:eastAsia="IRNazanin"/>
          <w:b w:val="false"/>
          <w:b w:val="false"/>
          <w:bCs w:val="false"/>
          <w:i w:val="false"/>
          <w:i w:val="false"/>
          <w:iCs w:val="false"/>
          <w:color w:val="333333"/>
          <w:sz w:val="20"/>
          <w:sz w:val="20"/>
          <w:szCs w:val="20"/>
          <w:rtl w:val="true"/>
        </w:rPr>
        <w:t>،الذریعة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2:599</w:t>
      </w:r>
      <w:r>
        <w:rPr>
          <w:rFonts w:ascii="IRNazanin" w:hAnsi="IRNazanin" w:eastAsia="IRNazanin"/>
          <w:b w:val="false"/>
          <w:b w:val="false"/>
          <w:bCs w:val="false"/>
          <w:i w:val="false"/>
          <w:i w:val="false"/>
          <w:iCs w:val="false"/>
          <w:color w:val="333333"/>
          <w:sz w:val="20"/>
          <w:sz w:val="20"/>
          <w:szCs w:val="20"/>
          <w:rtl w:val="true"/>
        </w:rPr>
        <w:t xml:space="preserve">، المستصفی </w:t>
      </w:r>
      <w:r>
        <w:rPr>
          <w:rFonts w:eastAsia="IRNazanin" w:cs="IRNazanin"/>
          <w:b w:val="false"/>
          <w:bCs w:val="false"/>
          <w:i w:val="false"/>
          <w:iCs w:val="false"/>
          <w:color w:val="333333"/>
          <w:sz w:val="20"/>
          <w:szCs w:val="20"/>
        </w:rPr>
        <w:t>1:246</w:t>
      </w:r>
      <w:r>
        <w:rPr>
          <w:rFonts w:ascii="IRNazanin" w:hAnsi="IRNazanin" w:eastAsia="IRNazanin"/>
          <w:b w:val="false"/>
          <w:b w:val="false"/>
          <w:bCs w:val="false"/>
          <w:i w:val="false"/>
          <w:i w:val="false"/>
          <w:iCs w:val="false"/>
          <w:color w:val="333333"/>
          <w:sz w:val="20"/>
          <w:sz w:val="20"/>
          <w:szCs w:val="20"/>
          <w:rtl w:val="true"/>
        </w:rPr>
        <w:t xml:space="preserve">،میزان الأصول </w:t>
      </w:r>
      <w:r>
        <w:rPr>
          <w:rFonts w:eastAsia="IRNazanin" w:cs="IRNazanin"/>
          <w:b w:val="false"/>
          <w:bCs w:val="false"/>
          <w:i w:val="false"/>
          <w:iCs w:val="false"/>
          <w:color w:val="333333"/>
          <w:sz w:val="20"/>
          <w:szCs w:val="20"/>
        </w:rPr>
        <w:t>2:686</w:t>
      </w:r>
      <w:r>
        <w:rPr>
          <w:rFonts w:ascii="IRNazanin" w:hAnsi="IRNazanin" w:eastAsia="IRNazanin"/>
          <w:b w:val="false"/>
          <w:b w:val="false"/>
          <w:bCs w:val="false"/>
          <w:i w:val="false"/>
          <w:i w:val="false"/>
          <w:iCs w:val="false"/>
          <w:color w:val="333333"/>
          <w:sz w:val="20"/>
          <w:sz w:val="20"/>
          <w:szCs w:val="20"/>
          <w:rtl w:val="true"/>
        </w:rPr>
        <w:t>،المنخول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،الأحکام للآمدی </w:t>
      </w:r>
      <w:r>
        <w:rPr>
          <w:rFonts w:eastAsia="IRNazanin" w:cs="IRNazanin"/>
          <w:b w:val="false"/>
          <w:bCs w:val="false"/>
          <w:i w:val="false"/>
          <w:iCs w:val="false"/>
          <w:color w:val="333333"/>
          <w:sz w:val="20"/>
          <w:szCs w:val="20"/>
        </w:rPr>
        <w:t>4:376</w:t>
      </w:r>
      <w:r>
        <w:rPr>
          <w:rFonts w:ascii="IRNazanin" w:hAnsi="IRNazanin" w:eastAsia="IRNazanin"/>
          <w:b w:val="false"/>
          <w:b w:val="false"/>
          <w:bCs w:val="false"/>
          <w:i w:val="false"/>
          <w:i w:val="false"/>
          <w:iCs w:val="false"/>
          <w:color w:val="333333"/>
          <w:sz w:val="20"/>
          <w:sz w:val="20"/>
          <w:szCs w:val="20"/>
          <w:rtl w:val="true"/>
        </w:rPr>
        <w:t xml:space="preserve">،شرح المنهاج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w:t>
      </w:r>
      <w:r>
        <w:rPr>
          <w:rFonts w:ascii="IRNazanin" w:hAnsi="IRNazanin" w:eastAsia="IRNazanin"/>
          <w:b w:val="false"/>
          <w:b w:val="false"/>
          <w:bCs w:val="false"/>
          <w:i w:val="false"/>
          <w:i w:val="false"/>
          <w:iCs w:val="false"/>
          <w:color w:val="333333"/>
          <w:sz w:val="20"/>
          <w:sz w:val="20"/>
          <w:szCs w:val="20"/>
          <w:rtl w:val="true"/>
        </w:rPr>
        <w:t xml:space="preserve">،الأحکام لابن حزم </w:t>
      </w:r>
      <w:r>
        <w:rPr>
          <w:rFonts w:eastAsia="IRNazanin" w:cs="IRNazanin"/>
          <w:b w:val="false"/>
          <w:bCs w:val="false"/>
          <w:i w:val="false"/>
          <w:iCs w:val="false"/>
          <w:color w:val="333333"/>
          <w:sz w:val="20"/>
          <w:szCs w:val="20"/>
        </w:rPr>
        <w:t>5:149</w:t>
      </w:r>
      <w:r>
        <w:rPr>
          <w:rFonts w:ascii="IRNazanin" w:hAnsi="IRNazanin" w:eastAsia="IRNazanin"/>
          <w:b w:val="false"/>
          <w:b w:val="false"/>
          <w:bCs w:val="false"/>
          <w:i w:val="false"/>
          <w:i w:val="false"/>
          <w:iCs w:val="false"/>
          <w:color w:val="333333"/>
          <w:sz w:val="20"/>
          <w:sz w:val="20"/>
          <w:szCs w:val="20"/>
          <w:rtl w:val="true"/>
        </w:rPr>
        <w:t>،أصول الدّین للجرجانی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أبو عبد اللّه البصری عن أبی الحسن الکرخی</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المصادر الواردة فی هامش 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زیادة من النسخة الثّانیة</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نستدلّ</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کان</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 من النسخة الثّانیة</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فسد ذلک</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المعتمد </w:t>
      </w:r>
      <w:r>
        <w:rPr>
          <w:rFonts w:eastAsia="IRNazanin" w:cs="IRNazanin"/>
          <w:b w:val="false"/>
          <w:bCs w:val="false"/>
          <w:i w:val="false"/>
          <w:iCs w:val="false"/>
          <w:color w:val="333333"/>
          <w:sz w:val="20"/>
          <w:szCs w:val="20"/>
        </w:rPr>
        <w:t>2:341</w:t>
      </w:r>
      <w:r>
        <w:rPr>
          <w:rFonts w:ascii="IRNazanin" w:hAnsi="IRNazanin" w:eastAsia="IRNazanin"/>
          <w:b w:val="false"/>
          <w:b w:val="false"/>
          <w:bCs w:val="false"/>
          <w:i w:val="false"/>
          <w:i w:val="false"/>
          <w:iCs w:val="false"/>
          <w:color w:val="333333"/>
          <w:sz w:val="20"/>
          <w:sz w:val="20"/>
          <w:szCs w:val="20"/>
          <w:rtl w:val="true"/>
        </w:rPr>
        <w:t xml:space="preserve">،الذریعة </w:t>
      </w:r>
      <w:r>
        <w:rPr>
          <w:rFonts w:eastAsia="IRNazanin" w:cs="IRNazanin"/>
          <w:b w:val="false"/>
          <w:bCs w:val="false"/>
          <w:i w:val="false"/>
          <w:iCs w:val="false"/>
          <w:color w:val="333333"/>
          <w:sz w:val="20"/>
          <w:szCs w:val="20"/>
        </w:rPr>
        <w:t>2:603</w:t>
      </w:r>
      <w:r>
        <w:rPr>
          <w:rFonts w:ascii="IRNazanin" w:hAnsi="IRNazanin" w:eastAsia="IRNazanin"/>
          <w:b w:val="false"/>
          <w:b w:val="false"/>
          <w:bCs w:val="false"/>
          <w:i w:val="false"/>
          <w:i w:val="false"/>
          <w:iCs w:val="false"/>
          <w:color w:val="333333"/>
          <w:sz w:val="20"/>
          <w:sz w:val="20"/>
          <w:szCs w:val="20"/>
          <w:rtl w:val="true"/>
        </w:rPr>
        <w:t xml:space="preserve">،الأحکام للآمدی </w:t>
      </w:r>
      <w:r>
        <w:rPr>
          <w:rFonts w:eastAsia="IRNazanin" w:cs="IRNazanin"/>
          <w:b w:val="false"/>
          <w:bCs w:val="false"/>
          <w:i w:val="false"/>
          <w:iCs w:val="false"/>
          <w:color w:val="333333"/>
          <w:sz w:val="20"/>
          <w:szCs w:val="20"/>
        </w:rPr>
        <w:t>4:380</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الطبری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ملخّص إبطال القیاس و الرّأی و الاستحسان و التّقلید و التّعلیل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الطبری </w:t>
      </w:r>
      <w:r>
        <w:rPr>
          <w:rFonts w:eastAsia="IRNazanin" w:cs="IRNazanin"/>
          <w:b w:val="false"/>
          <w:bCs w:val="false"/>
          <w:i w:val="false"/>
          <w:iCs w:val="false"/>
          <w:color w:val="333333"/>
          <w:sz w:val="20"/>
          <w:szCs w:val="20"/>
        </w:rPr>
        <w:t>18:71</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الدارمی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،عون المعبود </w:t>
      </w:r>
      <w:r>
        <w:rPr>
          <w:rFonts w:eastAsia="IRNazanin" w:cs="IRNazanin"/>
          <w:b w:val="false"/>
          <w:bCs w:val="false"/>
          <w:i w:val="false"/>
          <w:iCs w:val="false"/>
          <w:color w:val="333333"/>
          <w:sz w:val="20"/>
          <w:szCs w:val="20"/>
        </w:rPr>
        <w:t>3:330</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المصادر الواردة فی ذیل هامش 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جهة</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یجوز</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بعثة</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استدلال المخالفین و دفاعهم عن أقوالهم فی المصادر التالیة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المعتمد </w:t>
      </w:r>
      <w:r>
        <w:rPr>
          <w:rFonts w:eastAsia="IRNazanin" w:cs="IRNazanin"/>
          <w:b w:val="false"/>
          <w:bCs w:val="false"/>
          <w:i w:val="false"/>
          <w:iCs w:val="false"/>
          <w:color w:val="333333"/>
          <w:sz w:val="20"/>
          <w:szCs w:val="20"/>
        </w:rPr>
        <w:t>2:337</w:t>
      </w:r>
      <w:r>
        <w:rPr>
          <w:rFonts w:ascii="IRNazanin" w:hAnsi="IRNazanin" w:eastAsia="IRNazanin"/>
          <w:b w:val="false"/>
          <w:b w:val="false"/>
          <w:bCs w:val="false"/>
          <w:i w:val="false"/>
          <w:i w:val="false"/>
          <w:iCs w:val="false"/>
          <w:color w:val="333333"/>
          <w:sz w:val="20"/>
          <w:sz w:val="20"/>
          <w:szCs w:val="20"/>
          <w:rtl w:val="true"/>
        </w:rPr>
        <w:t xml:space="preserve">،الذریعة </w:t>
      </w:r>
      <w:r>
        <w:rPr>
          <w:rFonts w:eastAsia="IRNazanin" w:cs="IRNazanin"/>
          <w:b w:val="false"/>
          <w:bCs w:val="false"/>
          <w:i w:val="false"/>
          <w:iCs w:val="false"/>
          <w:color w:val="333333"/>
          <w:sz w:val="20"/>
          <w:szCs w:val="20"/>
        </w:rPr>
        <w:t>2:596</w:t>
      </w:r>
      <w:r>
        <w:rPr>
          <w:rFonts w:ascii="IRNazanin" w:hAnsi="IRNazanin" w:eastAsia="IRNazanin"/>
          <w:b w:val="false"/>
          <w:b w:val="false"/>
          <w:bCs w:val="false"/>
          <w:i w:val="false"/>
          <w:i w:val="false"/>
          <w:iCs w:val="false"/>
          <w:color w:val="333333"/>
          <w:sz w:val="20"/>
          <w:sz w:val="20"/>
          <w:szCs w:val="20"/>
          <w:rtl w:val="true"/>
        </w:rPr>
        <w:t xml:space="preserve">، المستصفی </w:t>
      </w:r>
      <w:r>
        <w:rPr>
          <w:rFonts w:eastAsia="IRNazanin" w:cs="IRNazanin"/>
          <w:b w:val="false"/>
          <w:bCs w:val="false"/>
          <w:i w:val="false"/>
          <w:iCs w:val="false"/>
          <w:color w:val="333333"/>
          <w:sz w:val="20"/>
          <w:szCs w:val="20"/>
        </w:rPr>
        <w:t>1:246</w:t>
      </w:r>
      <w:r>
        <w:rPr>
          <w:rFonts w:ascii="IRNazanin" w:hAnsi="IRNazanin" w:eastAsia="IRNazanin"/>
          <w:b w:val="false"/>
          <w:b w:val="false"/>
          <w:bCs w:val="false"/>
          <w:i w:val="false"/>
          <w:i w:val="false"/>
          <w:iCs w:val="false"/>
          <w:color w:val="333333"/>
          <w:sz w:val="20"/>
          <w:sz w:val="20"/>
          <w:szCs w:val="20"/>
          <w:rtl w:val="true"/>
        </w:rPr>
        <w:t xml:space="preserve">،میزان الأصول </w:t>
      </w:r>
      <w:r>
        <w:rPr>
          <w:rFonts w:eastAsia="IRNazanin" w:cs="IRNazanin"/>
          <w:b w:val="false"/>
          <w:bCs w:val="false"/>
          <w:i w:val="false"/>
          <w:iCs w:val="false"/>
          <w:color w:val="333333"/>
          <w:sz w:val="20"/>
          <w:szCs w:val="20"/>
        </w:rPr>
        <w:t>2:694</w:t>
      </w:r>
      <w:r>
        <w:rPr>
          <w:rFonts w:ascii="IRNazanin" w:hAnsi="IRNazanin" w:eastAsia="IRNazanin"/>
          <w:b w:val="false"/>
          <w:b w:val="false"/>
          <w:bCs w:val="false"/>
          <w:i w:val="false"/>
          <w:i w:val="false"/>
          <w:iCs w:val="false"/>
          <w:color w:val="333333"/>
          <w:sz w:val="20"/>
          <w:sz w:val="20"/>
          <w:szCs w:val="20"/>
          <w:rtl w:val="true"/>
        </w:rPr>
        <w:t xml:space="preserve">،الأحکام للآمدی </w:t>
      </w:r>
      <w:r>
        <w:rPr>
          <w:rFonts w:eastAsia="IRNazanin" w:cs="IRNazanin"/>
          <w:b w:val="false"/>
          <w:bCs w:val="false"/>
          <w:i w:val="false"/>
          <w:iCs w:val="false"/>
          <w:color w:val="333333"/>
          <w:sz w:val="20"/>
          <w:szCs w:val="20"/>
        </w:rPr>
        <w:t>4:377</w:t>
      </w:r>
      <w:r>
        <w:rPr>
          <w:rFonts w:ascii="IRNazanin" w:hAnsi="IRNazanin" w:eastAsia="IRNazanin"/>
          <w:b w:val="false"/>
          <w:b w:val="false"/>
          <w:bCs w:val="false"/>
          <w:i w:val="false"/>
          <w:i w:val="false"/>
          <w:iCs w:val="false"/>
          <w:color w:val="333333"/>
          <w:sz w:val="20"/>
          <w:sz w:val="20"/>
          <w:szCs w:val="20"/>
          <w:rtl w:val="true"/>
        </w:rPr>
        <w:t xml:space="preserve">،شرح المنهاج </w:t>
      </w:r>
      <w:r>
        <w:rPr>
          <w:rFonts w:eastAsia="IRNazanin" w:cs="IRNazanin"/>
          <w:b w:val="false"/>
          <w:bCs w:val="false"/>
          <w:i w:val="false"/>
          <w:iCs w:val="false"/>
          <w:color w:val="333333"/>
          <w:sz w:val="20"/>
          <w:szCs w:val="20"/>
        </w:rPr>
        <w:t>2:516</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کلام المصنّف فی بدایة هذا الفصل فی صفحة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یوحی</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المعتمد </w:t>
      </w:r>
      <w:r>
        <w:rPr>
          <w:rFonts w:eastAsia="IRNazanin" w:cs="IRNazanin"/>
          <w:b w:val="false"/>
          <w:bCs w:val="false"/>
          <w:i w:val="false"/>
          <w:iCs w:val="false"/>
          <w:color w:val="333333"/>
          <w:sz w:val="20"/>
          <w:szCs w:val="20"/>
        </w:rPr>
        <w:t>2:341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الذریعة </w:t>
      </w:r>
      <w:r>
        <w:rPr>
          <w:rFonts w:eastAsia="IRNazanin" w:cs="IRNazanin"/>
          <w:b w:val="false"/>
          <w:bCs w:val="false"/>
          <w:i w:val="false"/>
          <w:iCs w:val="false"/>
          <w:color w:val="333333"/>
          <w:sz w:val="20"/>
          <w:szCs w:val="20"/>
        </w:rPr>
        <w:t>2:603</w:t>
      </w:r>
      <w:r>
        <w:rPr>
          <w:rFonts w:ascii="IRNazanin" w:hAnsi="IRNazanin" w:eastAsia="IRNazanin"/>
          <w:b w:val="false"/>
          <w:b w:val="false"/>
          <w:bCs w:val="false"/>
          <w:i w:val="false"/>
          <w:i w:val="false"/>
          <w:iCs w:val="false"/>
          <w:color w:val="333333"/>
          <w:sz w:val="20"/>
          <w:sz w:val="20"/>
          <w:szCs w:val="20"/>
          <w:rtl w:val="true"/>
        </w:rPr>
        <w:t xml:space="preserve">،الأحکام للآمدی </w:t>
      </w:r>
      <w:r>
        <w:rPr>
          <w:rFonts w:eastAsia="IRNazanin" w:cs="IRNazanin"/>
          <w:b w:val="false"/>
          <w:bCs w:val="false"/>
          <w:i w:val="false"/>
          <w:iCs w:val="false"/>
          <w:color w:val="333333"/>
          <w:sz w:val="20"/>
          <w:szCs w:val="20"/>
        </w:rPr>
        <w:t>4:380</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الرسالة للشّافعی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xml:space="preserve">،الذریعة </w:t>
      </w:r>
      <w:r>
        <w:rPr>
          <w:rFonts w:eastAsia="IRNazanin" w:cs="IRNazanin"/>
          <w:b w:val="false"/>
          <w:bCs w:val="false"/>
          <w:i w:val="false"/>
          <w:iCs w:val="false"/>
          <w:color w:val="333333"/>
          <w:sz w:val="20"/>
          <w:szCs w:val="20"/>
        </w:rPr>
        <w:t>2:604</w:t>
      </w:r>
      <w:r>
        <w:rPr>
          <w:rFonts w:ascii="IRNazanin" w:hAnsi="IRNazanin" w:eastAsia="IRNazanin"/>
          <w:b w:val="false"/>
          <w:b w:val="false"/>
          <w:bCs w:val="false"/>
          <w:i w:val="false"/>
          <w:i w:val="false"/>
          <w:iCs w:val="false"/>
          <w:color w:val="333333"/>
          <w:sz w:val="20"/>
          <w:sz w:val="20"/>
          <w:szCs w:val="20"/>
          <w:rtl w:val="true"/>
        </w:rPr>
        <w:t>،التذکرة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،أوائل المقالات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التبصرة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،الإبهاج </w:t>
      </w:r>
      <w:r>
        <w:rPr>
          <w:rFonts w:eastAsia="IRNazanin" w:cs="IRNazanin"/>
          <w:b w:val="false"/>
          <w:bCs w:val="false"/>
          <w:i w:val="false"/>
          <w:iCs w:val="false"/>
          <w:color w:val="333333"/>
          <w:sz w:val="20"/>
          <w:szCs w:val="20"/>
        </w:rPr>
        <w:t>2:391</w:t>
      </w:r>
      <w:r>
        <w:rPr>
          <w:rFonts w:ascii="IRNazanin" w:hAnsi="IRNazanin" w:eastAsia="IRNazanin"/>
          <w:b w:val="false"/>
          <w:b w:val="false"/>
          <w:bCs w:val="false"/>
          <w:i w:val="false"/>
          <w:i w:val="false"/>
          <w:iCs w:val="false"/>
          <w:color w:val="333333"/>
          <w:sz w:val="20"/>
          <w:sz w:val="20"/>
          <w:szCs w:val="20"/>
          <w:rtl w:val="true"/>
        </w:rPr>
        <w:t xml:space="preserve">،منتهی السئول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،المستصفی </w:t>
      </w:r>
      <w:r>
        <w:rPr>
          <w:rFonts w:eastAsia="IRNazanin" w:cs="IRNazanin"/>
          <w:b w:val="false"/>
          <w:bCs w:val="false"/>
          <w:i w:val="false"/>
          <w:iCs w:val="false"/>
          <w:color w:val="333333"/>
          <w:sz w:val="20"/>
          <w:szCs w:val="20"/>
        </w:rPr>
        <w:t>1:173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المنخول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،أصول السرخسی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،المعتمد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،اللّمع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،شرح اللّمع </w:t>
      </w:r>
      <w:r>
        <w:rPr>
          <w:rFonts w:eastAsia="IRNazanin" w:cs="IRNazanin"/>
          <w:b w:val="false"/>
          <w:bCs w:val="false"/>
          <w:i w:val="false"/>
          <w:iCs w:val="false"/>
          <w:color w:val="333333"/>
          <w:sz w:val="20"/>
          <w:szCs w:val="20"/>
        </w:rPr>
        <w:t>2:665</w:t>
      </w:r>
      <w:r>
        <w:rPr>
          <w:rFonts w:ascii="IRNazanin" w:hAnsi="IRNazanin" w:eastAsia="IRNazanin"/>
          <w:b w:val="false"/>
          <w:b w:val="false"/>
          <w:bCs w:val="false"/>
          <w:i w:val="false"/>
          <w:i w:val="false"/>
          <w:iCs w:val="false"/>
          <w:color w:val="333333"/>
          <w:sz w:val="20"/>
          <w:sz w:val="20"/>
          <w:szCs w:val="20"/>
          <w:rtl w:val="true"/>
        </w:rPr>
        <w:t>،إرشاد الفحول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،میزان الأصول </w:t>
      </w:r>
      <w:r>
        <w:rPr>
          <w:rFonts w:eastAsia="IRNazanin" w:cs="IRNazanin"/>
          <w:b w:val="false"/>
          <w:bCs w:val="false"/>
          <w:i w:val="false"/>
          <w:iCs w:val="false"/>
          <w:color w:val="333333"/>
          <w:sz w:val="20"/>
          <w:szCs w:val="20"/>
        </w:rPr>
        <w:t>2:717</w:t>
      </w:r>
      <w:r>
        <w:rPr>
          <w:rFonts w:ascii="IRNazanin" w:hAnsi="IRNazanin" w:eastAsia="IRNazanin"/>
          <w:b w:val="false"/>
          <w:b w:val="false"/>
          <w:bCs w:val="false"/>
          <w:i w:val="false"/>
          <w:i w:val="false"/>
          <w:iCs w:val="false"/>
          <w:color w:val="333333"/>
          <w:sz w:val="20"/>
          <w:sz w:val="20"/>
          <w:szCs w:val="20"/>
          <w:rtl w:val="true"/>
        </w:rPr>
        <w:t xml:space="preserve">،شرح المنهاج </w:t>
      </w:r>
      <w:r>
        <w:rPr>
          <w:rFonts w:eastAsia="IRNazanin" w:cs="IRNazanin"/>
          <w:b w:val="false"/>
          <w:bCs w:val="false"/>
          <w:i w:val="false"/>
          <w:iCs w:val="false"/>
          <w:color w:val="333333"/>
          <w:sz w:val="20"/>
          <w:szCs w:val="20"/>
        </w:rPr>
        <w:t>2:581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الأحکام لابن حزم </w:t>
      </w:r>
      <w:r>
        <w:rPr>
          <w:rFonts w:eastAsia="IRNazanin" w:cs="IRNazanin"/>
          <w:b w:val="false"/>
          <w:bCs w:val="false"/>
          <w:i w:val="false"/>
          <w:iCs w:val="false"/>
          <w:color w:val="333333"/>
          <w:sz w:val="20"/>
          <w:szCs w:val="20"/>
        </w:rPr>
        <w:t>4:525</w:t>
      </w:r>
      <w:r>
        <w:rPr>
          <w:rFonts w:ascii="IRNazanin" w:hAnsi="IRNazanin" w:eastAsia="IRNazanin"/>
          <w:b w:val="false"/>
          <w:b w:val="false"/>
          <w:bCs w:val="false"/>
          <w:i w:val="false"/>
          <w:i w:val="false"/>
          <w:iCs w:val="false"/>
          <w:color w:val="333333"/>
          <w:sz w:val="20"/>
          <w:sz w:val="20"/>
          <w:szCs w:val="20"/>
          <w:rtl w:val="true"/>
        </w:rPr>
        <w:t>،روضة النّاظر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،تقریب الوصول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،الأحکام للآمدی </w:t>
      </w:r>
      <w:r>
        <w:rPr>
          <w:rFonts w:eastAsia="IRNazanin" w:cs="IRNazanin"/>
          <w:b w:val="false"/>
          <w:bCs w:val="false"/>
          <w:i w:val="false"/>
          <w:iCs w:val="false"/>
          <w:color w:val="333333"/>
          <w:sz w:val="20"/>
          <w:szCs w:val="20"/>
        </w:rPr>
        <w:t>1:170</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المصادر الواردة فی هامش 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601</w:t>
      </w:r>
    </w:p>
  </w:footnote>
  <w:footnote w:id="1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المصادر الواردة فی هامش 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601</w:t>
      </w:r>
    </w:p>
  </w:footnote>
  <w:footnote w:id="1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المصادر الواردة فی هامش 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601</w:t>
      </w:r>
    </w:p>
  </w:footnote>
  <w:footnote w:id="1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المصادر الواردة فی هامش 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601</w:t>
      </w:r>
    </w:p>
  </w:footnote>
  <w:footnote w:id="1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المصادر الواردة فی هامش 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601</w:t>
      </w:r>
    </w:p>
  </w:footnote>
  <w:footnote w:id="1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المصادر الواردة فی هامش 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601</w:t>
      </w:r>
    </w:p>
  </w:footnote>
  <w:footnote w:id="1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تلخیص الشّافی </w:t>
      </w:r>
      <w:r>
        <w:rPr>
          <w:rFonts w:eastAsia="IRNazanin" w:cs="IRNazanin"/>
          <w:b w:val="false"/>
          <w:bCs w:val="false"/>
          <w:i w:val="false"/>
          <w:iCs w:val="false"/>
          <w:color w:val="333333"/>
          <w:sz w:val="20"/>
          <w:szCs w:val="20"/>
        </w:rPr>
        <w:t>1:102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لیست</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الطرق الموجب</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استخراج کنه شیء</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إلی الأدلّة الّتی أقاموها و اعتمدوها فی المقام فی المصادر الواردة فی هامش 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تفسیر التبیان </w:t>
      </w:r>
      <w:r>
        <w:rPr>
          <w:rFonts w:eastAsia="IRNazanin" w:cs="IRNazanin"/>
          <w:b w:val="false"/>
          <w:bCs w:val="false"/>
          <w:i w:val="false"/>
          <w:iCs w:val="false"/>
          <w:color w:val="333333"/>
          <w:sz w:val="20"/>
          <w:szCs w:val="20"/>
        </w:rPr>
        <w:t>3:329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محض</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الشیعة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زکاة الأنعام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p>
  </w:footnote>
  <w:footnote w:id="1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الوجه الرابع منقول عن استدلال الشّریف المرتضی فی کتابه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الشّافی فی الإمامة </w:t>
      </w:r>
      <w:r>
        <w:rPr>
          <w:rFonts w:eastAsia="IRNazanin" w:cs="IRNazanin"/>
          <w:b w:val="false"/>
          <w:bCs w:val="false"/>
          <w:i w:val="false"/>
          <w:iCs w:val="false"/>
          <w:color w:val="333333"/>
          <w:sz w:val="20"/>
          <w:szCs w:val="20"/>
        </w:rPr>
        <w:t>1:217</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 هو القاضی عبد الجبّار فی کتابه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المغنی </w:t>
      </w:r>
      <w:r>
        <w:rPr>
          <w:rFonts w:eastAsia="IRNazanin" w:cs="IRNazanin"/>
          <w:b w:val="false"/>
          <w:bCs w:val="false"/>
          <w:i w:val="false"/>
          <w:iCs w:val="false"/>
          <w:color w:val="333333"/>
          <w:sz w:val="20"/>
          <w:szCs w:val="20"/>
        </w:rPr>
        <w:t>17:168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أیضا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الشّافی فی الإمامة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1:224</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توعّدا</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إنّما</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أشار لهم إلیه بصفاته</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 یلزم أن یکون ما توعّد</w:t>
      </w:r>
    </w:p>
  </w:footnote>
  <w:footnote w:id="1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 و الحجریّة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مانع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تصحیف و صحیحة ما أثبتناه</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الشّافی فی الإمامة </w:t>
      </w:r>
      <w:r>
        <w:rPr>
          <w:rFonts w:eastAsia="IRNazanin" w:cs="IRNazanin"/>
          <w:b w:val="false"/>
          <w:bCs w:val="false"/>
          <w:i w:val="false"/>
          <w:iCs w:val="false"/>
          <w:color w:val="333333"/>
          <w:sz w:val="20"/>
          <w:szCs w:val="20"/>
        </w:rPr>
        <w:t>1:225</w:t>
      </w:r>
      <w:r>
        <w:rPr>
          <w:rFonts w:ascii="IRNazanin" w:hAnsi="IRNazanin" w:eastAsia="IRNazanin"/>
          <w:b w:val="false"/>
          <w:b w:val="false"/>
          <w:bCs w:val="false"/>
          <w:i w:val="false"/>
          <w:i w:val="false"/>
          <w:iCs w:val="false"/>
          <w:color w:val="333333"/>
          <w:sz w:val="20"/>
          <w:sz w:val="20"/>
          <w:szCs w:val="20"/>
          <w:rtl w:val="true"/>
        </w:rPr>
        <w:t>،و قد جاء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شیخ أصحابه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القاضی عبد الجبّار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هاشم،و تبعه علی هذه المقالة جمیع أصحابه</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فإذا</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قول داود الظاهری فی بعض المصادر المذکورة فی هامش 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الوجه السّادس منقول عن استدلال الشّریف المرتضی فی کتابه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الشّافی فی الإمامة </w:t>
      </w:r>
      <w:r>
        <w:rPr>
          <w:rFonts w:eastAsia="IRNazanin" w:cs="IRNazanin"/>
          <w:b w:val="false"/>
          <w:bCs w:val="false"/>
          <w:i w:val="false"/>
          <w:iCs w:val="false"/>
          <w:color w:val="333333"/>
          <w:sz w:val="20"/>
          <w:szCs w:val="20"/>
        </w:rPr>
        <w:t>1:218</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المستحقّین للثواب علی الحقیقة</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مؤمن</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إن حمل علی بعض المؤمنین دون بعض،و علی من عرفناه دون من لم نعرفه،خرجنا عن موجب العموم و جاز حمله</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الوجه السابع منقول عن استدلال الشّریف المرتضی فی کتابه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الشّافی فی الإمامة </w:t>
      </w:r>
      <w:r>
        <w:rPr>
          <w:rFonts w:eastAsia="IRNazanin" w:cs="IRNazanin"/>
          <w:b w:val="false"/>
          <w:bCs w:val="false"/>
          <w:i w:val="false"/>
          <w:iCs w:val="false"/>
          <w:color w:val="333333"/>
          <w:sz w:val="20"/>
          <w:szCs w:val="20"/>
        </w:rPr>
        <w:t>1:219</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جائز</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أمرنا</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الحجریّة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أخذوا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الأصل و فی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أجروا</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 من المصدر</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زیادة من المصدر</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بخیر</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هذا ممّا یوافقنا علیه صاحب الکتاب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یقصد به القاضی عبد الجبّار فی کتابه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المغنی</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الآیتین المتقدّمتین</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زیادة من المصدر</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ساغ</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عدلنا بالآیة إلی الإمام المعصوم</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استحقّ</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بعضا</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لأنّه تخصیص لا یجد مقترحه فرقا بینه و بین من اقترح تخصیص فرقة من کلّ عصر</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حجّة و صوابا</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ما ألزمتموناه و لا یکون إجماع جمیع أهل کلّ عصر کذلک؟</w:t>
      </w:r>
    </w:p>
  </w:footnote>
  <w:footnote w:id="1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لأنّ هذا ممّا لم ینکر،کما لم یکن منکرا عند خصومنا أن یکون إجماع أهل العصر حجّة و صوابا،و إن لم یکن إجماع کلّ فرقة من فرقهم کذلک</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 قیل أیضا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فعلی من تکون الشّهادة إذا کان المؤمنون جمیعا فی الأعصار هم الشهداء؟</w:t>
      </w:r>
    </w:p>
  </w:footnote>
  <w:footnote w:id="1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الأقوال</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فصل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التّعلّق</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التّعلیقة 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یجوز</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هو القاضی عبد الجبّار فی کتابه المغنی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القسم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التعبّد</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النسختین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بالأمارات</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النسختین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بغالب الظنّ</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النسختین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یکن</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فلو سلّم له جمیع ما ذکره</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النسختین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روشحوا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تصحیف صحیحة ما أثبتناه نقلا عن المصدر</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القائل هو القاضی عبد الجبّار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المغنی </w:t>
      </w:r>
      <w:r>
        <w:rPr>
          <w:rFonts w:eastAsia="IRNazanin" w:cs="IRNazanin"/>
          <w:b w:val="false"/>
          <w:bCs w:val="false"/>
          <w:i w:val="false"/>
          <w:iCs w:val="false"/>
          <w:color w:val="333333"/>
          <w:sz w:val="20"/>
          <w:szCs w:val="20"/>
        </w:rPr>
        <w:t>17:178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یخالف حالهم حال الرسول علیه السّلام</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تجتمع علیه</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الجمیع</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الجواز بناء علی مذهب المعتزلة،انظر هامش 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بانتفاء</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هامش 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یخرجهم</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أعمالهم و أحوالهم</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خالفهم</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 هو القاضی عبد الجبار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مذهب صاحب الکتاب و أهل مقالته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أیضا التّعلیقة 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الشّافی فی الإمامة </w:t>
      </w:r>
      <w:r>
        <w:rPr>
          <w:rFonts w:eastAsia="IRNazanin" w:cs="IRNazanin"/>
          <w:b w:val="false"/>
          <w:bCs w:val="false"/>
          <w:i w:val="false"/>
          <w:iCs w:val="false"/>
          <w:color w:val="333333"/>
          <w:sz w:val="20"/>
          <w:szCs w:val="20"/>
        </w:rPr>
        <w:t>1:236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للشّریف المرتضی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فما نراه فی الکلام الّذی عدل إلیه شیئا ینتفع به</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لقوله</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الآیات</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 منقول عن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الشّافی فی الإمامة </w:t>
      </w:r>
      <w:r>
        <w:rPr>
          <w:rFonts w:eastAsia="IRNazanin" w:cs="IRNazanin"/>
          <w:b w:val="false"/>
          <w:bCs w:val="false"/>
          <w:i w:val="false"/>
          <w:iCs w:val="false"/>
          <w:color w:val="333333"/>
          <w:sz w:val="20"/>
          <w:szCs w:val="20"/>
        </w:rPr>
        <w:t>1:228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للشّریف المرتضی</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جمیع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بهذه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هذه</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4:319</w:t>
      </w:r>
      <w:r>
        <w:rPr>
          <w:rFonts w:ascii="IRNazanin" w:hAnsi="IRNazanin" w:eastAsia="IRNazanin"/>
          <w:b w:val="false"/>
          <w:b w:val="false"/>
          <w:bCs w:val="false"/>
          <w:i w:val="false"/>
          <w:i w:val="false"/>
          <w:iCs w:val="false"/>
          <w:color w:val="333333"/>
          <w:sz w:val="20"/>
          <w:sz w:val="20"/>
          <w:szCs w:val="20"/>
          <w:rtl w:val="true"/>
        </w:rPr>
        <w:t xml:space="preserve">،المصباح المنیر </w:t>
      </w:r>
      <w:r>
        <w:rPr>
          <w:rFonts w:eastAsia="IRNazanin" w:cs="IRNazanin"/>
          <w:b w:val="false"/>
          <w:bCs w:val="false"/>
          <w:i w:val="false"/>
          <w:iCs w:val="false"/>
          <w:color w:val="333333"/>
          <w:sz w:val="20"/>
          <w:szCs w:val="20"/>
        </w:rPr>
        <w:t>2:629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نوب</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هؤلاء</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النصّ المنقول عن الشّافی</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تخریج الحدیث فی هامش 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أقوالهم فی فصل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نعثر علی هذا النّص فی کتب الشّریف المرتضی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کالذّریعة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مجموعة رسائله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لعلّ المصنّف سمعه منه مشافهة،و جاء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الذّریعة </w:t>
      </w:r>
      <w:r>
        <w:rPr>
          <w:rFonts w:eastAsia="IRNazanin" w:cs="IRNazanin"/>
          <w:b w:val="false"/>
          <w:bCs w:val="false"/>
          <w:i w:val="false"/>
          <w:iCs w:val="false"/>
          <w:color w:val="333333"/>
          <w:sz w:val="20"/>
          <w:szCs w:val="20"/>
        </w:rPr>
        <w:t>2:606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مضمونه یقارب هذا المعنی</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تشک فی أن لا</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دفعتین</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یعلم</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الفروض</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فأمّا</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یفتقر،و الصّحیح ما أثبتناه</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تلخیص الشّافی </w:t>
      </w:r>
      <w:r>
        <w:rPr>
          <w:rFonts w:eastAsia="IRNazanin" w:cs="IRNazanin"/>
          <w:b w:val="false"/>
          <w:bCs w:val="false"/>
          <w:i w:val="false"/>
          <w:iCs w:val="false"/>
          <w:color w:val="333333"/>
          <w:sz w:val="20"/>
          <w:szCs w:val="20"/>
        </w:rPr>
        <w:t>1:136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الحجریة 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قرّر</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الحجریة 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حینئذ</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یراعیه</w:t>
      </w:r>
    </w:p>
  </w:footnote>
  <w:footnote w:id="1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هو لواحد منهم</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زیادة من النسخة الثّانیة</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یمتنع</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حجّة عقل</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بیّناه</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بعد</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بین</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إسناده</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و ممّا یتفرّع علی الإجماع من حیث کان إجماعا،و هذا هو الفرع الثّانی و قد سبق للمصنّف أن ذکر الفرع الأوّل فی صفحة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 من النسخة الثّانیة</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القائل هو الشّریف المرتضی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حیث نقل المصنّف رأیه بقوله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ذکر المرتضی علی بن الحسین الموسوی قدّس اللّه روحه أخیرا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صفحة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أغلب مصادر اللغة الّتی بین أیدینا أنّ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الإثبات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بمعنی الدّوام،و الاستقرار،و الإقامة،و التّحقق،و التأکّد، و لم یرد بمعنی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الإیجاب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یخفی أنّ الإیجاب من مرادفات المعانی الّتی ورد ذکرها فی المصادر</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جمیع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الإیجاد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تصحیف و الصّحیح ما أثبتناه</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المصنّف فی صفحة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یعبّر أیضا فی الخبر عن وجوب الشّیء کما یقال فی المجبّرة أنّهم مثبّتة</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التعریف لأبی الحسین البصری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المعتمد </w:t>
      </w:r>
      <w:r>
        <w:rPr>
          <w:rFonts w:eastAsia="IRNazanin" w:cs="IRNazanin"/>
          <w:b w:val="false"/>
          <w:bCs w:val="false"/>
          <w:i w:val="false"/>
          <w:iCs w:val="false"/>
          <w:color w:val="333333"/>
          <w:sz w:val="20"/>
          <w:szCs w:val="20"/>
        </w:rPr>
        <w:t>2:443</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أخصّ</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یبدأ المصنّف من هنا إلی نهایة بحث القیاس فی صفحة </w:t>
      </w:r>
      <w:r>
        <w:rPr>
          <w:rFonts w:eastAsia="IRNazanin" w:cs="IRNazanin"/>
          <w:b w:val="false"/>
          <w:bCs w:val="false"/>
          <w:i w:val="false"/>
          <w:iCs w:val="false"/>
          <w:color w:val="333333"/>
          <w:sz w:val="20"/>
          <w:szCs w:val="20"/>
        </w:rPr>
        <w:t>719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بنقل نصّ کلام الشّریف المرتضی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الذریعة </w:t>
      </w:r>
      <w:r>
        <w:rPr>
          <w:rFonts w:eastAsia="IRNazanin" w:cs="IRNazanin"/>
          <w:b w:val="false"/>
          <w:bCs w:val="false"/>
          <w:i w:val="false"/>
          <w:iCs w:val="false"/>
          <w:color w:val="333333"/>
          <w:sz w:val="20"/>
          <w:szCs w:val="20"/>
        </w:rPr>
        <w:t>2:791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بعض التصرّفات البسیطة الّتی لا تؤثّر فی تغییر معانی الاستدلالات الّتی أوردها المرتضی رحمه اللّه</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بظنّ</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شیخنا أبو عبد اللّه</w:t>
      </w:r>
    </w:p>
  </w:footnote>
  <w:footnote w:id="1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أنفاه</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المصادر الواردة فی ذیل التعلیقة 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 أبو الحسین البصری،و القفّال،إلی أنّ العقل یدلّ علی ورود التعبّد بالقیاس،و نسبه الشّیرازی فی اللّمع لأبی بکر الدّقّاق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اللّمع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،شرح اللّمع </w:t>
      </w:r>
      <w:r>
        <w:rPr>
          <w:rFonts w:eastAsia="IRNazanin" w:cs="IRNazanin"/>
          <w:b w:val="false"/>
          <w:bCs w:val="false"/>
          <w:i w:val="false"/>
          <w:iCs w:val="false"/>
          <w:color w:val="333333"/>
          <w:sz w:val="20"/>
          <w:szCs w:val="20"/>
        </w:rPr>
        <w:t>2:760</w:t>
      </w:r>
      <w:r>
        <w:rPr>
          <w:rFonts w:ascii="IRNazanin" w:hAnsi="IRNazanin" w:eastAsia="IRNazanin"/>
          <w:b w:val="false"/>
          <w:b w:val="false"/>
          <w:bCs w:val="false"/>
          <w:i w:val="false"/>
          <w:i w:val="false"/>
          <w:iCs w:val="false"/>
          <w:color w:val="333333"/>
          <w:sz w:val="20"/>
          <w:sz w:val="20"/>
          <w:szCs w:val="20"/>
          <w:rtl w:val="true"/>
        </w:rPr>
        <w:t xml:space="preserve">،الأحکام </w:t>
      </w:r>
      <w:r>
        <w:rPr>
          <w:rFonts w:eastAsia="IRNazanin" w:cs="IRNazanin"/>
          <w:b w:val="false"/>
          <w:bCs w:val="false"/>
          <w:i w:val="false"/>
          <w:iCs w:val="false"/>
          <w:color w:val="333333"/>
          <w:sz w:val="20"/>
          <w:szCs w:val="20"/>
        </w:rPr>
        <w:t>4:272</w:t>
      </w:r>
      <w:r>
        <w:rPr>
          <w:rFonts w:ascii="IRNazanin" w:hAnsi="IRNazanin" w:eastAsia="IRNazanin"/>
          <w:b w:val="false"/>
          <w:b w:val="false"/>
          <w:bCs w:val="false"/>
          <w:i w:val="false"/>
          <w:i w:val="false"/>
          <w:iCs w:val="false"/>
          <w:color w:val="333333"/>
          <w:sz w:val="20"/>
          <w:sz w:val="20"/>
          <w:szCs w:val="20"/>
          <w:rtl w:val="true"/>
        </w:rPr>
        <w:t xml:space="preserve">،المعتمد </w:t>
      </w:r>
      <w:r>
        <w:rPr>
          <w:rFonts w:eastAsia="IRNazanin" w:cs="IRNazanin"/>
          <w:b w:val="false"/>
          <w:bCs w:val="false"/>
          <w:i w:val="false"/>
          <w:iCs w:val="false"/>
          <w:color w:val="333333"/>
          <w:sz w:val="20"/>
          <w:szCs w:val="20"/>
        </w:rPr>
        <w:t>2:200</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التبصرة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،الذریعة </w:t>
      </w:r>
      <w:r>
        <w:rPr>
          <w:rFonts w:eastAsia="IRNazanin" w:cs="IRNazanin"/>
          <w:b w:val="false"/>
          <w:bCs w:val="false"/>
          <w:i w:val="false"/>
          <w:iCs w:val="false"/>
          <w:color w:val="333333"/>
          <w:sz w:val="20"/>
          <w:szCs w:val="20"/>
        </w:rPr>
        <w:t>2:675</w:t>
      </w:r>
      <w:r>
        <w:rPr>
          <w:rFonts w:ascii="IRNazanin" w:hAnsi="IRNazanin" w:eastAsia="IRNazanin"/>
          <w:b w:val="false"/>
          <w:b w:val="false"/>
          <w:bCs w:val="false"/>
          <w:i w:val="false"/>
          <w:i w:val="false"/>
          <w:iCs w:val="false"/>
          <w:color w:val="333333"/>
          <w:sz w:val="20"/>
          <w:sz w:val="20"/>
          <w:szCs w:val="20"/>
          <w:rtl w:val="true"/>
        </w:rPr>
        <w:t>،اللّمع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،شرح اللّمع </w:t>
      </w:r>
      <w:r>
        <w:rPr>
          <w:rFonts w:eastAsia="IRNazanin" w:cs="IRNazanin"/>
          <w:b w:val="false"/>
          <w:bCs w:val="false"/>
          <w:i w:val="false"/>
          <w:iCs w:val="false"/>
          <w:color w:val="333333"/>
          <w:sz w:val="20"/>
          <w:szCs w:val="20"/>
        </w:rPr>
        <w:t>2:761</w:t>
      </w:r>
      <w:r>
        <w:rPr>
          <w:rFonts w:ascii="IRNazanin" w:hAnsi="IRNazanin" w:eastAsia="IRNazanin"/>
          <w:b w:val="false"/>
          <w:b w:val="false"/>
          <w:bCs w:val="false"/>
          <w:i w:val="false"/>
          <w:i w:val="false"/>
          <w:iCs w:val="false"/>
          <w:color w:val="333333"/>
          <w:sz w:val="20"/>
          <w:sz w:val="20"/>
          <w:szCs w:val="20"/>
          <w:rtl w:val="true"/>
        </w:rPr>
        <w:t xml:space="preserve">،الأحکام للآمدی </w:t>
      </w:r>
      <w:r>
        <w:rPr>
          <w:rFonts w:eastAsia="IRNazanin" w:cs="IRNazanin"/>
          <w:b w:val="false"/>
          <w:bCs w:val="false"/>
          <w:i w:val="false"/>
          <w:iCs w:val="false"/>
          <w:color w:val="333333"/>
          <w:sz w:val="20"/>
          <w:szCs w:val="20"/>
        </w:rPr>
        <w:t>4:272</w:t>
      </w:r>
      <w:r>
        <w:rPr>
          <w:rFonts w:ascii="IRNazanin" w:hAnsi="IRNazanin" w:eastAsia="IRNazanin"/>
          <w:b w:val="false"/>
          <w:b w:val="false"/>
          <w:bCs w:val="false"/>
          <w:i w:val="false"/>
          <w:i w:val="false"/>
          <w:iCs w:val="false"/>
          <w:color w:val="333333"/>
          <w:sz w:val="20"/>
          <w:sz w:val="20"/>
          <w:szCs w:val="20"/>
          <w:rtl w:val="true"/>
        </w:rPr>
        <w:t xml:space="preserve">، المعتمد </w:t>
      </w:r>
      <w:r>
        <w:rPr>
          <w:rFonts w:eastAsia="IRNazanin" w:cs="IRNazanin"/>
          <w:b w:val="false"/>
          <w:bCs w:val="false"/>
          <w:i w:val="false"/>
          <w:iCs w:val="false"/>
          <w:color w:val="333333"/>
          <w:sz w:val="20"/>
          <w:szCs w:val="20"/>
        </w:rPr>
        <w:t>2:215</w:t>
      </w:r>
      <w:r>
        <w:rPr>
          <w:rFonts w:ascii="IRNazanin" w:hAnsi="IRNazanin" w:eastAsia="IRNazanin"/>
          <w:b w:val="false"/>
          <w:b w:val="false"/>
          <w:bCs w:val="false"/>
          <w:i w:val="false"/>
          <w:i w:val="false"/>
          <w:iCs w:val="false"/>
          <w:color w:val="333333"/>
          <w:sz w:val="20"/>
          <w:sz w:val="20"/>
          <w:szCs w:val="20"/>
          <w:rtl w:val="true"/>
        </w:rPr>
        <w:t>،روضة الناظر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،المنخول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،میزان الأصول </w:t>
      </w:r>
      <w:r>
        <w:rPr>
          <w:rFonts w:eastAsia="IRNazanin" w:cs="IRNazanin"/>
          <w:b w:val="false"/>
          <w:bCs w:val="false"/>
          <w:i w:val="false"/>
          <w:iCs w:val="false"/>
          <w:color w:val="333333"/>
          <w:sz w:val="20"/>
          <w:szCs w:val="20"/>
        </w:rPr>
        <w:t>2:798</w:t>
      </w:r>
      <w:r>
        <w:rPr>
          <w:rFonts w:ascii="IRNazanin" w:hAnsi="IRNazanin" w:eastAsia="IRNazanin"/>
          <w:b w:val="false"/>
          <w:b w:val="false"/>
          <w:bCs w:val="false"/>
          <w:i w:val="false"/>
          <w:i w:val="false"/>
          <w:iCs w:val="false"/>
          <w:color w:val="333333"/>
          <w:sz w:val="20"/>
          <w:sz w:val="20"/>
          <w:szCs w:val="20"/>
          <w:rtl w:val="true"/>
        </w:rPr>
        <w:t xml:space="preserve">،أصول السرخسی </w:t>
      </w:r>
      <w:r>
        <w:rPr>
          <w:rFonts w:eastAsia="IRNazanin" w:cs="IRNazanin"/>
          <w:b w:val="false"/>
          <w:bCs w:val="false"/>
          <w:i w:val="false"/>
          <w:iCs w:val="false"/>
          <w:color w:val="333333"/>
          <w:sz w:val="20"/>
          <w:szCs w:val="20"/>
        </w:rPr>
        <w:t>2:118</w:t>
      </w:r>
      <w:r>
        <w:rPr>
          <w:rFonts w:ascii="IRNazanin" w:hAnsi="IRNazanin" w:eastAsia="IRNazanin"/>
          <w:b w:val="false"/>
          <w:b w:val="false"/>
          <w:bCs w:val="false"/>
          <w:i w:val="false"/>
          <w:i w:val="false"/>
          <w:iCs w:val="false"/>
          <w:color w:val="333333"/>
          <w:sz w:val="20"/>
          <w:sz w:val="20"/>
          <w:szCs w:val="20"/>
          <w:rtl w:val="true"/>
        </w:rPr>
        <w:t>، إرشاد الفحول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،الإبهاج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،شرح المنهاج </w:t>
      </w:r>
      <w:r>
        <w:rPr>
          <w:rFonts w:eastAsia="IRNazanin" w:cs="IRNazanin"/>
          <w:b w:val="false"/>
          <w:bCs w:val="false"/>
          <w:i w:val="false"/>
          <w:iCs w:val="false"/>
          <w:color w:val="333333"/>
          <w:sz w:val="20"/>
          <w:szCs w:val="20"/>
        </w:rPr>
        <w:t>2:638</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سیّدنا المرتضی رحمه اللّه</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w:t>
      </w:r>
      <w:r>
        <w:rPr>
          <w:rFonts w:eastAsia="IRNazanin" w:cs="IRNazanin"/>
          <w:b w:val="false"/>
          <w:bCs w:val="false"/>
          <w:i w:val="false"/>
          <w:iCs w:val="false"/>
          <w:color w:val="333333"/>
          <w:sz w:val="20"/>
          <w:szCs w:val="20"/>
        </w:rPr>
        <w:t>2:683</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هم جمهور فقهاء العامّة،إلاّ الظّاهریّة و نفر قلیل لا یعتدّ العامّة بآرائهم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أقوالهم و استدلالاتهم فی المصادر الواردة فی هامش 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بین</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بالعقل</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بالخسران</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الظّنّ</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خطور الخاطر</w:t>
      </w:r>
    </w:p>
  </w:footnote>
  <w:footnote w:id="1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لأننا</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القائلین بالقیاس</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إن</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إنّما</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علی وجه دون وجه،و قدرا دون قدر</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زیاد من النّسخة الثانیة</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زیاد من النّسخة الثانیة</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صاحب</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علیه</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جازوه</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زیادة من النسخة الثّانیة</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بضروری</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هامش 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المصادر الواردة فیه</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وقعت</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کیف</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حقّه إن عقد أن لا</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یختلفان</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فیهما</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القیاس</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القوم</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زیادة من الأصل</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 بهذه المقولة أصحاب الظّاهر کداود الظّاهری و غیره،راجع هامش 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فالکلام</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و التبیین</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التّعلیقة 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فالتّواتر</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یتخالجنا</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تفصیل أقوال القائلین بحجیة القیاس و النافین لها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التبصرة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الذریعة </w:t>
      </w:r>
      <w:r>
        <w:rPr>
          <w:rFonts w:eastAsia="IRNazanin" w:cs="IRNazanin"/>
          <w:b w:val="false"/>
          <w:bCs w:val="false"/>
          <w:i w:val="false"/>
          <w:iCs w:val="false"/>
          <w:color w:val="333333"/>
          <w:sz w:val="20"/>
          <w:szCs w:val="20"/>
        </w:rPr>
        <w:t>2:791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705</w:t>
      </w:r>
      <w:r>
        <w:rPr>
          <w:rFonts w:ascii="IRNazanin" w:hAnsi="IRNazanin" w:eastAsia="IRNazanin"/>
          <w:b w:val="false"/>
          <w:b w:val="false"/>
          <w:bCs w:val="false"/>
          <w:i w:val="false"/>
          <w:i w:val="false"/>
          <w:iCs w:val="false"/>
          <w:color w:val="333333"/>
          <w:sz w:val="20"/>
          <w:sz w:val="20"/>
          <w:szCs w:val="20"/>
          <w:rtl w:val="true"/>
        </w:rPr>
        <w:t xml:space="preserve">،المعتمد </w:t>
      </w:r>
      <w:r>
        <w:rPr>
          <w:rFonts w:eastAsia="IRNazanin" w:cs="IRNazanin"/>
          <w:b w:val="false"/>
          <w:bCs w:val="false"/>
          <w:i w:val="false"/>
          <w:iCs w:val="false"/>
          <w:color w:val="333333"/>
          <w:sz w:val="20"/>
          <w:szCs w:val="20"/>
        </w:rPr>
        <w:t>2:234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،الابهاج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،الأحکام للآمدی </w:t>
      </w:r>
      <w:r>
        <w:rPr>
          <w:rFonts w:eastAsia="IRNazanin" w:cs="IRNazanin"/>
          <w:b w:val="false"/>
          <w:bCs w:val="false"/>
          <w:i w:val="false"/>
          <w:iCs w:val="false"/>
          <w:color w:val="333333"/>
          <w:sz w:val="20"/>
          <w:szCs w:val="20"/>
        </w:rPr>
        <w:t>4:312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،أصول السرخسی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،المستصفی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،المنخول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،اللّمع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،إرشاد الفحول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،میزان الأصول </w:t>
      </w:r>
      <w:r>
        <w:rPr>
          <w:rFonts w:eastAsia="IRNazanin" w:cs="IRNazanin"/>
          <w:b w:val="false"/>
          <w:bCs w:val="false"/>
          <w:i w:val="false"/>
          <w:iCs w:val="false"/>
          <w:color w:val="333333"/>
          <w:sz w:val="20"/>
          <w:szCs w:val="20"/>
        </w:rPr>
        <w:t>2:814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800</w:t>
      </w:r>
      <w:r>
        <w:rPr>
          <w:rFonts w:ascii="IRNazanin" w:hAnsi="IRNazanin" w:eastAsia="IRNazanin"/>
          <w:b w:val="false"/>
          <w:b w:val="false"/>
          <w:bCs w:val="false"/>
          <w:i w:val="false"/>
          <w:i w:val="false"/>
          <w:iCs w:val="false"/>
          <w:color w:val="333333"/>
          <w:sz w:val="20"/>
          <w:sz w:val="20"/>
          <w:szCs w:val="20"/>
          <w:rtl w:val="true"/>
        </w:rPr>
        <w:t xml:space="preserve">،شرح المنهاج </w:t>
      </w:r>
      <w:r>
        <w:rPr>
          <w:rFonts w:eastAsia="IRNazanin" w:cs="IRNazanin"/>
          <w:b w:val="false"/>
          <w:bCs w:val="false"/>
          <w:i w:val="false"/>
          <w:iCs w:val="false"/>
          <w:color w:val="333333"/>
          <w:sz w:val="20"/>
          <w:szCs w:val="20"/>
        </w:rPr>
        <w:t>2:657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638</w:t>
      </w:r>
      <w:r>
        <w:rPr>
          <w:rFonts w:ascii="IRNazanin" w:hAnsi="IRNazanin" w:eastAsia="IRNazanin"/>
          <w:b w:val="false"/>
          <w:b w:val="false"/>
          <w:bCs w:val="false"/>
          <w:i w:val="false"/>
          <w:i w:val="false"/>
          <w:iCs w:val="false"/>
          <w:color w:val="333333"/>
          <w:sz w:val="20"/>
          <w:sz w:val="20"/>
          <w:szCs w:val="20"/>
          <w:rtl w:val="true"/>
        </w:rPr>
        <w:t>،الرسالة للشافعی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xml:space="preserve">،شرح اللّمع </w:t>
      </w:r>
      <w:r>
        <w:rPr>
          <w:rFonts w:eastAsia="IRNazanin" w:cs="IRNazanin"/>
          <w:b w:val="false"/>
          <w:bCs w:val="false"/>
          <w:i w:val="false"/>
          <w:iCs w:val="false"/>
          <w:color w:val="333333"/>
          <w:sz w:val="20"/>
          <w:szCs w:val="20"/>
        </w:rPr>
        <w:t>2:782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760</w:t>
      </w:r>
      <w:r>
        <w:rPr>
          <w:rFonts w:ascii="IRNazanin" w:hAnsi="IRNazanin" w:eastAsia="IRNazanin"/>
          <w:b w:val="false"/>
          <w:b w:val="false"/>
          <w:bCs w:val="false"/>
          <w:i w:val="false"/>
          <w:i w:val="false"/>
          <w:iCs w:val="false"/>
          <w:color w:val="333333"/>
          <w:sz w:val="20"/>
          <w:sz w:val="20"/>
          <w:szCs w:val="20"/>
          <w:rtl w:val="true"/>
        </w:rPr>
        <w:t xml:space="preserve">، مباحث العلّة فی القیاس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،الأحکام لابن حزم </w:t>
      </w:r>
      <w:r>
        <w:rPr>
          <w:rFonts w:eastAsia="IRNazanin" w:cs="IRNazanin"/>
          <w:b w:val="false"/>
          <w:bCs w:val="false"/>
          <w:i w:val="false"/>
          <w:iCs w:val="false"/>
          <w:color w:val="333333"/>
          <w:sz w:val="20"/>
          <w:szCs w:val="20"/>
        </w:rPr>
        <w:t>7:483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،ملخّص إبطال القیاس و الرّأی لابن حزم،الأصول العامة للفقه المقارن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9:217</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2:260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4:276</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یحمله</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التعلیقة 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التعلیقة 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زیادة من النسخة الأصلیّة</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یعرف</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یلحق</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عقل العقلاء</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واحد</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زیادة من النسخة الثانیة</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العنکبوت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کصاحبه</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زیادة من الأصل</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العقل</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شبهتین</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الخمر</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لا احتیاج فی العقلیّات إلیه</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الاختیار</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أقوی</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یخالفا</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لاحظ تفصیل أقوالهم و استدلالاتهم فی المصادر الواردة فی هامش 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التسویة بین الأصابع و الأسنان عن ابن عبّاس رواه أبو داود،و أحمد،و ابن ماجة و غیرهم فی باب دیات الأعضاء مع اختلاف الألفاظ و اتّحاد المعنی</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 من النسخة الثّانیة</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الأحکام</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 من النسخة الثّانیة</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 من النّسخة الثّانیة</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ظهرت</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الحرام هو فیما إذا قال الرّجل لزوجته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أنت علیّ حرام</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الأحکام </w:t>
      </w:r>
      <w:r>
        <w:rPr>
          <w:rFonts w:eastAsia="IRNazanin" w:cs="IRNazanin"/>
          <w:b w:val="false"/>
          <w:bCs w:val="false"/>
          <w:i w:val="false"/>
          <w:iCs w:val="false"/>
          <w:color w:val="333333"/>
          <w:sz w:val="20"/>
          <w:szCs w:val="20"/>
        </w:rPr>
        <w:t>4:320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أیضا المصادر الواردة فی هامش 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الأحکام </w:t>
      </w:r>
      <w:r>
        <w:rPr>
          <w:rFonts w:eastAsia="IRNazanin" w:cs="IRNazanin"/>
          <w:b w:val="false"/>
          <w:bCs w:val="false"/>
          <w:i w:val="false"/>
          <w:iCs w:val="false"/>
          <w:color w:val="333333"/>
          <w:sz w:val="20"/>
          <w:szCs w:val="20"/>
        </w:rPr>
        <w:t>4:320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أیضا المصادر الواردة فی هامش 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الأحکام </w:t>
      </w:r>
      <w:r>
        <w:rPr>
          <w:rFonts w:eastAsia="IRNazanin" w:cs="IRNazanin"/>
          <w:b w:val="false"/>
          <w:bCs w:val="false"/>
          <w:i w:val="false"/>
          <w:iCs w:val="false"/>
          <w:color w:val="333333"/>
          <w:sz w:val="20"/>
          <w:szCs w:val="20"/>
        </w:rPr>
        <w:t>4:320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أیضا المصادر الواردة فی هامش 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الأحکام </w:t>
      </w:r>
      <w:r>
        <w:rPr>
          <w:rFonts w:eastAsia="IRNazanin" w:cs="IRNazanin"/>
          <w:b w:val="false"/>
          <w:bCs w:val="false"/>
          <w:i w:val="false"/>
          <w:iCs w:val="false"/>
          <w:color w:val="333333"/>
          <w:sz w:val="20"/>
          <w:szCs w:val="20"/>
        </w:rPr>
        <w:t>4:320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أیضا المصادر الواردة فی هامش 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لابن قدامة </w:t>
      </w:r>
      <w:r>
        <w:rPr>
          <w:rFonts w:eastAsia="IRNazanin" w:cs="IRNazanin"/>
          <w:b w:val="false"/>
          <w:bCs w:val="false"/>
          <w:i w:val="false"/>
          <w:iCs w:val="false"/>
          <w:color w:val="333333"/>
          <w:sz w:val="20"/>
          <w:szCs w:val="20"/>
        </w:rPr>
        <w:t>8:304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لابن قدامة </w:t>
      </w:r>
      <w:r>
        <w:rPr>
          <w:rFonts w:eastAsia="IRNazanin" w:cs="IRNazanin"/>
          <w:b w:val="false"/>
          <w:bCs w:val="false"/>
          <w:i w:val="false"/>
          <w:iCs w:val="false"/>
          <w:color w:val="333333"/>
          <w:sz w:val="20"/>
          <w:szCs w:val="20"/>
        </w:rPr>
        <w:t>8:304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لابن قدامة </w:t>
      </w:r>
      <w:r>
        <w:rPr>
          <w:rFonts w:eastAsia="IRNazanin" w:cs="IRNazanin"/>
          <w:b w:val="false"/>
          <w:bCs w:val="false"/>
          <w:i w:val="false"/>
          <w:iCs w:val="false"/>
          <w:color w:val="333333"/>
          <w:sz w:val="20"/>
          <w:szCs w:val="20"/>
        </w:rPr>
        <w:t>7:64</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التبصرة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أیضا المصادر الواردة فی هامش 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التّبصرة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الاختبار،فیقال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برت کذا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اختبرته</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کلام المصنّف حول مسألة الحرام فی صفحة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کیف</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النقیصة</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یعتقد عنده المذهب</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التّحریم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التّحریم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الطبری </w:t>
      </w:r>
      <w:r>
        <w:rPr>
          <w:rFonts w:eastAsia="IRNazanin" w:cs="IRNazanin"/>
          <w:b w:val="false"/>
          <w:bCs w:val="false"/>
          <w:i w:val="false"/>
          <w:iCs w:val="false"/>
          <w:color w:val="333333"/>
          <w:sz w:val="20"/>
          <w:szCs w:val="20"/>
        </w:rPr>
        <w:t>28:100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التبیان </w:t>
      </w:r>
      <w:r>
        <w:rPr>
          <w:rFonts w:eastAsia="IRNazanin" w:cs="IRNazanin"/>
          <w:b w:val="false"/>
          <w:bCs w:val="false"/>
          <w:i w:val="false"/>
          <w:iCs w:val="false"/>
          <w:color w:val="333333"/>
          <w:sz w:val="20"/>
          <w:szCs w:val="20"/>
        </w:rPr>
        <w:t>10:44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الطبری </w:t>
      </w:r>
      <w:r>
        <w:rPr>
          <w:rFonts w:eastAsia="IRNazanin" w:cs="IRNazanin"/>
          <w:b w:val="false"/>
          <w:bCs w:val="false"/>
          <w:i w:val="false"/>
          <w:iCs w:val="false"/>
          <w:color w:val="333333"/>
          <w:sz w:val="20"/>
          <w:szCs w:val="20"/>
        </w:rPr>
        <w:t>28:102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التبیان </w:t>
      </w:r>
      <w:r>
        <w:rPr>
          <w:rFonts w:eastAsia="IRNazanin" w:cs="IRNazanin"/>
          <w:b w:val="false"/>
          <w:bCs w:val="false"/>
          <w:i w:val="false"/>
          <w:iCs w:val="false"/>
          <w:color w:val="333333"/>
          <w:sz w:val="20"/>
          <w:szCs w:val="20"/>
        </w:rPr>
        <w:t>10:44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الحرام،و هو منقول عن ابن عبّاس و غیره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صفحة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هو منقول عن ابن مسعود،و ابن عمر و غیرهما راجع صفحة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هامش</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یقله</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التّعریف</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بناء علی أنّ</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هامش 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 من النسخة الثانیة</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هامش 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الحدیث رواه البخاری،و مسلم و الترمذی،و النسائی،و أبو داود،و ابن ماجة،و غیرهم</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صریحا</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أصولا</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قیاسا</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الدین</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المصادر الواردة فی هامش 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فی الحجریة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أیضا</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أبی الحدید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ملخّص إبطال القیاس و الرّأی لابن حزم الأندلسی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،الأحکام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القرطبی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ابن کثیر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المصادر الواردة فی هامش 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المصادر الواردة فی هامش 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المصادر الواردة فی هامش 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المصادر الواردة فی هامش 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المصادر الواردة فی هامش 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666</w:t>
      </w:r>
      <w:r>
        <w:rPr>
          <w:rFonts w:ascii="IRNazanin" w:hAnsi="IRNazanin" w:eastAsia="IRNazanin"/>
          <w:b w:val="false"/>
          <w:b w:val="false"/>
          <w:bCs w:val="false"/>
          <w:i w:val="false"/>
          <w:i w:val="false"/>
          <w:iCs w:val="false"/>
          <w:color w:val="333333"/>
          <w:sz w:val="20"/>
          <w:sz w:val="20"/>
          <w:szCs w:val="20"/>
          <w:rtl w:val="true"/>
        </w:rPr>
        <w:t>،و راجع أیضا هامش 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المصادر الواردة فی هامش 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المصادر الواردة فی هامش 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المصادر الواردة فی هامش 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المصادر الواردة فی هامش 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المصادر الواردة فی هامش 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المصادر الواردة فی هامش 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المصادر الواردة فی هامش 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المصادر الواردة فی هامش 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المصادر الواردة فی هامش 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المصادر الواردة فی هامش 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المصادر الواردة فی هامش 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فتعللوا</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المصادر الواردة فی هامش 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المصادر الواردة فی هامش 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المصادر الواردة فی الهامش 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المصادر الواردة فی الهامش 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المصادر الواردة فی الهامش 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المصادر الواردة فی الهامش 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المصادر الواردة فی الهامش 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المصادر الواردة فی الهامش 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الفتاوی الهندیة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المغنی لابن قدامة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المغنی لابن قدامة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الفتاوی الهندیة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526</w:t>
      </w:r>
      <w:r>
        <w:rPr>
          <w:rFonts w:ascii="IRNazanin" w:hAnsi="IRNazanin" w:eastAsia="IRNazanin"/>
          <w:b w:val="false"/>
          <w:b w:val="false"/>
          <w:bCs w:val="false"/>
          <w:i w:val="false"/>
          <w:i w:val="false"/>
          <w:iCs w:val="false"/>
          <w:color w:val="333333"/>
          <w:sz w:val="20"/>
          <w:sz w:val="20"/>
          <w:szCs w:val="20"/>
          <w:rtl w:val="true"/>
        </w:rPr>
        <w:t>،المغنی لابن قدامة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المغنی لابن قدامة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المصادر الواردة فی هامش 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المصادر الواردة فی هامش 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المصادر الواردة فی هامش 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المصادر الواردة فی هامش 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الذاهب</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29654</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32209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32213</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أحوجه</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الولد</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المصادر الواردة فی الهامش 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المصادر الواردة فی الهامش 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ذکروه</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تخریج القول فی هامش 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المصادر الواردة فی هامش 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المصادر الواردة فی هامش 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بقوله</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زیادة من النسخة الثانیة</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المصادر الواردة فی هامش 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المصادر الواردة فی هامش 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ظنّوه</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التنکیر</w:t>
      </w:r>
      <w:r>
        <w:rPr>
          <w:rFonts w:eastAsia="IRNazanin" w:cs="IRNazanin"/>
          <w:b w:val="false"/>
          <w:bCs w:val="false"/>
          <w:i w:val="false"/>
          <w:iCs w:val="false"/>
          <w:color w:val="333333"/>
          <w:sz w:val="20"/>
          <w:szCs w:val="20"/>
          <w:rtl w:val="true"/>
        </w:rPr>
        <w:t>.</w:t>
      </w:r>
    </w:p>
  </w:footnote>
  <w:footnote w:id="1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نقلا عن الغدیر فی الکتاب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الجوزی فی سیرة عمر 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،و أبو عمر فی العلم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،السیوطی فی جمع الجوامع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عبد الرزّاق،و البیهقی،شرح نهج البلاغة لابن أبی الحدید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المصادر الواردة فی هامش 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الأحکام للآمدی </w:t>
      </w:r>
      <w:r>
        <w:rPr>
          <w:rFonts w:eastAsia="IRNazanin" w:cs="IRNazanin"/>
          <w:b w:val="false"/>
          <w:bCs w:val="false"/>
          <w:i w:val="false"/>
          <w:iCs w:val="false"/>
          <w:color w:val="333333"/>
          <w:sz w:val="20"/>
          <w:szCs w:val="20"/>
        </w:rPr>
        <w:t>4:417</w:t>
      </w:r>
      <w:r>
        <w:rPr>
          <w:rFonts w:eastAsia="IRNazanin" w:cs="IRNazanin"/>
          <w:b w:val="false"/>
          <w:bCs w:val="false"/>
          <w:i w:val="false"/>
          <w:iCs w:val="false"/>
          <w:color w:val="333333"/>
          <w:sz w:val="20"/>
          <w:szCs w:val="20"/>
          <w:rtl w:val="true"/>
        </w:rPr>
        <w:t>.</w:t>
      </w:r>
    </w:p>
  </w:footnote>
  <w:footnote w:id="1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المصادر الواردة فی هامش 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تخریجه فی هامش 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700</w:t>
      </w:r>
      <w:r>
        <w:rPr>
          <w:rFonts w:eastAsia="IRNazanin" w:cs="IRNazanin"/>
          <w:b w:val="false"/>
          <w:bCs w:val="false"/>
          <w:i w:val="false"/>
          <w:iCs w:val="false"/>
          <w:color w:val="333333"/>
          <w:sz w:val="20"/>
          <w:szCs w:val="20"/>
          <w:rtl w:val="true"/>
        </w:rPr>
        <w:t>.</w:t>
      </w:r>
    </w:p>
  </w:footnote>
  <w:footnote w:id="1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یرون</w:t>
      </w:r>
      <w:r>
        <w:rPr>
          <w:rFonts w:eastAsia="IRNazanin" w:cs="IRNazanin"/>
          <w:b w:val="false"/>
          <w:bCs w:val="false"/>
          <w:i w:val="false"/>
          <w:iCs w:val="false"/>
          <w:color w:val="333333"/>
          <w:sz w:val="20"/>
          <w:szCs w:val="20"/>
          <w:rtl w:val="true"/>
        </w:rPr>
        <w:t>.</w:t>
      </w:r>
    </w:p>
  </w:footnote>
  <w:footnote w:id="1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الرّبا</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الأحادیث المشهورة و المتواترة،فقد نقله العامّة و الخاصّة فی المجامیع الروائیّة،و رواه أحمد بن حنبل فی مسندة و مسلم و البخاری و غیرهم</w:t>
      </w:r>
      <w:r>
        <w:rPr>
          <w:rFonts w:eastAsia="IRNazanin" w:cs="IRNazanin"/>
          <w:b w:val="false"/>
          <w:bCs w:val="false"/>
          <w:i w:val="false"/>
          <w:iCs w:val="false"/>
          <w:color w:val="333333"/>
          <w:sz w:val="20"/>
          <w:szCs w:val="20"/>
          <w:rtl w:val="true"/>
        </w:rPr>
        <w:t>.</w:t>
      </w:r>
    </w:p>
  </w:footnote>
  <w:footnote w:id="1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 من الأصل</w:t>
      </w:r>
      <w:r>
        <w:rPr>
          <w:rFonts w:eastAsia="IRNazanin" w:cs="IRNazanin"/>
          <w:b w:val="false"/>
          <w:bCs w:val="false"/>
          <w:i w:val="false"/>
          <w:iCs w:val="false"/>
          <w:color w:val="333333"/>
          <w:sz w:val="20"/>
          <w:szCs w:val="20"/>
          <w:rtl w:val="true"/>
        </w:rPr>
        <w:t>.</w:t>
      </w:r>
    </w:p>
  </w:footnote>
  <w:footnote w:id="1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نقلا عن الغدیر فی الکتاب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السّنّة </w:t>
      </w:r>
      <w:r>
        <w:rPr>
          <w:rFonts w:eastAsia="IRNazanin" w:cs="IRNazanin"/>
          <w:b w:val="false"/>
          <w:bCs w:val="false"/>
          <w:i w:val="false"/>
          <w:iCs w:val="false"/>
          <w:color w:val="333333"/>
          <w:sz w:val="20"/>
          <w:szCs w:val="20"/>
        </w:rPr>
        <w:t>6:110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الریاض النضرة </w:t>
      </w:r>
      <w:r>
        <w:rPr>
          <w:rFonts w:eastAsia="IRNazanin" w:cs="IRNazanin"/>
          <w:b w:val="false"/>
          <w:bCs w:val="false"/>
          <w:i w:val="false"/>
          <w:iCs w:val="false"/>
          <w:color w:val="333333"/>
          <w:sz w:val="20"/>
          <w:szCs w:val="20"/>
        </w:rPr>
        <w:t>2:196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ذخائر العقبی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مطالب السئول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،المناقب للخوارزمی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،الأربعین للفخر الرّازی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نقلا عن الغدیر فی الکتاب و السّنّة </w:t>
      </w:r>
      <w:r>
        <w:rPr>
          <w:rFonts w:eastAsia="IRNazanin" w:cs="IRNazanin"/>
          <w:b w:val="false"/>
          <w:bCs w:val="false"/>
          <w:i w:val="false"/>
          <w:iCs w:val="false"/>
          <w:color w:val="333333"/>
          <w:sz w:val="20"/>
          <w:szCs w:val="20"/>
        </w:rPr>
        <w:t>6:110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الریاض النضرة </w:t>
      </w:r>
      <w:r>
        <w:rPr>
          <w:rFonts w:eastAsia="IRNazanin" w:cs="IRNazanin"/>
          <w:b w:val="false"/>
          <w:bCs w:val="false"/>
          <w:i w:val="false"/>
          <w:iCs w:val="false"/>
          <w:color w:val="333333"/>
          <w:sz w:val="20"/>
          <w:szCs w:val="20"/>
        </w:rPr>
        <w:t>2:196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ذخائر العقبی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مطالب السئول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،المناقب للخوارزمی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،الأربعین للفخر الرّازی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یتجاوزوا</w:t>
      </w:r>
      <w:r>
        <w:rPr>
          <w:rFonts w:eastAsia="IRNazanin" w:cs="IRNazanin"/>
          <w:b w:val="false"/>
          <w:bCs w:val="false"/>
          <w:i w:val="false"/>
          <w:iCs w:val="false"/>
          <w:color w:val="333333"/>
          <w:sz w:val="20"/>
          <w:szCs w:val="20"/>
          <w:rtl w:val="true"/>
        </w:rPr>
        <w:t>.</w:t>
      </w:r>
    </w:p>
  </w:footnote>
  <w:footnote w:id="1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سوغ</w:t>
      </w:r>
      <w:r>
        <w:rPr>
          <w:rFonts w:eastAsia="IRNazanin" w:cs="IRNazanin"/>
          <w:b w:val="false"/>
          <w:bCs w:val="false"/>
          <w:i w:val="false"/>
          <w:iCs w:val="false"/>
          <w:color w:val="333333"/>
          <w:sz w:val="20"/>
          <w:szCs w:val="20"/>
          <w:rtl w:val="true"/>
        </w:rPr>
        <w:t>.</w:t>
      </w:r>
    </w:p>
  </w:footnote>
  <w:footnote w:id="1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سوّغنا</w:t>
      </w:r>
      <w:r>
        <w:rPr>
          <w:rFonts w:eastAsia="IRNazanin" w:cs="IRNazanin"/>
          <w:b w:val="false"/>
          <w:bCs w:val="false"/>
          <w:i w:val="false"/>
          <w:iCs w:val="false"/>
          <w:color w:val="333333"/>
          <w:sz w:val="20"/>
          <w:szCs w:val="20"/>
          <w:rtl w:val="true"/>
        </w:rPr>
        <w:t>.</w:t>
      </w:r>
    </w:p>
  </w:footnote>
  <w:footnote w:id="1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فرجع</w:t>
      </w:r>
      <w:r>
        <w:rPr>
          <w:rFonts w:eastAsia="IRNazanin" w:cs="IRNazanin"/>
          <w:b w:val="false"/>
          <w:bCs w:val="false"/>
          <w:i w:val="false"/>
          <w:iCs w:val="false"/>
          <w:color w:val="333333"/>
          <w:sz w:val="20"/>
          <w:szCs w:val="20"/>
          <w:rtl w:val="true"/>
        </w:rPr>
        <w:t>.</w:t>
      </w:r>
    </w:p>
  </w:footnote>
  <w:footnote w:id="1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 اشترک</w:t>
      </w:r>
      <w:r>
        <w:rPr>
          <w:rFonts w:eastAsia="IRNazanin" w:cs="IRNazanin"/>
          <w:b w:val="false"/>
          <w:bCs w:val="false"/>
          <w:i w:val="false"/>
          <w:iCs w:val="false"/>
          <w:color w:val="333333"/>
          <w:sz w:val="20"/>
          <w:szCs w:val="20"/>
          <w:rtl w:val="true"/>
        </w:rPr>
        <w:t>.</w:t>
      </w:r>
    </w:p>
  </w:footnote>
  <w:footnote w:id="1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برأیی</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الدارمی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عون المعبود </w:t>
      </w:r>
      <w:r>
        <w:rPr>
          <w:rFonts w:eastAsia="IRNazanin" w:cs="IRNazanin"/>
          <w:b w:val="false"/>
          <w:bCs w:val="false"/>
          <w:i w:val="false"/>
          <w:iCs w:val="false"/>
          <w:color w:val="333333"/>
          <w:sz w:val="20"/>
          <w:szCs w:val="20"/>
        </w:rPr>
        <w:t>3:330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یسیر،جامع الأصول </w:t>
      </w:r>
      <w:r>
        <w:rPr>
          <w:rFonts w:eastAsia="IRNazanin" w:cs="IRNazanin"/>
          <w:b w:val="false"/>
          <w:bCs w:val="false"/>
          <w:i w:val="false"/>
          <w:iCs w:val="false"/>
          <w:color w:val="333333"/>
          <w:sz w:val="20"/>
          <w:szCs w:val="20"/>
        </w:rPr>
        <w:t>10:177</w:t>
      </w:r>
      <w:r>
        <w:rPr>
          <w:rFonts w:ascii="IRNazanin" w:hAnsi="IRNazanin" w:eastAsia="IRNazanin"/>
          <w:b w:val="false"/>
          <w:b w:val="false"/>
          <w:bCs w:val="false"/>
          <w:i w:val="false"/>
          <w:i w:val="false"/>
          <w:iCs w:val="false"/>
          <w:color w:val="333333"/>
          <w:sz w:val="20"/>
          <w:sz w:val="20"/>
          <w:szCs w:val="20"/>
          <w:rtl w:val="true"/>
        </w:rPr>
        <w:t>،سنن أبی داود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3592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الأقضیة،باب اجتهاد الرّأی فی القضاء،سنن الترمذی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1327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Pr>
        <w:t>1328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جاء فی القاضی کیف یقضی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أیضا المصادر الواردة فی هامش 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w:t>
      </w:r>
    </w:p>
  </w:footnote>
  <w:footnote w:id="1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المصادر الواردة فی هامش 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w:t>
      </w:r>
    </w:p>
  </w:footnote>
  <w:footnote w:id="1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المصادر الواردة فی هامش 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w:t>
      </w:r>
    </w:p>
  </w:footnote>
  <w:footnote w:id="1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المصادر الواردة فی هامش 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666</w:t>
      </w:r>
    </w:p>
  </w:footnote>
  <w:footnote w:id="1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المصادر الواردة فی هامش 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666</w:t>
      </w:r>
    </w:p>
  </w:footnote>
  <w:footnote w:id="1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تخریج الحدیث فی هامش 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w:t>
      </w:r>
    </w:p>
  </w:footnote>
  <w:footnote w:id="1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خروج</w:t>
      </w:r>
      <w:r>
        <w:rPr>
          <w:rFonts w:eastAsia="IRNazanin" w:cs="IRNazanin"/>
          <w:b w:val="false"/>
          <w:bCs w:val="false"/>
          <w:i w:val="false"/>
          <w:iCs w:val="false"/>
          <w:color w:val="333333"/>
          <w:sz w:val="20"/>
          <w:szCs w:val="20"/>
          <w:rtl w:val="true"/>
        </w:rPr>
        <w:t>.</w:t>
      </w:r>
    </w:p>
  </w:footnote>
  <w:footnote w:id="1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w:t>
      </w:r>
      <w:r>
        <w:rPr>
          <w:rFonts w:eastAsia="IRNazanin" w:cs="IRNazanin"/>
          <w:b w:val="false"/>
          <w:bCs w:val="false"/>
          <w:i w:val="false"/>
          <w:iCs w:val="false"/>
          <w:color w:val="333333"/>
          <w:sz w:val="20"/>
          <w:szCs w:val="20"/>
        </w:rPr>
        <w:t>3:547</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1:1056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1057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1058</w:t>
      </w:r>
      <w:r>
        <w:rPr>
          <w:rFonts w:ascii="IRNazanin" w:hAnsi="IRNazanin" w:eastAsia="IRNazanin"/>
          <w:b w:val="false"/>
          <w:b w:val="false"/>
          <w:bCs w:val="false"/>
          <w:i w:val="false"/>
          <w:i w:val="false"/>
          <w:iCs w:val="false"/>
          <w:color w:val="333333"/>
          <w:sz w:val="20"/>
          <w:sz w:val="20"/>
          <w:szCs w:val="20"/>
          <w:rtl w:val="true"/>
        </w:rPr>
        <w:t>،انظر أیضا المصادر الواردة فی هامش 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w:t>
      </w:r>
    </w:p>
  </w:footnote>
  <w:footnote w:id="1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المصادر الواردة فی هامش 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w:t>
      </w:r>
    </w:p>
  </w:footnote>
  <w:footnote w:id="1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کلام المصنّف فی صفحة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اختلاف الفقهاء فی مسألة الحرام</w:t>
      </w:r>
      <w:r>
        <w:rPr>
          <w:rFonts w:eastAsia="IRNazanin" w:cs="IRNazanin"/>
          <w:b w:val="false"/>
          <w:bCs w:val="false"/>
          <w:i w:val="false"/>
          <w:iCs w:val="false"/>
          <w:color w:val="333333"/>
          <w:sz w:val="20"/>
          <w:szCs w:val="20"/>
          <w:rtl w:val="true"/>
        </w:rPr>
        <w:t>.</w:t>
      </w:r>
    </w:p>
  </w:footnote>
  <w:footnote w:id="1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الرسالة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جمعة</w:t>
      </w:r>
      <w:r>
        <w:rPr>
          <w:rFonts w:eastAsia="IRNazanin" w:cs="IRNazanin"/>
          <w:b w:val="false"/>
          <w:bCs w:val="false"/>
          <w:i w:val="false"/>
          <w:iCs w:val="false"/>
          <w:color w:val="333333"/>
          <w:sz w:val="20"/>
          <w:szCs w:val="20"/>
          <w:rtl w:val="true"/>
        </w:rPr>
        <w:t>.</w:t>
      </w:r>
    </w:p>
  </w:footnote>
  <w:footnote w:id="1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إذا</w:t>
      </w:r>
      <w:r>
        <w:rPr>
          <w:rFonts w:eastAsia="IRNazanin" w:cs="IRNazanin"/>
          <w:b w:val="false"/>
          <w:bCs w:val="false"/>
          <w:i w:val="false"/>
          <w:iCs w:val="false"/>
          <w:color w:val="333333"/>
          <w:sz w:val="20"/>
          <w:szCs w:val="20"/>
          <w:rtl w:val="true"/>
        </w:rPr>
        <w:t>.</w:t>
      </w:r>
    </w:p>
  </w:footnote>
  <w:footnote w:id="1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زیادة من النسخة الثّانیة</w:t>
      </w:r>
      <w:r>
        <w:rPr>
          <w:rFonts w:eastAsia="IRNazanin" w:cs="IRNazanin"/>
          <w:b w:val="false"/>
          <w:bCs w:val="false"/>
          <w:i w:val="false"/>
          <w:iCs w:val="false"/>
          <w:color w:val="333333"/>
          <w:sz w:val="20"/>
          <w:szCs w:val="20"/>
          <w:rtl w:val="true"/>
        </w:rPr>
        <w:t>.</w:t>
      </w:r>
    </w:p>
  </w:footnote>
  <w:footnote w:id="1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رواها البخاری،و مسلم و أبو داود،و مالک فی الموطأ،و التّرمذی،و النّسائی عن ابن عبّاس عن أخیه الفضل بن عبّاس عن امرأة أو رجل من خثعم استفتت رسول اللّه صلّی اللّه علیه و آله و سلّم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کنز العمّال </w:t>
      </w:r>
      <w:r>
        <w:rPr>
          <w:rFonts w:eastAsia="IRNazanin" w:cs="IRNazanin"/>
          <w:b w:val="false"/>
          <w:bCs w:val="false"/>
          <w:i w:val="false"/>
          <w:iCs w:val="false"/>
          <w:color w:val="333333"/>
          <w:sz w:val="20"/>
          <w:szCs w:val="20"/>
        </w:rPr>
        <w:t>5:123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12331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12851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12856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لفظ الحدیث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کنت قاضیه،قاضیا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أیضا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المصادر الواردة فی هامش 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w:t>
      </w:r>
    </w:p>
  </w:footnote>
  <w:footnote w:id="1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8:615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24401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لفظ الحدیث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رأیت لو تمضمضت بماء و أنت صائم؟</w:t>
      </w:r>
      <w:r>
        <w:rPr>
          <w:rFonts w:eastAsia="IRNazanin" w:cs="IRNazanin"/>
          <w:b w:val="false"/>
          <w:bCs w:val="false"/>
          <w:i w:val="false"/>
          <w:iCs w:val="false"/>
          <w:color w:val="333333"/>
          <w:sz w:val="20"/>
          <w:szCs w:val="20"/>
          <w:rtl w:val="true"/>
        </w:rPr>
        <w:t>.).</w:t>
      </w:r>
    </w:p>
  </w:footnote>
  <w:footnote w:id="1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الأورق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الّذی لونه بین السواد و الغبرة،و قال الأصمعی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الأورق الّذی فی لونه بیاض إلی سواد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غریب الحدیث للهروی </w:t>
      </w:r>
      <w:r>
        <w:rPr>
          <w:rFonts w:eastAsia="IRNazanin" w:cs="IRNazanin"/>
          <w:b w:val="false"/>
          <w:bCs w:val="false"/>
          <w:i w:val="false"/>
          <w:iCs w:val="false"/>
          <w:color w:val="333333"/>
          <w:sz w:val="20"/>
          <w:szCs w:val="20"/>
        </w:rPr>
        <w:t>1:261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2:207</w:t>
      </w:r>
      <w:r>
        <w:rPr>
          <w:rFonts w:eastAsia="IRNazanin" w:cs="IRNazanin"/>
          <w:b w:val="false"/>
          <w:bCs w:val="false"/>
          <w:i w:val="false"/>
          <w:iCs w:val="false"/>
          <w:color w:val="333333"/>
          <w:sz w:val="20"/>
          <w:szCs w:val="20"/>
          <w:rtl w:val="true"/>
        </w:rPr>
        <w:t>.</w:t>
      </w:r>
    </w:p>
  </w:footnote>
  <w:footnote w:id="1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رواه أحمد فی المسند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2:279</w:t>
      </w:r>
      <w:r>
        <w:rPr>
          <w:rFonts w:eastAsia="IRNazanin" w:cs="IRNazanin"/>
          <w:b w:val="false"/>
          <w:bCs w:val="false"/>
          <w:i w:val="false"/>
          <w:iCs w:val="false"/>
          <w:color w:val="333333"/>
          <w:sz w:val="20"/>
          <w:szCs w:val="20"/>
          <w:rtl w:val="true"/>
        </w:rPr>
        <w:t>.</w:t>
      </w:r>
    </w:p>
  </w:footnote>
  <w:footnote w:id="1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القدر</w:t>
      </w:r>
      <w:r>
        <w:rPr>
          <w:rFonts w:eastAsia="IRNazanin" w:cs="IRNazanin"/>
          <w:b w:val="false"/>
          <w:bCs w:val="false"/>
          <w:i w:val="false"/>
          <w:iCs w:val="false"/>
          <w:color w:val="333333"/>
          <w:sz w:val="20"/>
          <w:szCs w:val="20"/>
          <w:rtl w:val="true"/>
        </w:rPr>
        <w:t>.</w:t>
      </w:r>
    </w:p>
  </w:footnote>
  <w:footnote w:id="1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1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الفقرة الطّویلة الّتی ابتدأت فی صفحة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الّتی نقلها المصنّف عن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الذریعة إلی أصول الشّریعة </w:t>
      </w:r>
      <w:r>
        <w:rPr>
          <w:rFonts w:eastAsia="IRNazanin" w:cs="IRNazanin"/>
          <w:b w:val="false"/>
          <w:bCs w:val="false"/>
          <w:i w:val="false"/>
          <w:iCs w:val="false"/>
          <w:color w:val="333333"/>
          <w:sz w:val="20"/>
          <w:szCs w:val="20"/>
        </w:rPr>
        <w:t>2:791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للشریف المرتضی رحمه اللّه</w:t>
      </w:r>
      <w:r>
        <w:rPr>
          <w:rFonts w:eastAsia="IRNazanin" w:cs="IRNazanin"/>
          <w:b w:val="false"/>
          <w:bCs w:val="false"/>
          <w:i w:val="false"/>
          <w:iCs w:val="false"/>
          <w:color w:val="333333"/>
          <w:sz w:val="20"/>
          <w:szCs w:val="20"/>
          <w:rtl w:val="true"/>
        </w:rPr>
        <w:t>.</w:t>
      </w:r>
    </w:p>
  </w:footnote>
  <w:footnote w:id="1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الذریعة </w:t>
      </w:r>
      <w:r>
        <w:rPr>
          <w:rFonts w:eastAsia="IRNazanin" w:cs="IRNazanin"/>
          <w:b w:val="false"/>
          <w:bCs w:val="false"/>
          <w:i w:val="false"/>
          <w:iCs w:val="false"/>
          <w:color w:val="333333"/>
          <w:sz w:val="20"/>
          <w:szCs w:val="20"/>
        </w:rPr>
        <w:t>2:791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1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p>
  </w:footnote>
  <w:footnote w:id="1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اختلاف أقوالهم و آرائهم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الذّریعة </w:t>
      </w:r>
      <w:r>
        <w:rPr>
          <w:rFonts w:eastAsia="IRNazanin" w:cs="IRNazanin"/>
          <w:b w:val="false"/>
          <w:bCs w:val="false"/>
          <w:i w:val="false"/>
          <w:iCs w:val="false"/>
          <w:color w:val="333333"/>
          <w:sz w:val="20"/>
          <w:szCs w:val="20"/>
        </w:rPr>
        <w:t>3:792</w:t>
      </w:r>
      <w:r>
        <w:rPr>
          <w:rFonts w:ascii="IRNazanin" w:hAnsi="IRNazanin" w:eastAsia="IRNazanin"/>
          <w:b w:val="false"/>
          <w:b w:val="false"/>
          <w:bCs w:val="false"/>
          <w:i w:val="false"/>
          <w:i w:val="false"/>
          <w:iCs w:val="false"/>
          <w:color w:val="333333"/>
          <w:sz w:val="20"/>
          <w:sz w:val="20"/>
          <w:szCs w:val="20"/>
          <w:rtl w:val="true"/>
        </w:rPr>
        <w:t xml:space="preserve">،المعتمد </w:t>
      </w:r>
      <w:r>
        <w:rPr>
          <w:rFonts w:eastAsia="IRNazanin" w:cs="IRNazanin"/>
          <w:b w:val="false"/>
          <w:bCs w:val="false"/>
          <w:i w:val="false"/>
          <w:iCs w:val="false"/>
          <w:color w:val="333333"/>
          <w:sz w:val="20"/>
          <w:szCs w:val="20"/>
        </w:rPr>
        <w:t>2:370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التبصرة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 xml:space="preserve">،المستصفی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المنخول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xml:space="preserve">،الأحکام للآمدی </w:t>
      </w:r>
      <w:r>
        <w:rPr>
          <w:rFonts w:eastAsia="IRNazanin" w:cs="IRNazanin"/>
          <w:b w:val="false"/>
          <w:bCs w:val="false"/>
          <w:i w:val="false"/>
          <w:iCs w:val="false"/>
          <w:color w:val="333333"/>
          <w:sz w:val="20"/>
          <w:szCs w:val="20"/>
        </w:rPr>
        <w:t>4:409</w:t>
      </w:r>
      <w:r>
        <w:rPr>
          <w:rFonts w:ascii="IRNazanin" w:hAnsi="IRNazanin" w:eastAsia="IRNazanin"/>
          <w:b w:val="false"/>
          <w:b w:val="false"/>
          <w:bCs w:val="false"/>
          <w:i w:val="false"/>
          <w:i w:val="false"/>
          <w:iCs w:val="false"/>
          <w:color w:val="333333"/>
          <w:sz w:val="20"/>
          <w:sz w:val="20"/>
          <w:szCs w:val="20"/>
          <w:rtl w:val="true"/>
        </w:rPr>
        <w:t xml:space="preserve">،الأحکام لابن حزم </w:t>
      </w:r>
      <w:r>
        <w:rPr>
          <w:rFonts w:eastAsia="IRNazanin" w:cs="IRNazanin"/>
          <w:b w:val="false"/>
          <w:bCs w:val="false"/>
          <w:i w:val="false"/>
          <w:iCs w:val="false"/>
          <w:color w:val="333333"/>
          <w:sz w:val="20"/>
          <w:szCs w:val="20"/>
        </w:rPr>
        <w:t>8:587</w:t>
      </w:r>
      <w:r>
        <w:rPr>
          <w:rFonts w:ascii="IRNazanin" w:hAnsi="IRNazanin" w:eastAsia="IRNazanin"/>
          <w:b w:val="false"/>
          <w:b w:val="false"/>
          <w:bCs w:val="false"/>
          <w:i w:val="false"/>
          <w:i w:val="false"/>
          <w:iCs w:val="false"/>
          <w:color w:val="333333"/>
          <w:sz w:val="20"/>
          <w:sz w:val="20"/>
          <w:szCs w:val="20"/>
          <w:rtl w:val="true"/>
        </w:rPr>
        <w:t>،اللّمع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،شرح اللّمع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1043</w:t>
      </w:r>
      <w:r>
        <w:rPr>
          <w:rFonts w:ascii="IRNazanin" w:hAnsi="IRNazanin" w:eastAsia="IRNazanin"/>
          <w:b w:val="false"/>
          <w:b w:val="false"/>
          <w:bCs w:val="false"/>
          <w:i w:val="false"/>
          <w:i w:val="false"/>
          <w:iCs w:val="false"/>
          <w:color w:val="333333"/>
          <w:sz w:val="20"/>
          <w:sz w:val="20"/>
          <w:szCs w:val="20"/>
          <w:rtl w:val="true"/>
        </w:rPr>
        <w:t xml:space="preserve">،میزان الأصول </w:t>
      </w:r>
      <w:r>
        <w:rPr>
          <w:rFonts w:eastAsia="IRNazanin" w:cs="IRNazanin"/>
          <w:b w:val="false"/>
          <w:bCs w:val="false"/>
          <w:i w:val="false"/>
          <w:iCs w:val="false"/>
          <w:color w:val="333333"/>
          <w:sz w:val="20"/>
          <w:szCs w:val="20"/>
        </w:rPr>
        <w:t>2:1053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1050</w:t>
      </w:r>
      <w:r>
        <w:rPr>
          <w:rFonts w:ascii="IRNazanin" w:hAnsi="IRNazanin" w:eastAsia="IRNazanin"/>
          <w:b w:val="false"/>
          <w:b w:val="false"/>
          <w:bCs w:val="false"/>
          <w:i w:val="false"/>
          <w:i w:val="false"/>
          <w:iCs w:val="false"/>
          <w:color w:val="333333"/>
          <w:sz w:val="20"/>
          <w:sz w:val="20"/>
          <w:szCs w:val="20"/>
          <w:rtl w:val="true"/>
        </w:rPr>
        <w:t>،إرشاد الفحول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،شرح المنهاج </w:t>
      </w:r>
      <w:r>
        <w:rPr>
          <w:rFonts w:eastAsia="IRNazanin" w:cs="IRNazanin"/>
          <w:b w:val="false"/>
          <w:bCs w:val="false"/>
          <w:i w:val="false"/>
          <w:iCs w:val="false"/>
          <w:color w:val="333333"/>
          <w:sz w:val="20"/>
          <w:szCs w:val="20"/>
        </w:rPr>
        <w:t>2:837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روضة النّاظر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،الرسالة للشّافعی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،تقریب الوصول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الجبّائیّان</w:t>
      </w:r>
      <w:r>
        <w:rPr>
          <w:rFonts w:eastAsia="IRNazanin" w:cs="IRNazanin"/>
          <w:b w:val="false"/>
          <w:bCs w:val="false"/>
          <w:i w:val="false"/>
          <w:iCs w:val="false"/>
          <w:color w:val="333333"/>
          <w:sz w:val="20"/>
          <w:szCs w:val="20"/>
          <w:rtl w:val="true"/>
        </w:rPr>
        <w:t>.</w:t>
      </w:r>
    </w:p>
  </w:footnote>
  <w:footnote w:id="1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الحسن الکرخی</w:t>
      </w:r>
      <w:r>
        <w:rPr>
          <w:rFonts w:eastAsia="IRNazanin" w:cs="IRNazanin"/>
          <w:b w:val="false"/>
          <w:bCs w:val="false"/>
          <w:i w:val="false"/>
          <w:iCs w:val="false"/>
          <w:color w:val="333333"/>
          <w:sz w:val="20"/>
          <w:szCs w:val="20"/>
          <w:rtl w:val="true"/>
        </w:rPr>
        <w:t>.</w:t>
      </w:r>
    </w:p>
  </w:footnote>
  <w:footnote w:id="1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الحسن الکرخی</w:t>
      </w:r>
      <w:r>
        <w:rPr>
          <w:rFonts w:eastAsia="IRNazanin" w:cs="IRNazanin"/>
          <w:b w:val="false"/>
          <w:bCs w:val="false"/>
          <w:i w:val="false"/>
          <w:iCs w:val="false"/>
          <w:color w:val="333333"/>
          <w:sz w:val="20"/>
          <w:szCs w:val="20"/>
          <w:rtl w:val="true"/>
        </w:rPr>
        <w:t>.</w:t>
      </w:r>
    </w:p>
  </w:footnote>
  <w:footnote w:id="1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المصادر الواردة فی هامش 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724</w:t>
      </w:r>
      <w:r>
        <w:rPr>
          <w:rFonts w:eastAsia="IRNazanin" w:cs="IRNazanin"/>
          <w:b w:val="false"/>
          <w:bCs w:val="false"/>
          <w:i w:val="false"/>
          <w:iCs w:val="false"/>
          <w:color w:val="333333"/>
          <w:sz w:val="20"/>
          <w:szCs w:val="20"/>
          <w:rtl w:val="true"/>
        </w:rPr>
        <w:t>.</w:t>
      </w:r>
    </w:p>
  </w:footnote>
  <w:footnote w:id="1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المصادر الواردة فی هامش 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724</w:t>
      </w:r>
      <w:r>
        <w:rPr>
          <w:rFonts w:eastAsia="IRNazanin" w:cs="IRNazanin"/>
          <w:b w:val="false"/>
          <w:bCs w:val="false"/>
          <w:i w:val="false"/>
          <w:iCs w:val="false"/>
          <w:color w:val="333333"/>
          <w:sz w:val="20"/>
          <w:szCs w:val="20"/>
          <w:rtl w:val="true"/>
        </w:rPr>
        <w:t>.</w:t>
      </w:r>
    </w:p>
  </w:footnote>
  <w:footnote w:id="1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المصادر الواردة فی هامش 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724</w:t>
      </w:r>
      <w:r>
        <w:rPr>
          <w:rFonts w:eastAsia="IRNazanin" w:cs="IRNazanin"/>
          <w:b w:val="false"/>
          <w:bCs w:val="false"/>
          <w:i w:val="false"/>
          <w:iCs w:val="false"/>
          <w:color w:val="333333"/>
          <w:sz w:val="20"/>
          <w:szCs w:val="20"/>
          <w:rtl w:val="true"/>
        </w:rPr>
        <w:t>.</w:t>
      </w:r>
    </w:p>
  </w:footnote>
  <w:footnote w:id="1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المصادر الواردة فی هامش 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724</w:t>
      </w:r>
      <w:r>
        <w:rPr>
          <w:rFonts w:eastAsia="IRNazanin" w:cs="IRNazanin"/>
          <w:b w:val="false"/>
          <w:bCs w:val="false"/>
          <w:i w:val="false"/>
          <w:iCs w:val="false"/>
          <w:color w:val="333333"/>
          <w:sz w:val="20"/>
          <w:szCs w:val="20"/>
          <w:rtl w:val="true"/>
        </w:rPr>
        <w:t>.</w:t>
      </w:r>
    </w:p>
  </w:footnote>
  <w:footnote w:id="1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المصادر الواردة فی هامش 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724</w:t>
      </w:r>
      <w:r>
        <w:rPr>
          <w:rFonts w:eastAsia="IRNazanin" w:cs="IRNazanin"/>
          <w:b w:val="false"/>
          <w:bCs w:val="false"/>
          <w:i w:val="false"/>
          <w:iCs w:val="false"/>
          <w:color w:val="333333"/>
          <w:sz w:val="20"/>
          <w:szCs w:val="20"/>
          <w:rtl w:val="true"/>
        </w:rPr>
        <w:t>.</w:t>
      </w:r>
    </w:p>
  </w:footnote>
  <w:footnote w:id="1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المصادر الواردة فی هامش 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724</w:t>
      </w:r>
      <w:r>
        <w:rPr>
          <w:rFonts w:eastAsia="IRNazanin" w:cs="IRNazanin"/>
          <w:b w:val="false"/>
          <w:bCs w:val="false"/>
          <w:i w:val="false"/>
          <w:iCs w:val="false"/>
          <w:color w:val="333333"/>
          <w:sz w:val="20"/>
          <w:szCs w:val="20"/>
          <w:rtl w:val="true"/>
        </w:rPr>
        <w:t>.</w:t>
      </w:r>
    </w:p>
  </w:footnote>
  <w:footnote w:id="1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المرتضی رحمه اللّه</w:t>
      </w:r>
      <w:r>
        <w:rPr>
          <w:rFonts w:eastAsia="IRNazanin" w:cs="IRNazanin"/>
          <w:b w:val="false"/>
          <w:bCs w:val="false"/>
          <w:i w:val="false"/>
          <w:iCs w:val="false"/>
          <w:color w:val="333333"/>
          <w:sz w:val="20"/>
          <w:szCs w:val="20"/>
          <w:rtl w:val="true"/>
        </w:rPr>
        <w:t>.</w:t>
      </w:r>
    </w:p>
  </w:footnote>
  <w:footnote w:id="1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واحد</w:t>
      </w:r>
      <w:r>
        <w:rPr>
          <w:rFonts w:eastAsia="IRNazanin" w:cs="IRNazanin"/>
          <w:b w:val="false"/>
          <w:bCs w:val="false"/>
          <w:i w:val="false"/>
          <w:iCs w:val="false"/>
          <w:color w:val="333333"/>
          <w:sz w:val="20"/>
          <w:szCs w:val="20"/>
          <w:rtl w:val="true"/>
        </w:rPr>
        <w:t>.</w:t>
      </w:r>
    </w:p>
  </w:footnote>
  <w:footnote w:id="1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استدلال المصنّف فی مبحث القیاس فی هذا الکتاب</w:t>
      </w:r>
      <w:r>
        <w:rPr>
          <w:rFonts w:eastAsia="IRNazanin" w:cs="IRNazanin"/>
          <w:b w:val="false"/>
          <w:bCs w:val="false"/>
          <w:i w:val="false"/>
          <w:iCs w:val="false"/>
          <w:color w:val="333333"/>
          <w:sz w:val="20"/>
          <w:szCs w:val="20"/>
          <w:rtl w:val="true"/>
        </w:rPr>
        <w:t>.</w:t>
      </w:r>
    </w:p>
  </w:footnote>
  <w:footnote w:id="1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استدلال المصنّف فی مبحث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خبر الواحد و أحکامه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أن</w:t>
      </w:r>
      <w:r>
        <w:rPr>
          <w:rFonts w:eastAsia="IRNazanin" w:cs="IRNazanin"/>
          <w:b w:val="false"/>
          <w:bCs w:val="false"/>
          <w:i w:val="false"/>
          <w:iCs w:val="false"/>
          <w:color w:val="333333"/>
          <w:sz w:val="20"/>
          <w:szCs w:val="20"/>
          <w:rtl w:val="true"/>
        </w:rPr>
        <w:t>.</w:t>
      </w:r>
    </w:p>
  </w:footnote>
  <w:footnote w:id="1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الحجریة 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1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نافیة</w:t>
      </w:r>
      <w:r>
        <w:rPr>
          <w:rFonts w:eastAsia="IRNazanin" w:cs="IRNazanin"/>
          <w:b w:val="false"/>
          <w:bCs w:val="false"/>
          <w:i w:val="false"/>
          <w:iCs w:val="false"/>
          <w:color w:val="333333"/>
          <w:sz w:val="20"/>
          <w:szCs w:val="20"/>
          <w:rtl w:val="true"/>
        </w:rPr>
        <w:t>.</w:t>
      </w:r>
    </w:p>
  </w:footnote>
  <w:footnote w:id="1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w:t>
      </w:r>
      <w:r>
        <w:rPr>
          <w:rFonts w:eastAsia="IRNazanin" w:cs="IRNazanin"/>
          <w:b w:val="false"/>
          <w:bCs w:val="false"/>
          <w:i w:val="false"/>
          <w:iCs w:val="false"/>
          <w:color w:val="333333"/>
          <w:sz w:val="20"/>
          <w:szCs w:val="20"/>
          <w:rtl w:val="true"/>
        </w:rPr>
        <w:t>.</w:t>
      </w:r>
    </w:p>
  </w:footnote>
  <w:footnote w:id="1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یجوّز</w:t>
      </w:r>
      <w:r>
        <w:rPr>
          <w:rFonts w:eastAsia="IRNazanin" w:cs="IRNazanin"/>
          <w:b w:val="false"/>
          <w:bCs w:val="false"/>
          <w:i w:val="false"/>
          <w:iCs w:val="false"/>
          <w:color w:val="333333"/>
          <w:sz w:val="20"/>
          <w:szCs w:val="20"/>
          <w:rtl w:val="true"/>
        </w:rPr>
        <w:t>.</w:t>
      </w:r>
    </w:p>
  </w:footnote>
  <w:footnote w:id="1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المعتمد </w:t>
      </w:r>
      <w:r>
        <w:rPr>
          <w:rFonts w:eastAsia="IRNazanin" w:cs="IRNazanin"/>
          <w:b w:val="false"/>
          <w:bCs w:val="false"/>
          <w:i w:val="false"/>
          <w:iCs w:val="false"/>
          <w:color w:val="333333"/>
          <w:sz w:val="20"/>
          <w:szCs w:val="20"/>
        </w:rPr>
        <w:t>2:359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،الأحکام للآمدی </w:t>
      </w:r>
      <w:r>
        <w:rPr>
          <w:rFonts w:eastAsia="IRNazanin" w:cs="IRNazanin"/>
          <w:b w:val="false"/>
          <w:bCs w:val="false"/>
          <w:i w:val="false"/>
          <w:iCs w:val="false"/>
          <w:color w:val="333333"/>
          <w:sz w:val="20"/>
          <w:szCs w:val="20"/>
        </w:rPr>
        <w:t>4:398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،إرشاد الفحول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،اللّمع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،شرح اللّمع </w:t>
      </w:r>
      <w:r>
        <w:rPr>
          <w:rFonts w:eastAsia="IRNazanin" w:cs="IRNazanin"/>
          <w:b w:val="false"/>
          <w:bCs w:val="false"/>
          <w:i w:val="false"/>
          <w:iCs w:val="false"/>
          <w:color w:val="333333"/>
          <w:sz w:val="20"/>
          <w:szCs w:val="20"/>
        </w:rPr>
        <w:t>2:1035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1033</w:t>
      </w:r>
      <w:r>
        <w:rPr>
          <w:rFonts w:ascii="IRNazanin" w:hAnsi="IRNazanin" w:eastAsia="IRNazanin"/>
          <w:b w:val="false"/>
          <w:b w:val="false"/>
          <w:bCs w:val="false"/>
          <w:i w:val="false"/>
          <w:i w:val="false"/>
          <w:iCs w:val="false"/>
          <w:color w:val="333333"/>
          <w:sz w:val="20"/>
          <w:sz w:val="20"/>
          <w:szCs w:val="20"/>
          <w:rtl w:val="true"/>
        </w:rPr>
        <w:t>،الرّسالة للشّافعی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509</w:t>
      </w:r>
      <w:r>
        <w:rPr>
          <w:rFonts w:ascii="IRNazanin" w:hAnsi="IRNazanin" w:eastAsia="IRNazanin"/>
          <w:b w:val="false"/>
          <w:b w:val="false"/>
          <w:bCs w:val="false"/>
          <w:i w:val="false"/>
          <w:i w:val="false"/>
          <w:iCs w:val="false"/>
          <w:color w:val="333333"/>
          <w:sz w:val="20"/>
          <w:sz w:val="20"/>
          <w:szCs w:val="20"/>
          <w:rtl w:val="true"/>
        </w:rPr>
        <w:t xml:space="preserve">،شرح المنهاج </w:t>
      </w:r>
      <w:r>
        <w:rPr>
          <w:rFonts w:eastAsia="IRNazanin" w:cs="IRNazanin"/>
          <w:b w:val="false"/>
          <w:bCs w:val="false"/>
          <w:i w:val="false"/>
          <w:iCs w:val="false"/>
          <w:color w:val="333333"/>
          <w:sz w:val="20"/>
          <w:szCs w:val="20"/>
        </w:rPr>
        <w:t>2:832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النّاظر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،المنخول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1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الأحکام للآمدی </w:t>
      </w:r>
      <w:r>
        <w:rPr>
          <w:rFonts w:eastAsia="IRNazanin" w:cs="IRNazanin"/>
          <w:b w:val="false"/>
          <w:bCs w:val="false"/>
          <w:i w:val="false"/>
          <w:iCs w:val="false"/>
          <w:color w:val="333333"/>
          <w:sz w:val="20"/>
          <w:szCs w:val="20"/>
        </w:rPr>
        <w:t>4:451</w:t>
      </w:r>
      <w:r>
        <w:rPr>
          <w:rFonts w:ascii="IRNazanin" w:hAnsi="IRNazanin" w:eastAsia="IRNazanin"/>
          <w:b w:val="false"/>
          <w:b w:val="false"/>
          <w:bCs w:val="false"/>
          <w:i w:val="false"/>
          <w:i w:val="false"/>
          <w:iCs w:val="false"/>
          <w:color w:val="333333"/>
          <w:sz w:val="20"/>
          <w:sz w:val="20"/>
          <w:szCs w:val="20"/>
          <w:rtl w:val="true"/>
        </w:rPr>
        <w:t xml:space="preserve">،المعتمد </w:t>
      </w:r>
      <w:r>
        <w:rPr>
          <w:rFonts w:eastAsia="IRNazanin" w:cs="IRNazanin"/>
          <w:b w:val="false"/>
          <w:bCs w:val="false"/>
          <w:i w:val="false"/>
          <w:iCs w:val="false"/>
          <w:color w:val="333333"/>
          <w:sz w:val="20"/>
          <w:szCs w:val="20"/>
        </w:rPr>
        <w:t>2:360</w:t>
      </w:r>
      <w:r>
        <w:rPr>
          <w:rFonts w:ascii="IRNazanin" w:hAnsi="IRNazanin" w:eastAsia="IRNazanin"/>
          <w:b w:val="false"/>
          <w:b w:val="false"/>
          <w:bCs w:val="false"/>
          <w:i w:val="false"/>
          <w:i w:val="false"/>
          <w:iCs w:val="false"/>
          <w:color w:val="333333"/>
          <w:sz w:val="20"/>
          <w:sz w:val="20"/>
          <w:szCs w:val="20"/>
          <w:rtl w:val="true"/>
        </w:rPr>
        <w:t>،و قد وصفهم بقوله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قوم من شیوخنا البغدادیین</w:t>
      </w:r>
      <w:r>
        <w:rPr>
          <w:rFonts w:eastAsia="IRNazanin" w:cs="IRNazanin"/>
          <w:b w:val="false"/>
          <w:bCs w:val="false"/>
          <w:i w:val="false"/>
          <w:iCs w:val="false"/>
          <w:color w:val="333333"/>
          <w:sz w:val="20"/>
          <w:szCs w:val="20"/>
          <w:rtl w:val="true"/>
        </w:rPr>
        <w:t>».</w:t>
      </w:r>
    </w:p>
  </w:footnote>
  <w:footnote w:id="1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معتزلة البصرة</w:t>
      </w:r>
      <w:r>
        <w:rPr>
          <w:rFonts w:eastAsia="IRNazanin" w:cs="IRNazanin"/>
          <w:b w:val="false"/>
          <w:bCs w:val="false"/>
          <w:i w:val="false"/>
          <w:iCs w:val="false"/>
          <w:color w:val="333333"/>
          <w:sz w:val="20"/>
          <w:szCs w:val="20"/>
          <w:rtl w:val="true"/>
        </w:rPr>
        <w:t>.</w:t>
      </w:r>
    </w:p>
  </w:footnote>
  <w:footnote w:id="1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المعتمد </w:t>
      </w:r>
      <w:r>
        <w:rPr>
          <w:rFonts w:eastAsia="IRNazanin" w:cs="IRNazanin"/>
          <w:b w:val="false"/>
          <w:bCs w:val="false"/>
          <w:i w:val="false"/>
          <w:iCs w:val="false"/>
          <w:color w:val="333333"/>
          <w:sz w:val="20"/>
          <w:szCs w:val="20"/>
        </w:rPr>
        <w:t>2:361</w:t>
      </w:r>
      <w:r>
        <w:rPr>
          <w:rFonts w:ascii="IRNazanin" w:hAnsi="IRNazanin" w:eastAsia="IRNazanin"/>
          <w:b w:val="false"/>
          <w:b w:val="false"/>
          <w:bCs w:val="false"/>
          <w:i w:val="false"/>
          <w:i w:val="false"/>
          <w:iCs w:val="false"/>
          <w:color w:val="333333"/>
          <w:sz w:val="20"/>
          <w:sz w:val="20"/>
          <w:szCs w:val="20"/>
          <w:rtl w:val="true"/>
        </w:rPr>
        <w:t xml:space="preserve">،الذریعة </w:t>
      </w:r>
      <w:r>
        <w:rPr>
          <w:rFonts w:eastAsia="IRNazanin" w:cs="IRNazanin"/>
          <w:b w:val="false"/>
          <w:bCs w:val="false"/>
          <w:i w:val="false"/>
          <w:iCs w:val="false"/>
          <w:color w:val="333333"/>
          <w:sz w:val="20"/>
          <w:szCs w:val="20"/>
        </w:rPr>
        <w:t>2:796</w:t>
      </w:r>
      <w:r>
        <w:rPr>
          <w:rFonts w:ascii="IRNazanin" w:hAnsi="IRNazanin" w:eastAsia="IRNazanin"/>
          <w:b w:val="false"/>
          <w:b w:val="false"/>
          <w:bCs w:val="false"/>
          <w:i w:val="false"/>
          <w:i w:val="false"/>
          <w:iCs w:val="false"/>
          <w:color w:val="333333"/>
          <w:sz w:val="20"/>
          <w:sz w:val="20"/>
          <w:szCs w:val="20"/>
          <w:rtl w:val="true"/>
        </w:rPr>
        <w:t>،التبصرة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الأحکام للآمدی </w:t>
      </w:r>
      <w:r>
        <w:rPr>
          <w:rFonts w:eastAsia="IRNazanin" w:cs="IRNazanin"/>
          <w:b w:val="false"/>
          <w:bCs w:val="false"/>
          <w:i w:val="false"/>
          <w:iCs w:val="false"/>
          <w:color w:val="333333"/>
          <w:sz w:val="20"/>
          <w:szCs w:val="20"/>
        </w:rPr>
        <w:t>4:450</w:t>
      </w:r>
      <w:r>
        <w:rPr>
          <w:rFonts w:ascii="IRNazanin" w:hAnsi="IRNazanin" w:eastAsia="IRNazanin"/>
          <w:b w:val="false"/>
          <w:b w:val="false"/>
          <w:bCs w:val="false"/>
          <w:i w:val="false"/>
          <w:i w:val="false"/>
          <w:iCs w:val="false"/>
          <w:color w:val="333333"/>
          <w:sz w:val="20"/>
          <w:sz w:val="20"/>
          <w:szCs w:val="20"/>
          <w:rtl w:val="true"/>
        </w:rPr>
        <w:t>،إرشاد الفحول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اللّمع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،شرح المنهاج </w:t>
      </w:r>
      <w:r>
        <w:rPr>
          <w:rFonts w:eastAsia="IRNazanin" w:cs="IRNazanin"/>
          <w:b w:val="false"/>
          <w:bCs w:val="false"/>
          <w:i w:val="false"/>
          <w:iCs w:val="false"/>
          <w:color w:val="333333"/>
          <w:sz w:val="20"/>
          <w:szCs w:val="20"/>
        </w:rPr>
        <w:t>2:846</w:t>
      </w:r>
      <w:r>
        <w:rPr>
          <w:rFonts w:ascii="IRNazanin" w:hAnsi="IRNazanin" w:eastAsia="IRNazanin"/>
          <w:b w:val="false"/>
          <w:b w:val="false"/>
          <w:bCs w:val="false"/>
          <w:i w:val="false"/>
          <w:i w:val="false"/>
          <w:iCs w:val="false"/>
          <w:color w:val="333333"/>
          <w:sz w:val="20"/>
          <w:sz w:val="20"/>
          <w:szCs w:val="20"/>
          <w:rtl w:val="true"/>
        </w:rPr>
        <w:t>،روضة النّاظر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،المنخول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xml:space="preserve">،شرح اللّمع </w:t>
      </w:r>
      <w:r>
        <w:rPr>
          <w:rFonts w:eastAsia="IRNazanin" w:cs="IRNazanin"/>
          <w:b w:val="false"/>
          <w:bCs w:val="false"/>
          <w:i w:val="false"/>
          <w:iCs w:val="false"/>
          <w:color w:val="333333"/>
          <w:sz w:val="20"/>
          <w:szCs w:val="20"/>
        </w:rPr>
        <w:t>2:1010</w:t>
      </w:r>
      <w:r>
        <w:rPr>
          <w:rFonts w:eastAsia="IRNazanin" w:cs="IRNazanin"/>
          <w:b w:val="false"/>
          <w:bCs w:val="false"/>
          <w:i w:val="false"/>
          <w:iCs w:val="false"/>
          <w:color w:val="333333"/>
          <w:sz w:val="20"/>
          <w:szCs w:val="20"/>
          <w:rtl w:val="true"/>
        </w:rPr>
        <w:t>».</w:t>
      </w:r>
    </w:p>
  </w:footnote>
  <w:footnote w:id="1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العلماء</w:t>
      </w:r>
      <w:r>
        <w:rPr>
          <w:rFonts w:eastAsia="IRNazanin" w:cs="IRNazanin"/>
          <w:b w:val="false"/>
          <w:bCs w:val="false"/>
          <w:i w:val="false"/>
          <w:iCs w:val="false"/>
          <w:color w:val="333333"/>
          <w:sz w:val="20"/>
          <w:szCs w:val="20"/>
          <w:rtl w:val="true"/>
        </w:rPr>
        <w:t>.</w:t>
      </w:r>
    </w:p>
  </w:footnote>
  <w:footnote w:id="1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زیادة من النسخة الثّانیة</w:t>
      </w:r>
      <w:r>
        <w:rPr>
          <w:rFonts w:eastAsia="IRNazanin" w:cs="IRNazanin"/>
          <w:b w:val="false"/>
          <w:bCs w:val="false"/>
          <w:i w:val="false"/>
          <w:iCs w:val="false"/>
          <w:color w:val="333333"/>
          <w:sz w:val="20"/>
          <w:szCs w:val="20"/>
          <w:rtl w:val="true"/>
        </w:rPr>
        <w:t>.</w:t>
      </w:r>
    </w:p>
  </w:footnote>
  <w:footnote w:id="1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واجد</w:t>
      </w:r>
      <w:r>
        <w:rPr>
          <w:rFonts w:eastAsia="IRNazanin" w:cs="IRNazanin"/>
          <w:b w:val="false"/>
          <w:bCs w:val="false"/>
          <w:i w:val="false"/>
          <w:iCs w:val="false"/>
          <w:color w:val="333333"/>
          <w:sz w:val="20"/>
          <w:szCs w:val="20"/>
          <w:rtl w:val="true"/>
        </w:rPr>
        <w:t>.</w:t>
      </w:r>
    </w:p>
  </w:footnote>
  <w:footnote w:id="1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فیستدیم</w:t>
      </w:r>
      <w:r>
        <w:rPr>
          <w:rFonts w:eastAsia="IRNazanin" w:cs="IRNazanin"/>
          <w:b w:val="false"/>
          <w:bCs w:val="false"/>
          <w:i w:val="false"/>
          <w:iCs w:val="false"/>
          <w:color w:val="333333"/>
          <w:sz w:val="20"/>
          <w:szCs w:val="20"/>
          <w:rtl w:val="true"/>
        </w:rPr>
        <w:t>.</w:t>
      </w:r>
    </w:p>
  </w:footnote>
  <w:footnote w:id="1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لیس فی الحجریة</w:t>
      </w:r>
      <w:r>
        <w:rPr>
          <w:rFonts w:eastAsia="IRNazanin" w:cs="IRNazanin"/>
          <w:b w:val="false"/>
          <w:bCs w:val="false"/>
          <w:i w:val="false"/>
          <w:iCs w:val="false"/>
          <w:color w:val="333333"/>
          <w:sz w:val="20"/>
          <w:szCs w:val="20"/>
          <w:rtl w:val="true"/>
        </w:rPr>
        <w:t>.</w:t>
      </w:r>
    </w:p>
  </w:footnote>
  <w:footnote w:id="1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إن کان</w:t>
      </w:r>
      <w:r>
        <w:rPr>
          <w:rFonts w:eastAsia="IRNazanin" w:cs="IRNazanin"/>
          <w:b w:val="false"/>
          <w:bCs w:val="false"/>
          <w:i w:val="false"/>
          <w:iCs w:val="false"/>
          <w:color w:val="333333"/>
          <w:sz w:val="20"/>
          <w:szCs w:val="20"/>
          <w:rtl w:val="true"/>
        </w:rPr>
        <w:t>.</w:t>
      </w:r>
    </w:p>
  </w:footnote>
  <w:footnote w:id="1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w:t>
      </w:r>
      <w:r>
        <w:rPr>
          <w:rFonts w:eastAsia="IRNazanin" w:cs="IRNazanin"/>
          <w:b w:val="false"/>
          <w:bCs w:val="false"/>
          <w:i w:val="false"/>
          <w:iCs w:val="false"/>
          <w:color w:val="333333"/>
          <w:sz w:val="20"/>
          <w:szCs w:val="20"/>
          <w:rtl w:val="true"/>
        </w:rPr>
        <w:t>.</w:t>
      </w:r>
    </w:p>
  </w:footnote>
  <w:footnote w:id="1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التّعلیقة 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الواردة فی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حول مفهوم الاجتهاد و التّطوّرات التّاریخیّة المتعاقبة علی هذا المفهوم عند الإمامیّة</w:t>
      </w:r>
      <w:r>
        <w:rPr>
          <w:rFonts w:eastAsia="IRNazanin" w:cs="IRNazanin"/>
          <w:b w:val="false"/>
          <w:bCs w:val="false"/>
          <w:i w:val="false"/>
          <w:iCs w:val="false"/>
          <w:color w:val="333333"/>
          <w:sz w:val="20"/>
          <w:szCs w:val="20"/>
          <w:rtl w:val="true"/>
        </w:rPr>
        <w:t>.</w:t>
      </w:r>
    </w:p>
  </w:footnote>
  <w:footnote w:id="1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أوجبنا</w:t>
      </w:r>
      <w:r>
        <w:rPr>
          <w:rFonts w:eastAsia="IRNazanin" w:cs="IRNazanin"/>
          <w:b w:val="false"/>
          <w:bCs w:val="false"/>
          <w:i w:val="false"/>
          <w:iCs w:val="false"/>
          <w:color w:val="333333"/>
          <w:sz w:val="20"/>
          <w:szCs w:val="20"/>
          <w:rtl w:val="true"/>
        </w:rPr>
        <w:t>.</w:t>
      </w:r>
    </w:p>
  </w:footnote>
  <w:footnote w:id="1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المعتمد </w:t>
      </w:r>
      <w:r>
        <w:rPr>
          <w:rFonts w:eastAsia="IRNazanin" w:cs="IRNazanin"/>
          <w:b w:val="false"/>
          <w:bCs w:val="false"/>
          <w:i w:val="false"/>
          <w:iCs w:val="false"/>
          <w:color w:val="333333"/>
          <w:sz w:val="20"/>
          <w:szCs w:val="20"/>
        </w:rPr>
        <w:t>2:240</w:t>
      </w:r>
      <w:r>
        <w:rPr>
          <w:rFonts w:eastAsia="IRNazanin" w:cs="IRNazanin"/>
          <w:b w:val="false"/>
          <w:bCs w:val="false"/>
          <w:i w:val="false"/>
          <w:iCs w:val="false"/>
          <w:color w:val="333333"/>
          <w:sz w:val="20"/>
          <w:szCs w:val="20"/>
          <w:rtl w:val="true"/>
        </w:rPr>
        <w:t>.</w:t>
      </w:r>
    </w:p>
  </w:footnote>
  <w:footnote w:id="1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المعتمد </w:t>
      </w:r>
      <w:r>
        <w:rPr>
          <w:rFonts w:eastAsia="IRNazanin" w:cs="IRNazanin"/>
          <w:b w:val="false"/>
          <w:bCs w:val="false"/>
          <w:i w:val="false"/>
          <w:iCs w:val="false"/>
          <w:color w:val="333333"/>
          <w:sz w:val="20"/>
          <w:szCs w:val="20"/>
        </w:rPr>
        <w:t>2:240</w:t>
      </w:r>
      <w:r>
        <w:rPr>
          <w:rFonts w:eastAsia="IRNazanin" w:cs="IRNazanin"/>
          <w:b w:val="false"/>
          <w:bCs w:val="false"/>
          <w:i w:val="false"/>
          <w:iCs w:val="false"/>
          <w:color w:val="333333"/>
          <w:sz w:val="20"/>
          <w:szCs w:val="20"/>
          <w:rtl w:val="true"/>
        </w:rPr>
        <w:t>.</w:t>
      </w:r>
    </w:p>
  </w:footnote>
  <w:footnote w:id="1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الرسالة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1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المعتمد </w:t>
      </w:r>
      <w:r>
        <w:rPr>
          <w:rFonts w:eastAsia="IRNazanin" w:cs="IRNazanin"/>
          <w:b w:val="false"/>
          <w:bCs w:val="false"/>
          <w:i w:val="false"/>
          <w:iCs w:val="false"/>
          <w:color w:val="333333"/>
          <w:sz w:val="20"/>
          <w:szCs w:val="20"/>
        </w:rPr>
        <w:t>2:241</w:t>
      </w:r>
      <w:r>
        <w:rPr>
          <w:rFonts w:eastAsia="IRNazanin" w:cs="IRNazanin"/>
          <w:b w:val="false"/>
          <w:bCs w:val="false"/>
          <w:i w:val="false"/>
          <w:iCs w:val="false"/>
          <w:color w:val="333333"/>
          <w:sz w:val="20"/>
          <w:szCs w:val="20"/>
          <w:rtl w:val="true"/>
        </w:rPr>
        <w:t>.</w:t>
      </w:r>
    </w:p>
  </w:footnote>
  <w:footnote w:id="1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المعتمد </w:t>
      </w:r>
      <w:r>
        <w:rPr>
          <w:rFonts w:eastAsia="IRNazanin" w:cs="IRNazanin"/>
          <w:b w:val="false"/>
          <w:bCs w:val="false"/>
          <w:i w:val="false"/>
          <w:iCs w:val="false"/>
          <w:color w:val="333333"/>
          <w:sz w:val="20"/>
          <w:szCs w:val="20"/>
        </w:rPr>
        <w:t>2:242</w:t>
      </w:r>
      <w:r>
        <w:rPr>
          <w:rFonts w:ascii="IRNazanin" w:hAnsi="IRNazanin" w:eastAsia="IRNazanin"/>
          <w:b w:val="false"/>
          <w:b w:val="false"/>
          <w:bCs w:val="false"/>
          <w:i w:val="false"/>
          <w:i w:val="false"/>
          <w:iCs w:val="false"/>
          <w:color w:val="333333"/>
          <w:sz w:val="20"/>
          <w:sz w:val="20"/>
          <w:szCs w:val="20"/>
          <w:rtl w:val="true"/>
        </w:rPr>
        <w:t>،انظر أیضا المصادر الواردة فی التّعلیقة 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733</w:t>
      </w:r>
      <w:r>
        <w:rPr>
          <w:rFonts w:eastAsia="IRNazanin" w:cs="IRNazanin"/>
          <w:b w:val="false"/>
          <w:bCs w:val="false"/>
          <w:i w:val="false"/>
          <w:iCs w:val="false"/>
          <w:color w:val="333333"/>
          <w:sz w:val="20"/>
          <w:szCs w:val="20"/>
          <w:rtl w:val="true"/>
        </w:rPr>
        <w:t>.</w:t>
      </w:r>
    </w:p>
  </w:footnote>
  <w:footnote w:id="1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المعتمد </w:t>
      </w:r>
      <w:r>
        <w:rPr>
          <w:rFonts w:eastAsia="IRNazanin" w:cs="IRNazanin"/>
          <w:b w:val="false"/>
          <w:bCs w:val="false"/>
          <w:i w:val="false"/>
          <w:iCs w:val="false"/>
          <w:color w:val="333333"/>
          <w:sz w:val="20"/>
          <w:szCs w:val="20"/>
        </w:rPr>
        <w:t>2:242</w:t>
      </w:r>
      <w:r>
        <w:rPr>
          <w:rFonts w:ascii="IRNazanin" w:hAnsi="IRNazanin" w:eastAsia="IRNazanin"/>
          <w:b w:val="false"/>
          <w:b w:val="false"/>
          <w:bCs w:val="false"/>
          <w:i w:val="false"/>
          <w:i w:val="false"/>
          <w:iCs w:val="false"/>
          <w:color w:val="333333"/>
          <w:sz w:val="20"/>
          <w:sz w:val="20"/>
          <w:szCs w:val="20"/>
          <w:rtl w:val="true"/>
        </w:rPr>
        <w:t>،انظر أیضا المصادر الواردة فی التّعلیقة 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733</w:t>
      </w:r>
      <w:r>
        <w:rPr>
          <w:rFonts w:eastAsia="IRNazanin" w:cs="IRNazanin"/>
          <w:b w:val="false"/>
          <w:bCs w:val="false"/>
          <w:i w:val="false"/>
          <w:iCs w:val="false"/>
          <w:color w:val="333333"/>
          <w:sz w:val="20"/>
          <w:szCs w:val="20"/>
          <w:rtl w:val="true"/>
        </w:rPr>
        <w:t>.</w:t>
      </w:r>
    </w:p>
  </w:footnote>
  <w:footnote w:id="1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المعتمد </w:t>
      </w:r>
      <w:r>
        <w:rPr>
          <w:rFonts w:eastAsia="IRNazanin" w:cs="IRNazanin"/>
          <w:b w:val="false"/>
          <w:bCs w:val="false"/>
          <w:i w:val="false"/>
          <w:iCs w:val="false"/>
          <w:color w:val="333333"/>
          <w:sz w:val="20"/>
          <w:szCs w:val="20"/>
        </w:rPr>
        <w:t>2:242</w:t>
      </w:r>
      <w:r>
        <w:rPr>
          <w:rFonts w:ascii="IRNazanin" w:hAnsi="IRNazanin" w:eastAsia="IRNazanin"/>
          <w:b w:val="false"/>
          <w:b w:val="false"/>
          <w:bCs w:val="false"/>
          <w:i w:val="false"/>
          <w:i w:val="false"/>
          <w:iCs w:val="false"/>
          <w:color w:val="333333"/>
          <w:sz w:val="20"/>
          <w:sz w:val="20"/>
          <w:szCs w:val="20"/>
          <w:rtl w:val="true"/>
        </w:rPr>
        <w:t>،انظر أیضا المصادر الواردة فی التّعلیقة 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733</w:t>
      </w:r>
      <w:r>
        <w:rPr>
          <w:rFonts w:eastAsia="IRNazanin" w:cs="IRNazanin"/>
          <w:b w:val="false"/>
          <w:bCs w:val="false"/>
          <w:i w:val="false"/>
          <w:iCs w:val="false"/>
          <w:color w:val="333333"/>
          <w:sz w:val="20"/>
          <w:szCs w:val="20"/>
          <w:rtl w:val="true"/>
        </w:rPr>
        <w:t>.</w:t>
      </w:r>
    </w:p>
  </w:footnote>
  <w:footnote w:id="1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عقبة بن عامر الجهنی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صحابیّ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ترجمته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4:250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7:216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التّاریخ الصّغیر </w:t>
      </w:r>
      <w:r>
        <w:rPr>
          <w:rFonts w:eastAsia="IRNazanin" w:cs="IRNazanin"/>
          <w:b w:val="false"/>
          <w:bCs w:val="false"/>
          <w:i w:val="false"/>
          <w:iCs w:val="false"/>
          <w:color w:val="333333"/>
          <w:sz w:val="20"/>
          <w:szCs w:val="20"/>
        </w:rPr>
        <w:t>1:150</w:t>
      </w:r>
      <w:r>
        <w:rPr>
          <w:rFonts w:eastAsia="IRNazanin" w:cs="IRNazanin"/>
          <w:b w:val="false"/>
          <w:bCs w:val="false"/>
          <w:i w:val="false"/>
          <w:iCs w:val="false"/>
          <w:color w:val="333333"/>
          <w:sz w:val="20"/>
          <w:szCs w:val="20"/>
          <w:rtl w:val="true"/>
        </w:rPr>
        <w:t>».</w:t>
      </w:r>
    </w:p>
  </w:footnote>
  <w:footnote w:id="1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رقم </w:t>
      </w:r>
      <w:r>
        <w:rPr>
          <w:rFonts w:eastAsia="IRNazanin" w:cs="IRNazanin"/>
          <w:b w:val="false"/>
          <w:bCs w:val="false"/>
          <w:i w:val="false"/>
          <w:iCs w:val="false"/>
          <w:color w:val="333333"/>
          <w:sz w:val="20"/>
          <w:szCs w:val="20"/>
        </w:rPr>
        <w:t>1508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15019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15020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15022</w:t>
      </w:r>
      <w:r>
        <w:rPr>
          <w:rFonts w:ascii="IRNazanin" w:hAnsi="IRNazanin" w:eastAsia="IRNazanin"/>
          <w:b w:val="false"/>
          <w:b w:val="false"/>
          <w:bCs w:val="false"/>
          <w:i w:val="false"/>
          <w:i w:val="false"/>
          <w:iCs w:val="false"/>
          <w:color w:val="333333"/>
          <w:sz w:val="20"/>
          <w:sz w:val="20"/>
          <w:szCs w:val="20"/>
          <w:rtl w:val="true"/>
        </w:rPr>
        <w:t xml:space="preserve">،المغنی </w:t>
      </w:r>
      <w:r>
        <w:rPr>
          <w:rFonts w:eastAsia="IRNazanin" w:cs="IRNazanin"/>
          <w:b w:val="false"/>
          <w:bCs w:val="false"/>
          <w:i w:val="false"/>
          <w:iCs w:val="false"/>
          <w:color w:val="333333"/>
          <w:sz w:val="20"/>
          <w:szCs w:val="20"/>
        </w:rPr>
        <w:t>11:375</w:t>
      </w:r>
      <w:r>
        <w:rPr>
          <w:rFonts w:eastAsia="IRNazanin" w:cs="IRNazanin"/>
          <w:b w:val="false"/>
          <w:bCs w:val="false"/>
          <w:i w:val="false"/>
          <w:iCs w:val="false"/>
          <w:color w:val="333333"/>
          <w:sz w:val="20"/>
          <w:szCs w:val="20"/>
          <w:rtl w:val="true"/>
        </w:rPr>
        <w:t>.</w:t>
      </w:r>
    </w:p>
  </w:footnote>
  <w:footnote w:id="1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الحجریة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لو</w:t>
      </w:r>
      <w:r>
        <w:rPr>
          <w:rFonts w:eastAsia="IRNazanin" w:cs="IRNazanin"/>
          <w:b w:val="false"/>
          <w:bCs w:val="false"/>
          <w:i w:val="false"/>
          <w:iCs w:val="false"/>
          <w:color w:val="333333"/>
          <w:sz w:val="20"/>
          <w:szCs w:val="20"/>
          <w:rtl w:val="true"/>
        </w:rPr>
        <w:t>.</w:t>
      </w:r>
    </w:p>
  </w:footnote>
  <w:footnote w:id="1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فکان</w:t>
      </w:r>
      <w:r>
        <w:rPr>
          <w:rFonts w:eastAsia="IRNazanin" w:cs="IRNazanin"/>
          <w:b w:val="false"/>
          <w:bCs w:val="false"/>
          <w:i w:val="false"/>
          <w:iCs w:val="false"/>
          <w:color w:val="333333"/>
          <w:sz w:val="20"/>
          <w:szCs w:val="20"/>
          <w:rtl w:val="true"/>
        </w:rPr>
        <w:t>.</w:t>
      </w:r>
    </w:p>
  </w:footnote>
  <w:footnote w:id="1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فکذلک</w:t>
      </w:r>
      <w:r>
        <w:rPr>
          <w:rFonts w:eastAsia="IRNazanin" w:cs="IRNazanin"/>
          <w:b w:val="false"/>
          <w:bCs w:val="false"/>
          <w:i w:val="false"/>
          <w:iCs w:val="false"/>
          <w:color w:val="333333"/>
          <w:sz w:val="20"/>
          <w:szCs w:val="20"/>
          <w:rtl w:val="true"/>
        </w:rPr>
        <w:t>.</w:t>
      </w:r>
    </w:p>
  </w:footnote>
  <w:footnote w:id="1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المعتمد </w:t>
      </w:r>
      <w:r>
        <w:rPr>
          <w:rFonts w:eastAsia="IRNazanin" w:cs="IRNazanin"/>
          <w:b w:val="false"/>
          <w:bCs w:val="false"/>
          <w:i w:val="false"/>
          <w:iCs w:val="false"/>
          <w:color w:val="333333"/>
          <w:sz w:val="20"/>
          <w:szCs w:val="20"/>
        </w:rPr>
        <w:t>2:315</w:t>
      </w:r>
      <w:r>
        <w:rPr>
          <w:rFonts w:ascii="IRNazanin" w:hAnsi="IRNazanin" w:eastAsia="IRNazanin"/>
          <w:b w:val="false"/>
          <w:b w:val="false"/>
          <w:bCs w:val="false"/>
          <w:i w:val="false"/>
          <w:i w:val="false"/>
          <w:iCs w:val="false"/>
          <w:color w:val="333333"/>
          <w:sz w:val="20"/>
          <w:sz w:val="20"/>
          <w:szCs w:val="20"/>
          <w:rtl w:val="true"/>
        </w:rPr>
        <w:t>،التبصرة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الذّریعة </w:t>
      </w:r>
      <w:r>
        <w:rPr>
          <w:rFonts w:eastAsia="IRNazanin" w:cs="IRNazanin"/>
          <w:b w:val="false"/>
          <w:bCs w:val="false"/>
          <w:i w:val="false"/>
          <w:iCs w:val="false"/>
          <w:color w:val="333333"/>
          <w:sz w:val="20"/>
          <w:szCs w:val="20"/>
        </w:rPr>
        <w:t>2:808</w:t>
      </w:r>
      <w:r>
        <w:rPr>
          <w:rFonts w:ascii="IRNazanin" w:hAnsi="IRNazanin" w:eastAsia="IRNazanin"/>
          <w:b w:val="false"/>
          <w:b w:val="false"/>
          <w:bCs w:val="false"/>
          <w:i w:val="false"/>
          <w:i w:val="false"/>
          <w:iCs w:val="false"/>
          <w:color w:val="333333"/>
          <w:sz w:val="20"/>
          <w:sz w:val="20"/>
          <w:szCs w:val="20"/>
          <w:rtl w:val="true"/>
        </w:rPr>
        <w:t>،اللّمع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،شرح اللّمع </w:t>
      </w:r>
      <w:r>
        <w:rPr>
          <w:rFonts w:eastAsia="IRNazanin" w:cs="IRNazanin"/>
          <w:b w:val="false"/>
          <w:bCs w:val="false"/>
          <w:i w:val="false"/>
          <w:iCs w:val="false"/>
          <w:color w:val="333333"/>
          <w:sz w:val="20"/>
          <w:szCs w:val="20"/>
        </w:rPr>
        <w:t>2:977</w:t>
      </w:r>
      <w:r>
        <w:rPr>
          <w:rFonts w:eastAsia="IRNazanin" w:cs="IRNazanin"/>
          <w:b w:val="false"/>
          <w:bCs w:val="false"/>
          <w:i w:val="false"/>
          <w:iCs w:val="false"/>
          <w:color w:val="333333"/>
          <w:sz w:val="20"/>
          <w:szCs w:val="20"/>
          <w:rtl w:val="true"/>
        </w:rPr>
        <w:t>.</w:t>
      </w:r>
    </w:p>
  </w:footnote>
  <w:footnote w:id="1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المعتمد </w:t>
      </w:r>
      <w:r>
        <w:rPr>
          <w:rFonts w:eastAsia="IRNazanin" w:cs="IRNazanin"/>
          <w:b w:val="false"/>
          <w:bCs w:val="false"/>
          <w:i w:val="false"/>
          <w:iCs w:val="false"/>
          <w:color w:val="333333"/>
          <w:sz w:val="20"/>
          <w:szCs w:val="20"/>
        </w:rPr>
        <w:t>2:315</w:t>
      </w:r>
      <w:r>
        <w:rPr>
          <w:rFonts w:ascii="IRNazanin" w:hAnsi="IRNazanin" w:eastAsia="IRNazanin"/>
          <w:b w:val="false"/>
          <w:b w:val="false"/>
          <w:bCs w:val="false"/>
          <w:i w:val="false"/>
          <w:i w:val="false"/>
          <w:iCs w:val="false"/>
          <w:color w:val="333333"/>
          <w:sz w:val="20"/>
          <w:sz w:val="20"/>
          <w:szCs w:val="20"/>
          <w:rtl w:val="true"/>
        </w:rPr>
        <w:t>،التبصرة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532</w:t>
      </w:r>
      <w:r>
        <w:rPr>
          <w:rFonts w:ascii="IRNazanin" w:hAnsi="IRNazanin" w:eastAsia="IRNazanin"/>
          <w:b w:val="false"/>
          <w:b w:val="false"/>
          <w:bCs w:val="false"/>
          <w:i w:val="false"/>
          <w:i w:val="false"/>
          <w:iCs w:val="false"/>
          <w:color w:val="333333"/>
          <w:sz w:val="20"/>
          <w:sz w:val="20"/>
          <w:szCs w:val="20"/>
          <w:rtl w:val="true"/>
        </w:rPr>
        <w:t xml:space="preserve">،الذّریعة </w:t>
      </w:r>
      <w:r>
        <w:rPr>
          <w:rFonts w:eastAsia="IRNazanin" w:cs="IRNazanin"/>
          <w:b w:val="false"/>
          <w:bCs w:val="false"/>
          <w:i w:val="false"/>
          <w:iCs w:val="false"/>
          <w:color w:val="333333"/>
          <w:sz w:val="20"/>
          <w:szCs w:val="20"/>
        </w:rPr>
        <w:t>2:808</w:t>
      </w:r>
      <w:r>
        <w:rPr>
          <w:rFonts w:ascii="IRNazanin" w:hAnsi="IRNazanin" w:eastAsia="IRNazanin"/>
          <w:b w:val="false"/>
          <w:b w:val="false"/>
          <w:bCs w:val="false"/>
          <w:i w:val="false"/>
          <w:i w:val="false"/>
          <w:iCs w:val="false"/>
          <w:color w:val="333333"/>
          <w:sz w:val="20"/>
          <w:sz w:val="20"/>
          <w:szCs w:val="20"/>
          <w:rtl w:val="true"/>
        </w:rPr>
        <w:t>،اللّمع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،شرح اللّمع </w:t>
      </w:r>
      <w:r>
        <w:rPr>
          <w:rFonts w:eastAsia="IRNazanin" w:cs="IRNazanin"/>
          <w:b w:val="false"/>
          <w:bCs w:val="false"/>
          <w:i w:val="false"/>
          <w:iCs w:val="false"/>
          <w:color w:val="333333"/>
          <w:sz w:val="20"/>
          <w:szCs w:val="20"/>
        </w:rPr>
        <w:t>2:977</w:t>
      </w:r>
      <w:r>
        <w:rPr>
          <w:rFonts w:eastAsia="IRNazanin" w:cs="IRNazanin"/>
          <w:b w:val="false"/>
          <w:bCs w:val="false"/>
          <w:i w:val="false"/>
          <w:iCs w:val="false"/>
          <w:color w:val="333333"/>
          <w:sz w:val="20"/>
          <w:szCs w:val="20"/>
          <w:rtl w:val="true"/>
        </w:rPr>
        <w:t>.</w:t>
      </w:r>
    </w:p>
  </w:footnote>
  <w:footnote w:id="1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اختاره</w:t>
      </w:r>
      <w:r>
        <w:rPr>
          <w:rFonts w:eastAsia="IRNazanin" w:cs="IRNazanin"/>
          <w:b w:val="false"/>
          <w:bCs w:val="false"/>
          <w:i w:val="false"/>
          <w:iCs w:val="false"/>
          <w:color w:val="333333"/>
          <w:sz w:val="20"/>
          <w:szCs w:val="20"/>
          <w:rtl w:val="true"/>
        </w:rPr>
        <w:t>.</w:t>
      </w:r>
    </w:p>
  </w:footnote>
  <w:footnote w:id="1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w:t>
      </w:r>
      <w:r>
        <w:rPr>
          <w:rFonts w:eastAsia="IRNazanin" w:cs="IRNazanin"/>
          <w:b w:val="false"/>
          <w:bCs w:val="false"/>
          <w:i w:val="false"/>
          <w:iCs w:val="false"/>
          <w:color w:val="333333"/>
          <w:sz w:val="20"/>
          <w:szCs w:val="20"/>
        </w:rPr>
        <w:t>2:809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808</w:t>
      </w:r>
      <w:r>
        <w:rPr>
          <w:rFonts w:eastAsia="IRNazanin" w:cs="IRNazanin"/>
          <w:b w:val="false"/>
          <w:bCs w:val="false"/>
          <w:i w:val="false"/>
          <w:iCs w:val="false"/>
          <w:color w:val="333333"/>
          <w:sz w:val="20"/>
          <w:szCs w:val="20"/>
          <w:rtl w:val="true"/>
        </w:rPr>
        <w:t>.</w:t>
      </w:r>
    </w:p>
  </w:footnote>
  <w:footnote w:id="1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المعتمد </w:t>
      </w:r>
      <w:r>
        <w:rPr>
          <w:rFonts w:eastAsia="IRNazanin" w:cs="IRNazanin"/>
          <w:b w:val="false"/>
          <w:bCs w:val="false"/>
          <w:i w:val="false"/>
          <w:iCs w:val="false"/>
          <w:color w:val="333333"/>
          <w:sz w:val="20"/>
          <w:szCs w:val="20"/>
        </w:rPr>
        <w:t>2:315</w:t>
      </w:r>
      <w:r>
        <w:rPr>
          <w:rFonts w:ascii="IRNazanin" w:hAnsi="IRNazanin" w:eastAsia="IRNazanin"/>
          <w:b w:val="false"/>
          <w:b w:val="false"/>
          <w:bCs w:val="false"/>
          <w:i w:val="false"/>
          <w:i w:val="false"/>
          <w:iCs w:val="false"/>
          <w:color w:val="333333"/>
          <w:sz w:val="20"/>
          <w:sz w:val="20"/>
          <w:szCs w:val="20"/>
          <w:rtl w:val="true"/>
        </w:rPr>
        <w:t>،التبصرة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532</w:t>
      </w:r>
      <w:r>
        <w:rPr>
          <w:rFonts w:ascii="IRNazanin" w:hAnsi="IRNazanin" w:eastAsia="IRNazanin"/>
          <w:b w:val="false"/>
          <w:b w:val="false"/>
          <w:bCs w:val="false"/>
          <w:i w:val="false"/>
          <w:i w:val="false"/>
          <w:iCs w:val="false"/>
          <w:color w:val="333333"/>
          <w:sz w:val="20"/>
          <w:sz w:val="20"/>
          <w:szCs w:val="20"/>
          <w:rtl w:val="true"/>
        </w:rPr>
        <w:t xml:space="preserve">،الذّریعة </w:t>
      </w:r>
      <w:r>
        <w:rPr>
          <w:rFonts w:eastAsia="IRNazanin" w:cs="IRNazanin"/>
          <w:b w:val="false"/>
          <w:bCs w:val="false"/>
          <w:i w:val="false"/>
          <w:iCs w:val="false"/>
          <w:color w:val="333333"/>
          <w:sz w:val="20"/>
          <w:szCs w:val="20"/>
        </w:rPr>
        <w:t>2:808</w:t>
      </w:r>
      <w:r>
        <w:rPr>
          <w:rFonts w:ascii="IRNazanin" w:hAnsi="IRNazanin" w:eastAsia="IRNazanin"/>
          <w:b w:val="false"/>
          <w:b w:val="false"/>
          <w:bCs w:val="false"/>
          <w:i w:val="false"/>
          <w:i w:val="false"/>
          <w:iCs w:val="false"/>
          <w:color w:val="333333"/>
          <w:sz w:val="20"/>
          <w:sz w:val="20"/>
          <w:szCs w:val="20"/>
          <w:rtl w:val="true"/>
        </w:rPr>
        <w:t>،اللّمع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،شرح اللّمع </w:t>
      </w:r>
      <w:r>
        <w:rPr>
          <w:rFonts w:eastAsia="IRNazanin" w:cs="IRNazanin"/>
          <w:b w:val="false"/>
          <w:bCs w:val="false"/>
          <w:i w:val="false"/>
          <w:iCs w:val="false"/>
          <w:color w:val="333333"/>
          <w:sz w:val="20"/>
          <w:szCs w:val="20"/>
        </w:rPr>
        <w:t>2:977</w:t>
      </w:r>
      <w:r>
        <w:rPr>
          <w:rFonts w:eastAsia="IRNazanin" w:cs="IRNazanin"/>
          <w:b w:val="false"/>
          <w:bCs w:val="false"/>
          <w:i w:val="false"/>
          <w:iCs w:val="false"/>
          <w:color w:val="333333"/>
          <w:sz w:val="20"/>
          <w:szCs w:val="20"/>
          <w:rtl w:val="true"/>
        </w:rPr>
        <w:t>.</w:t>
      </w:r>
    </w:p>
  </w:footnote>
  <w:footnote w:id="1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خطئه</w:t>
      </w:r>
      <w:r>
        <w:rPr>
          <w:rFonts w:eastAsia="IRNazanin" w:cs="IRNazanin"/>
          <w:b w:val="false"/>
          <w:bCs w:val="false"/>
          <w:i w:val="false"/>
          <w:iCs w:val="false"/>
          <w:color w:val="333333"/>
          <w:sz w:val="20"/>
          <w:szCs w:val="20"/>
          <w:rtl w:val="true"/>
        </w:rPr>
        <w:t>.</w:t>
      </w:r>
    </w:p>
  </w:footnote>
  <w:footnote w:id="1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w:t>
      </w:r>
    </w:p>
  </w:footnote>
  <w:footnote w:id="1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الأصل و الحجریة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الملحدة</w:t>
      </w:r>
      <w:r>
        <w:rPr>
          <w:rFonts w:eastAsia="IRNazanin" w:cs="IRNazanin"/>
          <w:b w:val="false"/>
          <w:bCs w:val="false"/>
          <w:i w:val="false"/>
          <w:iCs w:val="false"/>
          <w:color w:val="333333"/>
          <w:sz w:val="20"/>
          <w:szCs w:val="20"/>
          <w:rtl w:val="true"/>
        </w:rPr>
        <w:t>.</w:t>
      </w:r>
    </w:p>
  </w:footnote>
  <w:footnote w:id="1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المعتمد </w:t>
      </w:r>
      <w:r>
        <w:rPr>
          <w:rFonts w:eastAsia="IRNazanin" w:cs="IRNazanin"/>
          <w:b w:val="false"/>
          <w:bCs w:val="false"/>
          <w:i w:val="false"/>
          <w:iCs w:val="false"/>
          <w:color w:val="333333"/>
          <w:sz w:val="20"/>
          <w:szCs w:val="20"/>
        </w:rPr>
        <w:t>2:315</w:t>
      </w:r>
      <w:r>
        <w:rPr>
          <w:rFonts w:ascii="IRNazanin" w:hAnsi="IRNazanin" w:eastAsia="IRNazanin"/>
          <w:b w:val="false"/>
          <w:b w:val="false"/>
          <w:bCs w:val="false"/>
          <w:i w:val="false"/>
          <w:i w:val="false"/>
          <w:iCs w:val="false"/>
          <w:color w:val="333333"/>
          <w:sz w:val="20"/>
          <w:sz w:val="20"/>
          <w:szCs w:val="20"/>
          <w:rtl w:val="true"/>
        </w:rPr>
        <w:t>،التبصرة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532</w:t>
      </w:r>
      <w:r>
        <w:rPr>
          <w:rFonts w:ascii="IRNazanin" w:hAnsi="IRNazanin" w:eastAsia="IRNazanin"/>
          <w:b w:val="false"/>
          <w:b w:val="false"/>
          <w:bCs w:val="false"/>
          <w:i w:val="false"/>
          <w:i w:val="false"/>
          <w:iCs w:val="false"/>
          <w:color w:val="333333"/>
          <w:sz w:val="20"/>
          <w:sz w:val="20"/>
          <w:szCs w:val="20"/>
          <w:rtl w:val="true"/>
        </w:rPr>
        <w:t xml:space="preserve">،الذریعة </w:t>
      </w:r>
      <w:r>
        <w:rPr>
          <w:rFonts w:eastAsia="IRNazanin" w:cs="IRNazanin"/>
          <w:b w:val="false"/>
          <w:bCs w:val="false"/>
          <w:i w:val="false"/>
          <w:iCs w:val="false"/>
          <w:color w:val="333333"/>
          <w:sz w:val="20"/>
          <w:szCs w:val="20"/>
        </w:rPr>
        <w:t>2:809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808</w:t>
      </w:r>
      <w:r>
        <w:rPr>
          <w:rFonts w:ascii="IRNazanin" w:hAnsi="IRNazanin" w:eastAsia="IRNazanin"/>
          <w:b w:val="false"/>
          <w:b w:val="false"/>
          <w:bCs w:val="false"/>
          <w:i w:val="false"/>
          <w:i w:val="false"/>
          <w:iCs w:val="false"/>
          <w:color w:val="333333"/>
          <w:sz w:val="20"/>
          <w:sz w:val="20"/>
          <w:szCs w:val="20"/>
          <w:rtl w:val="true"/>
        </w:rPr>
        <w:t>،اللّمع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،شرح اللمع </w:t>
      </w:r>
      <w:r>
        <w:rPr>
          <w:rFonts w:eastAsia="IRNazanin" w:cs="IRNazanin"/>
          <w:b w:val="false"/>
          <w:bCs w:val="false"/>
          <w:i w:val="false"/>
          <w:iCs w:val="false"/>
          <w:color w:val="333333"/>
          <w:sz w:val="20"/>
          <w:szCs w:val="20"/>
        </w:rPr>
        <w:t>2:977</w:t>
      </w:r>
      <w:r>
        <w:rPr>
          <w:rFonts w:eastAsia="IRNazanin" w:cs="IRNazanin"/>
          <w:b w:val="false"/>
          <w:bCs w:val="false"/>
          <w:i w:val="false"/>
          <w:iCs w:val="false"/>
          <w:color w:val="333333"/>
          <w:sz w:val="20"/>
          <w:szCs w:val="20"/>
          <w:rtl w:val="true"/>
        </w:rPr>
        <w:t>.</w:t>
      </w:r>
    </w:p>
  </w:footnote>
  <w:footnote w:id="1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الاستدلال</w:t>
      </w:r>
      <w:r>
        <w:rPr>
          <w:rFonts w:eastAsia="IRNazanin" w:cs="IRNazanin"/>
          <w:b w:val="false"/>
          <w:bCs w:val="false"/>
          <w:i w:val="false"/>
          <w:iCs w:val="false"/>
          <w:color w:val="333333"/>
          <w:sz w:val="20"/>
          <w:szCs w:val="20"/>
          <w:rtl w:val="true"/>
        </w:rPr>
        <w:t>.</w:t>
      </w:r>
    </w:p>
  </w:footnote>
  <w:footnote w:id="1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للدّین</w:t>
      </w:r>
      <w:r>
        <w:rPr>
          <w:rFonts w:eastAsia="IRNazanin" w:cs="IRNazanin"/>
          <w:b w:val="false"/>
          <w:bCs w:val="false"/>
          <w:i w:val="false"/>
          <w:iCs w:val="false"/>
          <w:color w:val="333333"/>
          <w:sz w:val="20"/>
          <w:szCs w:val="20"/>
          <w:rtl w:val="true"/>
        </w:rPr>
        <w:t>.</w:t>
      </w:r>
    </w:p>
  </w:footnote>
  <w:footnote w:id="1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بکسر الباء نبت ببلاد الهند،و هو سمّ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6:269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المصادر الواردة فی ذیل التّعلیقة 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752</w:t>
      </w:r>
      <w:r>
        <w:rPr>
          <w:rFonts w:eastAsia="IRNazanin" w:cs="IRNazanin"/>
          <w:b w:val="false"/>
          <w:bCs w:val="false"/>
          <w:i w:val="false"/>
          <w:iCs w:val="false"/>
          <w:color w:val="333333"/>
          <w:sz w:val="20"/>
          <w:szCs w:val="20"/>
          <w:rtl w:val="true"/>
        </w:rPr>
        <w:t>.</w:t>
      </w:r>
    </w:p>
  </w:footnote>
  <w:footnote w:id="1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المصادر الواردة فی ذیل التّعلیقة 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752</w:t>
      </w:r>
      <w:r>
        <w:rPr>
          <w:rFonts w:eastAsia="IRNazanin" w:cs="IRNazanin"/>
          <w:b w:val="false"/>
          <w:bCs w:val="false"/>
          <w:i w:val="false"/>
          <w:iCs w:val="false"/>
          <w:color w:val="333333"/>
          <w:sz w:val="20"/>
          <w:szCs w:val="20"/>
          <w:rtl w:val="true"/>
        </w:rPr>
        <w:t>.</w:t>
      </w:r>
    </w:p>
  </w:footnote>
  <w:footnote w:id="1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مدّعی</w:t>
      </w:r>
      <w:r>
        <w:rPr>
          <w:rFonts w:eastAsia="IRNazanin" w:cs="IRNazanin"/>
          <w:b w:val="false"/>
          <w:bCs w:val="false"/>
          <w:i w:val="false"/>
          <w:iCs w:val="false"/>
          <w:color w:val="333333"/>
          <w:sz w:val="20"/>
          <w:szCs w:val="20"/>
          <w:rtl w:val="true"/>
        </w:rPr>
        <w:t>.</w:t>
      </w:r>
    </w:p>
  </w:footnote>
  <w:footnote w:id="1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الماهیّة</w:t>
      </w:r>
      <w:r>
        <w:rPr>
          <w:rFonts w:eastAsia="IRNazanin" w:cs="IRNazanin"/>
          <w:b w:val="false"/>
          <w:bCs w:val="false"/>
          <w:i w:val="false"/>
          <w:iCs w:val="false"/>
          <w:color w:val="333333"/>
          <w:sz w:val="20"/>
          <w:szCs w:val="20"/>
          <w:rtl w:val="true"/>
        </w:rPr>
        <w:t>.</w:t>
      </w:r>
    </w:p>
  </w:footnote>
  <w:footnote w:id="1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المصادر الواردة فی هامش التّعلیقة 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752</w:t>
      </w:r>
      <w:r>
        <w:rPr>
          <w:rFonts w:eastAsia="IRNazanin" w:cs="IRNazanin"/>
          <w:b w:val="false"/>
          <w:bCs w:val="false"/>
          <w:i w:val="false"/>
          <w:iCs w:val="false"/>
          <w:color w:val="333333"/>
          <w:sz w:val="20"/>
          <w:szCs w:val="20"/>
          <w:rtl w:val="true"/>
        </w:rPr>
        <w:t>.</w:t>
      </w:r>
    </w:p>
  </w:footnote>
  <w:footnote w:id="1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المصادر الواردة فی ذیل التّعلیقة 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755</w:t>
      </w:r>
      <w:r>
        <w:rPr>
          <w:rFonts w:eastAsia="IRNazanin" w:cs="IRNazanin"/>
          <w:b w:val="false"/>
          <w:bCs w:val="false"/>
          <w:i w:val="false"/>
          <w:iCs w:val="false"/>
          <w:color w:val="333333"/>
          <w:sz w:val="20"/>
          <w:szCs w:val="20"/>
          <w:rtl w:val="true"/>
        </w:rPr>
        <w:t>.</w:t>
      </w:r>
    </w:p>
  </w:footnote>
  <w:footnote w:id="1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قدّس اللّه روحه</w:t>
      </w:r>
      <w:r>
        <w:rPr>
          <w:rFonts w:eastAsia="IRNazanin" w:cs="IRNazanin"/>
          <w:b w:val="false"/>
          <w:bCs w:val="false"/>
          <w:i w:val="false"/>
          <w:iCs w:val="false"/>
          <w:color w:val="333333"/>
          <w:sz w:val="20"/>
          <w:szCs w:val="20"/>
          <w:rtl w:val="true"/>
        </w:rPr>
        <w:t>.</w:t>
      </w:r>
    </w:p>
  </w:footnote>
  <w:footnote w:id="1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المصادر الواردة فی ذیل التّعلیقة 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755</w:t>
      </w:r>
      <w:r>
        <w:rPr>
          <w:rFonts w:eastAsia="IRNazanin" w:cs="IRNazanin"/>
          <w:b w:val="false"/>
          <w:bCs w:val="false"/>
          <w:i w:val="false"/>
          <w:iCs w:val="false"/>
          <w:color w:val="333333"/>
          <w:sz w:val="20"/>
          <w:szCs w:val="20"/>
          <w:rtl w:val="true"/>
        </w:rPr>
        <w:t>.</w:t>
      </w:r>
    </w:p>
  </w:footnote>
  <w:footnote w:id="1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المعترض هو أبو إسحاق الشّیرازی،راجع تفصیل استدلاله فی نفی دلیلیة الاستصحاب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التبصرة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1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بما</w:t>
      </w:r>
      <w:r>
        <w:rPr>
          <w:rFonts w:eastAsia="IRNazanin" w:cs="IRNazanin"/>
          <w:b w:val="false"/>
          <w:bCs w:val="false"/>
          <w:i w:val="false"/>
          <w:iCs w:val="false"/>
          <w:color w:val="333333"/>
          <w:sz w:val="20"/>
          <w:szCs w:val="20"/>
          <w:rtl w:val="true"/>
        </w:rPr>
        <w:t>.</w:t>
      </w:r>
    </w:p>
  </w:footnote>
  <w:footnote w:id="1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الاتّفاق</w:t>
      </w:r>
      <w:r>
        <w:rPr>
          <w:rFonts w:eastAsia="IRNazanin" w:cs="IRNazanin"/>
          <w:b w:val="false"/>
          <w:bCs w:val="false"/>
          <w:i w:val="false"/>
          <w:iCs w:val="false"/>
          <w:color w:val="333333"/>
          <w:sz w:val="20"/>
          <w:szCs w:val="20"/>
          <w:rtl w:val="true"/>
        </w:rPr>
        <w:t>.</w:t>
      </w:r>
    </w:p>
  </w:footnote>
  <w:footnote w:id="1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دلیل</w:t>
      </w:r>
      <w:r>
        <w:rPr>
          <w:rFonts w:eastAsia="IRNazanin" w:cs="IRNazanin"/>
          <w:b w:val="false"/>
          <w:bCs w:val="false"/>
          <w:i w:val="false"/>
          <w:iCs w:val="false"/>
          <w:color w:val="333333"/>
          <w:sz w:val="20"/>
          <w:szCs w:val="20"/>
          <w:rtl w:val="true"/>
        </w:rPr>
        <w:t>.</w:t>
      </w:r>
    </w:p>
  </w:footnote>
  <w:footnote w:id="1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الحجریة</w:t>
      </w:r>
      <w:r>
        <w:rPr>
          <w:rFonts w:eastAsia="IRNazanin" w:cs="IRNazanin"/>
          <w:b w:val="false"/>
          <w:bCs w:val="false"/>
          <w:i w:val="false"/>
          <w:iCs w:val="false"/>
          <w:color w:val="333333"/>
          <w:sz w:val="20"/>
          <w:szCs w:val="20"/>
          <w:rtl w:val="true"/>
        </w:rPr>
        <w:t>.</w:t>
      </w:r>
    </w:p>
  </w:footnote>
  <w:footnote w:id="1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نحوه فی الجامع الصّغیر </w:t>
      </w:r>
      <w:r>
        <w:rPr>
          <w:rFonts w:eastAsia="IRNazanin" w:cs="IRNazanin"/>
          <w:b w:val="false"/>
          <w:bCs w:val="false"/>
          <w:i w:val="false"/>
          <w:iCs w:val="false"/>
          <w:color w:val="333333"/>
          <w:sz w:val="20"/>
          <w:szCs w:val="20"/>
        </w:rPr>
        <w:t>1:310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رقم </w:t>
      </w:r>
      <w:r>
        <w:rPr>
          <w:rFonts w:eastAsia="IRNazanin" w:cs="IRNazanin"/>
          <w:b w:val="false"/>
          <w:bCs w:val="false"/>
          <w:i w:val="false"/>
          <w:iCs w:val="false"/>
          <w:color w:val="333333"/>
          <w:sz w:val="20"/>
          <w:szCs w:val="20"/>
        </w:rPr>
        <w:t>2027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مسند أحمد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أبی یعلی،و فی کنز العمّال </w:t>
      </w:r>
      <w:r>
        <w:rPr>
          <w:rFonts w:eastAsia="IRNazanin" w:cs="IRNazanin"/>
          <w:b w:val="false"/>
          <w:bCs w:val="false"/>
          <w:i w:val="false"/>
          <w:iCs w:val="false"/>
          <w:color w:val="333333"/>
          <w:sz w:val="20"/>
          <w:szCs w:val="20"/>
        </w:rPr>
        <w:t>1:251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رقم </w:t>
      </w:r>
      <w:r>
        <w:rPr>
          <w:rFonts w:eastAsia="IRNazanin" w:cs="IRNazanin"/>
          <w:b w:val="false"/>
          <w:bCs w:val="false"/>
          <w:i w:val="false"/>
          <w:iCs w:val="false"/>
          <w:color w:val="333333"/>
          <w:sz w:val="20"/>
          <w:szCs w:val="20"/>
        </w:rPr>
        <w:t>1269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1270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أیضا المصادر الواردة فی ذیل التّعلیقة 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755</w:t>
      </w:r>
      <w:r>
        <w:rPr>
          <w:rFonts w:eastAsia="IRNazanin" w:cs="IRNazanin"/>
          <w:b w:val="false"/>
          <w:bCs w:val="false"/>
          <w:i w:val="false"/>
          <w:iCs w:val="false"/>
          <w:color w:val="333333"/>
          <w:sz w:val="20"/>
          <w:szCs w:val="20"/>
          <w:rtl w:val="true"/>
        </w:rPr>
        <w:t>.</w:t>
      </w:r>
    </w:p>
  </w:footnote>
  <w:footnote w:id="1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المصادر الواردة فی ذیل التّعلیقة 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755</w:t>
      </w:r>
      <w:r>
        <w:rPr>
          <w:rFonts w:eastAsia="IRNazanin" w:cs="IRNazanin"/>
          <w:b w:val="false"/>
          <w:bCs w:val="false"/>
          <w:i w:val="false"/>
          <w:iCs w:val="false"/>
          <w:color w:val="333333"/>
          <w:sz w:val="20"/>
          <w:szCs w:val="20"/>
          <w:rtl w:val="true"/>
        </w:rPr>
        <w:t>.</w:t>
      </w:r>
    </w:p>
  </w:footnote>
  <w:footnote w:id="1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بالشّرع</w:t>
      </w:r>
      <w:r>
        <w:rPr>
          <w:rFonts w:eastAsia="IRNazanin" w:cs="IRNazanin"/>
          <w:b w:val="false"/>
          <w:bCs w:val="false"/>
          <w:i w:val="false"/>
          <w:iCs w:val="false"/>
          <w:color w:val="333333"/>
          <w:sz w:val="20"/>
          <w:szCs w:val="20"/>
          <w:rtl w:val="true"/>
        </w:rPr>
        <w:t>.</w:t>
      </w:r>
    </w:p>
  </w:footnote>
  <w:footnote w:id="1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لمعرفة معنی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الاجتهاد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مصطلح الإمامیّة راجع التّعلیقة 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جاء فی نهایة النسخة الثانیة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قد تمّ هذا الکتاب المستطاب بعون الملک الوهّاب علی ید العبد الآثم الجانیّ محمد صادق بن محمد رضا التویسرکانیّ فی شهر ربیع الثانی سنة </w:t>
      </w:r>
      <w:r>
        <w:rPr>
          <w:rFonts w:eastAsia="IRNazanin" w:cs="IRNazanin"/>
          <w:b w:val="false"/>
          <w:bCs w:val="false"/>
          <w:i w:val="false"/>
          <w:iCs w:val="false"/>
          <w:color w:val="333333"/>
          <w:sz w:val="20"/>
          <w:szCs w:val="20"/>
        </w:rPr>
        <w:t>1314</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footer" Target="footer622.xml"/><Relationship Id="rId628" Type="http://schemas.openxmlformats.org/officeDocument/2006/relationships/footer" Target="footer623.xml"/><Relationship Id="rId629" Type="http://schemas.openxmlformats.org/officeDocument/2006/relationships/footer" Target="footer624.xml"/><Relationship Id="rId630" Type="http://schemas.openxmlformats.org/officeDocument/2006/relationships/footer" Target="footer625.xml"/><Relationship Id="rId631" Type="http://schemas.openxmlformats.org/officeDocument/2006/relationships/footer" Target="footer626.xml"/><Relationship Id="rId632" Type="http://schemas.openxmlformats.org/officeDocument/2006/relationships/footer" Target="footer627.xml"/><Relationship Id="rId633" Type="http://schemas.openxmlformats.org/officeDocument/2006/relationships/footer" Target="footer628.xml"/><Relationship Id="rId634" Type="http://schemas.openxmlformats.org/officeDocument/2006/relationships/footer" Target="footer629.xml"/><Relationship Id="rId635" Type="http://schemas.openxmlformats.org/officeDocument/2006/relationships/footer" Target="footer630.xml"/><Relationship Id="rId636" Type="http://schemas.openxmlformats.org/officeDocument/2006/relationships/footer" Target="footer631.xml"/><Relationship Id="rId637" Type="http://schemas.openxmlformats.org/officeDocument/2006/relationships/footer" Target="footer632.xml"/><Relationship Id="rId638" Type="http://schemas.openxmlformats.org/officeDocument/2006/relationships/footer" Target="footer633.xml"/><Relationship Id="rId639" Type="http://schemas.openxmlformats.org/officeDocument/2006/relationships/footer" Target="footer634.xml"/><Relationship Id="rId640" Type="http://schemas.openxmlformats.org/officeDocument/2006/relationships/footer" Target="footer635.xml"/><Relationship Id="rId641" Type="http://schemas.openxmlformats.org/officeDocument/2006/relationships/footer" Target="footer636.xml"/><Relationship Id="rId642" Type="http://schemas.openxmlformats.org/officeDocument/2006/relationships/footer" Target="footer637.xml"/><Relationship Id="rId643" Type="http://schemas.openxmlformats.org/officeDocument/2006/relationships/footer" Target="footer638.xml"/><Relationship Id="rId644" Type="http://schemas.openxmlformats.org/officeDocument/2006/relationships/footer" Target="footer639.xml"/><Relationship Id="rId645" Type="http://schemas.openxmlformats.org/officeDocument/2006/relationships/footer" Target="footer640.xml"/><Relationship Id="rId646" Type="http://schemas.openxmlformats.org/officeDocument/2006/relationships/footer" Target="footer641.xml"/><Relationship Id="rId647" Type="http://schemas.openxmlformats.org/officeDocument/2006/relationships/footer" Target="footer642.xml"/><Relationship Id="rId648" Type="http://schemas.openxmlformats.org/officeDocument/2006/relationships/footer" Target="footer643.xml"/><Relationship Id="rId649" Type="http://schemas.openxmlformats.org/officeDocument/2006/relationships/footer" Target="footer644.xml"/><Relationship Id="rId650" Type="http://schemas.openxmlformats.org/officeDocument/2006/relationships/footer" Target="footer645.xml"/><Relationship Id="rId651" Type="http://schemas.openxmlformats.org/officeDocument/2006/relationships/footer" Target="footer646.xml"/><Relationship Id="rId652" Type="http://schemas.openxmlformats.org/officeDocument/2006/relationships/footer" Target="footer647.xml"/><Relationship Id="rId653" Type="http://schemas.openxmlformats.org/officeDocument/2006/relationships/footer" Target="footer648.xml"/><Relationship Id="rId654" Type="http://schemas.openxmlformats.org/officeDocument/2006/relationships/footer" Target="footer649.xml"/><Relationship Id="rId655" Type="http://schemas.openxmlformats.org/officeDocument/2006/relationships/footer" Target="footer650.xml"/><Relationship Id="rId656" Type="http://schemas.openxmlformats.org/officeDocument/2006/relationships/footer" Target="footer651.xml"/><Relationship Id="rId657" Type="http://schemas.openxmlformats.org/officeDocument/2006/relationships/footer" Target="footer652.xml"/><Relationship Id="rId658" Type="http://schemas.openxmlformats.org/officeDocument/2006/relationships/footer" Target="footer653.xml"/><Relationship Id="rId659" Type="http://schemas.openxmlformats.org/officeDocument/2006/relationships/footer" Target="footer654.xml"/><Relationship Id="rId660" Type="http://schemas.openxmlformats.org/officeDocument/2006/relationships/footer" Target="footer655.xml"/><Relationship Id="rId661" Type="http://schemas.openxmlformats.org/officeDocument/2006/relationships/footer" Target="footer656.xml"/><Relationship Id="rId662" Type="http://schemas.openxmlformats.org/officeDocument/2006/relationships/footer" Target="footer657.xml"/><Relationship Id="rId663" Type="http://schemas.openxmlformats.org/officeDocument/2006/relationships/footer" Target="footer658.xml"/><Relationship Id="rId664" Type="http://schemas.openxmlformats.org/officeDocument/2006/relationships/footer" Target="footer659.xml"/><Relationship Id="rId665" Type="http://schemas.openxmlformats.org/officeDocument/2006/relationships/footer" Target="footer660.xml"/><Relationship Id="rId666" Type="http://schemas.openxmlformats.org/officeDocument/2006/relationships/footer" Target="footer661.xml"/><Relationship Id="rId667" Type="http://schemas.openxmlformats.org/officeDocument/2006/relationships/footer" Target="footer662.xml"/><Relationship Id="rId668" Type="http://schemas.openxmlformats.org/officeDocument/2006/relationships/footer" Target="footer663.xml"/><Relationship Id="rId669" Type="http://schemas.openxmlformats.org/officeDocument/2006/relationships/footer" Target="footer664.xml"/><Relationship Id="rId670" Type="http://schemas.openxmlformats.org/officeDocument/2006/relationships/footer" Target="footer665.xml"/><Relationship Id="rId671" Type="http://schemas.openxmlformats.org/officeDocument/2006/relationships/footer" Target="footer666.xml"/><Relationship Id="rId672" Type="http://schemas.openxmlformats.org/officeDocument/2006/relationships/footer" Target="footer667.xml"/><Relationship Id="rId673" Type="http://schemas.openxmlformats.org/officeDocument/2006/relationships/footer" Target="footer668.xml"/><Relationship Id="rId674" Type="http://schemas.openxmlformats.org/officeDocument/2006/relationships/footer" Target="footer669.xml"/><Relationship Id="rId675" Type="http://schemas.openxmlformats.org/officeDocument/2006/relationships/footer" Target="footer670.xml"/><Relationship Id="rId676" Type="http://schemas.openxmlformats.org/officeDocument/2006/relationships/footer" Target="footer671.xml"/><Relationship Id="rId677" Type="http://schemas.openxmlformats.org/officeDocument/2006/relationships/footer" Target="footer672.xml"/><Relationship Id="rId678" Type="http://schemas.openxmlformats.org/officeDocument/2006/relationships/footer" Target="footer673.xml"/><Relationship Id="rId679" Type="http://schemas.openxmlformats.org/officeDocument/2006/relationships/footer" Target="footer674.xml"/><Relationship Id="rId680" Type="http://schemas.openxmlformats.org/officeDocument/2006/relationships/footer" Target="footer675.xml"/><Relationship Id="rId681" Type="http://schemas.openxmlformats.org/officeDocument/2006/relationships/footer" Target="footer676.xml"/><Relationship Id="rId682" Type="http://schemas.openxmlformats.org/officeDocument/2006/relationships/footer" Target="footer677.xml"/><Relationship Id="rId683" Type="http://schemas.openxmlformats.org/officeDocument/2006/relationships/footer" Target="footer678.xml"/><Relationship Id="rId684" Type="http://schemas.openxmlformats.org/officeDocument/2006/relationships/footer" Target="footer679.xml"/><Relationship Id="rId685" Type="http://schemas.openxmlformats.org/officeDocument/2006/relationships/footer" Target="footer680.xml"/><Relationship Id="rId686" Type="http://schemas.openxmlformats.org/officeDocument/2006/relationships/footer" Target="footer681.xml"/><Relationship Id="rId687" Type="http://schemas.openxmlformats.org/officeDocument/2006/relationships/footer" Target="footer682.xml"/><Relationship Id="rId688" Type="http://schemas.openxmlformats.org/officeDocument/2006/relationships/footer" Target="footer683.xml"/><Relationship Id="rId689" Type="http://schemas.openxmlformats.org/officeDocument/2006/relationships/footer" Target="footer684.xml"/><Relationship Id="rId690" Type="http://schemas.openxmlformats.org/officeDocument/2006/relationships/footer" Target="footer685.xml"/><Relationship Id="rId691" Type="http://schemas.openxmlformats.org/officeDocument/2006/relationships/footer" Target="footer686.xml"/><Relationship Id="rId692" Type="http://schemas.openxmlformats.org/officeDocument/2006/relationships/footer" Target="footer687.xml"/><Relationship Id="rId693" Type="http://schemas.openxmlformats.org/officeDocument/2006/relationships/footer" Target="footer688.xml"/><Relationship Id="rId694" Type="http://schemas.openxmlformats.org/officeDocument/2006/relationships/footer" Target="footer689.xml"/><Relationship Id="rId695" Type="http://schemas.openxmlformats.org/officeDocument/2006/relationships/footer" Target="footer690.xml"/><Relationship Id="rId696" Type="http://schemas.openxmlformats.org/officeDocument/2006/relationships/footer" Target="footer691.xml"/><Relationship Id="rId697" Type="http://schemas.openxmlformats.org/officeDocument/2006/relationships/footer" Target="footer692.xml"/><Relationship Id="rId698" Type="http://schemas.openxmlformats.org/officeDocument/2006/relationships/footer" Target="footer693.xml"/><Relationship Id="rId699" Type="http://schemas.openxmlformats.org/officeDocument/2006/relationships/footer" Target="footer694.xml"/><Relationship Id="rId700" Type="http://schemas.openxmlformats.org/officeDocument/2006/relationships/footer" Target="footer695.xml"/><Relationship Id="rId701" Type="http://schemas.openxmlformats.org/officeDocument/2006/relationships/footer" Target="footer696.xml"/><Relationship Id="rId702" Type="http://schemas.openxmlformats.org/officeDocument/2006/relationships/footer" Target="footer697.xml"/><Relationship Id="rId703" Type="http://schemas.openxmlformats.org/officeDocument/2006/relationships/footer" Target="footer698.xml"/><Relationship Id="rId704" Type="http://schemas.openxmlformats.org/officeDocument/2006/relationships/footer" Target="footer699.xml"/><Relationship Id="rId705" Type="http://schemas.openxmlformats.org/officeDocument/2006/relationships/footer" Target="footer700.xml"/><Relationship Id="rId706" Type="http://schemas.openxmlformats.org/officeDocument/2006/relationships/footer" Target="footer701.xml"/><Relationship Id="rId707" Type="http://schemas.openxmlformats.org/officeDocument/2006/relationships/footer" Target="footer702.xml"/><Relationship Id="rId708" Type="http://schemas.openxmlformats.org/officeDocument/2006/relationships/footer" Target="footer703.xml"/><Relationship Id="rId709" Type="http://schemas.openxmlformats.org/officeDocument/2006/relationships/footer" Target="footer704.xml"/><Relationship Id="rId710" Type="http://schemas.openxmlformats.org/officeDocument/2006/relationships/footer" Target="footer705.xml"/><Relationship Id="rId711" Type="http://schemas.openxmlformats.org/officeDocument/2006/relationships/footer" Target="footer706.xml"/><Relationship Id="rId712" Type="http://schemas.openxmlformats.org/officeDocument/2006/relationships/footer" Target="footer707.xml"/><Relationship Id="rId713" Type="http://schemas.openxmlformats.org/officeDocument/2006/relationships/footer" Target="footer708.xml"/><Relationship Id="rId714" Type="http://schemas.openxmlformats.org/officeDocument/2006/relationships/footer" Target="footer709.xml"/><Relationship Id="rId715" Type="http://schemas.openxmlformats.org/officeDocument/2006/relationships/footer" Target="footer710.xml"/><Relationship Id="rId716" Type="http://schemas.openxmlformats.org/officeDocument/2006/relationships/footer" Target="footer711.xml"/><Relationship Id="rId717" Type="http://schemas.openxmlformats.org/officeDocument/2006/relationships/footer" Target="footer712.xml"/><Relationship Id="rId718" Type="http://schemas.openxmlformats.org/officeDocument/2006/relationships/footer" Target="footer713.xml"/><Relationship Id="rId719" Type="http://schemas.openxmlformats.org/officeDocument/2006/relationships/footer" Target="footer714.xml"/><Relationship Id="rId720" Type="http://schemas.openxmlformats.org/officeDocument/2006/relationships/footer" Target="footer715.xml"/><Relationship Id="rId721" Type="http://schemas.openxmlformats.org/officeDocument/2006/relationships/footer" Target="footer716.xml"/><Relationship Id="rId722" Type="http://schemas.openxmlformats.org/officeDocument/2006/relationships/footer" Target="footer717.xml"/><Relationship Id="rId723" Type="http://schemas.openxmlformats.org/officeDocument/2006/relationships/footer" Target="footer718.xml"/><Relationship Id="rId724" Type="http://schemas.openxmlformats.org/officeDocument/2006/relationships/footer" Target="footer719.xml"/><Relationship Id="rId725" Type="http://schemas.openxmlformats.org/officeDocument/2006/relationships/footer" Target="footer720.xml"/><Relationship Id="rId726" Type="http://schemas.openxmlformats.org/officeDocument/2006/relationships/footer" Target="footer721.xml"/><Relationship Id="rId727" Type="http://schemas.openxmlformats.org/officeDocument/2006/relationships/footer" Target="footer722.xml"/><Relationship Id="rId728" Type="http://schemas.openxmlformats.org/officeDocument/2006/relationships/footer" Target="footer723.xml"/><Relationship Id="rId729" Type="http://schemas.openxmlformats.org/officeDocument/2006/relationships/footer" Target="footer724.xml"/><Relationship Id="rId730" Type="http://schemas.openxmlformats.org/officeDocument/2006/relationships/footer" Target="footer725.xml"/><Relationship Id="rId731" Type="http://schemas.openxmlformats.org/officeDocument/2006/relationships/footer" Target="footer726.xml"/><Relationship Id="rId732" Type="http://schemas.openxmlformats.org/officeDocument/2006/relationships/footer" Target="footer727.xml"/><Relationship Id="rId733" Type="http://schemas.openxmlformats.org/officeDocument/2006/relationships/footer" Target="footer728.xml"/><Relationship Id="rId734" Type="http://schemas.openxmlformats.org/officeDocument/2006/relationships/footer" Target="footer729.xml"/><Relationship Id="rId735" Type="http://schemas.openxmlformats.org/officeDocument/2006/relationships/footer" Target="footer730.xml"/><Relationship Id="rId736" Type="http://schemas.openxmlformats.org/officeDocument/2006/relationships/footer" Target="footer731.xml"/><Relationship Id="rId737" Type="http://schemas.openxmlformats.org/officeDocument/2006/relationships/footer" Target="footer732.xml"/><Relationship Id="rId738" Type="http://schemas.openxmlformats.org/officeDocument/2006/relationships/footer" Target="footer733.xml"/><Relationship Id="rId739" Type="http://schemas.openxmlformats.org/officeDocument/2006/relationships/footer" Target="footer734.xml"/><Relationship Id="rId740" Type="http://schemas.openxmlformats.org/officeDocument/2006/relationships/footer" Target="footer735.xml"/><Relationship Id="rId741" Type="http://schemas.openxmlformats.org/officeDocument/2006/relationships/footer" Target="footer736.xml"/><Relationship Id="rId742" Type="http://schemas.openxmlformats.org/officeDocument/2006/relationships/footer" Target="footer737.xml"/><Relationship Id="rId743" Type="http://schemas.openxmlformats.org/officeDocument/2006/relationships/footer" Target="footer738.xml"/><Relationship Id="rId744" Type="http://schemas.openxmlformats.org/officeDocument/2006/relationships/footer" Target="footer739.xml"/><Relationship Id="rId745" Type="http://schemas.openxmlformats.org/officeDocument/2006/relationships/footer" Target="footer740.xml"/><Relationship Id="rId746" Type="http://schemas.openxmlformats.org/officeDocument/2006/relationships/footer" Target="footer741.xml"/><Relationship Id="rId747" Type="http://schemas.openxmlformats.org/officeDocument/2006/relationships/footer" Target="footer742.xml"/><Relationship Id="rId748" Type="http://schemas.openxmlformats.org/officeDocument/2006/relationships/footer" Target="footer743.xml"/><Relationship Id="rId749" Type="http://schemas.openxmlformats.org/officeDocument/2006/relationships/footer" Target="footer744.xml"/><Relationship Id="rId750" Type="http://schemas.openxmlformats.org/officeDocument/2006/relationships/footer" Target="footer745.xml"/><Relationship Id="rId751" Type="http://schemas.openxmlformats.org/officeDocument/2006/relationships/footer" Target="footer746.xml"/><Relationship Id="rId752" Type="http://schemas.openxmlformats.org/officeDocument/2006/relationships/footer" Target="footer747.xml"/><Relationship Id="rId753" Type="http://schemas.openxmlformats.org/officeDocument/2006/relationships/footer" Target="footer748.xml"/><Relationship Id="rId754" Type="http://schemas.openxmlformats.org/officeDocument/2006/relationships/footer" Target="footer749.xml"/><Relationship Id="rId755" Type="http://schemas.openxmlformats.org/officeDocument/2006/relationships/footer" Target="footer750.xml"/><Relationship Id="rId756" Type="http://schemas.openxmlformats.org/officeDocument/2006/relationships/footer" Target="footer751.xml"/><Relationship Id="rId757" Type="http://schemas.openxmlformats.org/officeDocument/2006/relationships/footer" Target="footer752.xml"/><Relationship Id="rId758" Type="http://schemas.openxmlformats.org/officeDocument/2006/relationships/footer" Target="footer753.xml"/><Relationship Id="rId759" Type="http://schemas.openxmlformats.org/officeDocument/2006/relationships/footer" Target="footer754.xml"/><Relationship Id="rId760" Type="http://schemas.openxmlformats.org/officeDocument/2006/relationships/footer" Target="footer755.xml"/><Relationship Id="rId761" Type="http://schemas.openxmlformats.org/officeDocument/2006/relationships/footer" Target="footer756.xml"/><Relationship Id="rId762" Type="http://schemas.openxmlformats.org/officeDocument/2006/relationships/footer" Target="footer757.xml"/><Relationship Id="rId763" Type="http://schemas.openxmlformats.org/officeDocument/2006/relationships/footer" Target="footer758.xml"/><Relationship Id="rId764" Type="http://schemas.openxmlformats.org/officeDocument/2006/relationships/footer" Target="footer759.xml"/><Relationship Id="rId765" Type="http://schemas.openxmlformats.org/officeDocument/2006/relationships/footer" Target="footer760.xml"/><Relationship Id="rId766" Type="http://schemas.openxmlformats.org/officeDocument/2006/relationships/footer" Target="footer761.xml"/><Relationship Id="rId767" Type="http://schemas.openxmlformats.org/officeDocument/2006/relationships/footer" Target="footer762.xml"/><Relationship Id="rId768" Type="http://schemas.openxmlformats.org/officeDocument/2006/relationships/footer" Target="footer763.xml"/><Relationship Id="rId769" Type="http://schemas.openxmlformats.org/officeDocument/2006/relationships/footer" Target="footer764.xml"/><Relationship Id="rId770" Type="http://schemas.openxmlformats.org/officeDocument/2006/relationships/image" Target="media/image3.jpeg"/><Relationship Id="rId771" Type="http://schemas.openxmlformats.org/officeDocument/2006/relationships/image" Target="media/image3.jpeg"/><Relationship Id="rId772" Type="http://schemas.openxmlformats.org/officeDocument/2006/relationships/footer" Target="footer765.xml"/><Relationship Id="rId773" Type="http://schemas.openxmlformats.org/officeDocument/2006/relationships/footer" Target="footer766.xml"/><Relationship Id="rId774" Type="http://schemas.openxmlformats.org/officeDocument/2006/relationships/image" Target="media/image4.jpeg"/><Relationship Id="rId775" Type="http://schemas.openxmlformats.org/officeDocument/2006/relationships/image" Target="media/image4.jpeg"/><Relationship Id="rId776" Type="http://schemas.openxmlformats.org/officeDocument/2006/relationships/footer" Target="footer767.xml"/><Relationship Id="rId777" Type="http://schemas.openxmlformats.org/officeDocument/2006/relationships/image" Target="media/image5.jpeg"/><Relationship Id="rId778" Type="http://schemas.openxmlformats.org/officeDocument/2006/relationships/image" Target="media/image5.jpeg"/><Relationship Id="rId779" Type="http://schemas.openxmlformats.org/officeDocument/2006/relationships/footer" Target="footer768.xml"/><Relationship Id="rId780" Type="http://schemas.openxmlformats.org/officeDocument/2006/relationships/image" Target="media/image6.jpeg"/><Relationship Id="rId781" Type="http://schemas.openxmlformats.org/officeDocument/2006/relationships/image" Target="media/image6.jpeg"/><Relationship Id="rId782" Type="http://schemas.openxmlformats.org/officeDocument/2006/relationships/footer" Target="footer769.xml"/><Relationship Id="rId783" Type="http://schemas.openxmlformats.org/officeDocument/2006/relationships/image" Target="media/image7.jpeg"/><Relationship Id="rId784" Type="http://schemas.openxmlformats.org/officeDocument/2006/relationships/image" Target="media/image7.jpeg"/><Relationship Id="rId785" Type="http://schemas.openxmlformats.org/officeDocument/2006/relationships/footer" Target="footer770.xml"/><Relationship Id="rId786" Type="http://schemas.openxmlformats.org/officeDocument/2006/relationships/image" Target="media/image8.jpeg"/><Relationship Id="rId787" Type="http://schemas.openxmlformats.org/officeDocument/2006/relationships/image" Target="media/image8.jpeg"/><Relationship Id="rId788" Type="http://schemas.openxmlformats.org/officeDocument/2006/relationships/footer" Target="footer771.xml"/><Relationship Id="rId789" Type="http://schemas.openxmlformats.org/officeDocument/2006/relationships/image" Target="media/image9.jpeg"/><Relationship Id="rId790" Type="http://schemas.openxmlformats.org/officeDocument/2006/relationships/image" Target="media/image9.jpeg"/><Relationship Id="rId791" Type="http://schemas.openxmlformats.org/officeDocument/2006/relationships/footer" Target="footer772.xml"/><Relationship Id="rId792" Type="http://schemas.openxmlformats.org/officeDocument/2006/relationships/image" Target="media/image10.jpeg"/><Relationship Id="rId793" Type="http://schemas.openxmlformats.org/officeDocument/2006/relationships/image" Target="media/image10.jpeg"/><Relationship Id="rId794" Type="http://schemas.openxmlformats.org/officeDocument/2006/relationships/footer" Target="footer773.xml"/><Relationship Id="rId795" Type="http://schemas.openxmlformats.org/officeDocument/2006/relationships/image" Target="media/image11.jpeg"/><Relationship Id="rId796" Type="http://schemas.openxmlformats.org/officeDocument/2006/relationships/image" Target="media/image11.jpeg"/><Relationship Id="rId797" Type="http://schemas.openxmlformats.org/officeDocument/2006/relationships/footer" Target="footer774.xml"/><Relationship Id="rId798" Type="http://schemas.openxmlformats.org/officeDocument/2006/relationships/image" Target="media/image12.jpeg"/><Relationship Id="rId799" Type="http://schemas.openxmlformats.org/officeDocument/2006/relationships/image" Target="media/image12.jpeg"/><Relationship Id="rId800" Type="http://schemas.openxmlformats.org/officeDocument/2006/relationships/footer" Target="footer775.xml"/><Relationship Id="rId801" Type="http://schemas.openxmlformats.org/officeDocument/2006/relationships/image" Target="media/image13.jpeg"/><Relationship Id="rId802" Type="http://schemas.openxmlformats.org/officeDocument/2006/relationships/image" Target="media/image13.jpeg"/><Relationship Id="rId803" Type="http://schemas.openxmlformats.org/officeDocument/2006/relationships/footer" Target="footer776.xml"/><Relationship Id="rId804" Type="http://schemas.openxmlformats.org/officeDocument/2006/relationships/image" Target="media/image14.jpeg"/><Relationship Id="rId805" Type="http://schemas.openxmlformats.org/officeDocument/2006/relationships/image" Target="media/image14.jpeg"/><Relationship Id="rId806" Type="http://schemas.openxmlformats.org/officeDocument/2006/relationships/footer" Target="footer777.xml"/><Relationship Id="rId807" Type="http://schemas.openxmlformats.org/officeDocument/2006/relationships/image" Target="media/image15.jpeg"/><Relationship Id="rId808" Type="http://schemas.openxmlformats.org/officeDocument/2006/relationships/image" Target="media/image15.jpeg"/><Relationship Id="rId809" Type="http://schemas.openxmlformats.org/officeDocument/2006/relationships/footer" Target="footer778.xml"/><Relationship Id="rId810" Type="http://schemas.openxmlformats.org/officeDocument/2006/relationships/image" Target="media/image16.jpeg"/><Relationship Id="rId811" Type="http://schemas.openxmlformats.org/officeDocument/2006/relationships/image" Target="media/image16.jpeg"/><Relationship Id="rId812" Type="http://schemas.openxmlformats.org/officeDocument/2006/relationships/footer" Target="footer779.xml"/><Relationship Id="rId813" Type="http://schemas.openxmlformats.org/officeDocument/2006/relationships/image" Target="media/image17.jpeg"/><Relationship Id="rId814" Type="http://schemas.openxmlformats.org/officeDocument/2006/relationships/image" Target="media/image17.jpeg"/><Relationship Id="rId815" Type="http://schemas.openxmlformats.org/officeDocument/2006/relationships/footer" Target="footer780.xml"/><Relationship Id="rId816" Type="http://schemas.openxmlformats.org/officeDocument/2006/relationships/image" Target="media/image18.jpeg"/><Relationship Id="rId817" Type="http://schemas.openxmlformats.org/officeDocument/2006/relationships/image" Target="media/image18.jpeg"/><Relationship Id="rId818" Type="http://schemas.openxmlformats.org/officeDocument/2006/relationships/footer" Target="footer781.xml"/><Relationship Id="rId819" Type="http://schemas.openxmlformats.org/officeDocument/2006/relationships/footer" Target="footer782.xml"/><Relationship Id="rId820" Type="http://schemas.openxmlformats.org/officeDocument/2006/relationships/image" Target="media/image19.jpeg"/><Relationship Id="rId821" Type="http://schemas.openxmlformats.org/officeDocument/2006/relationships/image" Target="media/image19.jpeg"/><Relationship Id="rId822" Type="http://schemas.openxmlformats.org/officeDocument/2006/relationships/footer" Target="footer783.xml"/><Relationship Id="rId823" Type="http://schemas.openxmlformats.org/officeDocument/2006/relationships/image" Target="media/image20.jpeg"/><Relationship Id="rId824" Type="http://schemas.openxmlformats.org/officeDocument/2006/relationships/image" Target="media/image20.jpeg"/><Relationship Id="rId825" Type="http://schemas.openxmlformats.org/officeDocument/2006/relationships/footer" Target="footer784.xml"/><Relationship Id="rId826" Type="http://schemas.openxmlformats.org/officeDocument/2006/relationships/image" Target="media/image21.jpeg"/><Relationship Id="rId827" Type="http://schemas.openxmlformats.org/officeDocument/2006/relationships/image" Target="media/image21.jpeg"/><Relationship Id="rId828" Type="http://schemas.openxmlformats.org/officeDocument/2006/relationships/footer" Target="footer785.xml"/><Relationship Id="rId829" Type="http://schemas.openxmlformats.org/officeDocument/2006/relationships/image" Target="media/image22.jpeg"/><Relationship Id="rId830" Type="http://schemas.openxmlformats.org/officeDocument/2006/relationships/image" Target="media/image22.jpeg"/><Relationship Id="rId831" Type="http://schemas.openxmlformats.org/officeDocument/2006/relationships/footer" Target="footer786.xml"/><Relationship Id="rId832" Type="http://schemas.openxmlformats.org/officeDocument/2006/relationships/image" Target="media/image23.jpeg"/><Relationship Id="rId833" Type="http://schemas.openxmlformats.org/officeDocument/2006/relationships/image" Target="media/image23.jpeg"/><Relationship Id="rId834" Type="http://schemas.openxmlformats.org/officeDocument/2006/relationships/footer" Target="footer787.xml"/><Relationship Id="rId835" Type="http://schemas.openxmlformats.org/officeDocument/2006/relationships/image" Target="media/image24.jpeg"/><Relationship Id="rId836" Type="http://schemas.openxmlformats.org/officeDocument/2006/relationships/image" Target="media/image24.jpeg"/><Relationship Id="rId837" Type="http://schemas.openxmlformats.org/officeDocument/2006/relationships/footer" Target="footer788.xml"/><Relationship Id="rId838" Type="http://schemas.openxmlformats.org/officeDocument/2006/relationships/image" Target="media/image25.jpeg"/><Relationship Id="rId839" Type="http://schemas.openxmlformats.org/officeDocument/2006/relationships/image" Target="media/image25.jpeg"/><Relationship Id="rId840" Type="http://schemas.openxmlformats.org/officeDocument/2006/relationships/footer" Target="footer789.xml"/><Relationship Id="rId841" Type="http://schemas.openxmlformats.org/officeDocument/2006/relationships/image" Target="media/image26.jpeg"/><Relationship Id="rId842" Type="http://schemas.openxmlformats.org/officeDocument/2006/relationships/image" Target="media/image26.jpeg"/><Relationship Id="rId843" Type="http://schemas.openxmlformats.org/officeDocument/2006/relationships/footer" Target="footer790.xml"/><Relationship Id="rId844" Type="http://schemas.openxmlformats.org/officeDocument/2006/relationships/image" Target="media/image27.jpeg"/><Relationship Id="rId845" Type="http://schemas.openxmlformats.org/officeDocument/2006/relationships/image" Target="media/image27.jpeg"/><Relationship Id="rId846" Type="http://schemas.openxmlformats.org/officeDocument/2006/relationships/footer" Target="footer791.xml"/><Relationship Id="rId847" Type="http://schemas.openxmlformats.org/officeDocument/2006/relationships/footer" Target="footer792.xml"/><Relationship Id="rId848" Type="http://schemas.openxmlformats.org/officeDocument/2006/relationships/image" Target="media/image28.jpeg"/><Relationship Id="rId849" Type="http://schemas.openxmlformats.org/officeDocument/2006/relationships/image" Target="media/image28.jpeg"/><Relationship Id="rId850" Type="http://schemas.openxmlformats.org/officeDocument/2006/relationships/footer" Target="footer793.xml"/><Relationship Id="rId851" Type="http://schemas.openxmlformats.org/officeDocument/2006/relationships/image" Target="media/image29.jpeg"/><Relationship Id="rId852" Type="http://schemas.openxmlformats.org/officeDocument/2006/relationships/image" Target="media/image29.jpeg"/><Relationship Id="rId853" Type="http://schemas.openxmlformats.org/officeDocument/2006/relationships/footer" Target="footer794.xml"/><Relationship Id="rId854" Type="http://schemas.openxmlformats.org/officeDocument/2006/relationships/image" Target="media/image30.jpeg"/><Relationship Id="rId855" Type="http://schemas.openxmlformats.org/officeDocument/2006/relationships/image" Target="media/image30.jpeg"/><Relationship Id="rId856" Type="http://schemas.openxmlformats.org/officeDocument/2006/relationships/footer" Target="footer795.xml"/><Relationship Id="rId857" Type="http://schemas.openxmlformats.org/officeDocument/2006/relationships/image" Target="media/image31.jpeg"/><Relationship Id="rId858" Type="http://schemas.openxmlformats.org/officeDocument/2006/relationships/image" Target="media/image31.jpeg"/><Relationship Id="rId859" Type="http://schemas.openxmlformats.org/officeDocument/2006/relationships/footer" Target="footer796.xml"/><Relationship Id="rId860" Type="http://schemas.openxmlformats.org/officeDocument/2006/relationships/image" Target="media/image32.jpeg"/><Relationship Id="rId861" Type="http://schemas.openxmlformats.org/officeDocument/2006/relationships/image" Target="media/image32.jpeg"/><Relationship Id="rId862" Type="http://schemas.openxmlformats.org/officeDocument/2006/relationships/footer" Target="footer797.xml"/><Relationship Id="rId863" Type="http://schemas.openxmlformats.org/officeDocument/2006/relationships/footer" Target="footer798.xml"/><Relationship Id="rId864" Type="http://schemas.openxmlformats.org/officeDocument/2006/relationships/image" Target="media/image33.jpeg"/><Relationship Id="rId865" Type="http://schemas.openxmlformats.org/officeDocument/2006/relationships/image" Target="media/image33.jpeg"/><Relationship Id="rId866" Type="http://schemas.openxmlformats.org/officeDocument/2006/relationships/footer" Target="footer799.xml"/><Relationship Id="rId867" Type="http://schemas.openxmlformats.org/officeDocument/2006/relationships/image" Target="media/image34.jpeg"/><Relationship Id="rId868" Type="http://schemas.openxmlformats.org/officeDocument/2006/relationships/image" Target="media/image34.jpeg"/><Relationship Id="rId869" Type="http://schemas.openxmlformats.org/officeDocument/2006/relationships/footer" Target="footer800.xml"/><Relationship Id="rId870" Type="http://schemas.openxmlformats.org/officeDocument/2006/relationships/image" Target="media/image35.jpeg"/><Relationship Id="rId871" Type="http://schemas.openxmlformats.org/officeDocument/2006/relationships/image" Target="media/image35.jpeg"/><Relationship Id="rId872" Type="http://schemas.openxmlformats.org/officeDocument/2006/relationships/footer" Target="footer801.xml"/><Relationship Id="rId873" Type="http://schemas.openxmlformats.org/officeDocument/2006/relationships/image" Target="media/image36.jpeg"/><Relationship Id="rId874" Type="http://schemas.openxmlformats.org/officeDocument/2006/relationships/image" Target="media/image36.jpeg"/><Relationship Id="rId875" Type="http://schemas.openxmlformats.org/officeDocument/2006/relationships/footer" Target="footer802.xml"/><Relationship Id="rId876" Type="http://schemas.openxmlformats.org/officeDocument/2006/relationships/image" Target="media/image37.jpeg"/><Relationship Id="rId877" Type="http://schemas.openxmlformats.org/officeDocument/2006/relationships/image" Target="media/image37.jpeg"/><Relationship Id="rId878" Type="http://schemas.openxmlformats.org/officeDocument/2006/relationships/footer" Target="footer803.xml"/><Relationship Id="rId879" Type="http://schemas.openxmlformats.org/officeDocument/2006/relationships/footer" Target="footer804.xml"/><Relationship Id="rId880" Type="http://schemas.openxmlformats.org/officeDocument/2006/relationships/image" Target="media/image38.jpeg"/><Relationship Id="rId881" Type="http://schemas.openxmlformats.org/officeDocument/2006/relationships/image" Target="media/image38.jpeg"/><Relationship Id="rId882" Type="http://schemas.openxmlformats.org/officeDocument/2006/relationships/footer" Target="footer805.xml"/><Relationship Id="rId883" Type="http://schemas.openxmlformats.org/officeDocument/2006/relationships/footer" Target="footer806.xml"/><Relationship Id="rId884" Type="http://schemas.openxmlformats.org/officeDocument/2006/relationships/image" Target="media/image39.jpeg"/><Relationship Id="rId885" Type="http://schemas.openxmlformats.org/officeDocument/2006/relationships/image" Target="media/image39.jpeg"/><Relationship Id="rId886" Type="http://schemas.openxmlformats.org/officeDocument/2006/relationships/footer" Target="footer807.xml"/><Relationship Id="rId887" Type="http://schemas.openxmlformats.org/officeDocument/2006/relationships/footer" Target="footer808.xml"/><Relationship Id="rId888" Type="http://schemas.openxmlformats.org/officeDocument/2006/relationships/image" Target="media/image40.jpeg"/><Relationship Id="rId889" Type="http://schemas.openxmlformats.org/officeDocument/2006/relationships/image" Target="media/image40.jpeg"/><Relationship Id="rId890" Type="http://schemas.openxmlformats.org/officeDocument/2006/relationships/footer" Target="footer809.xml"/><Relationship Id="rId891" Type="http://schemas.openxmlformats.org/officeDocument/2006/relationships/image" Target="media/image41.jpeg"/><Relationship Id="rId892" Type="http://schemas.openxmlformats.org/officeDocument/2006/relationships/image" Target="media/image41.jpeg"/><Relationship Id="rId893" Type="http://schemas.openxmlformats.org/officeDocument/2006/relationships/footer" Target="footer810.xml"/><Relationship Id="rId894" Type="http://schemas.openxmlformats.org/officeDocument/2006/relationships/image" Target="media/image42.jpeg"/><Relationship Id="rId895" Type="http://schemas.openxmlformats.org/officeDocument/2006/relationships/image" Target="media/image42.jpeg"/><Relationship Id="rId896" Type="http://schemas.openxmlformats.org/officeDocument/2006/relationships/footer" Target="footer811.xml"/><Relationship Id="rId897" Type="http://schemas.openxmlformats.org/officeDocument/2006/relationships/image" Target="media/image43.jpeg"/><Relationship Id="rId898" Type="http://schemas.openxmlformats.org/officeDocument/2006/relationships/image" Target="media/image43.jpeg"/><Relationship Id="rId899" Type="http://schemas.openxmlformats.org/officeDocument/2006/relationships/footer" Target="footer812.xml"/><Relationship Id="rId900" Type="http://schemas.openxmlformats.org/officeDocument/2006/relationships/image" Target="media/image44.jpeg"/><Relationship Id="rId901" Type="http://schemas.openxmlformats.org/officeDocument/2006/relationships/image" Target="media/image44.jpeg"/><Relationship Id="rId902" Type="http://schemas.openxmlformats.org/officeDocument/2006/relationships/footer" Target="footer813.xml"/><Relationship Id="rId903" Type="http://schemas.openxmlformats.org/officeDocument/2006/relationships/image" Target="media/image45.jpeg"/><Relationship Id="rId904" Type="http://schemas.openxmlformats.org/officeDocument/2006/relationships/image" Target="media/image45.jpeg"/><Relationship Id="rId905" Type="http://schemas.openxmlformats.org/officeDocument/2006/relationships/footer" Target="footer814.xml"/><Relationship Id="rId906" Type="http://schemas.openxmlformats.org/officeDocument/2006/relationships/image" Target="media/image46.jpeg"/><Relationship Id="rId907" Type="http://schemas.openxmlformats.org/officeDocument/2006/relationships/image" Target="media/image46.jpeg"/><Relationship Id="rId908" Type="http://schemas.openxmlformats.org/officeDocument/2006/relationships/footer" Target="footer815.xml"/><Relationship Id="rId909" Type="http://schemas.openxmlformats.org/officeDocument/2006/relationships/image" Target="media/image47.jpeg"/><Relationship Id="rId910" Type="http://schemas.openxmlformats.org/officeDocument/2006/relationships/image" Target="media/image47.jpeg"/><Relationship Id="rId911" Type="http://schemas.openxmlformats.org/officeDocument/2006/relationships/footer" Target="footer816.xml"/><Relationship Id="rId912" Type="http://schemas.openxmlformats.org/officeDocument/2006/relationships/image" Target="media/image48.jpeg"/><Relationship Id="rId913" Type="http://schemas.openxmlformats.org/officeDocument/2006/relationships/image" Target="media/image48.jpeg"/><Relationship Id="rId914" Type="http://schemas.openxmlformats.org/officeDocument/2006/relationships/footer" Target="footer817.xml"/><Relationship Id="rId915" Type="http://schemas.openxmlformats.org/officeDocument/2006/relationships/image" Target="media/image49.jpeg"/><Relationship Id="rId916" Type="http://schemas.openxmlformats.org/officeDocument/2006/relationships/image" Target="media/image49.jpeg"/><Relationship Id="rId917" Type="http://schemas.openxmlformats.org/officeDocument/2006/relationships/footer" Target="footer818.xml"/><Relationship Id="rId918" Type="http://schemas.openxmlformats.org/officeDocument/2006/relationships/image" Target="media/image50.jpeg"/><Relationship Id="rId919" Type="http://schemas.openxmlformats.org/officeDocument/2006/relationships/image" Target="media/image50.jpeg"/><Relationship Id="rId920" Type="http://schemas.openxmlformats.org/officeDocument/2006/relationships/footer" Target="footer819.xml"/><Relationship Id="rId921" Type="http://schemas.openxmlformats.org/officeDocument/2006/relationships/image" Target="media/image51.jpeg"/><Relationship Id="rId922" Type="http://schemas.openxmlformats.org/officeDocument/2006/relationships/image" Target="media/image51.jpeg"/><Relationship Id="rId923" Type="http://schemas.openxmlformats.org/officeDocument/2006/relationships/footer" Target="footer820.xml"/><Relationship Id="rId924" Type="http://schemas.openxmlformats.org/officeDocument/2006/relationships/image" Target="media/image52.jpeg"/><Relationship Id="rId925" Type="http://schemas.openxmlformats.org/officeDocument/2006/relationships/image" Target="media/image52.jpeg"/><Relationship Id="rId926" Type="http://schemas.openxmlformats.org/officeDocument/2006/relationships/footer" Target="footer821.xml"/><Relationship Id="rId927" Type="http://schemas.openxmlformats.org/officeDocument/2006/relationships/image" Target="media/image53.jpeg"/><Relationship Id="rId928" Type="http://schemas.openxmlformats.org/officeDocument/2006/relationships/image" Target="media/image53.jpeg"/><Relationship Id="rId929" Type="http://schemas.openxmlformats.org/officeDocument/2006/relationships/footer" Target="footer822.xml"/><Relationship Id="rId930" Type="http://schemas.openxmlformats.org/officeDocument/2006/relationships/image" Target="media/image54.jpeg"/><Relationship Id="rId931" Type="http://schemas.openxmlformats.org/officeDocument/2006/relationships/image" Target="media/image54.jpeg"/><Relationship Id="rId932" Type="http://schemas.openxmlformats.org/officeDocument/2006/relationships/footer" Target="footer823.xml"/><Relationship Id="rId933" Type="http://schemas.openxmlformats.org/officeDocument/2006/relationships/image" Target="media/image55.jpeg"/><Relationship Id="rId934" Type="http://schemas.openxmlformats.org/officeDocument/2006/relationships/image" Target="media/image55.jpeg"/><Relationship Id="rId935" Type="http://schemas.openxmlformats.org/officeDocument/2006/relationships/footer" Target="footer824.xml"/><Relationship Id="rId936" Type="http://schemas.openxmlformats.org/officeDocument/2006/relationships/image" Target="media/image56.jpeg"/><Relationship Id="rId937" Type="http://schemas.openxmlformats.org/officeDocument/2006/relationships/image" Target="media/image56.jpeg"/><Relationship Id="rId938" Type="http://schemas.openxmlformats.org/officeDocument/2006/relationships/footer" Target="footer825.xml"/><Relationship Id="rId939" Type="http://schemas.openxmlformats.org/officeDocument/2006/relationships/image" Target="media/image57.jpeg"/><Relationship Id="rId940" Type="http://schemas.openxmlformats.org/officeDocument/2006/relationships/image" Target="media/image57.jpeg"/><Relationship Id="rId941" Type="http://schemas.openxmlformats.org/officeDocument/2006/relationships/footer" Target="footer826.xml"/><Relationship Id="rId942" Type="http://schemas.openxmlformats.org/officeDocument/2006/relationships/image" Target="media/image58.jpeg"/><Relationship Id="rId943" Type="http://schemas.openxmlformats.org/officeDocument/2006/relationships/image" Target="media/image58.jpeg"/><Relationship Id="rId944" Type="http://schemas.openxmlformats.org/officeDocument/2006/relationships/footer" Target="footer827.xml"/><Relationship Id="rId945" Type="http://schemas.openxmlformats.org/officeDocument/2006/relationships/image" Target="media/image59.jpeg"/><Relationship Id="rId946" Type="http://schemas.openxmlformats.org/officeDocument/2006/relationships/image" Target="media/image59.jpeg"/><Relationship Id="rId947" Type="http://schemas.openxmlformats.org/officeDocument/2006/relationships/footer" Target="footer828.xml"/><Relationship Id="rId948" Type="http://schemas.openxmlformats.org/officeDocument/2006/relationships/image" Target="media/image60.jpeg"/><Relationship Id="rId949" Type="http://schemas.openxmlformats.org/officeDocument/2006/relationships/image" Target="media/image60.jpeg"/><Relationship Id="rId950" Type="http://schemas.openxmlformats.org/officeDocument/2006/relationships/footer" Target="footer829.xml"/><Relationship Id="rId951" Type="http://schemas.openxmlformats.org/officeDocument/2006/relationships/image" Target="media/image61.jpeg"/><Relationship Id="rId952" Type="http://schemas.openxmlformats.org/officeDocument/2006/relationships/image" Target="media/image61.jpeg"/><Relationship Id="rId953" Type="http://schemas.openxmlformats.org/officeDocument/2006/relationships/footer" Target="footer830.xml"/><Relationship Id="rId954" Type="http://schemas.openxmlformats.org/officeDocument/2006/relationships/image" Target="media/image2.jpeg"/><Relationship Id="rId955" Type="http://schemas.openxmlformats.org/officeDocument/2006/relationships/image" Target="media/image2.jpeg"/><Relationship Id="rId956" Type="http://schemas.openxmlformats.org/officeDocument/2006/relationships/footer" Target="footer831.xml"/><Relationship Id="rId957" Type="http://schemas.openxmlformats.org/officeDocument/2006/relationships/footnotes" Target="footnotes.xml"/><Relationship Id="rId958" Type="http://schemas.openxmlformats.org/officeDocument/2006/relationships/numbering" Target="numbering.xml"/><Relationship Id="rId959" Type="http://schemas.openxmlformats.org/officeDocument/2006/relationships/fontTable" Target="fontTable.xml"/><Relationship Id="rId960" Type="http://schemas.openxmlformats.org/officeDocument/2006/relationships/settings" Target="settings.xml"/><Relationship Id="rId96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837</Pages>
  <Words>97340</Words>
  <Characters>392668</Characters>
  <CharactersWithSpaces>487443</CharactersWithSpaces>
  <Paragraphs>3563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2026-08-20T00:03:44Z</dcterms:created>
  <dc:creator>ghaemiyeh.com</dc:creator>
  <dc:description/>
  <dc:language>en-US</dc:language>
  <cp:lastModifiedBy/>
  <dcterms:modified xsi:type="dcterms:W3CDTF">2026-08-20T03:34:20Z</dcterms:modified>
  <cp:revision>1</cp:revision>
  <dc:subject/>
  <dc:title>العده فی اصول الفقه</dc:title>
</cp:coreProperties>
</file>

<file path=docProps/custom.xml><?xml version="1.0" encoding="utf-8"?>
<Properties xmlns="http://schemas.openxmlformats.org/officeDocument/2006/custom-properties" xmlns:vt="http://schemas.openxmlformats.org/officeDocument/2006/docPropsVTypes"/>
</file>