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Antara Filsafat and Penafsiran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529688_581953129">
            <w:r>
              <w:rPr>
                <w:webHidden/>
                <w:rStyle w:val="IndexLink"/>
              </w:rPr>
              <w:t>BOOK ID</w:t>
              <w:tab/>
              <w:t>5</w:t>
            </w:r>
          </w:hyperlink>
        </w:p>
        <w:p>
          <w:pPr>
            <w:pStyle w:val="Contents2"/>
            <w:tabs>
              <w:tab w:val="clear" w:pos="8743"/>
              <w:tab w:val="right" w:pos="9026" w:leader="dot"/>
            </w:tabs>
            <w:bidi w:val="0"/>
            <w:rPr/>
          </w:pPr>
          <w:hyperlink w:anchor="__RefHeading___Toc5529690_581953129">
            <w:r>
              <w:rPr>
                <w:webHidden/>
                <w:rStyle w:val="IndexLink"/>
              </w:rPr>
              <w:t>Point</w:t>
              <w:tab/>
              <w:t>5</w:t>
            </w:r>
          </w:hyperlink>
        </w:p>
        <w:p>
          <w:pPr>
            <w:pStyle w:val="Contents2"/>
            <w:tabs>
              <w:tab w:val="clear" w:pos="8743"/>
              <w:tab w:val="right" w:pos="9026" w:leader="dot"/>
            </w:tabs>
            <w:bidi w:val="0"/>
            <w:rPr/>
          </w:pPr>
          <w:hyperlink w:anchor="__RefHeading___Toc5529692_581953129">
            <w:r>
              <w:rPr>
                <w:webHidden/>
                <w:rStyle w:val="IndexLink"/>
              </w:rPr>
              <w:t>Pedoman Transliterasi Arab</w:t>
              <w:tab/>
              <w:t>9</w:t>
            </w:r>
          </w:hyperlink>
        </w:p>
        <w:p>
          <w:pPr>
            <w:pStyle w:val="Contents2"/>
            <w:tabs>
              <w:tab w:val="clear" w:pos="8743"/>
              <w:tab w:val="right" w:pos="9026" w:leader="dot"/>
            </w:tabs>
            <w:bidi w:val="0"/>
            <w:rPr/>
          </w:pPr>
          <w:hyperlink w:anchor="__RefHeading___Toc5529694_581953129">
            <w:r>
              <w:rPr>
                <w:webHidden/>
                <w:rStyle w:val="IndexLink"/>
              </w:rPr>
              <w:t>Pedoman Transliterasi Persia</w:t>
              <w:tab/>
              <w:t>10</w:t>
            </w:r>
          </w:hyperlink>
        </w:p>
        <w:p>
          <w:pPr>
            <w:pStyle w:val="Contents2"/>
            <w:tabs>
              <w:tab w:val="clear" w:pos="8743"/>
              <w:tab w:val="right" w:pos="9026" w:leader="dot"/>
            </w:tabs>
            <w:bidi w:val="0"/>
            <w:rPr/>
          </w:pPr>
          <w:hyperlink w:anchor="__RefHeading___Toc5529696_581953129">
            <w:r>
              <w:rPr>
                <w:webHidden/>
                <w:rStyle w:val="IndexLink"/>
              </w:rPr>
              <w:t>Daftar Isi</w:t>
              <w:tab/>
              <w:t>11</w:t>
            </w:r>
          </w:hyperlink>
        </w:p>
        <w:p>
          <w:pPr>
            <w:pStyle w:val="Contents2"/>
            <w:tabs>
              <w:tab w:val="clear" w:pos="8743"/>
              <w:tab w:val="right" w:pos="9026" w:leader="dot"/>
            </w:tabs>
            <w:bidi w:val="0"/>
            <w:rPr/>
          </w:pPr>
          <w:hyperlink w:anchor="__RefHeading___Toc5529698_581953129">
            <w:r>
              <w:rPr>
                <w:webHidden/>
                <w:rStyle w:val="IndexLink"/>
              </w:rPr>
              <w:t>Pengantar Penulis</w:t>
              <w:tab/>
              <w:t>13</w:t>
            </w:r>
          </w:hyperlink>
        </w:p>
        <w:p>
          <w:pPr>
            <w:pStyle w:val="Contents2"/>
            <w:tabs>
              <w:tab w:val="clear" w:pos="8743"/>
              <w:tab w:val="right" w:pos="9026" w:leader="dot"/>
            </w:tabs>
            <w:bidi w:val="0"/>
            <w:rPr/>
          </w:pPr>
          <w:hyperlink w:anchor="__RefHeading___Toc5529700_581953129">
            <w:r>
              <w:rPr>
                <w:webHidden/>
                <w:rStyle w:val="IndexLink"/>
              </w:rPr>
              <w:t>ВАВ І</w:t>
              <w:tab/>
              <w:t>16</w:t>
            </w:r>
          </w:hyperlink>
        </w:p>
        <w:p>
          <w:pPr>
            <w:pStyle w:val="Contents3"/>
            <w:tabs>
              <w:tab w:val="clear" w:pos="8459"/>
              <w:tab w:val="right" w:pos="9026" w:leader="dot"/>
            </w:tabs>
            <w:bidi w:val="0"/>
            <w:rPr/>
          </w:pPr>
          <w:hyperlink w:anchor="__RefHeading___Toc5529702_581953129">
            <w:r>
              <w:rPr>
                <w:webHidden/>
                <w:rStyle w:val="IndexLink"/>
              </w:rPr>
              <w:t>METODOLOGI</w:t>
              <w:tab/>
              <w:t>16</w:t>
            </w:r>
          </w:hyperlink>
        </w:p>
        <w:p>
          <w:pPr>
            <w:pStyle w:val="Contents3"/>
            <w:tabs>
              <w:tab w:val="clear" w:pos="8459"/>
              <w:tab w:val="right" w:pos="9026" w:leader="dot"/>
            </w:tabs>
            <w:bidi w:val="0"/>
            <w:rPr/>
          </w:pPr>
          <w:hyperlink w:anchor="__RefHeading___Toc5529704_581953129">
            <w:r>
              <w:rPr>
                <w:webHidden/>
                <w:rStyle w:val="IndexLink"/>
              </w:rPr>
              <w:t>Agama: Sarana Menuju Puncak Pengetahuan</w:t>
              <w:tab/>
              <w:t>18</w:t>
            </w:r>
          </w:hyperlink>
        </w:p>
        <w:p>
          <w:pPr>
            <w:pStyle w:val="Contents3"/>
            <w:tabs>
              <w:tab w:val="clear" w:pos="8459"/>
              <w:tab w:val="right" w:pos="9026" w:leader="dot"/>
            </w:tabs>
            <w:bidi w:val="0"/>
            <w:rPr/>
          </w:pPr>
          <w:hyperlink w:anchor="__RefHeading___Toc5529706_581953129">
            <w:r>
              <w:rPr>
                <w:webHidden/>
                <w:rStyle w:val="IndexLink"/>
              </w:rPr>
              <w:t>Relevansi Hikmah, Filsafat dengan Agama</w:t>
              <w:tab/>
              <w:t>20</w:t>
            </w:r>
          </w:hyperlink>
        </w:p>
        <w:p>
          <w:pPr>
            <w:pStyle w:val="Contents3"/>
            <w:tabs>
              <w:tab w:val="clear" w:pos="8459"/>
              <w:tab w:val="right" w:pos="9026" w:leader="dot"/>
            </w:tabs>
            <w:bidi w:val="0"/>
            <w:rPr/>
          </w:pPr>
          <w:hyperlink w:anchor="__RefHeading___Toc5529708_581953129">
            <w:r>
              <w:rPr>
                <w:webHidden/>
                <w:rStyle w:val="IndexLink"/>
              </w:rPr>
              <w:t>Skripturalisme</w:t>
              <w:tab/>
              <w:t>23</w:t>
            </w:r>
          </w:hyperlink>
        </w:p>
        <w:p>
          <w:pPr>
            <w:pStyle w:val="Contents3"/>
            <w:tabs>
              <w:tab w:val="clear" w:pos="8459"/>
              <w:tab w:val="right" w:pos="9026" w:leader="dot"/>
            </w:tabs>
            <w:bidi w:val="0"/>
            <w:rPr/>
          </w:pPr>
          <w:hyperlink w:anchor="__RefHeading___Toc5529710_581953129">
            <w:r>
              <w:rPr>
                <w:webHidden/>
                <w:rStyle w:val="IndexLink"/>
              </w:rPr>
              <w:t>Hubungan Lahir dan Batin</w:t>
              <w:tab/>
              <w:t>26</w:t>
            </w:r>
          </w:hyperlink>
        </w:p>
        <w:p>
          <w:pPr>
            <w:pStyle w:val="Contents3"/>
            <w:tabs>
              <w:tab w:val="clear" w:pos="8459"/>
              <w:tab w:val="right" w:pos="9026" w:leader="dot"/>
            </w:tabs>
            <w:bidi w:val="0"/>
            <w:rPr/>
          </w:pPr>
          <w:hyperlink w:anchor="__RefHeading___Toc5529712_581953129">
            <w:r>
              <w:rPr>
                <w:webHidden/>
                <w:rStyle w:val="IndexLink"/>
              </w:rPr>
              <w:t>Tingkatan dan Tahapan Pengetahuan</w:t>
              <w:tab/>
              <w:t>29</w:t>
            </w:r>
          </w:hyperlink>
        </w:p>
        <w:p>
          <w:pPr>
            <w:pStyle w:val="Contents3"/>
            <w:tabs>
              <w:tab w:val="clear" w:pos="8459"/>
              <w:tab w:val="right" w:pos="9026" w:leader="dot"/>
            </w:tabs>
            <w:bidi w:val="0"/>
            <w:rPr/>
          </w:pPr>
          <w:hyperlink w:anchor="__RefHeading___Toc5529714_581953129">
            <w:r>
              <w:rPr>
                <w:webHidden/>
                <w:rStyle w:val="IndexLink"/>
              </w:rPr>
              <w:t>Kedudukan Filsafat: Falsafah Luhur (Falsafah ‘Ali), Bukan Falsafah Awam</w:t>
              <w:tab/>
              <w:t>36</w:t>
            </w:r>
          </w:hyperlink>
        </w:p>
        <w:p>
          <w:pPr>
            <w:pStyle w:val="Contents3"/>
            <w:tabs>
              <w:tab w:val="clear" w:pos="8459"/>
              <w:tab w:val="right" w:pos="9026" w:leader="dot"/>
            </w:tabs>
            <w:bidi w:val="0"/>
            <w:rPr/>
          </w:pPr>
          <w:hyperlink w:anchor="__RefHeading___Toc5529716_581953129">
            <w:r>
              <w:rPr>
                <w:webHidden/>
                <w:rStyle w:val="IndexLink"/>
              </w:rPr>
              <w:t>Kedudukan Al-Quran</w:t>
              <w:tab/>
              <w:t>41</w:t>
            </w:r>
          </w:hyperlink>
        </w:p>
        <w:p>
          <w:pPr>
            <w:pStyle w:val="Contents3"/>
            <w:tabs>
              <w:tab w:val="clear" w:pos="8459"/>
              <w:tab w:val="right" w:pos="9026" w:leader="dot"/>
            </w:tabs>
            <w:bidi w:val="0"/>
            <w:rPr/>
          </w:pPr>
          <w:hyperlink w:anchor="__RefHeading___Toc5529718_581953129">
            <w:r>
              <w:rPr>
                <w:webHidden/>
                <w:rStyle w:val="IndexLink"/>
              </w:rPr>
              <w:t>Penghalang Ilmu</w:t>
              <w:tab/>
              <w:t>60</w:t>
            </w:r>
          </w:hyperlink>
        </w:p>
        <w:p>
          <w:pPr>
            <w:pStyle w:val="Contents3"/>
            <w:tabs>
              <w:tab w:val="clear" w:pos="8459"/>
              <w:tab w:val="right" w:pos="9026" w:leader="dot"/>
            </w:tabs>
            <w:bidi w:val="0"/>
            <w:rPr/>
          </w:pPr>
          <w:hyperlink w:anchor="__RefHeading___Toc5529720_581953129">
            <w:r>
              <w:rPr>
                <w:webHidden/>
                <w:rStyle w:val="IndexLink"/>
              </w:rPr>
              <w:t>Catatan I:</w:t>
              <w:tab/>
              <w:t>71</w:t>
            </w:r>
          </w:hyperlink>
        </w:p>
        <w:p>
          <w:pPr>
            <w:pStyle w:val="Contents2"/>
            <w:tabs>
              <w:tab w:val="clear" w:pos="8743"/>
              <w:tab w:val="right" w:pos="9026" w:leader="dot"/>
            </w:tabs>
            <w:bidi w:val="0"/>
            <w:rPr/>
          </w:pPr>
          <w:hyperlink w:anchor="__RefHeading___Toc5529722_581953129">
            <w:r>
              <w:rPr>
                <w:webHidden/>
                <w:rStyle w:val="IndexLink"/>
              </w:rPr>
              <w:t>BAB II</w:t>
              <w:tab/>
              <w:t>74</w:t>
            </w:r>
          </w:hyperlink>
        </w:p>
        <w:p>
          <w:pPr>
            <w:pStyle w:val="Contents3"/>
            <w:tabs>
              <w:tab w:val="clear" w:pos="8459"/>
              <w:tab w:val="right" w:pos="9026" w:leader="dot"/>
            </w:tabs>
            <w:bidi w:val="0"/>
            <w:rPr/>
          </w:pPr>
          <w:hyperlink w:anchor="__RefHeading___Toc5529724_581953129">
            <w:r>
              <w:rPr>
                <w:webHidden/>
                <w:rStyle w:val="IndexLink"/>
              </w:rPr>
              <w:t>PRINSIP-PRINSIP FILSAFAT DAN PANDANGAN DUNIA</w:t>
              <w:tab/>
              <w:t>74</w:t>
            </w:r>
          </w:hyperlink>
        </w:p>
        <w:p>
          <w:pPr>
            <w:pStyle w:val="Contents3"/>
            <w:tabs>
              <w:tab w:val="clear" w:pos="8459"/>
              <w:tab w:val="right" w:pos="9026" w:leader="dot"/>
            </w:tabs>
            <w:bidi w:val="0"/>
            <w:rPr/>
          </w:pPr>
          <w:hyperlink w:anchor="__RefHeading___Toc5529726_581953129">
            <w:r>
              <w:rPr>
                <w:webHidden/>
                <w:rStyle w:val="IndexLink"/>
              </w:rPr>
              <w:t>Teologi: Mengenal Tuhan</w:t>
              <w:tab/>
              <w:t>77</w:t>
            </w:r>
          </w:hyperlink>
        </w:p>
        <w:p>
          <w:pPr>
            <w:pStyle w:val="Contents3"/>
            <w:tabs>
              <w:tab w:val="clear" w:pos="8459"/>
              <w:tab w:val="right" w:pos="9026" w:leader="dot"/>
            </w:tabs>
            <w:bidi w:val="0"/>
            <w:rPr/>
          </w:pPr>
          <w:hyperlink w:anchor="__RefHeading___Toc5529728_581953129">
            <w:r>
              <w:rPr>
                <w:webHidden/>
                <w:rStyle w:val="IndexLink"/>
              </w:rPr>
              <w:t>Tauhid Sifat</w:t>
              <w:tab/>
              <w:t>79</w:t>
            </w:r>
          </w:hyperlink>
        </w:p>
        <w:p>
          <w:pPr>
            <w:pStyle w:val="Contents3"/>
            <w:tabs>
              <w:tab w:val="clear" w:pos="8459"/>
              <w:tab w:val="right" w:pos="9026" w:leader="dot"/>
            </w:tabs>
            <w:bidi w:val="0"/>
            <w:rPr/>
          </w:pPr>
          <w:hyperlink w:anchor="__RefHeading___Toc5529730_581953129">
            <w:r>
              <w:rPr>
                <w:webHidden/>
                <w:rStyle w:val="IndexLink"/>
              </w:rPr>
              <w:t>Tauhid Perbuatan</w:t>
              <w:tab/>
              <w:t>82</w:t>
            </w:r>
          </w:hyperlink>
        </w:p>
        <w:p>
          <w:pPr>
            <w:pStyle w:val="Contents3"/>
            <w:tabs>
              <w:tab w:val="clear" w:pos="8459"/>
              <w:tab w:val="right" w:pos="9026" w:leader="dot"/>
            </w:tabs>
            <w:bidi w:val="0"/>
            <w:rPr/>
          </w:pPr>
          <w:hyperlink w:anchor="__RefHeading___Toc5529732_581953129">
            <w:r>
              <w:rPr>
                <w:webHidden/>
                <w:rStyle w:val="IndexLink"/>
              </w:rPr>
              <w:t>Antropologi</w:t>
              <w:tab/>
              <w:t>87</w:t>
            </w:r>
          </w:hyperlink>
        </w:p>
        <w:p>
          <w:pPr>
            <w:pStyle w:val="Contents3"/>
            <w:tabs>
              <w:tab w:val="clear" w:pos="8459"/>
              <w:tab w:val="right" w:pos="9026" w:leader="dot"/>
            </w:tabs>
            <w:bidi w:val="0"/>
            <w:rPr/>
          </w:pPr>
          <w:hyperlink w:anchor="__RefHeading___Toc5529734_581953129">
            <w:r>
              <w:rPr>
                <w:webHidden/>
                <w:rStyle w:val="IndexLink"/>
              </w:rPr>
              <w:t>Insan Kamil</w:t>
              <w:tab/>
              <w:t>88</w:t>
            </w:r>
          </w:hyperlink>
        </w:p>
        <w:p>
          <w:pPr>
            <w:pStyle w:val="Contents3"/>
            <w:tabs>
              <w:tab w:val="clear" w:pos="8459"/>
              <w:tab w:val="right" w:pos="9026" w:leader="dot"/>
            </w:tabs>
            <w:bidi w:val="0"/>
            <w:rPr/>
          </w:pPr>
          <w:hyperlink w:anchor="__RefHeading___Toc5529736_581953129">
            <w:r>
              <w:rPr>
                <w:webHidden/>
                <w:rStyle w:val="IndexLink"/>
              </w:rPr>
              <w:t>Garis Perjalanan Penyempurnaan Manusia Biasa</w:t>
              <w:tab/>
              <w:t>94</w:t>
            </w:r>
          </w:hyperlink>
        </w:p>
        <w:p>
          <w:pPr>
            <w:pStyle w:val="Contents3"/>
            <w:tabs>
              <w:tab w:val="clear" w:pos="8459"/>
              <w:tab w:val="right" w:pos="9026" w:leader="dot"/>
            </w:tabs>
            <w:bidi w:val="0"/>
            <w:rPr/>
          </w:pPr>
          <w:hyperlink w:anchor="__RefHeading___Toc5529738_581953129">
            <w:r>
              <w:rPr>
                <w:webHidden/>
                <w:rStyle w:val="IndexLink"/>
              </w:rPr>
              <w:t>Insan Kamil sebagai Perantara bagi Kesempurnaan Manusia Lainnya</w:t>
              <w:tab/>
              <w:t>97</w:t>
            </w:r>
          </w:hyperlink>
        </w:p>
        <w:p>
          <w:pPr>
            <w:pStyle w:val="Contents3"/>
            <w:tabs>
              <w:tab w:val="clear" w:pos="8459"/>
              <w:tab w:val="right" w:pos="9026" w:leader="dot"/>
            </w:tabs>
            <w:bidi w:val="0"/>
            <w:rPr/>
          </w:pPr>
          <w:hyperlink w:anchor="__RefHeading___Toc5529740_581953129">
            <w:r>
              <w:rPr>
                <w:webHidden/>
                <w:rStyle w:val="IndexLink"/>
              </w:rPr>
              <w:t>Tingkatan Nafs dan Maqam Manusia</w:t>
              <w:tab/>
              <w:t>98</w:t>
            </w:r>
          </w:hyperlink>
        </w:p>
        <w:p>
          <w:pPr>
            <w:pStyle w:val="Contents3"/>
            <w:tabs>
              <w:tab w:val="clear" w:pos="8459"/>
              <w:tab w:val="right" w:pos="9026" w:leader="dot"/>
            </w:tabs>
            <w:bidi w:val="0"/>
            <w:rPr/>
          </w:pPr>
          <w:hyperlink w:anchor="__RefHeading___Toc5529742_581953129">
            <w:r>
              <w:rPr>
                <w:webHidden/>
                <w:rStyle w:val="IndexLink"/>
              </w:rPr>
              <w:t>Awal dan Akhir Kesempurnaan</w:t>
              <w:tab/>
              <w:t>100</w:t>
            </w:r>
          </w:hyperlink>
        </w:p>
        <w:p>
          <w:pPr>
            <w:pStyle w:val="Contents3"/>
            <w:tabs>
              <w:tab w:val="clear" w:pos="8459"/>
              <w:tab w:val="right" w:pos="9026" w:leader="dot"/>
            </w:tabs>
            <w:bidi w:val="0"/>
            <w:rPr/>
          </w:pPr>
          <w:hyperlink w:anchor="__RefHeading___Toc5529744_581953129">
            <w:r>
              <w:rPr>
                <w:webHidden/>
                <w:rStyle w:val="IndexLink"/>
              </w:rPr>
              <w:t>Kosmologi</w:t>
              <w:tab/>
              <w:t>102</w:t>
            </w:r>
          </w:hyperlink>
        </w:p>
        <w:p>
          <w:pPr>
            <w:pStyle w:val="Contents3"/>
            <w:tabs>
              <w:tab w:val="clear" w:pos="8459"/>
              <w:tab w:val="right" w:pos="9026" w:leader="dot"/>
            </w:tabs>
            <w:bidi w:val="0"/>
            <w:rPr/>
          </w:pPr>
          <w:hyperlink w:anchor="__RefHeading___Toc5529746_581953129">
            <w:r>
              <w:rPr>
                <w:webHidden/>
                <w:rStyle w:val="IndexLink"/>
              </w:rPr>
              <w:t>Catatan II:</w:t>
              <w:tab/>
              <w:t>106</w:t>
            </w:r>
          </w:hyperlink>
        </w:p>
        <w:p>
          <w:pPr>
            <w:pStyle w:val="Contents2"/>
            <w:tabs>
              <w:tab w:val="clear" w:pos="8743"/>
              <w:tab w:val="right" w:pos="9026" w:leader="dot"/>
            </w:tabs>
            <w:bidi w:val="0"/>
            <w:rPr/>
          </w:pPr>
          <w:hyperlink w:anchor="__RefHeading___Toc5529748_581953129">
            <w:r>
              <w:rPr>
                <w:webHidden/>
                <w:rStyle w:val="IndexLink"/>
              </w:rPr>
              <w:t>BAB III</w:t>
              <w:tab/>
              <w:t>108</w:t>
            </w:r>
          </w:hyperlink>
        </w:p>
        <w:p>
          <w:pPr>
            <w:pStyle w:val="Contents3"/>
            <w:tabs>
              <w:tab w:val="clear" w:pos="8459"/>
              <w:tab w:val="right" w:pos="9026" w:leader="dot"/>
            </w:tabs>
            <w:bidi w:val="0"/>
            <w:rPr/>
          </w:pPr>
          <w:hyperlink w:anchor="__RefHeading___Toc5529750_581953129">
            <w:r>
              <w:rPr>
                <w:webHidden/>
                <w:rStyle w:val="IndexLink"/>
              </w:rPr>
              <w:t>PRINSIP-PRINSIP FILOSOFIS DAN PENAFSIRAN TEKS</w:t>
              <w:tab/>
              <w:t>108</w:t>
            </w:r>
          </w:hyperlink>
        </w:p>
        <w:p>
          <w:pPr>
            <w:pStyle w:val="Contents3"/>
            <w:tabs>
              <w:tab w:val="clear" w:pos="8459"/>
              <w:tab w:val="right" w:pos="9026" w:leader="dot"/>
            </w:tabs>
            <w:bidi w:val="0"/>
            <w:rPr/>
          </w:pPr>
          <w:hyperlink w:anchor="__RefHeading___Toc5529752_581953129">
            <w:r>
              <w:rPr>
                <w:webHidden/>
                <w:rStyle w:val="IndexLink"/>
              </w:rPr>
              <w:t>Āyat (Tanda)</w:t>
              <w:tab/>
              <w:t>110</w:t>
            </w:r>
          </w:hyperlink>
        </w:p>
        <w:p>
          <w:pPr>
            <w:pStyle w:val="Contents3"/>
            <w:tabs>
              <w:tab w:val="clear" w:pos="8459"/>
              <w:tab w:val="right" w:pos="9026" w:leader="dot"/>
            </w:tabs>
            <w:bidi w:val="0"/>
            <w:rPr/>
          </w:pPr>
          <w:hyperlink w:anchor="__RefHeading___Toc5529754_581953129">
            <w:r>
              <w:rPr>
                <w:webHidden/>
                <w:rStyle w:val="IndexLink"/>
              </w:rPr>
              <w:t>Ism (Nama)</w:t>
              <w:tab/>
              <w:t>115</w:t>
            </w:r>
          </w:hyperlink>
        </w:p>
        <w:p>
          <w:pPr>
            <w:pStyle w:val="Contents3"/>
            <w:tabs>
              <w:tab w:val="clear" w:pos="8459"/>
              <w:tab w:val="right" w:pos="9026" w:leader="dot"/>
            </w:tabs>
            <w:bidi w:val="0"/>
            <w:rPr/>
          </w:pPr>
          <w:hyperlink w:anchor="__RefHeading___Toc5529756_581953129">
            <w:r>
              <w:rPr>
                <w:webHidden/>
                <w:rStyle w:val="IndexLink"/>
              </w:rPr>
              <w:t>Amr Baina Amrain (Posisi di Antara Dua Posisi)</w:t>
              <w:tab/>
              <w:t>117</w:t>
            </w:r>
          </w:hyperlink>
        </w:p>
        <w:p>
          <w:pPr>
            <w:pStyle w:val="Contents3"/>
            <w:tabs>
              <w:tab w:val="clear" w:pos="8459"/>
              <w:tab w:val="right" w:pos="9026" w:leader="dot"/>
            </w:tabs>
            <w:bidi w:val="0"/>
            <w:rPr/>
          </w:pPr>
          <w:hyperlink w:anchor="__RefHeading___Toc5529758_581953129">
            <w:r>
              <w:rPr>
                <w:webHidden/>
                <w:rStyle w:val="IndexLink"/>
              </w:rPr>
              <w:t>Tafwīdh</w:t>
              <w:tab/>
              <w:t>119</w:t>
            </w:r>
          </w:hyperlink>
        </w:p>
        <w:p>
          <w:pPr>
            <w:pStyle w:val="Contents3"/>
            <w:tabs>
              <w:tab w:val="clear" w:pos="8459"/>
              <w:tab w:val="right" w:pos="9026" w:leader="dot"/>
            </w:tabs>
            <w:bidi w:val="0"/>
            <w:rPr/>
          </w:pPr>
          <w:hyperlink w:anchor="__RefHeading___Toc5529760_581953129">
            <w:r>
              <w:rPr>
                <w:webHidden/>
                <w:rStyle w:val="IndexLink"/>
              </w:rPr>
              <w:t>Jabr (Determinisme)</w:t>
              <w:tab/>
              <w:t>122</w:t>
            </w:r>
          </w:hyperlink>
        </w:p>
        <w:p>
          <w:pPr>
            <w:pStyle w:val="Contents3"/>
            <w:tabs>
              <w:tab w:val="clear" w:pos="8459"/>
              <w:tab w:val="right" w:pos="9026" w:leader="dot"/>
            </w:tabs>
            <w:bidi w:val="0"/>
            <w:rPr/>
          </w:pPr>
          <w:hyperlink w:anchor="__RefHeading___Toc5529762_581953129">
            <w:r>
              <w:rPr>
                <w:webHidden/>
                <w:rStyle w:val="IndexLink"/>
              </w:rPr>
              <w:t>Tahlil</w:t>
              <w:tab/>
              <w:t>124</w:t>
            </w:r>
          </w:hyperlink>
        </w:p>
        <w:p>
          <w:pPr>
            <w:pStyle w:val="Contents3"/>
            <w:tabs>
              <w:tab w:val="clear" w:pos="8459"/>
              <w:tab w:val="right" w:pos="9026" w:leader="dot"/>
            </w:tabs>
            <w:bidi w:val="0"/>
            <w:rPr/>
          </w:pPr>
          <w:hyperlink w:anchor="__RefHeading___Toc5529764_581953129">
            <w:r>
              <w:rPr>
                <w:webHidden/>
                <w:rStyle w:val="IndexLink"/>
              </w:rPr>
              <w:t>Tasbih</w:t>
              <w:tab/>
              <w:t>125</w:t>
            </w:r>
          </w:hyperlink>
        </w:p>
        <w:p>
          <w:pPr>
            <w:pStyle w:val="Contents3"/>
            <w:tabs>
              <w:tab w:val="clear" w:pos="8459"/>
              <w:tab w:val="right" w:pos="9026" w:leader="dot"/>
            </w:tabs>
            <w:bidi w:val="0"/>
            <w:rPr/>
          </w:pPr>
          <w:hyperlink w:anchor="__RefHeading___Toc5529766_581953129">
            <w:r>
              <w:rPr>
                <w:webHidden/>
                <w:rStyle w:val="IndexLink"/>
              </w:rPr>
              <w:t>Bahā</w:t>
              <w:tab/>
              <w:t>127</w:t>
            </w:r>
          </w:hyperlink>
        </w:p>
        <w:p>
          <w:pPr>
            <w:pStyle w:val="Contents3"/>
            <w:tabs>
              <w:tab w:val="clear" w:pos="8459"/>
              <w:tab w:val="right" w:pos="9026" w:leader="dot"/>
            </w:tabs>
            <w:bidi w:val="0"/>
            <w:rPr/>
          </w:pPr>
          <w:hyperlink w:anchor="__RefHeading___Toc5529768_581953129">
            <w:r>
              <w:rPr>
                <w:webHidden/>
                <w:rStyle w:val="IndexLink"/>
              </w:rPr>
              <w:t>Jamāl (Keindahan) dan Jalāl (Keagungan)</w:t>
              <w:tab/>
              <w:t>129</w:t>
            </w:r>
          </w:hyperlink>
        </w:p>
        <w:p>
          <w:pPr>
            <w:pStyle w:val="Contents3"/>
            <w:tabs>
              <w:tab w:val="clear" w:pos="8459"/>
              <w:tab w:val="right" w:pos="9026" w:leader="dot"/>
            </w:tabs>
            <w:bidi w:val="0"/>
            <w:rPr/>
          </w:pPr>
          <w:hyperlink w:anchor="__RefHeading___Toc5529770_581953129">
            <w:r>
              <w:rPr>
                <w:webHidden/>
                <w:rStyle w:val="IndexLink"/>
              </w:rPr>
              <w:t>Khair (Kebaikan) dan Syar (Keburukan)</w:t>
              <w:tab/>
              <w:t>131</w:t>
            </w:r>
          </w:hyperlink>
        </w:p>
        <w:p>
          <w:pPr>
            <w:pStyle w:val="Contents3"/>
            <w:tabs>
              <w:tab w:val="clear" w:pos="8459"/>
              <w:tab w:val="right" w:pos="9026" w:leader="dot"/>
            </w:tabs>
            <w:bidi w:val="0"/>
            <w:rPr/>
          </w:pPr>
          <w:hyperlink w:anchor="__RefHeading___Toc5529772_581953129">
            <w:r>
              <w:rPr>
                <w:webHidden/>
                <w:rStyle w:val="IndexLink"/>
              </w:rPr>
              <w:t>Rahmah (Rahmat)</w:t>
              <w:tab/>
              <w:t>134</w:t>
            </w:r>
          </w:hyperlink>
        </w:p>
        <w:p>
          <w:pPr>
            <w:pStyle w:val="Contents3"/>
            <w:tabs>
              <w:tab w:val="clear" w:pos="8459"/>
              <w:tab w:val="right" w:pos="9026" w:leader="dot"/>
            </w:tabs>
            <w:bidi w:val="0"/>
            <w:rPr/>
          </w:pPr>
          <w:hyperlink w:anchor="__RefHeading___Toc5529774_581953129">
            <w:r>
              <w:rPr>
                <w:webHidden/>
                <w:rStyle w:val="IndexLink"/>
              </w:rPr>
              <w:t>Su' al (Permohonan)</w:t>
              <w:tab/>
              <w:t>136</w:t>
            </w:r>
          </w:hyperlink>
        </w:p>
        <w:p>
          <w:pPr>
            <w:pStyle w:val="Contents3"/>
            <w:tabs>
              <w:tab w:val="clear" w:pos="8459"/>
              <w:tab w:val="right" w:pos="9026" w:leader="dot"/>
            </w:tabs>
            <w:bidi w:val="0"/>
            <w:rPr/>
          </w:pPr>
          <w:hyperlink w:anchor="__RefHeading___Toc5529776_581953129">
            <w:r>
              <w:rPr>
                <w:webHidden/>
                <w:rStyle w:val="IndexLink"/>
              </w:rPr>
              <w:t>Syarāf (Kemuliaan)</w:t>
              <w:tab/>
              <w:t>138</w:t>
            </w:r>
          </w:hyperlink>
        </w:p>
        <w:p>
          <w:pPr>
            <w:pStyle w:val="Contents3"/>
            <w:tabs>
              <w:tab w:val="clear" w:pos="8459"/>
              <w:tab w:val="right" w:pos="9026" w:leader="dot"/>
            </w:tabs>
            <w:bidi w:val="0"/>
            <w:rPr/>
          </w:pPr>
          <w:hyperlink w:anchor="__RefHeading___Toc5529778_581953129">
            <w:r>
              <w:rPr>
                <w:webHidden/>
                <w:rStyle w:val="IndexLink"/>
              </w:rPr>
              <w:t>'Azīz</w:t>
              <w:tab/>
              <w:t>140</w:t>
            </w:r>
          </w:hyperlink>
        </w:p>
        <w:p>
          <w:pPr>
            <w:pStyle w:val="Contents3"/>
            <w:tabs>
              <w:tab w:val="clear" w:pos="8459"/>
              <w:tab w:val="right" w:pos="9026" w:leader="dot"/>
            </w:tabs>
            <w:bidi w:val="0"/>
            <w:rPr/>
          </w:pPr>
          <w:hyperlink w:anchor="__RefHeading___Toc5529780_581953129">
            <w:r>
              <w:rPr>
                <w:webHidden/>
                <w:rStyle w:val="IndexLink"/>
              </w:rPr>
              <w:t>'Ilm (Ilmu)</w:t>
              <w:tab/>
              <w:t>142</w:t>
            </w:r>
          </w:hyperlink>
        </w:p>
        <w:p>
          <w:pPr>
            <w:pStyle w:val="Contents3"/>
            <w:tabs>
              <w:tab w:val="clear" w:pos="8459"/>
              <w:tab w:val="right" w:pos="9026" w:leader="dot"/>
            </w:tabs>
            <w:bidi w:val="0"/>
            <w:rPr/>
          </w:pPr>
          <w:hyperlink w:anchor="__RefHeading___Toc5529782_581953129">
            <w:r>
              <w:rPr>
                <w:webHidden/>
                <w:rStyle w:val="IndexLink"/>
              </w:rPr>
              <w:t>'Ainiyyah (Kesatuan) Ilmu dengan Dzat</w:t>
              <w:tab/>
              <w:t>143</w:t>
            </w:r>
          </w:hyperlink>
        </w:p>
        <w:p>
          <w:pPr>
            <w:pStyle w:val="Contents3"/>
            <w:tabs>
              <w:tab w:val="clear" w:pos="8459"/>
              <w:tab w:val="right" w:pos="9026" w:leader="dot"/>
            </w:tabs>
            <w:bidi w:val="0"/>
            <w:rPr/>
          </w:pPr>
          <w:hyperlink w:anchor="__RefHeading___Toc5529784_581953129">
            <w:r>
              <w:rPr>
                <w:webHidden/>
                <w:rStyle w:val="IndexLink"/>
              </w:rPr>
              <w:t>Pengetahuan Tuhan terhadap yang Selain-Nya</w:t>
              <w:tab/>
              <w:t>145</w:t>
            </w:r>
          </w:hyperlink>
        </w:p>
        <w:p>
          <w:pPr>
            <w:pStyle w:val="Contents3"/>
            <w:tabs>
              <w:tab w:val="clear" w:pos="8459"/>
              <w:tab w:val="right" w:pos="9026" w:leader="dot"/>
            </w:tabs>
            <w:bidi w:val="0"/>
            <w:rPr/>
          </w:pPr>
          <w:hyperlink w:anchor="__RefHeading___Toc5529786_581953129">
            <w:r>
              <w:rPr>
                <w:webHidden/>
                <w:rStyle w:val="IndexLink"/>
              </w:rPr>
              <w:t>Qadīm (Tidak Didahului Ketiadaan)</w:t>
              <w:tab/>
              <w:t>149</w:t>
            </w:r>
          </w:hyperlink>
        </w:p>
        <w:p>
          <w:pPr>
            <w:pStyle w:val="Contents3"/>
            <w:tabs>
              <w:tab w:val="clear" w:pos="8459"/>
              <w:tab w:val="right" w:pos="9026" w:leader="dot"/>
            </w:tabs>
            <w:bidi w:val="0"/>
            <w:rPr/>
          </w:pPr>
          <w:hyperlink w:anchor="__RefHeading___Toc5529788_581953129">
            <w:r>
              <w:rPr>
                <w:webHidden/>
                <w:rStyle w:val="IndexLink"/>
              </w:rPr>
              <w:t>Kalimah (Kata)</w:t>
              <w:tab/>
              <w:t>151</w:t>
            </w:r>
          </w:hyperlink>
        </w:p>
        <w:p>
          <w:pPr>
            <w:pStyle w:val="Contents3"/>
            <w:tabs>
              <w:tab w:val="clear" w:pos="8459"/>
              <w:tab w:val="right" w:pos="9026" w:leader="dot"/>
            </w:tabs>
            <w:bidi w:val="0"/>
            <w:rPr/>
          </w:pPr>
          <w:hyperlink w:anchor="__RefHeading___Toc5529790_581953129">
            <w:r>
              <w:rPr>
                <w:webHidden/>
                <w:rStyle w:val="IndexLink"/>
              </w:rPr>
              <w:t>Mālik (Penguasa)</w:t>
              <w:tab/>
              <w:t>154</w:t>
            </w:r>
          </w:hyperlink>
        </w:p>
        <w:p>
          <w:pPr>
            <w:pStyle w:val="Contents3"/>
            <w:tabs>
              <w:tab w:val="clear" w:pos="8459"/>
              <w:tab w:val="right" w:pos="9026" w:leader="dot"/>
            </w:tabs>
            <w:bidi w:val="0"/>
            <w:rPr/>
          </w:pPr>
          <w:hyperlink w:anchor="__RefHeading___Toc5529792_581953129">
            <w:r>
              <w:rPr>
                <w:webHidden/>
                <w:rStyle w:val="IndexLink"/>
              </w:rPr>
              <w:t>Masyi'ah (Kehendak)</w:t>
              <w:tab/>
              <w:t>155</w:t>
            </w:r>
          </w:hyperlink>
        </w:p>
        <w:p>
          <w:pPr>
            <w:pStyle w:val="Contents3"/>
            <w:tabs>
              <w:tab w:val="clear" w:pos="8459"/>
              <w:tab w:val="right" w:pos="9026" w:leader="dot"/>
            </w:tabs>
            <w:bidi w:val="0"/>
            <w:rPr/>
          </w:pPr>
          <w:hyperlink w:anchor="__RefHeading___Toc5529794_581953129">
            <w:r>
              <w:rPr>
                <w:webHidden/>
                <w:rStyle w:val="IndexLink"/>
              </w:rPr>
              <w:t>Nur (Cahaya)</w:t>
              <w:tab/>
              <w:t>157</w:t>
            </w:r>
          </w:hyperlink>
        </w:p>
        <w:p>
          <w:pPr>
            <w:pStyle w:val="Contents3"/>
            <w:tabs>
              <w:tab w:val="clear" w:pos="8459"/>
              <w:tab w:val="right" w:pos="9026" w:leader="dot"/>
            </w:tabs>
            <w:bidi w:val="0"/>
            <w:rPr/>
          </w:pPr>
          <w:hyperlink w:anchor="__RefHeading___Toc5529796_581953129">
            <w:r>
              <w:rPr>
                <w:webHidden/>
                <w:rStyle w:val="IndexLink"/>
              </w:rPr>
              <w:t>Catatan III:</w:t>
              <w:tab/>
              <w:t>160</w:t>
            </w:r>
          </w:hyperlink>
        </w:p>
        <w:p>
          <w:pPr>
            <w:pStyle w:val="Contents2"/>
            <w:tabs>
              <w:tab w:val="clear" w:pos="8743"/>
              <w:tab w:val="right" w:pos="9026" w:leader="dot"/>
            </w:tabs>
            <w:bidi w:val="0"/>
            <w:rPr/>
          </w:pPr>
          <w:hyperlink w:anchor="__RefHeading___Toc5529798_581953129">
            <w:r>
              <w:rPr>
                <w:webHidden/>
                <w:rStyle w:val="IndexLink"/>
              </w:rPr>
              <w:t>Daftar Pustaka</w:t>
              <w:tab/>
              <w:t>164</w:t>
            </w:r>
          </w:hyperlink>
        </w:p>
        <w:p>
          <w:pPr>
            <w:pStyle w:val="Contents2"/>
            <w:tabs>
              <w:tab w:val="clear" w:pos="8743"/>
              <w:tab w:val="right" w:pos="9026" w:leader="dot"/>
            </w:tabs>
            <w:bidi w:val="0"/>
            <w:rPr/>
          </w:pPr>
          <w:hyperlink w:anchor="__RefHeading___Toc5529800_581953129">
            <w:r>
              <w:rPr>
                <w:webHidden/>
                <w:rStyle w:val="IndexLink"/>
              </w:rPr>
              <w:t>Indeks</w:t>
              <w:tab/>
              <w:t>166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925_44140"/>
      <w:bookmarkStart w:id="1" w:name="pg5925_44140"/>
      <w:bookmarkEnd w:id="1"/>
    </w:p>
    <w:p>
      <w:pPr>
        <w:pStyle w:val="Heading2"/>
        <w:numPr>
          <w:ilvl w:val="1"/>
          <w:numId w:val="1"/>
        </w:numPr>
        <w:bidi w:val="0"/>
        <w:jc w:val="left"/>
        <w:rPr/>
      </w:pPr>
      <w:bookmarkStart w:id="2" w:name="pg5925_44140"/>
      <w:bookmarkStart w:id="3" w:name="__RefHeading___Toc5529688_581953129"/>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ارش‍ادی‌ن‍ی‍ا، م‍ح‍م‍درض‍ا،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bidi w:val="0"/>
        <w:jc w:val="both"/>
        <w:rPr/>
      </w:pPr>
      <w:r>
        <w:rPr>
          <w:rFonts w:eastAsia="Times New Roman" w:cs="Times New Roman" w:ascii="Times New Roman" w:hAnsi="Times New Roman"/>
          <w:color w:val="111111"/>
          <w:sz w:val="28"/>
          <w:szCs w:val="28"/>
          <w:lang w:val="en-US"/>
        </w:rPr>
        <w:t>IrsyadiNia, Muhammad Reza</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مبانی فلسفی در تفسیر متون دینی از دیدگاه امام خمینی 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Antara Filsafat and Penafsiran Teks-Teks Agama Pengaruh Dan Relasinya Dalam Pemikiran Imam Khomeini[Book]</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 Muhammad Reza Irsyadi Nia‏</w:t>
      </w:r>
      <w:r>
        <w:rPr>
          <w:rFonts w:eastAsia="Times New Roman" w:cs="Times New Roman" w:ascii="Times New Roman" w:hAnsi="Times New Roman"/>
          <w:color w:val="111111"/>
          <w:sz w:val="28"/>
          <w:szCs w:val="28"/>
          <w:lang w:val="en-US"/>
        </w:rPr>
        <w:t>‫‭‭; penterjemah Iwan Setiawan.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w:t>
      </w:r>
      <w:r>
        <w:rPr>
          <w:rFonts w:eastAsia="Times New Roman" w:cs="Times New Roman" w:ascii="Times New Roman" w:hAnsi="Times New Roman"/>
          <w:color w:val="111111"/>
          <w:sz w:val="28"/>
          <w:szCs w:val="28"/>
          <w:lang w:val="en-US"/>
        </w:rPr>
        <w:t>‫‭‭: Al-Mustafa International Translation and Publication Center‏</w:t>
      </w:r>
      <w:r>
        <w:rPr>
          <w:rFonts w:eastAsia="Times New Roman" w:cs="Times New Roman" w:ascii="Times New Roman" w:hAnsi="Times New Roman"/>
          <w:color w:val="111111"/>
          <w:sz w:val="28"/>
          <w:szCs w:val="28"/>
          <w:lang w:val="en-US"/>
        </w:rPr>
        <w:t>‫‭, 2014‏</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س‌م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978-964-195-268-8 :</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ستیاوان، ایوان، مترجم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Setiawan, Iwan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DSR</w:t>
      </w:r>
      <w:r>
        <w:rPr>
          <w:rFonts w:ascii="IRNazanin" w:hAnsi="IRNazanin" w:eastAsia="IRNazanin"/>
          <w:color w:val="111111"/>
          <w:sz w:val="28"/>
          <w:sz w:val="28"/>
          <w:szCs w:val="28"/>
          <w:lang w:bidi="fa-IR"/>
        </w:rPr>
        <w:t>۱۵۷۳</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‫‭ت۲۰۴۹۵۱۹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۰۸۴۲۰۹۲</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529690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Antara Filsafat and Penafsiran</w:t>
      </w:r>
    </w:p>
    <w:p>
      <w:pPr>
        <w:pStyle w:val="BookText"/>
        <w:bidi w:val="0"/>
        <w:jc w:val="both"/>
        <w:rPr/>
      </w:pPr>
      <w:r>
        <w:rPr>
          <w:rFonts w:eastAsia="Times New Roman" w:cs="Times New Roman" w:ascii="Times New Roman" w:hAnsi="Times New Roman"/>
          <w:color w:val="111111"/>
          <w:sz w:val="28"/>
          <w:szCs w:val="28"/>
          <w:lang w:val="en-US"/>
        </w:rPr>
        <w:t>Teks-Teks Agama Pengaruh Dan Relasinya</w:t>
      </w:r>
    </w:p>
    <w:p>
      <w:pPr>
        <w:pStyle w:val="BookText"/>
        <w:bidi w:val="0"/>
        <w:jc w:val="both"/>
        <w:rPr/>
      </w:pPr>
      <w:r>
        <w:rPr>
          <w:rFonts w:eastAsia="Times New Roman" w:cs="Times New Roman" w:ascii="Times New Roman" w:hAnsi="Times New Roman"/>
          <w:color w:val="111111"/>
          <w:sz w:val="28"/>
          <w:szCs w:val="28"/>
          <w:lang w:val="en-US"/>
        </w:rPr>
        <w:t>Dalam Pemikiran Imam Khomeini</w:t>
      </w:r>
    </w:p>
    <w:p>
      <w:pPr>
        <w:pStyle w:val="BookText"/>
        <w:bidi w:val="0"/>
        <w:jc w:val="both"/>
        <w:rPr/>
      </w:pPr>
      <w:r>
        <w:rPr>
          <w:rFonts w:eastAsia="Times New Roman" w:cs="Times New Roman" w:ascii="Times New Roman" w:hAnsi="Times New Roman"/>
          <w:color w:val="111111"/>
          <w:sz w:val="28"/>
          <w:szCs w:val="28"/>
          <w:lang w:val="en-US"/>
        </w:rPr>
        <w:t>Dr. Muhammad Reza I</w:t>
      </w:r>
    </w:p>
    <w:p>
      <w:pPr>
        <w:pStyle w:val="BookText"/>
        <w:bidi w:val="0"/>
        <w:jc w:val="both"/>
        <w:rPr/>
      </w:pPr>
      <w:r>
        <w:rPr>
          <w:rFonts w:eastAsia="Times New Roman" w:cs="Times New Roman" w:ascii="Times New Roman" w:hAnsi="Times New Roman"/>
          <w:color w:val="111111"/>
          <w:sz w:val="28"/>
          <w:szCs w:val="28"/>
          <w:lang w:val="en-US"/>
        </w:rPr>
        <w:t>li Nia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Iwan Setiawan</w:t>
      </w:r>
    </w:p>
    <w:p>
      <w:pPr>
        <w:pStyle w:val="BookText"/>
        <w:bidi w:val="0"/>
        <w:jc w:val="both"/>
        <w:rPr/>
      </w:pPr>
      <w:r>
        <w:rPr/>
        <mc:AlternateContent>
          <mc:Choice Requires="wps">
            <w:drawing>
              <wp:inline distT="0" distB="0" distL="0" distR="0">
                <wp:extent cx="508000" cy="762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07960" cy="762120"/>
                        </a:xfrm>
                        <a:prstGeom prst="rect">
                          <a:avLst/>
                        </a:prstGeom>
                        <a:ln w="0">
                          <a:noFill/>
                        </a:ln>
                      </pic:spPr>
                    </pic:pic>
                  </a:graphicData>
                </a:graphic>
              </wp:inline>
            </w:drawing>
          </mc:Choice>
          <mc:Fallback>
            <w:pict>
              <v:shape id="shape_0" stroked="f" o:allowincell="f" style="position:absolute;margin-left:0pt;margin-top:-60.05pt;width:39.95pt;height:5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Antara Filsafat and Penafsiran Teks-Teks Agama Pengaruh Dan Relasinya Dalam</w:t>
      </w:r>
    </w:p>
    <w:p>
      <w:pPr>
        <w:pStyle w:val="BookText"/>
        <w:bidi w:val="0"/>
        <w:jc w:val="both"/>
        <w:rPr/>
      </w:pPr>
      <w:r>
        <w:rPr>
          <w:rFonts w:eastAsia="Times New Roman" w:cs="Times New Roman" w:ascii="Times New Roman" w:hAnsi="Times New Roman"/>
          <w:color w:val="111111"/>
          <w:sz w:val="28"/>
          <w:szCs w:val="28"/>
          <w:lang w:val="en-US"/>
        </w:rPr>
        <w:t>Pemikiran Imam Khomeini</w:t>
      </w:r>
    </w:p>
    <w:p>
      <w:pPr>
        <w:pStyle w:val="BookText"/>
        <w:bidi w:val="0"/>
        <w:jc w:val="both"/>
        <w:rPr/>
      </w:pPr>
      <w:r>
        <w:rPr>
          <w:rFonts w:eastAsia="Times New Roman" w:cs="Times New Roman" w:ascii="Times New Roman" w:hAnsi="Times New Roman"/>
          <w:color w:val="111111"/>
          <w:sz w:val="28"/>
          <w:szCs w:val="28"/>
          <w:lang w:val="en-US"/>
        </w:rPr>
        <w:t>penulis: Dr. Muhammad Reza Irsyadi Nia</w:t>
      </w:r>
    </w:p>
    <w:p>
      <w:pPr>
        <w:pStyle w:val="BookText"/>
        <w:bidi w:val="0"/>
        <w:jc w:val="both"/>
        <w:rPr/>
      </w:pPr>
      <w:r>
        <w:rPr>
          <w:rFonts w:eastAsia="Times New Roman" w:cs="Times New Roman" w:ascii="Times New Roman" w:hAnsi="Times New Roman"/>
          <w:color w:val="111111"/>
          <w:sz w:val="28"/>
          <w:szCs w:val="28"/>
          <w:lang w:val="en-US"/>
        </w:rPr>
        <w:t>penerjemah: Iwan Setiawan</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978-964-195-268-8</w:t>
      </w:r>
    </w:p>
    <w:p>
      <w:pPr>
        <w:pStyle w:val="BookText"/>
        <w:bidi w:val="0"/>
        <w:jc w:val="both"/>
        <w:rPr/>
      </w:pPr>
      <w:r>
        <w:rPr>
          <w:rFonts w:ascii="IRNazanin" w:hAnsi="IRNazanin" w:eastAsia="IRNazanin"/>
          <w:color w:val="111111"/>
          <w:sz w:val="28"/>
          <w:sz w:val="28"/>
          <w:szCs w:val="28"/>
          <w:rtl w:val="true"/>
          <w:lang w:bidi="fa-IR"/>
        </w:rPr>
        <w:t>تاثیر مبانی فلسفی در تفسیر متون دینی از دیدگاه امام خمینی ال</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ال</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ارشادی نیا</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ستیاوان</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925_44144"/>
    </w:p>
    <w:p>
      <w:pPr>
        <w:pStyle w:val="Heading2"/>
        <w:numPr>
          <w:ilvl w:val="1"/>
          <w:numId w:val="1"/>
        </w:numPr>
        <w:bidi w:val="0"/>
        <w:jc w:val="left"/>
        <w:rPr/>
      </w:pPr>
      <w:bookmarkStart w:id="8" w:name="__RefHeading___Toc5529692_581953129"/>
      <w:bookmarkStart w:id="9" w:name="_Toc3"/>
      <w:bookmarkEnd w:id="7"/>
      <w:bookmarkEnd w:id="8"/>
      <w:r>
        <w:rPr/>
        <w:t>Pedoman Transliterasi Arab</w:t>
      </w:r>
      <w:bookmarkEnd w:id="9"/>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619500" cy="4610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3619440" cy="4610160"/>
                        </a:xfrm>
                        <a:prstGeom prst="rect">
                          <a:avLst/>
                        </a:prstGeom>
                        <a:ln w="0">
                          <a:noFill/>
                        </a:ln>
                      </pic:spPr>
                    </pic:pic>
                  </a:graphicData>
                </a:graphic>
              </wp:inline>
            </w:drawing>
          </mc:Choice>
          <mc:Fallback>
            <w:pict>
              <v:shape id="shape_0" stroked="f" o:allowincell="f" style="position:absolute;margin-left:0pt;margin-top:-363.05pt;width:284.95pt;height:362.95pt;mso-wrap-style:none;v-text-anchor:middle;mso-position-horizontal:left;mso-position-vertical:top" type="_x0000_t75">
                <v:imagedata r:id="rId13" o:detectmouseclick="t"/>
                <v:stroke color="#3465a4" joinstyle="round" endcap="flat"/>
                <w10:wrap type="none"/>
              </v:shape>
            </w:pict>
          </mc:Fallback>
        </mc:AlternateContent>
      </w:r>
      <w:bookmarkStart w:id="10" w:name="pg5925_44145"/>
    </w:p>
    <w:p>
      <w:pPr>
        <w:pStyle w:val="Heading2"/>
        <w:numPr>
          <w:ilvl w:val="1"/>
          <w:numId w:val="1"/>
        </w:numPr>
        <w:bidi w:val="0"/>
        <w:jc w:val="left"/>
        <w:rPr/>
      </w:pPr>
      <w:bookmarkStart w:id="11" w:name="__RefHeading___Toc5529694_581953129"/>
      <w:bookmarkStart w:id="12" w:name="_Toc4"/>
      <w:bookmarkEnd w:id="10"/>
      <w:bookmarkEnd w:id="11"/>
      <w:r>
        <w:rPr/>
        <w:t>Pedoman Transliterasi Persia</w:t>
      </w:r>
      <w:bookmarkEnd w:id="12"/>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203700" cy="439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203720" cy="4394160"/>
                        </a:xfrm>
                        <a:prstGeom prst="rect">
                          <a:avLst/>
                        </a:prstGeom>
                        <a:ln w="0">
                          <a:noFill/>
                        </a:ln>
                      </pic:spPr>
                    </pic:pic>
                  </a:graphicData>
                </a:graphic>
              </wp:inline>
            </w:drawing>
          </mc:Choice>
          <mc:Fallback>
            <w:pict>
              <v:shape id="shape_0" stroked="f" o:allowincell="f" style="position:absolute;margin-left:0pt;margin-top:-346.05pt;width:330.95pt;height:345.95pt;mso-wrap-style:none;v-text-anchor:middle;mso-position-horizontal:left;mso-position-vertical:top" type="_x0000_t75">
                <v:imagedata r:id="rId16" o:detectmouseclick="t"/>
                <v:stroke color="#3465a4" joinstyle="round" endcap="flat"/>
                <w10:wrap type="none"/>
              </v:shape>
            </w:pict>
          </mc:Fallback>
        </mc:AlternateContent>
      </w:r>
      <w:bookmarkStart w:id="13" w:name="pg5925_44146"/>
    </w:p>
    <w:p>
      <w:pPr>
        <w:pStyle w:val="Heading2"/>
        <w:numPr>
          <w:ilvl w:val="1"/>
          <w:numId w:val="1"/>
        </w:numPr>
        <w:bidi w:val="0"/>
        <w:jc w:val="left"/>
        <w:rPr/>
      </w:pPr>
      <w:bookmarkStart w:id="14" w:name="__RefHeading___Toc5529696_581953129"/>
      <w:bookmarkStart w:id="15" w:name="_Toc5"/>
      <w:bookmarkEnd w:id="13"/>
      <w:bookmarkEnd w:id="14"/>
      <w:r>
        <w:rPr/>
        <w:t>Daftar Isi</w:t>
      </w:r>
      <w:bookmarkEnd w:id="15"/>
    </w:p>
    <w:p>
      <w:pPr>
        <w:pStyle w:val="BookText"/>
        <w:bidi w:val="0"/>
        <w:jc w:val="both"/>
        <w:rPr/>
      </w:pPr>
      <w:r>
        <w:rPr>
          <w:rFonts w:eastAsia="Times New Roman" w:cs="Times New Roman" w:ascii="Times New Roman" w:hAnsi="Times New Roman"/>
          <w:color w:val="111111"/>
          <w:sz w:val="28"/>
          <w:szCs w:val="28"/>
          <w:lang w:val="en-US"/>
        </w:rPr>
        <w:t>Pedoman Transliterasi Arab -- vii</w:t>
      </w:r>
    </w:p>
    <w:p>
      <w:pPr>
        <w:pStyle w:val="BookText"/>
        <w:bidi w:val="0"/>
        <w:jc w:val="both"/>
        <w:rPr/>
      </w:pPr>
      <w:r>
        <w:rPr>
          <w:rFonts w:eastAsia="Times New Roman" w:cs="Times New Roman" w:ascii="Times New Roman" w:hAnsi="Times New Roman"/>
          <w:color w:val="111111"/>
          <w:sz w:val="28"/>
          <w:szCs w:val="28"/>
          <w:lang w:val="en-US"/>
        </w:rPr>
        <w:t>Pedoman Transliterasi Persia -- viii</w:t>
      </w:r>
    </w:p>
    <w:p>
      <w:pPr>
        <w:pStyle w:val="BookText"/>
        <w:bidi w:val="0"/>
        <w:jc w:val="both"/>
        <w:rPr/>
      </w:pPr>
      <w:r>
        <w:rPr>
          <w:rFonts w:eastAsia="Times New Roman" w:cs="Times New Roman" w:ascii="Times New Roman" w:hAnsi="Times New Roman"/>
          <w:color w:val="111111"/>
          <w:sz w:val="28"/>
          <w:szCs w:val="28"/>
          <w:lang w:val="en-US"/>
        </w:rPr>
        <w:t>Pengantar Penulis -- Xi</w:t>
      </w:r>
    </w:p>
    <w:p>
      <w:pPr>
        <w:pStyle w:val="BookText"/>
        <w:bidi w:val="0"/>
        <w:jc w:val="both"/>
        <w:rPr/>
      </w:pPr>
      <w:r>
        <w:rPr>
          <w:rFonts w:eastAsia="Times New Roman" w:cs="Times New Roman" w:ascii="Times New Roman" w:hAnsi="Times New Roman"/>
          <w:color w:val="111111"/>
          <w:sz w:val="28"/>
          <w:szCs w:val="28"/>
          <w:lang w:val="en-US"/>
        </w:rPr>
        <w:t>BAB I</w:t>
      </w:r>
    </w:p>
    <w:p>
      <w:pPr>
        <w:pStyle w:val="BookText"/>
        <w:bidi w:val="0"/>
        <w:jc w:val="both"/>
        <w:rPr/>
      </w:pPr>
      <w:r>
        <w:rPr>
          <w:rFonts w:eastAsia="Times New Roman" w:cs="Times New Roman" w:ascii="Times New Roman" w:hAnsi="Times New Roman"/>
          <w:color w:val="111111"/>
          <w:sz w:val="28"/>
          <w:szCs w:val="28"/>
          <w:lang w:val="en-US"/>
        </w:rPr>
        <w:t>METODOLOGI -- 1</w:t>
      </w:r>
    </w:p>
    <w:p>
      <w:pPr>
        <w:pStyle w:val="BookText"/>
        <w:bidi w:val="0"/>
        <w:jc w:val="both"/>
        <w:rPr/>
      </w:pPr>
      <w:r>
        <w:rPr>
          <w:rFonts w:eastAsia="Times New Roman" w:cs="Times New Roman" w:ascii="Times New Roman" w:hAnsi="Times New Roman"/>
          <w:color w:val="111111"/>
          <w:sz w:val="28"/>
          <w:szCs w:val="28"/>
          <w:lang w:val="en-US"/>
        </w:rPr>
        <w:t>Agama: Sarana Menuju Puncak Pengetahuan -- 3</w:t>
      </w:r>
    </w:p>
    <w:p>
      <w:pPr>
        <w:pStyle w:val="BookText"/>
        <w:bidi w:val="0"/>
        <w:jc w:val="both"/>
        <w:rPr/>
      </w:pPr>
      <w:r>
        <w:rPr>
          <w:rFonts w:eastAsia="Times New Roman" w:cs="Times New Roman" w:ascii="Times New Roman" w:hAnsi="Times New Roman"/>
          <w:color w:val="111111"/>
          <w:sz w:val="28"/>
          <w:szCs w:val="28"/>
          <w:lang w:val="en-US"/>
        </w:rPr>
        <w:t>Relevansi Hikmah, Filsafat dengan Agama -- 5</w:t>
      </w:r>
    </w:p>
    <w:p>
      <w:pPr>
        <w:pStyle w:val="BookText"/>
        <w:bidi w:val="0"/>
        <w:jc w:val="both"/>
        <w:rPr/>
      </w:pPr>
      <w:r>
        <w:rPr>
          <w:rFonts w:eastAsia="Times New Roman" w:cs="Times New Roman" w:ascii="Times New Roman" w:hAnsi="Times New Roman"/>
          <w:color w:val="111111"/>
          <w:sz w:val="28"/>
          <w:szCs w:val="28"/>
          <w:lang w:val="en-US"/>
        </w:rPr>
        <w:t>Skripturalisme -- 8</w:t>
      </w:r>
    </w:p>
    <w:p>
      <w:pPr>
        <w:pStyle w:val="BookText"/>
        <w:bidi w:val="0"/>
        <w:jc w:val="both"/>
        <w:rPr/>
      </w:pPr>
      <w:r>
        <w:rPr>
          <w:rFonts w:eastAsia="Times New Roman" w:cs="Times New Roman" w:ascii="Times New Roman" w:hAnsi="Times New Roman"/>
          <w:color w:val="111111"/>
          <w:sz w:val="28"/>
          <w:szCs w:val="28"/>
          <w:lang w:val="en-US"/>
        </w:rPr>
        <w:t>Hubungan Lahir dan Batin -- 11</w:t>
      </w:r>
    </w:p>
    <w:p>
      <w:pPr>
        <w:pStyle w:val="BookText"/>
        <w:bidi w:val="0"/>
        <w:jc w:val="both"/>
        <w:rPr/>
      </w:pPr>
      <w:r>
        <w:rPr>
          <w:rFonts w:eastAsia="Times New Roman" w:cs="Times New Roman" w:ascii="Times New Roman" w:hAnsi="Times New Roman"/>
          <w:color w:val="111111"/>
          <w:sz w:val="28"/>
          <w:szCs w:val="28"/>
          <w:lang w:val="en-US"/>
        </w:rPr>
        <w:t>Tingkatan dan Tahapan Pengetahuan -- 14</w:t>
      </w:r>
    </w:p>
    <w:p>
      <w:pPr>
        <w:pStyle w:val="BookText"/>
        <w:bidi w:val="0"/>
        <w:jc w:val="both"/>
        <w:rPr/>
      </w:pPr>
      <w:r>
        <w:rPr>
          <w:rFonts w:eastAsia="Times New Roman" w:cs="Times New Roman" w:ascii="Times New Roman" w:hAnsi="Times New Roman"/>
          <w:color w:val="111111"/>
          <w:sz w:val="28"/>
          <w:szCs w:val="28"/>
          <w:lang w:val="en-US"/>
        </w:rPr>
        <w:t>Kedudukan Filsafat: Falsafah Luhur (Falsafah 'āli), Bukan</w:t>
      </w:r>
    </w:p>
    <w:p>
      <w:pPr>
        <w:pStyle w:val="BookText"/>
        <w:bidi w:val="0"/>
        <w:jc w:val="both"/>
        <w:rPr/>
      </w:pPr>
      <w:r>
        <w:rPr>
          <w:rFonts w:eastAsia="Times New Roman" w:cs="Times New Roman" w:ascii="Times New Roman" w:hAnsi="Times New Roman"/>
          <w:color w:val="111111"/>
          <w:sz w:val="28"/>
          <w:szCs w:val="28"/>
          <w:lang w:val="en-US"/>
        </w:rPr>
        <w:t>Falsafah Awam -- 21</w:t>
      </w:r>
    </w:p>
    <w:p>
      <w:pPr>
        <w:pStyle w:val="BookText"/>
        <w:bidi w:val="0"/>
        <w:jc w:val="both"/>
        <w:rPr/>
      </w:pPr>
      <w:r>
        <w:rPr>
          <w:rFonts w:eastAsia="Times New Roman" w:cs="Times New Roman" w:ascii="Times New Roman" w:hAnsi="Times New Roman"/>
          <w:color w:val="111111"/>
          <w:sz w:val="28"/>
          <w:szCs w:val="28"/>
          <w:lang w:val="en-US"/>
        </w:rPr>
        <w:t>Kedudukan Al-Quran -- 27</w:t>
      </w:r>
    </w:p>
    <w:p>
      <w:pPr>
        <w:pStyle w:val="BookText"/>
        <w:bidi w:val="0"/>
        <w:jc w:val="both"/>
        <w:rPr/>
      </w:pPr>
      <w:r>
        <w:rPr>
          <w:rFonts w:eastAsia="Times New Roman" w:cs="Times New Roman" w:ascii="Times New Roman" w:hAnsi="Times New Roman"/>
          <w:color w:val="111111"/>
          <w:sz w:val="28"/>
          <w:szCs w:val="28"/>
          <w:lang w:val="en-US"/>
        </w:rPr>
        <w:t>Penghalang Ilmu -- 45</w:t>
      </w:r>
    </w:p>
    <w:p>
      <w:pPr>
        <w:pStyle w:val="BookText"/>
        <w:bidi w:val="0"/>
        <w:jc w:val="both"/>
        <w:rPr/>
      </w:pPr>
      <w:r>
        <w:rPr>
          <w:rFonts w:eastAsia="Times New Roman" w:cs="Times New Roman" w:ascii="Times New Roman" w:hAnsi="Times New Roman"/>
          <w:color w:val="111111"/>
          <w:sz w:val="28"/>
          <w:szCs w:val="28"/>
          <w:lang w:val="en-US"/>
        </w:rPr>
        <w:t>Catatan -- 56</w:t>
      </w:r>
    </w:p>
    <w:p>
      <w:pPr>
        <w:pStyle w:val="BookText"/>
        <w:bidi w:val="0"/>
        <w:jc w:val="both"/>
        <w:rPr/>
      </w:pPr>
      <w:r>
        <w:rPr>
          <w:rFonts w:eastAsia="Times New Roman" w:cs="Times New Roman" w:ascii="Times New Roman" w:hAnsi="Times New Roman"/>
          <w:color w:val="111111"/>
          <w:sz w:val="28"/>
          <w:szCs w:val="28"/>
          <w:lang w:val="en-US"/>
        </w:rPr>
        <w:t>BAB II</w:t>
      </w:r>
    </w:p>
    <w:p>
      <w:pPr>
        <w:pStyle w:val="BookText"/>
        <w:bidi w:val="0"/>
        <w:jc w:val="both"/>
        <w:rPr/>
      </w:pPr>
      <w:r>
        <w:rPr>
          <w:rFonts w:eastAsia="Times New Roman" w:cs="Times New Roman" w:ascii="Times New Roman" w:hAnsi="Times New Roman"/>
          <w:color w:val="111111"/>
          <w:sz w:val="28"/>
          <w:szCs w:val="28"/>
          <w:lang w:val="en-US"/>
        </w:rPr>
        <w:t>PRINSIP-PRINSIP FILSAFAT DAN PANDANGAN DUNIA -- 59</w:t>
      </w:r>
    </w:p>
    <w:p>
      <w:pPr>
        <w:pStyle w:val="BookText"/>
        <w:bidi w:val="0"/>
        <w:jc w:val="both"/>
        <w:rPr/>
      </w:pPr>
      <w:r>
        <w:rPr>
          <w:rFonts w:eastAsia="Times New Roman" w:cs="Times New Roman" w:ascii="Times New Roman" w:hAnsi="Times New Roman"/>
          <w:color w:val="111111"/>
          <w:sz w:val="28"/>
          <w:szCs w:val="28"/>
          <w:lang w:val="en-US"/>
        </w:rPr>
        <w:t>Teologi: Mengenal Tuhan -- 62</w:t>
      </w:r>
    </w:p>
    <w:p>
      <w:pPr>
        <w:pStyle w:val="BookText"/>
        <w:bidi w:val="0"/>
        <w:jc w:val="both"/>
        <w:rPr/>
      </w:pPr>
      <w:r>
        <w:rPr>
          <w:rFonts w:eastAsia="Times New Roman" w:cs="Times New Roman" w:ascii="Times New Roman" w:hAnsi="Times New Roman"/>
          <w:color w:val="111111"/>
          <w:sz w:val="28"/>
          <w:szCs w:val="28"/>
          <w:lang w:val="en-US"/>
        </w:rPr>
        <w:t>Tauhid Sifat -- 64</w:t>
      </w:r>
    </w:p>
    <w:p>
      <w:pPr>
        <w:pStyle w:val="BookText"/>
        <w:bidi w:val="0"/>
        <w:jc w:val="both"/>
        <w:rPr/>
      </w:pPr>
      <w:r>
        <w:rPr>
          <w:rFonts w:eastAsia="Times New Roman" w:cs="Times New Roman" w:ascii="Times New Roman" w:hAnsi="Times New Roman"/>
          <w:color w:val="111111"/>
          <w:sz w:val="28"/>
          <w:szCs w:val="28"/>
          <w:lang w:val="en-US"/>
        </w:rPr>
        <w:t>Tauhid Perbuatan-- 67</w:t>
      </w:r>
    </w:p>
    <w:p>
      <w:pPr>
        <w:pStyle w:val="BookText"/>
        <w:bidi w:val="0"/>
        <w:jc w:val="both"/>
        <w:rPr/>
      </w:pPr>
      <w:r>
        <w:rPr>
          <w:rFonts w:eastAsia="Times New Roman" w:cs="Times New Roman" w:ascii="Times New Roman" w:hAnsi="Times New Roman"/>
          <w:color w:val="111111"/>
          <w:sz w:val="28"/>
          <w:szCs w:val="28"/>
          <w:lang w:val="en-US"/>
        </w:rPr>
        <w:t>Antropologi -- 72</w:t>
      </w:r>
    </w:p>
    <w:p>
      <w:pPr>
        <w:pStyle w:val="BookText"/>
        <w:bidi w:val="0"/>
        <w:jc w:val="both"/>
        <w:rPr/>
      </w:pPr>
      <w:r>
        <w:rPr>
          <w:rFonts w:eastAsia="Times New Roman" w:cs="Times New Roman" w:ascii="Times New Roman" w:hAnsi="Times New Roman"/>
          <w:color w:val="111111"/>
          <w:sz w:val="28"/>
          <w:szCs w:val="28"/>
          <w:lang w:val="en-US"/>
        </w:rPr>
        <w:t>Insan Kamil -- 72</w:t>
      </w:r>
    </w:p>
    <w:p>
      <w:pPr>
        <w:pStyle w:val="BookText"/>
        <w:bidi w:val="0"/>
        <w:jc w:val="both"/>
        <w:rPr/>
      </w:pPr>
      <w:r>
        <w:rPr>
          <w:rFonts w:eastAsia="Times New Roman" w:cs="Times New Roman" w:ascii="Times New Roman" w:hAnsi="Times New Roman"/>
          <w:color w:val="111111"/>
          <w:sz w:val="28"/>
          <w:szCs w:val="28"/>
          <w:lang w:val="en-US"/>
        </w:rPr>
        <w:t>Garis Perjalanan Penyempurnaan Manusia Biasa -- 79</w:t>
      </w:r>
    </w:p>
    <w:p>
      <w:pPr>
        <w:pStyle w:val="BookText"/>
        <w:bidi w:val="0"/>
        <w:jc w:val="both"/>
        <w:rPr/>
      </w:pPr>
      <w:r>
        <w:rPr>
          <w:rFonts w:eastAsia="Times New Roman" w:cs="Times New Roman" w:ascii="Times New Roman" w:hAnsi="Times New Roman"/>
          <w:color w:val="111111"/>
          <w:sz w:val="28"/>
          <w:szCs w:val="28"/>
          <w:lang w:val="en-US"/>
        </w:rPr>
        <w:t>Insan Kamil sebagai Perantara bagi Kesempurnaan Manusia Lainnya -- 81</w:t>
      </w:r>
    </w:p>
    <w:p>
      <w:pPr>
        <w:pStyle w:val="BookText"/>
        <w:bidi w:val="0"/>
        <w:jc w:val="both"/>
        <w:rPr/>
      </w:pPr>
      <w:r>
        <w:rPr>
          <w:rFonts w:eastAsia="Times New Roman" w:cs="Times New Roman" w:ascii="Times New Roman" w:hAnsi="Times New Roman"/>
          <w:color w:val="111111"/>
          <w:sz w:val="28"/>
          <w:szCs w:val="28"/>
          <w:lang w:val="en-US"/>
        </w:rPr>
        <w:t>Tingkatan Nafs dan Maqam Manusia -- 83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Awal dan Akhir Kesempurnaan -- 85 </w:t>
      </w:r>
    </w:p>
    <w:p>
      <w:pPr>
        <w:pStyle w:val="BookText"/>
        <w:bidi w:val="0"/>
        <w:rPr/>
      </w:pPr>
      <w:r>
        <w:rPr>
          <w:rFonts w:eastAsia="Times New Roman" w:cs="Times New Roman" w:ascii="Times New Roman" w:hAnsi="Times New Roman"/>
          <w:color w:val="111111"/>
          <w:sz w:val="28"/>
          <w:szCs w:val="28"/>
          <w:lang w:val="en-US"/>
        </w:rPr>
        <w:t>Kosmologi -- 86</w:t>
      </w:r>
    </w:p>
    <w:p>
      <w:pPr>
        <w:pStyle w:val="BookText"/>
        <w:bidi w:val="0"/>
        <w:jc w:val="both"/>
        <w:rPr/>
      </w:pPr>
      <w:r>
        <w:rPr>
          <w:rFonts w:eastAsia="Times New Roman" w:cs="Times New Roman" w:ascii="Times New Roman" w:hAnsi="Times New Roman"/>
          <w:color w:val="111111"/>
          <w:sz w:val="28"/>
          <w:szCs w:val="28"/>
          <w:lang w:val="en-US"/>
        </w:rPr>
        <w:t>Catatan --91</w:t>
      </w:r>
    </w:p>
    <w:p>
      <w:pPr>
        <w:pStyle w:val="BookText"/>
        <w:bidi w:val="0"/>
        <w:jc w:val="both"/>
        <w:rPr/>
      </w:pPr>
      <w:r>
        <w:rPr>
          <w:rFonts w:eastAsia="Times New Roman" w:cs="Times New Roman" w:ascii="Times New Roman" w:hAnsi="Times New Roman"/>
          <w:color w:val="111111"/>
          <w:sz w:val="28"/>
          <w:szCs w:val="28"/>
          <w:lang w:val="en-US"/>
        </w:rPr>
        <w:t>BAB III</w:t>
      </w:r>
    </w:p>
    <w:p>
      <w:pPr>
        <w:pStyle w:val="BookText"/>
        <w:bidi w:val="0"/>
        <w:jc w:val="both"/>
        <w:rPr/>
      </w:pPr>
      <w:r>
        <w:rPr>
          <w:rFonts w:eastAsia="Times New Roman" w:cs="Times New Roman" w:ascii="Times New Roman" w:hAnsi="Times New Roman"/>
          <w:color w:val="111111"/>
          <w:sz w:val="28"/>
          <w:szCs w:val="28"/>
          <w:lang w:val="en-US"/>
        </w:rPr>
        <w:t>PRINSIP-PRINSIP FILOSOFIS DAN</w:t>
      </w:r>
    </w:p>
    <w:p>
      <w:pPr>
        <w:pStyle w:val="BookText"/>
        <w:bidi w:val="0"/>
        <w:jc w:val="both"/>
        <w:rPr/>
      </w:pPr>
      <w:r>
        <w:rPr>
          <w:rFonts w:eastAsia="Times New Roman" w:cs="Times New Roman" w:ascii="Times New Roman" w:hAnsi="Times New Roman"/>
          <w:color w:val="111111"/>
          <w:sz w:val="28"/>
          <w:szCs w:val="28"/>
          <w:lang w:val="en-US"/>
        </w:rPr>
        <w:t>PENAFSIRAN TEKS -- 93</w:t>
      </w:r>
    </w:p>
    <w:p>
      <w:pPr>
        <w:pStyle w:val="BookText"/>
        <w:bidi w:val="0"/>
        <w:jc w:val="both"/>
        <w:rPr/>
      </w:pPr>
      <w:r>
        <w:rPr>
          <w:rFonts w:eastAsia="Times New Roman" w:cs="Times New Roman" w:ascii="Times New Roman" w:hAnsi="Times New Roman"/>
          <w:color w:val="111111"/>
          <w:sz w:val="28"/>
          <w:szCs w:val="28"/>
          <w:lang w:val="en-US"/>
        </w:rPr>
        <w:t>Āyat (Tanda)-- 95</w:t>
      </w:r>
    </w:p>
    <w:p>
      <w:pPr>
        <w:pStyle w:val="BookText"/>
        <w:bidi w:val="0"/>
        <w:jc w:val="both"/>
        <w:rPr/>
      </w:pPr>
      <w:r>
        <w:rPr>
          <w:rFonts w:eastAsia="Times New Roman" w:cs="Times New Roman" w:ascii="Times New Roman" w:hAnsi="Times New Roman"/>
          <w:color w:val="111111"/>
          <w:sz w:val="28"/>
          <w:szCs w:val="28"/>
          <w:lang w:val="en-US"/>
        </w:rPr>
        <w:t>Ism (Nama) -- 100</w:t>
      </w:r>
    </w:p>
    <w:p>
      <w:pPr>
        <w:pStyle w:val="BookText"/>
        <w:bidi w:val="0"/>
        <w:jc w:val="both"/>
        <w:rPr/>
      </w:pPr>
      <w:r>
        <w:rPr>
          <w:rFonts w:eastAsia="Times New Roman" w:cs="Times New Roman" w:ascii="Times New Roman" w:hAnsi="Times New Roman"/>
          <w:color w:val="111111"/>
          <w:sz w:val="28"/>
          <w:szCs w:val="28"/>
          <w:lang w:val="en-US"/>
        </w:rPr>
        <w:t>Amr Bai na Amrain (Posisi di antara Dua posisi)-- 102</w:t>
      </w:r>
    </w:p>
    <w:p>
      <w:pPr>
        <w:pStyle w:val="BookText"/>
        <w:bidi w:val="0"/>
        <w:jc w:val="both"/>
        <w:rPr/>
      </w:pPr>
      <w:r>
        <w:rPr>
          <w:rFonts w:eastAsia="Times New Roman" w:cs="Times New Roman" w:ascii="Times New Roman" w:hAnsi="Times New Roman"/>
          <w:color w:val="111111"/>
          <w:sz w:val="28"/>
          <w:szCs w:val="28"/>
          <w:lang w:val="en-US"/>
        </w:rPr>
        <w:t>Tafwidh -- 104</w:t>
      </w:r>
    </w:p>
    <w:p>
      <w:pPr>
        <w:pStyle w:val="BookText"/>
        <w:bidi w:val="0"/>
        <w:jc w:val="both"/>
        <w:rPr/>
      </w:pPr>
      <w:r>
        <w:rPr>
          <w:rFonts w:eastAsia="Times New Roman" w:cs="Times New Roman" w:ascii="Times New Roman" w:hAnsi="Times New Roman"/>
          <w:color w:val="111111"/>
          <w:sz w:val="28"/>
          <w:szCs w:val="28"/>
          <w:lang w:val="en-US"/>
        </w:rPr>
        <w:t>Jabr (Determinisme) -- 107</w:t>
      </w:r>
    </w:p>
    <w:p>
      <w:pPr>
        <w:pStyle w:val="BookText"/>
        <w:bidi w:val="0"/>
        <w:jc w:val="both"/>
        <w:rPr/>
      </w:pPr>
      <w:r>
        <w:rPr>
          <w:rFonts w:eastAsia="Times New Roman" w:cs="Times New Roman" w:ascii="Times New Roman" w:hAnsi="Times New Roman"/>
          <w:color w:val="111111"/>
          <w:sz w:val="28"/>
          <w:szCs w:val="28"/>
          <w:lang w:val="en-US"/>
        </w:rPr>
        <w:t>Tahlil -- 109</w:t>
      </w:r>
    </w:p>
    <w:p>
      <w:pPr>
        <w:pStyle w:val="BookText"/>
        <w:bidi w:val="0"/>
        <w:jc w:val="both"/>
        <w:rPr/>
      </w:pPr>
      <w:r>
        <w:rPr>
          <w:rFonts w:eastAsia="Times New Roman" w:cs="Times New Roman" w:ascii="Times New Roman" w:hAnsi="Times New Roman"/>
          <w:color w:val="111111"/>
          <w:sz w:val="28"/>
          <w:szCs w:val="28"/>
          <w:lang w:val="en-US"/>
        </w:rPr>
        <w:t>Tasbih -- 110</w:t>
      </w:r>
    </w:p>
    <w:p>
      <w:pPr>
        <w:pStyle w:val="BookText"/>
        <w:bidi w:val="0"/>
        <w:jc w:val="both"/>
        <w:rPr/>
      </w:pPr>
      <w:r>
        <w:rPr>
          <w:rFonts w:eastAsia="Times New Roman" w:cs="Times New Roman" w:ascii="Times New Roman" w:hAnsi="Times New Roman"/>
          <w:color w:val="111111"/>
          <w:sz w:val="28"/>
          <w:szCs w:val="28"/>
          <w:lang w:val="en-US"/>
        </w:rPr>
        <w:t>Bahā -- 112</w:t>
      </w:r>
    </w:p>
    <w:p>
      <w:pPr>
        <w:pStyle w:val="BookText"/>
        <w:bidi w:val="0"/>
        <w:jc w:val="both"/>
        <w:rPr/>
      </w:pPr>
      <w:r>
        <w:rPr>
          <w:rFonts w:eastAsia="Times New Roman" w:cs="Times New Roman" w:ascii="Times New Roman" w:hAnsi="Times New Roman"/>
          <w:color w:val="111111"/>
          <w:sz w:val="28"/>
          <w:szCs w:val="28"/>
          <w:lang w:val="en-US"/>
        </w:rPr>
        <w:t>Jamál (Keindahan) dan Jalāl (Keagungan)-- 114</w:t>
      </w:r>
    </w:p>
    <w:p>
      <w:pPr>
        <w:pStyle w:val="BookText"/>
        <w:bidi w:val="0"/>
        <w:jc w:val="both"/>
        <w:rPr/>
      </w:pPr>
      <w:r>
        <w:rPr>
          <w:rFonts w:eastAsia="Times New Roman" w:cs="Times New Roman" w:ascii="Times New Roman" w:hAnsi="Times New Roman"/>
          <w:color w:val="111111"/>
          <w:sz w:val="28"/>
          <w:szCs w:val="28"/>
          <w:lang w:val="en-US"/>
        </w:rPr>
        <w:t>Khair (Kebaikan) dan Syar (Keburukan) -- 116</w:t>
      </w:r>
    </w:p>
    <w:p>
      <w:pPr>
        <w:pStyle w:val="BookText"/>
        <w:bidi w:val="0"/>
        <w:jc w:val="both"/>
        <w:rPr/>
      </w:pPr>
      <w:r>
        <w:rPr>
          <w:rFonts w:eastAsia="Times New Roman" w:cs="Times New Roman" w:ascii="Times New Roman" w:hAnsi="Times New Roman"/>
          <w:color w:val="111111"/>
          <w:sz w:val="28"/>
          <w:szCs w:val="28"/>
          <w:lang w:val="en-US"/>
        </w:rPr>
        <w:t>Rahmah (Rahmat) -- 119</w:t>
      </w:r>
    </w:p>
    <w:p>
      <w:pPr>
        <w:pStyle w:val="BookText"/>
        <w:bidi w:val="0"/>
        <w:jc w:val="both"/>
        <w:rPr/>
      </w:pPr>
      <w:r>
        <w:rPr>
          <w:rFonts w:eastAsia="Times New Roman" w:cs="Times New Roman" w:ascii="Times New Roman" w:hAnsi="Times New Roman"/>
          <w:color w:val="111111"/>
          <w:sz w:val="28"/>
          <w:szCs w:val="28"/>
          <w:lang w:val="en-US"/>
        </w:rPr>
        <w:t>Su’āl (Permohonan) --121</w:t>
      </w:r>
    </w:p>
    <w:p>
      <w:pPr>
        <w:pStyle w:val="BookText"/>
        <w:bidi w:val="0"/>
        <w:jc w:val="both"/>
        <w:rPr/>
      </w:pPr>
      <w:r>
        <w:rPr>
          <w:rFonts w:eastAsia="Times New Roman" w:cs="Times New Roman" w:ascii="Times New Roman" w:hAnsi="Times New Roman"/>
          <w:color w:val="111111"/>
          <w:sz w:val="28"/>
          <w:szCs w:val="28"/>
          <w:lang w:val="en-US"/>
        </w:rPr>
        <w:t>Syarāf (Kemuliaan) -- 123</w:t>
      </w:r>
    </w:p>
    <w:p>
      <w:pPr>
        <w:pStyle w:val="BookText"/>
        <w:bidi w:val="0"/>
        <w:jc w:val="both"/>
        <w:rPr/>
      </w:pPr>
      <w:r>
        <w:rPr>
          <w:rFonts w:eastAsia="Times New Roman" w:cs="Times New Roman" w:ascii="Times New Roman" w:hAnsi="Times New Roman"/>
          <w:color w:val="111111"/>
          <w:sz w:val="28"/>
          <w:szCs w:val="28"/>
          <w:lang w:val="en-US"/>
        </w:rPr>
        <w:t>'Azīz -- 124</w:t>
      </w:r>
    </w:p>
    <w:p>
      <w:pPr>
        <w:pStyle w:val="BookText"/>
        <w:bidi w:val="0"/>
        <w:jc w:val="both"/>
        <w:rPr/>
      </w:pPr>
      <w:r>
        <w:rPr>
          <w:rFonts w:eastAsia="Times New Roman" w:cs="Times New Roman" w:ascii="Times New Roman" w:hAnsi="Times New Roman"/>
          <w:color w:val="111111"/>
          <w:sz w:val="28"/>
          <w:szCs w:val="28"/>
          <w:lang w:val="en-US"/>
        </w:rPr>
        <w:t>'Ilm (Ilmu) -- 127</w:t>
      </w:r>
    </w:p>
    <w:p>
      <w:pPr>
        <w:pStyle w:val="BookText"/>
        <w:bidi w:val="0"/>
        <w:jc w:val="both"/>
        <w:rPr/>
      </w:pPr>
      <w:r>
        <w:rPr>
          <w:rFonts w:eastAsia="Times New Roman" w:cs="Times New Roman" w:ascii="Times New Roman" w:hAnsi="Times New Roman"/>
          <w:color w:val="111111"/>
          <w:sz w:val="28"/>
          <w:szCs w:val="28"/>
          <w:lang w:val="en-US"/>
        </w:rPr>
        <w:t>Kesatuan ("Ainiyyah) Ilmu dengan Dzat -- 128</w:t>
      </w:r>
    </w:p>
    <w:p>
      <w:pPr>
        <w:pStyle w:val="BookText"/>
        <w:bidi w:val="0"/>
        <w:jc w:val="both"/>
        <w:rPr/>
      </w:pPr>
      <w:r>
        <w:rPr>
          <w:rFonts w:eastAsia="Times New Roman" w:cs="Times New Roman" w:ascii="Times New Roman" w:hAnsi="Times New Roman"/>
          <w:color w:val="111111"/>
          <w:sz w:val="28"/>
          <w:szCs w:val="28"/>
          <w:lang w:val="en-US"/>
        </w:rPr>
        <w:t>Pengetahuan Tuhan terhadap yang Selain-Nya -- 130</w:t>
      </w:r>
    </w:p>
    <w:p>
      <w:pPr>
        <w:pStyle w:val="BookText"/>
        <w:bidi w:val="0"/>
        <w:jc w:val="both"/>
        <w:rPr/>
      </w:pPr>
      <w:r>
        <w:rPr>
          <w:rFonts w:eastAsia="Times New Roman" w:cs="Times New Roman" w:ascii="Times New Roman" w:hAnsi="Times New Roman"/>
          <w:color w:val="111111"/>
          <w:sz w:val="28"/>
          <w:szCs w:val="28"/>
          <w:lang w:val="en-US"/>
        </w:rPr>
        <w:t>Qadim (Tidak didahului Ketiadaan)-- 134</w:t>
      </w:r>
    </w:p>
    <w:p>
      <w:pPr>
        <w:pStyle w:val="BookText"/>
        <w:bidi w:val="0"/>
        <w:jc w:val="both"/>
        <w:rPr/>
      </w:pPr>
      <w:r>
        <w:rPr>
          <w:rFonts w:eastAsia="Times New Roman" w:cs="Times New Roman" w:ascii="Times New Roman" w:hAnsi="Times New Roman"/>
          <w:color w:val="111111"/>
          <w:sz w:val="28"/>
          <w:szCs w:val="28"/>
          <w:lang w:val="en-US"/>
        </w:rPr>
        <w:t>Kalimah (Kata) -- 136</w:t>
      </w:r>
    </w:p>
    <w:p>
      <w:pPr>
        <w:pStyle w:val="BookText"/>
        <w:bidi w:val="0"/>
        <w:jc w:val="both"/>
        <w:rPr/>
      </w:pPr>
      <w:r>
        <w:rPr>
          <w:rFonts w:eastAsia="Times New Roman" w:cs="Times New Roman" w:ascii="Times New Roman" w:hAnsi="Times New Roman"/>
          <w:color w:val="111111"/>
          <w:sz w:val="28"/>
          <w:szCs w:val="28"/>
          <w:lang w:val="en-US"/>
        </w:rPr>
        <w:t>Mālik (Penguasa) -- 139</w:t>
      </w:r>
    </w:p>
    <w:p>
      <w:pPr>
        <w:pStyle w:val="BookText"/>
        <w:bidi w:val="0"/>
        <w:jc w:val="both"/>
        <w:rPr/>
      </w:pPr>
      <w:r>
        <w:rPr>
          <w:rFonts w:eastAsia="Times New Roman" w:cs="Times New Roman" w:ascii="Times New Roman" w:hAnsi="Times New Roman"/>
          <w:color w:val="111111"/>
          <w:sz w:val="28"/>
          <w:szCs w:val="28"/>
          <w:lang w:val="en-US"/>
        </w:rPr>
        <w:t>Masyi'ah (Kehendak) -- 140</w:t>
      </w:r>
    </w:p>
    <w:p>
      <w:pPr>
        <w:pStyle w:val="BookText"/>
        <w:bidi w:val="0"/>
        <w:jc w:val="both"/>
        <w:rPr/>
      </w:pPr>
      <w:r>
        <w:rPr>
          <w:rFonts w:eastAsia="Times New Roman" w:cs="Times New Roman" w:ascii="Times New Roman" w:hAnsi="Times New Roman"/>
          <w:color w:val="111111"/>
          <w:sz w:val="28"/>
          <w:szCs w:val="28"/>
          <w:lang w:val="en-US"/>
        </w:rPr>
        <w:t>Nūr (Cahaya) -- 142</w:t>
      </w:r>
    </w:p>
    <w:p>
      <w:pPr>
        <w:pStyle w:val="BookText"/>
        <w:bidi w:val="0"/>
        <w:jc w:val="both"/>
        <w:rPr/>
      </w:pPr>
      <w:r>
        <w:rPr>
          <w:rFonts w:eastAsia="Times New Roman" w:cs="Times New Roman" w:ascii="Times New Roman" w:hAnsi="Times New Roman"/>
          <w:color w:val="111111"/>
          <w:sz w:val="28"/>
          <w:szCs w:val="28"/>
          <w:lang w:val="en-US"/>
        </w:rPr>
        <w:t>Catatan -- 145</w:t>
      </w:r>
    </w:p>
    <w:p>
      <w:pPr>
        <w:pStyle w:val="BookText"/>
        <w:bidi w:val="0"/>
        <w:jc w:val="both"/>
        <w:rPr/>
      </w:pPr>
      <w:r>
        <w:rPr>
          <w:rFonts w:eastAsia="Times New Roman" w:cs="Times New Roman" w:ascii="Times New Roman" w:hAnsi="Times New Roman"/>
          <w:color w:val="111111"/>
          <w:sz w:val="28"/>
          <w:szCs w:val="28"/>
          <w:lang w:val="en-US"/>
        </w:rPr>
        <w:t>Daftar Pustaka -- 149</w:t>
      </w:r>
    </w:p>
    <w:p>
      <w:pPr>
        <w:pStyle w:val="BookText"/>
        <w:bidi w:val="0"/>
        <w:jc w:val="both"/>
        <w:rPr/>
      </w:pPr>
      <w:r>
        <w:rPr>
          <w:rFonts w:eastAsia="Times New Roman" w:cs="Times New Roman" w:ascii="Times New Roman" w:hAnsi="Times New Roman"/>
          <w:color w:val="111111"/>
          <w:sz w:val="28"/>
          <w:szCs w:val="28"/>
          <w:lang w:val="en-US"/>
        </w:rPr>
        <w:t>Indeks -- 151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Buku-Buku Sadra Press yang Telah Terbit </w:t>
      </w:r>
      <w:bookmarkStart w:id="16" w:name="pg5925_44148"/>
    </w:p>
    <w:p>
      <w:pPr>
        <w:pStyle w:val="Heading2"/>
        <w:numPr>
          <w:ilvl w:val="1"/>
          <w:numId w:val="1"/>
        </w:numPr>
        <w:bidi w:val="0"/>
        <w:jc w:val="left"/>
        <w:rPr/>
      </w:pPr>
      <w:bookmarkStart w:id="17" w:name="__RefHeading___Toc5529698_581953129"/>
      <w:bookmarkStart w:id="18" w:name="_Toc6"/>
      <w:bookmarkEnd w:id="16"/>
      <w:bookmarkEnd w:id="17"/>
      <w:r>
        <w:rPr/>
        <w:t>Pengantar Penulis</w:t>
      </w:r>
      <w:bookmarkEnd w:id="18"/>
    </w:p>
    <w:p>
      <w:pPr>
        <w:pStyle w:val="BookText"/>
        <w:bidi w:val="0"/>
        <w:jc w:val="both"/>
        <w:rPr/>
      </w:pPr>
      <w:r>
        <w:rPr>
          <w:rFonts w:eastAsia="Times New Roman" w:cs="Times New Roman" w:ascii="Times New Roman" w:hAnsi="Times New Roman"/>
          <w:color w:val="111111"/>
          <w:sz w:val="28"/>
          <w:szCs w:val="28"/>
          <w:lang w:val="en-US"/>
        </w:rPr>
        <w:t>rahasia keabadian ajaran Al-Quran terletak pada kekuatan  prinsip-prinsip rasionalnya. Al-Quran memiliki struktur  epistemologi yang tipikal. Keserasian antara muatan Al-Quran  dengan prinsip-prinsip rasional yang kokoh menyebabkan  ajaran-ajarannya selalu hidup, dinamis, dan tetap terjaga  sepanjang sejarah. Para ilmuwan dan filsuf Islam selalu  mengedepankan prinsip-prinsip rasional dalam melakukan  studi terhadap ajaran-ajaran agama. Metode ini lebih  argumentatif dan sangat dianjurkan oleh Al-Quran. Ayat-ayat  Al-Quran berkali-kali mengajak manusia untuk menggunakan  nalar rasionalnya.</w:t>
      </w:r>
    </w:p>
    <w:p>
      <w:pPr>
        <w:pStyle w:val="BookText"/>
        <w:bidi w:val="0"/>
        <w:jc w:val="both"/>
        <w:rPr/>
      </w:pPr>
      <w:r>
        <w:rPr>
          <w:rFonts w:eastAsia="Times New Roman" w:cs="Times New Roman" w:ascii="Times New Roman" w:hAnsi="Times New Roman"/>
          <w:color w:val="111111"/>
          <w:sz w:val="28"/>
          <w:szCs w:val="28"/>
          <w:lang w:val="en-US"/>
        </w:rPr>
        <w:t>Hal di atas sangat jelas, karena akal merupakan potensi  yang sangat penting dalam penalaran deduksi dan induksi. Di  sisi lain, berpikir dan rasionalitas memiliki metode tersendiri  yang akan menghasilkan prinsip-prinsip logis dan dapat  mematahkan argumen-argumen palsu kaum Sofis. Prinsip-  prinsip yang rasional ini dapat membantu para ilmuwan  lain untuk mendesain sebuah metode yang mapan. Prinsip-  prinsip filosofis merupakan hasil dari penalaran dan refleksi  yang sangat intens dan mendalam. Dalam Hikmah Ilahiyah,  kumpulan kaidah-kaidah ini disebut hukum umum “(umūr  'ammah)" yang memiliki nilai signifikan dalam perumusan  teori-teori filsafat.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tafsir Al-Quran yang ditulis oleh para  filsuf Islam memiliki makna dan cita rasa yang lain, apalagi ketika  refleksi filosofis bisa berpadu dengan cita rasa gnostik “dzauq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irfān". Bila kita mengkaji seluruh kitab tafsir, akan tampak  bahwa cara berpikir yang umum dan dangkal berbeda dengan  warisan pemikiran filosofis dan cita rasa gnostik. Di kalangan  intelektual dan tokoh agama yang mencoba menafsirkan teks-  teks agama (Al-Quran dan hadits), Imam Khomeini memiliki  tempat yang istimewa. Seorang pelajar akan merasakan  kelezatan cita rasa (dzauq) yang berpadu dengan penjelasan  filosofis yang kental dari tulisan Imam Khomeini, apalagi ketika  pembahasan telah menyentuh aspek yang lebih mendalam.</w:t>
      </w:r>
    </w:p>
    <w:p>
      <w:pPr>
        <w:pStyle w:val="BookText"/>
        <w:bidi w:val="0"/>
        <w:jc w:val="both"/>
        <w:rPr/>
      </w:pPr>
      <w:r>
        <w:rPr>
          <w:rFonts w:eastAsia="Times New Roman" w:cs="Times New Roman" w:ascii="Times New Roman" w:hAnsi="Times New Roman"/>
          <w:color w:val="111111"/>
          <w:sz w:val="28"/>
          <w:szCs w:val="28"/>
          <w:lang w:val="en-US"/>
        </w:rPr>
        <w:t>Imam Khomeini selalu mendukung para filsuf sekaligus  Arif yang telah berjasa menghilangkan debu-debu dari filsafat  dan ‘irfān. Hal itu karena pentingnya filsafat dan 'irfān yang  jelas sekali dinyatakan ihwal kelebihan keduanya dalam  banyak teks agama autentik dan ujaran-ujaran para pemimpin  agama. Atas dasar ini, berkali-kali beliau menekankan  pentingnya kajian filsafat dan 'irfān dengan mengemukakan  beberapa argumentasi. Pembelaan beliau terhadap pemikiran  Filsafat dan Teosofi Transenden (Hikmah Muta'āliyah) serta  perhatiannya terutama pada filsafat agung, dalam aliran ini,  lahir dari kebutuhan yang besar terhadap prinsip-prinsip dan  metode-metode filsafat dalam menafsirkan teks agama.</w:t>
      </w:r>
    </w:p>
    <w:p>
      <w:pPr>
        <w:pStyle w:val="BookText"/>
        <w:bidi w:val="0"/>
        <w:jc w:val="both"/>
        <w:rPr/>
      </w:pPr>
      <w:r>
        <w:rPr>
          <w:rFonts w:eastAsia="Times New Roman" w:cs="Times New Roman" w:ascii="Times New Roman" w:hAnsi="Times New Roman"/>
          <w:color w:val="111111"/>
          <w:sz w:val="28"/>
          <w:szCs w:val="28"/>
          <w:lang w:val="en-US"/>
        </w:rPr>
        <w:t>Elemen-elemen pemikiran filosofis dapat diidentifikasi  dengan jelas dalam tafsir Imam Khomeini. Hubungan interaktif  antara ajaran agama dan filsafat dalam masalah ketuhanan  tampak terjalin sangat harmonis dapat menjawab pertanyaan-  pertanyaan, seperti: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dengan berfilsafat kita bisa mencapai ajaran ini?  Apakah ajaran ini yang mendorong manusia untuk  berfilsafat? </w:t>
      </w:r>
    </w:p>
    <w:p>
      <w:pPr>
        <w:pStyle w:val="BookText"/>
        <w:bidi w:val="0"/>
        <w:rPr/>
      </w:pPr>
      <w:r>
        <w:rPr>
          <w:rFonts w:eastAsia="Times New Roman" w:cs="Times New Roman" w:ascii="Times New Roman" w:hAnsi="Times New Roman"/>
          <w:color w:val="111111"/>
          <w:sz w:val="28"/>
          <w:szCs w:val="28"/>
          <w:lang w:val="en-US"/>
        </w:rPr>
        <w:t>Adakah tafsir yang sebanding dengan Syarh Ushūl Al-Kāfī  karya Mulla Sadra atau Syarh Al-Asma' Al-Husnā karya Hakim  Sabzawari?  Adakah karya yang bisa menandingi Syarh Duſā' Al-Sahr  dan Al-Arbaʻūna Hadītsan karya Imam Khomeini?  Dengan mengkaji karya brilian Khomeini ini, kita akan  menyaksikan kekuatan pemikiran filsafat dan dzauq ‘irfāni di  dalamnya.</w:t>
      </w:r>
    </w:p>
    <w:p>
      <w:pPr>
        <w:pStyle w:val="BookText"/>
        <w:bidi w:val="0"/>
        <w:jc w:val="both"/>
        <w:rPr/>
      </w:pPr>
      <w:r>
        <w:rPr>
          <w:rFonts w:eastAsia="Times New Roman" w:cs="Times New Roman" w:ascii="Times New Roman" w:hAnsi="Times New Roman"/>
          <w:color w:val="111111"/>
          <w:sz w:val="28"/>
          <w:szCs w:val="28"/>
          <w:lang w:val="en-US"/>
        </w:rPr>
        <w:t>Bahasan dalam tulisan ini dibagi menjadi tiga bab, dan  terbukti tanpa analisis filsafat dan dzauq ‘irfāni banyak bagian  dari ajaran agama yang akan terabaikan dan tak bisa dipahami.</w:t>
      </w:r>
    </w:p>
    <w:p>
      <w:pPr>
        <w:pStyle w:val="BookText"/>
        <w:bidi w:val="0"/>
        <w:jc w:val="both"/>
        <w:rPr/>
      </w:pPr>
      <w:r>
        <w:rPr>
          <w:rFonts w:eastAsia="Times New Roman" w:cs="Times New Roman" w:ascii="Times New Roman" w:hAnsi="Times New Roman"/>
          <w:color w:val="111111"/>
          <w:sz w:val="28"/>
          <w:szCs w:val="28"/>
          <w:lang w:val="en-US"/>
        </w:rPr>
        <w:t>Bagian-bagian pokok dalam buku ini adalah sebagai berikut:</w:t>
      </w:r>
    </w:p>
    <w:p>
      <w:pPr>
        <w:pStyle w:val="BookText"/>
        <w:bidi w:val="0"/>
        <w:jc w:val="both"/>
        <w:rPr/>
      </w:pPr>
      <w:r>
        <w:rPr>
          <w:rFonts w:eastAsia="Times New Roman" w:cs="Times New Roman" w:ascii="Times New Roman" w:hAnsi="Times New Roman"/>
          <w:color w:val="111111"/>
          <w:sz w:val="28"/>
          <w:szCs w:val="28"/>
          <w:lang w:val="en-US"/>
        </w:rPr>
        <w:t>Bab 1: Khusus untuk kajian metodologi yang digunakan  Imam Khomeini.</w:t>
      </w:r>
    </w:p>
    <w:p>
      <w:pPr>
        <w:pStyle w:val="BookText"/>
        <w:bidi w:val="0"/>
        <w:jc w:val="both"/>
        <w:rPr/>
      </w:pPr>
      <w:r>
        <w:rPr>
          <w:rFonts w:eastAsia="Times New Roman" w:cs="Times New Roman" w:ascii="Times New Roman" w:hAnsi="Times New Roman"/>
          <w:color w:val="111111"/>
          <w:sz w:val="28"/>
          <w:szCs w:val="28"/>
          <w:lang w:val="en-US"/>
        </w:rPr>
        <w:t>Bab II: Kajian-kajian tentang ketuhanan, manusia, dan  alam semesta yang tidak mungkin dijelaskan  secara tepat tanpa pemikiran filsafat dan dzauq  'irfānī.</w:t>
      </w:r>
    </w:p>
    <w:p>
      <w:pPr>
        <w:pStyle w:val="BookText"/>
        <w:bidi w:val="0"/>
        <w:jc w:val="both"/>
        <w:rPr/>
      </w:pPr>
      <w:r>
        <w:rPr>
          <w:rFonts w:eastAsia="Times New Roman" w:cs="Times New Roman" w:ascii="Times New Roman" w:hAnsi="Times New Roman"/>
          <w:color w:val="111111"/>
          <w:sz w:val="28"/>
          <w:szCs w:val="28"/>
          <w:lang w:val="en-US"/>
        </w:rPr>
        <w:t>Bab III: Kajian atas beberapa kata dan istilah dari teks-  teks agama. Perlu ditekankan di sini bahwa kata-  kata dan istilah-istilah tersebut menunjukkan  nilai-nilai rasionalitas dan ‘irfān. Ini sudah  cukup untuk membuktikan besarnya kebutuhan  pada pemikiran filsafat dan dzauq ‘irfāni dalam  memahami dan menafsirkan teks-teks agama.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Muhammad Reza Irsyadi Nia </w:t>
      </w:r>
      <w:bookmarkStart w:id="19" w:name="pg5928_44151"/>
    </w:p>
    <w:p>
      <w:pPr>
        <w:pStyle w:val="Heading2"/>
        <w:numPr>
          <w:ilvl w:val="1"/>
          <w:numId w:val="1"/>
        </w:numPr>
        <w:bidi w:val="0"/>
        <w:jc w:val="left"/>
        <w:rPr/>
      </w:pPr>
      <w:bookmarkStart w:id="20" w:name="__RefHeading___Toc5529700_581953129"/>
      <w:bookmarkStart w:id="21" w:name="_Toc7"/>
      <w:bookmarkEnd w:id="19"/>
      <w:bookmarkEnd w:id="20"/>
      <w:r>
        <w:rPr/>
        <w:t>ВАВ І</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 w:name="__RefHeading___Toc5529702_581953129"/>
      <w:bookmarkStart w:id="23" w:name="_Toc8"/>
      <w:bookmarkEnd w:id="22"/>
      <w:r>
        <w:rPr/>
        <w:t>METODOLOGI</w:t>
      </w:r>
      <w:bookmarkEnd w:id="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 w:name="pg5928_44153"/>
      <w:bookmarkStart w:id="25" w:name="pg5928_44153"/>
      <w:bookmarkEnd w:id="25"/>
    </w:p>
    <w:p>
      <w:pPr>
        <w:pStyle w:val="BookText"/>
        <w:bidi w:val="0"/>
        <w:rPr/>
      </w:pPr>
      <w:bookmarkStart w:id="26" w:name="pg5928_44153"/>
      <w:bookmarkEnd w:id="26"/>
      <w:r>
        <w:rPr>
          <w:rFonts w:eastAsia="Times New Roman" w:cs="Times New Roman" w:ascii="Times New Roman" w:hAnsi="Times New Roman"/>
          <w:color w:val="111111"/>
          <w:sz w:val="28"/>
          <w:szCs w:val="28"/>
          <w:lang w:val="en-US"/>
        </w:rPr>
        <w:t>Tujuan umum bab ini adalah mengkaji dasar-dasar pemikiran  Imam Khomeini. Pertanyaan-pertanyaan yang dikemukakan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Apakah dalam menjelaskan klaim-klaimnya, terutama  dalam menafsirkan teks-teks agama itu, Imam  menggunakan pendekatan rasional ('aqlī) dan tekstual  (naqli)?  2. Metode apakah yang digunakan: irfān, filosofis, ataukah  teologis?  3. Manakah di antara metode-metode tersebut yang memiliki  peran krusial dalam sistem pemikiran Imam Khomeini?  4. Apakah metode yang dipakai beliau adalah salah satu dari  metode-metode tadi ataukah seluruhnya?  5. Apakah beliau hanya memilih satu metode tertentu  ataukah beliau berusaha melakukan sintesis atas seluruh  metode-metode tersebut?  6. Bagaimana struktur dasar pemikiran Imam Khomeini dan  pola yang digunakan untuk menjelaskan teks-teks yang  membutuhkan penafsiran?</w:t>
      </w:r>
    </w:p>
    <w:p>
      <w:pPr>
        <w:pStyle w:val="Heading3"/>
        <w:numPr>
          <w:ilvl w:val="2"/>
          <w:numId w:val="1"/>
        </w:numPr>
        <w:bidi w:val="0"/>
        <w:jc w:val="left"/>
        <w:rPr/>
      </w:pPr>
      <w:bookmarkStart w:id="27" w:name="__RefHeading___Toc5529704_581953129"/>
      <w:bookmarkStart w:id="28" w:name="_Toc9"/>
      <w:bookmarkEnd w:id="27"/>
      <w:r>
        <w:rPr/>
        <w:t>Agama: Sarana Menuju Puncak Pengetahuan</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Imam Khomeini, tujuan mempelajari  agama adalah mengantarkan manusia ke satu titik. Hal itu  tidak mungkin dilakukan oleh selain agama. Tak satu pun  dari argumentasi, metode Peripatetik, silogisme filosofis, atau  dialektika teologis yang bisa mengantar ke puncak yang tinggi  ini. Agama memiliki peranan khusus dalam mengantarkan  seseorang ke maqam qalbi, yaitu hati yang mendapat pancaran  dari pelita (misykāh) para Nabi dan lentera para Wali. Untuk </w:t>
      </w:r>
    </w:p>
    <w:p>
      <w:pPr>
        <w:pStyle w:val="BookText"/>
        <w:bidi w:val="0"/>
        <w:rPr/>
      </w:pPr>
      <w:r>
        <w:rPr>
          <w:rFonts w:eastAsia="Times New Roman" w:cs="Times New Roman" w:ascii="Times New Roman" w:hAnsi="Times New Roman"/>
          <w:color w:val="111111"/>
          <w:sz w:val="28"/>
          <w:szCs w:val="28"/>
          <w:lang w:val="en-US"/>
        </w:rPr>
        <w:t>mencapai maqam ini, tentu harus ditempuh jalan mujāhadah  (melawan nafsu). Tanpa hal ini, siapa pun yang mengklaim  pemilik ilmu dan makrifat, hanyalah memiliki keduanya dalam  bentuk konsep-konsep. Mereka tidak bisa memahami rahasia  dan isyarat para Nabi dan para Wali, kecuali pada lapisan luar  dan lahirnya saja.</w:t>
      </w:r>
    </w:p>
    <w:p>
      <w:pPr>
        <w:pStyle w:val="BookText"/>
        <w:bidi w:val="0"/>
        <w:jc w:val="both"/>
        <w:rPr/>
      </w:pPr>
      <w:r>
        <w:rPr>
          <w:rFonts w:eastAsia="Times New Roman" w:cs="Times New Roman" w:ascii="Times New Roman" w:hAnsi="Times New Roman"/>
          <w:color w:val="111111"/>
          <w:sz w:val="28"/>
          <w:szCs w:val="28"/>
          <w:lang w:val="en-US"/>
        </w:rPr>
        <w:t>Dengan kata lain, mereka sesungguhnya adalah orang-  orang buta yang terjebak dalam kegelapan alam materi. Mereka  hanya sebatas mengenal adanya cahaya melalui sifat-sifat dan  konsep-konsep belaka. Padahal, cahaya hanya bisa dipahami  melalui cahaya. Jika tingkat makrifat tertinggi adalah sampai  kepada derajat Ilahiah tertinggi dan harapan para urafa hanya  bisa dicapai dengan cara itu, dan jika manifestasi dzāt, sifat,  dan asma Ilahi merupakan hakikat cahaya; ia harus meraih  hakikat tersebut agar bisa terhubung dan sampai ke tingkatan  tersebut. Kapasitas dan potensi ini bisa diperoleh dengan cara  membebaskan diri dari alam kegelapan. Tanpa prasyarat ini,  tidak mungkin pemahaman hakikat bisa diperoleh melalui  argumen Peripatetik, silogisme filosofis, atau argumen teologis.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 ini hanya dimiliki secara khusus oleh para  penghulu ahl al-qulüb; mereka yang sudah diterangi  oleh pelita para Nabi dan lentera para Wali melalui  riyādhah (olah spiritual) dan mujāhadah. Orang-orang  seperti kita hanya mengetahui ilmu melalui konsep-  konsep belaka dan hanya mencapai bayangan rahasia-  rahasia para Nabi dan para Wali yang tertulis. Itu  karena, kita terperangkap dalam kegelapan alam materi  dan hanya melayangkan pandangan yang terbatas pada  apa yang telah kita raih .... Atas dasar itu, bagi kita  yang memiliki mata yang buta dan lisan yang kelu tidak </w:t>
      </w:r>
      <w:bookmarkStart w:id="29" w:name="pg5928_44155"/>
    </w:p>
    <w:p>
      <w:pPr>
        <w:pStyle w:val="BookText"/>
        <w:bidi w:val="0"/>
        <w:rPr/>
      </w:pPr>
      <w:bookmarkEnd w:id="29"/>
      <w:r>
        <w:rPr>
          <w:rFonts w:eastAsia="Times New Roman" w:cs="Times New Roman" w:ascii="Times New Roman" w:hAnsi="Times New Roman"/>
          <w:color w:val="111111"/>
          <w:sz w:val="28"/>
          <w:szCs w:val="28"/>
          <w:lang w:val="en-US"/>
        </w:rPr>
        <w:t>mungkin menyaksikan cahaya-cahaya ilmu Ilahi dan  manifestasi-manifestasi dzāt, sifat, dan asma-Nya."</w:t>
      </w:r>
      <w:r>
        <w:rPr>
          <w:rStyle w:val="FootnoteAnchor"/>
        </w:rPr>
        <w:footnoteReference w:id="2"/>
      </w:r>
      <w:r>
        <w:rPr>
          <w:rFonts w:eastAsia="Times New Roman" w:cs="Times New Roman" w:ascii="Times New Roman" w:hAnsi="Times New Roman"/>
          <w:color w:val="111111"/>
          <w:sz w:val="28"/>
          <w:szCs w:val="28"/>
          <w:lang w:val="en-US"/>
        </w:rPr>
        <w:t xml:space="preserve"> Tidak sepantasnya, kita merasa cukup hanya dengan  pengetahuan hushūlī (yang diperoleh melalui proses belajar)  dalam upaya mencapai tingkatan ini. Sebaliknya, dibutuhkan  “buraq” supaya kita bisa dapat menjalani miʻrāj; mengalami  penyingkapan ruhani dan mampu melepaskan diri dari ikatan  duniawi; serta menghancurkan semua jenis penghambaan diri,  egoisme, dan nafsu syahwat. Maqam dan tingkatan yang tinggi  sangat sulit diraih, dan untuk mencapai tingkatan irsāl wa rafdh  taʻayyunāt (pembebasan dan penafian entifikasi) dibutuhkan  usaha keras dan tidak ada batasnya, kecuali tingkatan syahādah.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Sebenarnya, penyaksian (syuhūd) terhadap maqam  pemutlakan (ithlāq) tidak bisa diraih, kecuali dengan  pembebasan diri dari segala ikatan dan belenggu  Tahapan irsāl (pembebasan) hanya bisa dicapai dengan  menghilangkan batasan-batasan. Oleh karena itu,  wahai saudaraku, berusahalah agar Anda bisa mencapai  maqam kesyahidan..., dan barang siapa meninggal  dalam membela cinta-Nya (kepada Allah), ia seorang  syahid."</w:t>
      </w:r>
      <w:r>
        <w:rPr>
          <w:rStyle w:val="FootnoteAnchor"/>
        </w:rPr>
        <w:footnoteReference w:id="3"/>
      </w:r>
    </w:p>
    <w:p>
      <w:pPr>
        <w:pStyle w:val="Heading3"/>
        <w:numPr>
          <w:ilvl w:val="2"/>
          <w:numId w:val="1"/>
        </w:numPr>
        <w:bidi w:val="0"/>
        <w:jc w:val="left"/>
        <w:rPr/>
      </w:pPr>
      <w:bookmarkStart w:id="30" w:name="__RefHeading___Toc5529706_581953129"/>
      <w:bookmarkStart w:id="31" w:name="_Toc10"/>
      <w:bookmarkEnd w:id="30"/>
      <w:r>
        <w:rPr/>
        <w:t>Relevansi Hikmah, Filsafat dengan Agama</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Imam Khomeini, nalar filsafat sejalan  dengan wahyu. Jadi tidak ada keterpisahan di antara keduanya,  dan kalaupun ada istilah keterpisahan atau dualitas, itu hanya  bersifat metaforis. Konten wahyu adalah term-term yang  dapat digali oleh filsafat. Oleh karena itu, konten wahyu yang  mendalam hanya dapat dicerna oleh para filsuf. Selain mereka,  yang ada hanya kalangan yang berhenti pada tataran lahiriah </w:t>
      </w:r>
    </w:p>
    <w:p>
      <w:pPr>
        <w:pStyle w:val="BookText"/>
        <w:bidi w:val="0"/>
        <w:rPr/>
      </w:pPr>
      <w:r>
        <w:rPr>
          <w:rFonts w:eastAsia="Times New Roman" w:cs="Times New Roman" w:ascii="Times New Roman" w:hAnsi="Times New Roman"/>
          <w:color w:val="111111"/>
          <w:sz w:val="28"/>
          <w:szCs w:val="28"/>
          <w:lang w:val="en-US"/>
        </w:rPr>
        <w:t>saja. Contoh nyata tentang korelasi antara wahyu dan filsafat  dalam pemikiran Imam Khomeini bisa dilihat dalam tafsirnya  atas Surah Al-Ikhlāsh. Beliau terilhami oleh riwayat yang  menjelaskan bahwa terdapat satu surah dalam Al-Quran yang  khusus diturunkan bagi para pendalam ilmu di akhir zaman.</w:t>
      </w:r>
    </w:p>
    <w:p>
      <w:pPr>
        <w:pStyle w:val="BookText"/>
        <w:bidi w:val="0"/>
        <w:jc w:val="both"/>
        <w:rPr/>
      </w:pPr>
      <w:r>
        <w:rPr>
          <w:rFonts w:eastAsia="Times New Roman" w:cs="Times New Roman" w:ascii="Times New Roman" w:hAnsi="Times New Roman"/>
          <w:color w:val="111111"/>
          <w:sz w:val="28"/>
          <w:szCs w:val="28"/>
          <w:lang w:val="en-US"/>
        </w:rPr>
        <w:t>Surah (Al-Ikhlas) ini, beliau tafsirkan dalam enam butir filosofis  yang ringkasnya adalah Hikmah Ilahi, pada hakikatnya ada  untuk membantu pemikiran filosofis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 hal mustahil jika surah tauhid (Al-Ikhlāsh) ...</w:t>
      </w:r>
    </w:p>
    <w:p>
      <w:pPr>
        <w:pStyle w:val="BookText"/>
        <w:bidi w:val="0"/>
        <w:jc w:val="both"/>
        <w:rPr/>
      </w:pPr>
      <w:r>
        <w:rPr>
          <w:rFonts w:eastAsia="Times New Roman" w:cs="Times New Roman" w:ascii="Times New Roman" w:hAnsi="Times New Roman"/>
          <w:color w:val="111111"/>
          <w:sz w:val="28"/>
          <w:szCs w:val="28"/>
          <w:lang w:val="en-US"/>
        </w:rPr>
        <w:t>memiliki tafsiran yang mengandung muatan yang  sejalan dengan hikmah dan argumen-argumen filosofis  .... Kata huwa mengisyaratkan pada Wujud Murni (shirt  wujūd) dan Identitas Absolut (huwiyyah muthlaqah).</w:t>
      </w:r>
    </w:p>
    <w:p>
      <w:pPr>
        <w:pStyle w:val="BookText"/>
        <w:bidi w:val="0"/>
        <w:jc w:val="both"/>
        <w:rPr/>
      </w:pPr>
      <w:r>
        <w:rPr>
          <w:rFonts w:eastAsia="Times New Roman" w:cs="Times New Roman" w:ascii="Times New Roman" w:hAnsi="Times New Roman"/>
          <w:color w:val="111111"/>
          <w:sz w:val="28"/>
          <w:szCs w:val="28"/>
          <w:lang w:val="en-US"/>
        </w:rPr>
        <w:t>Argumentasi tersebut didasarkan pada enam butir  hikmah agung yang dalam surah ini ditetapkan bagi Al-  Haqq Swt. ....</w:t>
      </w:r>
      <w:r>
        <w:rPr>
          <w:rStyle w:val="FootnoteAnchor"/>
        </w:rPr>
        <w:footnoteReference w:id="4"/>
      </w:r>
      <w:r>
        <w:rPr>
          <w:rFonts w:eastAsia="Times New Roman" w:cs="Times New Roman" w:ascii="Times New Roman" w:hAnsi="Times New Roman"/>
          <w:color w:val="111111"/>
          <w:sz w:val="28"/>
          <w:szCs w:val="28"/>
          <w:lang w:val="en-US"/>
        </w:rPr>
        <w:t xml:space="preserve"> Secara ringkas, keenam butir tersebut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Maqam ulūhiyyah, yaitu tempat berkumpulnya seluruh  kesempurnaan dan keesaan dari paduan antara  keindahan (jamāl) dan keagungan (jalāl), yang didukung  kaidah filsafat yang mengatakan bahwa Wujud Murni dan  Identitas Absolut merupakan kesempurnaan murni (sharf  wujud wa huwiyyat muthlaq, sharf kamal).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Maqam ahadiyyah, yaitu menafikan setiap jenis komposisi  (tarkib), baik komposisi akal (tarkib'aqlī) maupun  komposisi eksternal (tarkib khariji), dan mengafirmasikan  kesederhanaan Wajibul Wujud. Butir ini dikuatkan dengan  argumen shirf al-wujūd (wujud murni).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Maqam shamadiyyah, mengisyaratkan penafian esensi  dan kekurangan imkānī (potensial) dari Dzāt Wājib Swt.;  sedangkan seluruh makhluk secara substansial memiliki  keterbatasan, esensi, dan kekurangan imkāni. Dengan  kata lain, esensi merupakan modus eksistensi (wujūd)  yang diabstraksikan (intiza') dari entifikasi (taʻayyun)  eksistensi wujud. Sementara itu, pada satu tingkatan  eksistensi yang disebut shirf al-wujūd pada level ini, tidak  memiliki batasan dan entifikasi.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Pernyataan "tidak ada sesuatu yang terpisah dari  eksistensi Tuhan" sesuai dengan argumen “keterpisahan  bertentangan dengan kemurnian eksistensi". Term  keterpisahan hanya berlaku untuk materi pertama (hayūlā)  dan bagian-bagian yang memiliki komposisi ukuran. Hal  ini tidak tepat untuk eksistensi-eksistensi murni. Atas  dasar ini, sebab akibat bukan berarti terpisahnya akibat  dari sebab dan mengambil bentuk lain untuk dirinya  dengan istilah-istilah manifestasi (tajallī), penampakan  (zhuhūr), entifikasi (taʻayyun), serta emanasi (shudūr).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Dalam masalah ini, baik dengan shudūr (emanasi)  maupun rujū' (proses kembali pada-Nya — Peny), tidak  ada sesuatu yang berkurang dan bertambah di dalam  kausa".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Ketakterpisahan Tuhan dari eksistensi lain tidak  bertentangan dengan kemurnian wujūd. Justru  keterpisahan yang bertentangan dengan keabsolutan  identitas Al-Haqq Swt, akan menimbulkan konsekuensi  adanya sesuatu yang lebih dahulu ada daripada wujūd  murni. Namun, dalam Filsafat Ilahiyah kemustahilan</w:t>
      </w:r>
      <w:bookmarkStart w:id="32" w:name="pg5928_44158"/>
    </w:p>
    <w:p>
      <w:pPr>
        <w:pStyle w:val="BookText"/>
        <w:bidi w:val="0"/>
        <w:rPr/>
      </w:pPr>
      <w:bookmarkEnd w:id="32"/>
      <w:r>
        <w:rPr>
          <w:rFonts w:eastAsia="Times New Roman" w:cs="Times New Roman" w:ascii="Times New Roman" w:hAnsi="Times New Roman"/>
          <w:color w:val="111111"/>
          <w:sz w:val="28"/>
          <w:szCs w:val="28"/>
          <w:lang w:val="en-US"/>
        </w:rPr>
        <w:t>tersebut telah dikaji dalam wujud murni (yang paling  awal) dan determinan (mutaʻayyin).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Wajibul Wujud tidak memiliki kesetaraan, kesamaan, dan  kesejajaran. Hal ini juga bisa dibuktikan dengan argumen  bahwa wujud murni tidak mungkin ada secara berulang-  ulang (shirf al-wujūd la yatakarar).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33" w:name="__RefHeading___Toc5529708_581953129"/>
      <w:bookmarkStart w:id="34" w:name="_Toc11"/>
      <w:bookmarkEnd w:id="33"/>
      <w:r>
        <w:rPr/>
        <w:t>Skripturalisme</w:t>
      </w:r>
      <w:bookmarkEnd w:id="34"/>
    </w:p>
    <w:p>
      <w:pPr>
        <w:pStyle w:val="BookText"/>
        <w:bidi w:val="0"/>
        <w:jc w:val="both"/>
        <w:rPr/>
      </w:pPr>
      <w:r>
        <w:rPr>
          <w:rFonts w:eastAsia="Times New Roman" w:cs="Times New Roman" w:ascii="Times New Roman" w:hAnsi="Times New Roman"/>
          <w:color w:val="111111"/>
          <w:sz w:val="28"/>
          <w:szCs w:val="28"/>
          <w:lang w:val="en-US"/>
        </w:rPr>
        <w:t>Dalam pandangan Imam Khomeini, skripturalisme  (zhāhiriyyah) merupakan pangkal semua kebodohan dan  sumber kehancuran. Berhenti pada batas lahiriah dan tidak  melewatinya untuk bisa sampai ke sisi batiniah merupakan  pangkal pengingkaran terhadap kenabian dan kepemimpinan  (wilāyah). Makhluk yang pertama kali berpegangan pada  aspek lahiriah adalah setan. Dengan cara pandang lahiriahnya,  setan berusaha membandingkan cahaya api dengan tanah.</w:t>
      </w:r>
    </w:p>
    <w:p>
      <w:pPr>
        <w:pStyle w:val="BookText"/>
        <w:bidi w:val="0"/>
        <w:jc w:val="both"/>
        <w:rPr/>
      </w:pPr>
      <w:r>
        <w:rPr>
          <w:rFonts w:eastAsia="Times New Roman" w:cs="Times New Roman" w:ascii="Times New Roman" w:hAnsi="Times New Roman"/>
          <w:color w:val="111111"/>
          <w:sz w:val="28"/>
          <w:szCs w:val="28"/>
          <w:lang w:val="en-US"/>
        </w:rPr>
        <w:t>Namun, ia hanya sampai pada pemahaman lahiriah tanpa bisa  sampai ke dalam pemahaman batiniah tanah sehingga ia tidak  menyaksikan cahaya lebih terang yang dimiliki tanah daripada  cahaya api. Oleh karena itu, teks-teks Kitab Samawi secara  lahiriah bagaikan kulit yang membungkus pokok dan inti, dan  tidak dibenarkan hanya mengkajinya. Untuk bisa melewati  jebakan lahiriah memang tidak mudah dan dibutuhkan usaha  yang keras.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"Wahai orang yang celaka! Hendaklah kamu berusaha  keras dan ber-mujāhadah! Bangunlah! Bersihkan  hatimu dan keluarlah dari cengkeraman setan!  Bangkitlah dan bacalah Kitab Tuhanmu...! Janganlah  berhenti hanya pada kulitnya dan pastikan kamu tidak  menganggap bahwa Kitab Samawi yang turun dari </w:t>
      </w:r>
    </w:p>
    <w:p>
      <w:pPr>
        <w:pStyle w:val="BookText"/>
        <w:bidi w:val="0"/>
        <w:rPr/>
      </w:pPr>
      <w:r>
        <w:rPr>
          <w:rFonts w:eastAsia="Times New Roman" w:cs="Times New Roman" w:ascii="Times New Roman" w:hAnsi="Times New Roman"/>
          <w:color w:val="111111"/>
          <w:sz w:val="28"/>
          <w:szCs w:val="28"/>
          <w:lang w:val="en-US"/>
        </w:rPr>
        <w:t>Tuhan hanya memiliki sesuatu kulit dan bentuk luar.</w:t>
      </w:r>
    </w:p>
    <w:p>
      <w:pPr>
        <w:pStyle w:val="BookText"/>
        <w:bidi w:val="0"/>
        <w:jc w:val="both"/>
        <w:rPr/>
      </w:pPr>
      <w:r>
        <w:rPr>
          <w:rFonts w:eastAsia="Times New Roman" w:cs="Times New Roman" w:ascii="Times New Roman" w:hAnsi="Times New Roman"/>
          <w:color w:val="111111"/>
          <w:sz w:val="28"/>
          <w:szCs w:val="28"/>
          <w:lang w:val="en-US"/>
        </w:rPr>
        <w:t>Berhenti hanya pada bentuk luar dan tinggal dalam  aspek lahiriah tanpa melewatinya untuk bisa sampai  ke pokok dan batin adalah kecelakaan dan kematian.</w:t>
      </w:r>
    </w:p>
    <w:p>
      <w:pPr>
        <w:pStyle w:val="BookText"/>
        <w:bidi w:val="0"/>
        <w:jc w:val="both"/>
        <w:rPr/>
      </w:pPr>
      <w:r>
        <w:rPr>
          <w:rFonts w:eastAsia="Times New Roman" w:cs="Times New Roman" w:ascii="Times New Roman" w:hAnsi="Times New Roman"/>
          <w:color w:val="111111"/>
          <w:sz w:val="28"/>
          <w:szCs w:val="28"/>
          <w:lang w:val="en-US"/>
        </w:rPr>
        <w:t>Hal demikian merupakan akar segala kebodohan  dan pangkal pengingkaran terhadap kenabian dan  kepemimpinan. Makhluk pertama yang berpegangan  pada aspek lahiriah, sedangkan hatinya buta dari  melihat aspek batiniah adalah setan yang terkutuk,  yang hanya melihat aspek lahiriah Adam a.s. sehingga  ia berbuat salah."</w:t>
      </w:r>
      <w:r>
        <w:rPr>
          <w:rStyle w:val="FootnoteAnchor"/>
        </w:rPr>
        <w:footnoteReference w:id="5"/>
      </w:r>
      <w:r>
        <w:rPr>
          <w:rFonts w:eastAsia="Times New Roman" w:cs="Times New Roman" w:ascii="Times New Roman" w:hAnsi="Times New Roman"/>
          <w:color w:val="111111"/>
          <w:sz w:val="28"/>
          <w:szCs w:val="28"/>
          <w:lang w:val="en-US"/>
        </w:rPr>
        <w:t xml:space="preserve"> Setan hanya melihat aspek-aspek lahiriah dari penciptaan.</w:t>
      </w:r>
    </w:p>
    <w:p>
      <w:pPr>
        <w:pStyle w:val="BookText"/>
        <w:bidi w:val="0"/>
        <w:jc w:val="both"/>
        <w:rPr/>
      </w:pPr>
      <w:r>
        <w:rPr>
          <w:rFonts w:eastAsia="Times New Roman" w:cs="Times New Roman" w:ascii="Times New Roman" w:hAnsi="Times New Roman"/>
          <w:color w:val="111111"/>
          <w:sz w:val="28"/>
          <w:szCs w:val="28"/>
          <w:lang w:val="en-US"/>
        </w:rPr>
        <w:t>Contoh lain skriptualisme adalah sikap pengingkaran terhadap  para Nabi. Sebagian manusia menilai para Nabi hanya dari  sisi lahiriah. Mereka hanya terpaku dengan aktivitas lahiryah,  seperti ketika Nabi pergi ke pasar atau ketika Nabi menyantap  makanan dan minuman. Cara pandang lahiriah mengakibatkan  penilaian manusia terhadap kedudukan para Nabi hanya  sebatas pada perbuatan-perbuatan dan kondisi-kondisi lahiriah  yang berujung pada pengingkaran terhadap para Nabi.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Salah satu kesalahan dan kekeliruan yang diakibatkan  oleh penilaian pada aspek lahiriah dan menutup pintu-  pintu dari aspek batiniah adalah pengingkaran manusia  terhadap para Nabi. Dengan cara pandang seperti  ini, para Nabi dianggap seperti manusia biasa yang  berjalan di pasar-pasar, makan dan minum, seperti  yang difirmankan Tuhan, 'Mereka berkata, “Engkau  tidak lain adalah manusia biasa seperti kami dan Tuhan  Yang Maha Pemurah tidak mengutus siapa pun. Engkau  pasti telah berkata bohong.'"</w:t>
      </w:r>
      <w:r>
        <w:rPr>
          <w:rStyle w:val="FootnoteAnchor"/>
        </w:rPr>
        <w:footnoteReference w:id="6"/>
      </w:r>
      <w:r>
        <w:rPr>
          <w:rFonts w:eastAsia="Times New Roman" w:cs="Times New Roman" w:ascii="Times New Roman" w:hAnsi="Times New Roman"/>
          <w:color w:val="111111"/>
          <w:sz w:val="28"/>
          <w:szCs w:val="28"/>
          <w:lang w:val="en-US"/>
        </w:rPr>
        <w:t xml:space="preserve"> Imam Khomeini ingin mengingatkan cara pandang yang  benar, isu tentang penciptaan (takwīnī) dan wahyu (tadwīnī).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hanya Kitab Tadwīni yang memiliki aspek lahir dan batin, </w:t>
      </w:r>
    </w:p>
    <w:p>
      <w:pPr>
        <w:pStyle w:val="BookText"/>
        <w:bidi w:val="0"/>
        <w:rPr/>
      </w:pPr>
      <w:r>
        <w:rPr>
          <w:rFonts w:eastAsia="Times New Roman" w:cs="Times New Roman" w:ascii="Times New Roman" w:hAnsi="Times New Roman"/>
          <w:color w:val="111111"/>
          <w:sz w:val="28"/>
          <w:szCs w:val="28"/>
          <w:lang w:val="en-US"/>
        </w:rPr>
        <w:t>Kitab Takwini juga yang merupakan sebuah kitab ciptaan  dengan segenap makhluk di dalamnya, memiliki aspek lahir  dan batin.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Seperti halnya Kitab Tadwīnī, Ilahi memiliki 7 atau-  menurut pendapat lain-70 aspek batin yang mana,  selain Tuhan dan para Rāsikhūn. (golongan yang  memiliki pengetahuan yang dalam) dalam ilmu, tidak  seorang pun mengetahuinya, dan selain orang-orang  yang suci dari kotoran-kotoran spiritual, serta dari  akhlak yang buruk, tidak ada yang bisa meraihnya...,  begitu pula dengan Kitab Takwini (Al-Qur'an) yang  [anfusī (jiwa) dan ufuqi (alam)]...."</w:t>
      </w:r>
      <w:r>
        <w:rPr>
          <w:rStyle w:val="FootnoteAnchor"/>
        </w:rPr>
        <w:footnoteReference w:id="7"/>
      </w:r>
      <w:r>
        <w:rPr>
          <w:rFonts w:eastAsia="Times New Roman" w:cs="Times New Roman" w:ascii="Times New Roman" w:hAnsi="Times New Roman"/>
          <w:color w:val="111111"/>
          <w:sz w:val="28"/>
          <w:szCs w:val="28"/>
          <w:lang w:val="en-US"/>
        </w:rPr>
        <w:t xml:space="preserve"> Dalam memahami Kitab Tadwini dan Kitab Takwini,  terdapat dua kelompok yang menyimpang dari jalur kebenaran,  yaitu eksoterisme (lahiriah) dan esoterisme (bāthiniyyah)  Kelompok eksoterisme hanya berpegang pada aspek lahir,  aturan-aturan praktis, moralitas, serta ideologi awam. Mereka  memahami Al-Quran hanya sebatas menerima yang ada  pada makna lahirnya. Sementara itu, kelompok esoterisme  meninggalkan aspek lahir dan menyepelekan aturan-aturan  lahir. Mereka hanya berpegang teguh dengan makna-makna  batin.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Sebagian ahli batiniah dengan asumsinya mencoba  menghindari makna lahir Al-Quran, seruan-seruan  lahir, serta dengan mengenakan pakaian iblis yang  terlarang dan nafsu ammārah bissū, mereka lari dari  makna lahir Al-Quran dan menciptakan khayalan  untuk meraih makna batin Al-Quran. Akan tetapi,  sesungguhnya jalan yang bisa mengantarkan kepada  aspek batin adalah teks-teks lahiriah. Hendaklah  penganut lahiriah menyadari bahwa membatasi Al-  Quran hanya pada aspek-aspek lahiriah dan merasa </w:t>
      </w:r>
      <w:bookmarkStart w:id="35" w:name="pg5928_44161"/>
    </w:p>
    <w:p>
      <w:pPr>
        <w:pStyle w:val="BookText"/>
        <w:bidi w:val="0"/>
        <w:rPr/>
      </w:pPr>
      <w:bookmarkEnd w:id="35"/>
      <w:r>
        <w:rPr>
          <w:rFonts w:eastAsia="Times New Roman" w:cs="Times New Roman" w:ascii="Times New Roman" w:hAnsi="Times New Roman"/>
          <w:color w:val="111111"/>
          <w:sz w:val="28"/>
          <w:szCs w:val="28"/>
          <w:lang w:val="en-US"/>
        </w:rPr>
        <w:t>cukup dengan aturan-aturan praktis, moralitas, dan  keyakinan awam tentang masalah tauhid, tentang nama  dan sifat Allah merupakan ketidaktahuan akan hak Al-  Quran, serta kekurangan dalam memahami syariat  Islam. Hal ini adalah sesuatu yang tidak boleh terjadi,  sebab itu sesuatu yang tercela dan tidak berarti; ibarat  noda yang tidak akan bisa dibersihkan walaupun dicuci  di tujuh lautan-naʻūdzu billāh. Ketahuilah wahai  penganut batiniah, bahwa mencapai tujuan yang hakiki  tidak bisa terwujud dengan sekedar membersihkan  diri. Dengan mengabaikan aspek lahiriah, tidak akan  sampai pada sisi batin. Tanpa pakaian lahiriah (syariat),  tidak akan ditemukan makna batiniyah."</w:t>
      </w:r>
      <w:r>
        <w:rPr>
          <w:rStyle w:val="FootnoteAnchor"/>
        </w:rPr>
        <w:footnoteReference w:id="8"/>
      </w:r>
    </w:p>
    <w:p>
      <w:pPr>
        <w:pStyle w:val="Heading3"/>
        <w:numPr>
          <w:ilvl w:val="2"/>
          <w:numId w:val="1"/>
        </w:numPr>
        <w:bidi w:val="0"/>
        <w:jc w:val="left"/>
        <w:rPr/>
      </w:pPr>
      <w:bookmarkStart w:id="36" w:name="__RefHeading___Toc5529710_581953129"/>
      <w:bookmarkStart w:id="37" w:name="_Toc12"/>
      <w:bookmarkEnd w:id="36"/>
      <w:r>
        <w:rPr/>
        <w:t>Hubungan Lahir dan Batin</w:t>
      </w:r>
      <w:bookmarkEnd w:id="37"/>
    </w:p>
    <w:p>
      <w:pPr>
        <w:pStyle w:val="BookText"/>
        <w:bidi w:val="0"/>
        <w:jc w:val="both"/>
        <w:rPr/>
      </w:pPr>
      <w:r>
        <w:rPr>
          <w:rFonts w:eastAsia="Times New Roman" w:cs="Times New Roman" w:ascii="Times New Roman" w:hAnsi="Times New Roman"/>
          <w:color w:val="111111"/>
          <w:sz w:val="28"/>
          <w:szCs w:val="28"/>
          <w:lang w:val="en-US"/>
        </w:rPr>
        <w:t>Cara pandang ilmiah murni sama dengan cara pandang  batiniah murni. Cara pandang semacam ini merupakan cara  pandang yang tidak bisa diterima dan yang akan membawa  manusia ke jurang kehancuran dan menutup jalan untuk sampai  kepada hakikat. Walaupun kita mesti melewati tahapan lahir  menuju wilayah batin, kita tidak bisa memisahkan hubungan  antara lahir dan batin.</w:t>
      </w:r>
    </w:p>
    <w:p>
      <w:pPr>
        <w:pStyle w:val="BookText"/>
        <w:bidi w:val="0"/>
        <w:jc w:val="both"/>
        <w:rPr/>
      </w:pPr>
      <w:r>
        <w:rPr>
          <w:rFonts w:eastAsia="Times New Roman" w:cs="Times New Roman" w:ascii="Times New Roman" w:hAnsi="Times New Roman"/>
          <w:color w:val="111111"/>
          <w:sz w:val="28"/>
          <w:szCs w:val="28"/>
          <w:lang w:val="en-US"/>
        </w:rPr>
        <w:t>Atas dasar ini, kritik yang dilontarkan oleh masing-masing  dari kedua pihak terhadap yang lain tidak memiliki legitimasi  logis, dan keduanya telah menyimpang dari jalur yang benar.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Alhasil, kritik ahli batin terhadap ahli lahir, bahwa mereka  hanya memandang aspek lahir dan menafikan unsur batin  bisa dibenarkan. Sementara itu, jika mereka hanya melihat  aspek negatif dari yang lahir itu adalah bentuk taswil dan  talbis (melihat penampakan sesuatu yang berlawanan dengan  realitas sebenarnya). </w:t>
      </w:r>
    </w:p>
    <w:p>
      <w:pPr>
        <w:pStyle w:val="BookText"/>
        <w:bidi w:val="0"/>
        <w:rPr/>
      </w:pPr>
      <w:r>
        <w:rPr>
          <w:rFonts w:eastAsia="Times New Roman" w:cs="Times New Roman" w:ascii="Times New Roman" w:hAnsi="Times New Roman"/>
          <w:color w:val="111111"/>
          <w:sz w:val="28"/>
          <w:szCs w:val="28"/>
          <w:lang w:val="en-US"/>
        </w:rPr>
        <w:t>Ilmu pengetahuan positif adalah ilmu yang berharga.</w:t>
      </w:r>
    </w:p>
    <w:p>
      <w:pPr>
        <w:pStyle w:val="BookText"/>
        <w:bidi w:val="0"/>
        <w:jc w:val="both"/>
        <w:rPr/>
      </w:pPr>
      <w:r>
        <w:rPr>
          <w:rFonts w:eastAsia="Times New Roman" w:cs="Times New Roman" w:ascii="Times New Roman" w:hAnsi="Times New Roman"/>
          <w:color w:val="111111"/>
          <w:sz w:val="28"/>
          <w:szCs w:val="28"/>
          <w:lang w:val="en-US"/>
        </w:rPr>
        <w:t>Ilmu-ilmu tersebut memiliki keabsahan dan nilai-nilai khusus  karena hukum-hukum dan syariat Ilahi terkait dengan ilmu-  ilmu seperti ini. Sementara itu, yang dimaksud dengan  yang telah lalu adalah dalam rangka untuk menjaga urutan.</w:t>
      </w:r>
    </w:p>
    <w:p>
      <w:pPr>
        <w:pStyle w:val="BookText"/>
        <w:bidi w:val="0"/>
        <w:jc w:val="both"/>
        <w:rPr/>
      </w:pPr>
      <w:r>
        <w:rPr>
          <w:rFonts w:eastAsia="Times New Roman" w:cs="Times New Roman" w:ascii="Times New Roman" w:hAnsi="Times New Roman"/>
          <w:color w:val="111111"/>
          <w:sz w:val="28"/>
          <w:szCs w:val="28"/>
          <w:lang w:val="en-US"/>
        </w:rPr>
        <w:t>Seseorang yang memegang tugas teramat penting ini disebut  dzū al-'ainain (pemilik dua mata).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Aspek lahiriah yang ditolak adalah yang hampa dari  batiniah; wadah yang terpisah dari isi. Tidak kitab dan  tidak juga Al-Quran. Sementara itu, bentuk kata yang  mengantarkan pada makna dan kejelasan harfiah yang  terhubung dengan rahasia, hendaklah itu yang diikuti ...</w:t>
      </w:r>
    </w:p>
    <w:p>
      <w:pPr>
        <w:pStyle w:val="BookText"/>
        <w:bidi w:val="0"/>
        <w:jc w:val="both"/>
        <w:rPr/>
      </w:pPr>
      <w:r>
        <w:rPr>
          <w:rFonts w:eastAsia="Times New Roman" w:cs="Times New Roman" w:ascii="Times New Roman" w:hAnsi="Times New Roman"/>
          <w:color w:val="111111"/>
          <w:sz w:val="28"/>
          <w:szCs w:val="28"/>
          <w:lang w:val="en-US"/>
        </w:rPr>
        <w:t>dan bukan berupa lahir yang hampa dari batin. Seorang  Arif yang sempurna adalah yang menjaga keseimbangan  ini: ia adalah pemilik dua mata, pemilik dua magam,  dan dua alam; ia selalu merawat aspek lahir dan aspek  batin Al-Quran; ia selalu menelaah bentuk kata, makna,  tafsir, serta takwil-Nya. Sesungguhnya, lahir tanpa batin  dan bentuk tanpa inti, ibarat jasad tanpa ruh atau dunia  tanpa akhirat. Demikian pula, pencarian batin tanpa  melewati jalan lahir merupakan sesuatu yang mustahil,  karena yang lahir (dunia) adalah ladang akhirat."</w:t>
      </w:r>
      <w:r>
        <w:rPr>
          <w:rStyle w:val="FootnoteAnchor"/>
        </w:rPr>
        <w:footnoteReference w:id="9"/>
      </w:r>
      <w:r>
        <w:rPr>
          <w:rFonts w:eastAsia="Times New Roman" w:cs="Times New Roman" w:ascii="Times New Roman" w:hAnsi="Times New Roman"/>
          <w:color w:val="111111"/>
          <w:sz w:val="28"/>
          <w:szCs w:val="28"/>
          <w:lang w:val="en-US"/>
        </w:rPr>
        <w:t xml:space="preserve"> Kitab Takwini dan Kitab Tadwini, keduanya memiliki  aspek lahir dan batin. Pada tingkatan penciptaan (takwin)  dunia merupakan lahir, sedangkan akhirat merupakan batin.</w:t>
      </w:r>
    </w:p>
    <w:p>
      <w:pPr>
        <w:pStyle w:val="BookText"/>
        <w:bidi w:val="0"/>
        <w:jc w:val="both"/>
        <w:rPr/>
      </w:pPr>
      <w:r>
        <w:rPr>
          <w:rFonts w:eastAsia="Times New Roman" w:cs="Times New Roman" w:ascii="Times New Roman" w:hAnsi="Times New Roman"/>
          <w:color w:val="111111"/>
          <w:sz w:val="28"/>
          <w:szCs w:val="28"/>
          <w:lang w:val="en-US"/>
        </w:rPr>
        <w:t>Pandangan yang benar adalah ketika kedua sisi ini memiliki  makna, tujuan, dan ketika keduanya saling berhubungan.</w:t>
      </w:r>
    </w:p>
    <w:p>
      <w:pPr>
        <w:pStyle w:val="BookText"/>
        <w:bidi w:val="0"/>
        <w:jc w:val="both"/>
        <w:rPr/>
      </w:pPr>
      <w:r>
        <w:rPr>
          <w:rFonts w:eastAsia="Times New Roman" w:cs="Times New Roman" w:ascii="Times New Roman" w:hAnsi="Times New Roman"/>
          <w:color w:val="111111"/>
          <w:sz w:val="28"/>
          <w:szCs w:val="28"/>
          <w:lang w:val="en-US"/>
        </w:rPr>
        <w:t>Anggapan adanya keterpisahan antara satu sisi dengan sisi  yang lain, dan bahwa keduanya tidak memiliki hubungan sama  sekali, merupakan sebuah kesesatan.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contoh yang jelas tentang adanya anggapan  keterpisahan antara lahir dan batin adalah seperti yang </w:t>
      </w:r>
    </w:p>
    <w:p>
      <w:pPr>
        <w:pStyle w:val="BookText"/>
        <w:bidi w:val="0"/>
        <w:rPr/>
      </w:pPr>
      <w:r>
        <w:rPr>
          <w:rFonts w:eastAsia="Times New Roman" w:cs="Times New Roman" w:ascii="Times New Roman" w:hAnsi="Times New Roman"/>
          <w:color w:val="111111"/>
          <w:sz w:val="28"/>
          <w:szCs w:val="28"/>
          <w:lang w:val="en-US"/>
        </w:rPr>
        <w:t>diyakini para penghamba dunia, semua harapan mereka  hanya tertumpu pada duniawi dan segala hal yang berkaitan  dengannya. Mereka bagaikan orang-orang yang mengejar  benda-benda mati. Begitu juga, ketika mereka mengejar akhirat.</w:t>
      </w:r>
    </w:p>
    <w:p>
      <w:pPr>
        <w:pStyle w:val="BookText"/>
        <w:bidi w:val="0"/>
        <w:jc w:val="both"/>
        <w:rPr/>
      </w:pPr>
      <w:r>
        <w:rPr>
          <w:rFonts w:eastAsia="Times New Roman" w:cs="Times New Roman" w:ascii="Times New Roman" w:hAnsi="Times New Roman"/>
          <w:color w:val="111111"/>
          <w:sz w:val="28"/>
          <w:szCs w:val="28"/>
          <w:lang w:val="en-US"/>
        </w:rPr>
        <w:t>Mendapatkan akhirat dengan mengabaikan dunia merupakan  khayalan belaka. Namun, mereka yang mengejar dunia demi  kehidupannya di akhirat seperti melihat cermin untuk melihat  keindahan yang dicintainya.</w:t>
      </w:r>
    </w:p>
    <w:p>
      <w:pPr>
        <w:pStyle w:val="BookText"/>
        <w:bidi w:val="0"/>
        <w:jc w:val="both"/>
        <w:rPr/>
      </w:pPr>
      <w:r>
        <w:rPr>
          <w:rFonts w:eastAsia="Times New Roman" w:cs="Times New Roman" w:ascii="Times New Roman" w:hAnsi="Times New Roman"/>
          <w:color w:val="111111"/>
          <w:sz w:val="28"/>
          <w:szCs w:val="28"/>
          <w:lang w:val="en-US"/>
        </w:rPr>
        <w:t>Kesimpulannya, penafian mutlak terhadap dunia sama saja  dengan menolak akhirat. Sebagian pernyataan yang mencela  dan menolak dunia, menolak ilmu-ilmu lahir, dan enggan  melewati lahiriah Kitab Samawi dari sudut pandang tertentu,  bisa dibenarkan. Pernyataan demikian bisa dibenarkan, tetapi  tidak bisa menjadi alasan untuk menolaknya secara mutlak.</w:t>
      </w:r>
    </w:p>
    <w:p>
      <w:pPr>
        <w:pStyle w:val="BookText"/>
        <w:bidi w:val="0"/>
        <w:jc w:val="both"/>
        <w:rPr/>
      </w:pPr>
      <w:r>
        <w:rPr>
          <w:rFonts w:eastAsia="Times New Roman" w:cs="Times New Roman" w:ascii="Times New Roman" w:hAnsi="Times New Roman"/>
          <w:color w:val="111111"/>
          <w:sz w:val="28"/>
          <w:szCs w:val="28"/>
          <w:lang w:val="en-US"/>
        </w:rPr>
        <w:t>Sebagai contoh, kadang kita terjebak dengan stuktur kalimat  dan terlalu memperhatikan aturan-aturan lahiriah dan formal,  padahal tindakan ini bisa mengeluarkan seseorang dari jalur  kebenaran. Dunia ka al-an'ām (seperti hewan) dimaksudkan  bagi para penganut lahiriah (yang mengingkari batiniah). Para  pemilik hati dan makrifat (yang menolak lahiriah), mereka  hendaklah waspada terhadap tipuan ini dan mereka hendaklah  memperhatikan amalan batin dan zikir-zikir hati, lalu ikut  berbaris dengan saf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lahiriah adalah melewati desas-desus.</w:t>
      </w:r>
    </w:p>
    <w:p>
      <w:pPr>
        <w:pStyle w:val="BookText"/>
        <w:bidi w:val="0"/>
        <w:jc w:val="both"/>
        <w:rPr/>
      </w:pPr>
      <w:r>
        <w:rPr>
          <w:rFonts w:eastAsia="Times New Roman" w:cs="Times New Roman" w:ascii="Times New Roman" w:hAnsi="Times New Roman"/>
          <w:color w:val="111111"/>
          <w:sz w:val="28"/>
          <w:szCs w:val="28"/>
          <w:lang w:val="en-US"/>
        </w:rPr>
        <w:t>Darinya tak dihasilkan kualitas dan hal.</w:t>
      </w:r>
    </w:p>
    <w:p>
      <w:pPr>
        <w:pStyle w:val="BookText"/>
        <w:bidi w:val="0"/>
        <w:jc w:val="both"/>
        <w:rPr/>
      </w:pPr>
      <w:r>
        <w:rPr>
          <w:rFonts w:eastAsia="Times New Roman" w:cs="Times New Roman" w:ascii="Times New Roman" w:hAnsi="Times New Roman"/>
          <w:color w:val="111111"/>
          <w:sz w:val="28"/>
          <w:szCs w:val="28"/>
          <w:lang w:val="en-US"/>
        </w:rPr>
        <w:t>Ilmu hakiki hanyalah ilmu pencinta.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Selainnya hanyalah penyamaran iblis terkutuk. </w:t>
      </w:r>
      <w:r>
        <w:rPr>
          <w:rStyle w:val="FootnoteAnchor"/>
        </w:rPr>
        <w:footnoteReference w:id="10"/>
      </w:r>
      <w:bookmarkStart w:id="38" w:name="pg5928_44164"/>
    </w:p>
    <w:p>
      <w:pPr>
        <w:pStyle w:val="BookText"/>
        <w:bidi w:val="0"/>
        <w:rPr/>
      </w:pPr>
      <w:bookmarkEnd w:id="38"/>
      <w:r>
        <w:rPr>
          <w:rFonts w:eastAsia="Times New Roman" w:cs="Times New Roman" w:ascii="Times New Roman" w:hAnsi="Times New Roman"/>
          <w:color w:val="111111"/>
          <w:sz w:val="28"/>
          <w:szCs w:val="28"/>
          <w:lang w:val="en-US"/>
        </w:rPr>
        <w:t>Dalam pandangan Imam Khomeini, berpegang kepada  kaidah-kaidah ini supaya bisa keluar dari ilmu-ilmu lahiriah,  cukup memberikan hasil, dan menolaknya sama sekali  merupakan kekeliruan. Semua pernyataan yang dilontarkan  kepada kaum Skripturalisme memiliki keabsahan dan tempat  tersendiri. Jika tidak, akan tampak seakan-akan ada kebenaran  yang akan terungkap dari kebatilan tersebut.</w:t>
      </w:r>
      <w:r>
        <w:rPr>
          <w:rStyle w:val="FootnoteAnchor"/>
        </w:rPr>
        <w:footnoteReference w:id="11"/>
      </w:r>
    </w:p>
    <w:p>
      <w:pPr>
        <w:pStyle w:val="Heading3"/>
        <w:numPr>
          <w:ilvl w:val="2"/>
          <w:numId w:val="1"/>
        </w:numPr>
        <w:bidi w:val="0"/>
        <w:jc w:val="left"/>
        <w:rPr/>
      </w:pPr>
      <w:bookmarkStart w:id="39" w:name="__RefHeading___Toc5529712_581953129"/>
      <w:bookmarkStart w:id="40" w:name="_Toc13"/>
      <w:bookmarkEnd w:id="39"/>
      <w:r>
        <w:rPr/>
        <w:t>Tingkatan dan Tahapan Pengetahuan</w:t>
      </w:r>
      <w:bookmarkEnd w:id="40"/>
    </w:p>
    <w:p>
      <w:pPr>
        <w:pStyle w:val="BookText"/>
        <w:bidi w:val="0"/>
        <w:jc w:val="both"/>
        <w:rPr/>
      </w:pPr>
      <w:r>
        <w:rPr>
          <w:rFonts w:eastAsia="Times New Roman" w:cs="Times New Roman" w:ascii="Times New Roman" w:hAnsi="Times New Roman"/>
          <w:color w:val="111111"/>
          <w:sz w:val="28"/>
          <w:szCs w:val="28"/>
          <w:lang w:val="en-US"/>
        </w:rPr>
        <w:t>Dalam pandangan Imam Khomeini, pengetahuan dan  metodologinya berada pada satu sistem nilai yang hierarkis,  semuanya saling berurutan; dimulai dari Falsafah Maʼrifah  (Filsafat Pengetahuan), kemudian Falsafah Alā (Filsafat Luhur),  dan akhirnya sair wa sulūk (menempuh jalan spiritual). Makrifat  yang didapatkan dari salah satu jalan tersebut, walaupun  pada dasarnya masing-masing memiliki nilai tersendiri ketika  dibandingkan dengan tahapan di atasnya, memiliki nilai yang  lebih rendah. Dalam sistem ini, semakin dekat pengetahuan ke  puncak, maka nilai keuniversalannya akan berkurang. Namun,  pada tahapan yang lebih rendah, ia memiliki keuniversalan dan  rincian yang bisa dicerna oleh umumnya manusia.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walaupun dalam beberapa butir Falsafah  Alā dapat ditemukan argumen-argumen yang kuat, tetapi  pada tahap sair wa suluk dan pengetahuan intuitif (syuhūdi)  tidak bisa lagi diketahui sifatnya dan tidak bisa dicerna oleh  yang lain. Kalaupun masyarakat umum mendapatkan taufik  dalam penambahan ilmu dan kesadaran, mereka hanya bisa  mencapai pemahaman Filsafat Pengetahuan, bukan Filsafat  Tinggi, apalagi sampai ke tahapan sair wa sulūk, kasyf, dan </w:t>
      </w:r>
    </w:p>
    <w:p>
      <w:pPr>
        <w:pStyle w:val="BookText"/>
        <w:bidi w:val="0"/>
        <w:rPr/>
      </w:pPr>
      <w:r>
        <w:rPr>
          <w:rFonts w:eastAsia="Times New Roman" w:cs="Times New Roman" w:ascii="Times New Roman" w:hAnsi="Times New Roman"/>
          <w:color w:val="111111"/>
          <w:sz w:val="28"/>
          <w:szCs w:val="28"/>
          <w:lang w:val="en-US"/>
        </w:rPr>
        <w:t>syuhūd. Dengan demikian, semua tingkatan makrifat hanya  akan memiliki nilai pada tahapnya, bukan ketika dibandingkan  dengan tahap yang lebih tinggi darinya.</w:t>
      </w:r>
    </w:p>
    <w:p>
      <w:pPr>
        <w:pStyle w:val="BookText"/>
        <w:bidi w:val="0"/>
        <w:jc w:val="both"/>
        <w:rPr/>
      </w:pPr>
      <w:r>
        <w:rPr>
          <w:rFonts w:eastAsia="Times New Roman" w:cs="Times New Roman" w:ascii="Times New Roman" w:hAnsi="Times New Roman"/>
          <w:color w:val="111111"/>
          <w:sz w:val="28"/>
          <w:szCs w:val="28"/>
          <w:lang w:val="en-US"/>
        </w:rPr>
        <w:t>"... ini semua sesuai dengan langkah-langkah  argumentatif dalam Filsafat Luhur, bukan dalam  Filsafat Pengetahuan. Argumen seperti ini memang  ada, demikian juga sebagaimana didukung oleh  kasyf para Wali. Para Wali dengan langkah sulūk dari  tingkatan-tingkatan sebelumnya, mendapatkan hakikat  lewat mediasi syuhūd. Akan tetapi, mereka tidak  bisa menjelaskan semua yang disaksikannya kepada  masyarakat umum. Al-Quran, selain yang turun  sekaligus (nāzil), ada juga yang turun secara bertahap  (mutanazzil). Kitab ini sampai ke satu tempat, yang  di dalamnya terdapat muatan yang bisa dipahami  oleh masyarakat biasa yang berada dalam gelapnya  kesesatan, dan Al-Quran juga berbicara kepada  mereka...."</w:t>
      </w:r>
      <w:r>
        <w:rPr>
          <w:rStyle w:val="FootnoteAnchor"/>
        </w:rPr>
        <w:footnoteReference w:id="12"/>
      </w:r>
      <w:r>
        <w:rPr>
          <w:rFonts w:eastAsia="Times New Roman" w:cs="Times New Roman" w:ascii="Times New Roman" w:hAnsi="Times New Roman"/>
          <w:color w:val="111111"/>
          <w:sz w:val="28"/>
          <w:szCs w:val="28"/>
          <w:lang w:val="en-US"/>
        </w:rPr>
        <w:t xml:space="preserve"> Kesimpulannya, semua pengetahuan memiliki tingkatan  yang berbeda-beda. Butir inilah yang menyebab masing-  masing pada tahapannya memiliki status nilainya tersendiri.</w:t>
      </w:r>
    </w:p>
    <w:p>
      <w:pPr>
        <w:pStyle w:val="BookText"/>
        <w:bidi w:val="0"/>
        <w:jc w:val="both"/>
        <w:rPr/>
      </w:pPr>
      <w:r>
        <w:rPr>
          <w:rFonts w:eastAsia="Times New Roman" w:cs="Times New Roman" w:ascii="Times New Roman" w:hAnsi="Times New Roman"/>
          <w:color w:val="111111"/>
          <w:sz w:val="28"/>
          <w:szCs w:val="28"/>
          <w:lang w:val="en-US"/>
        </w:rPr>
        <w:t>Kandungan Al-Quran memiliki makna lahir dan makna batin.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Teks-teks Al-Quran menjadi dalil ihwal kebenaran klaim  tersebut. Misalnya, mengenalkan keberadaan Tuhan dengan  keberadaan unta, karena tidak ada jalan untuk memberikan  pemahaman kepada masyarakat awam, kecuali lewat  cara ini. Karena dangkalnya pemahaman masyarakat umum  untuk mencapai tingkat pengetahuan yang tinggi, Al-Quran  menjelaskannya lewat binatang unta. “Apakah mereka tidak  melihat unta, bagaimana ia diciptakan."'</w:t>
      </w:r>
      <w:r>
        <w:rPr>
          <w:rStyle w:val="FootnoteAnchor"/>
        </w:rPr>
        <w:footnoteReference w:id="13"/>
      </w:r>
      <w:r>
        <w:rPr>
          <w:rFonts w:eastAsia="Times New Roman" w:cs="Times New Roman" w:ascii="Times New Roman" w:hAnsi="Times New Roman"/>
          <w:color w:val="111111"/>
          <w:sz w:val="28"/>
          <w:szCs w:val="28"/>
          <w:lang w:val="en-US"/>
        </w:rPr>
        <w:t xml:space="preserve"> “Al-Quran memiliki tahapan-tahapan; tujuh atau tujuh  puluh batin terkandung di dalamnya. Dari aspek batin, </w:t>
      </w:r>
    </w:p>
    <w:p>
      <w:pPr>
        <w:pStyle w:val="BookText"/>
        <w:bidi w:val="0"/>
        <w:rPr/>
      </w:pPr>
      <w:r>
        <w:rPr>
          <w:rFonts w:eastAsia="Times New Roman" w:cs="Times New Roman" w:ascii="Times New Roman" w:hAnsi="Times New Roman"/>
          <w:color w:val="111111"/>
          <w:sz w:val="28"/>
          <w:szCs w:val="28"/>
          <w:lang w:val="en-US"/>
        </w:rPr>
        <w:t>Al-Quran turun ke tahapan yang memungkinkannya  berbicara kepada kita (kalangan awam). Tuhan  memperkenalkan dirinya melalui keberadaan unta.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mereka tidak melihat unta, bagaimana ia  diciptakan.''</w:t>
      </w:r>
      <w:r>
        <w:rPr>
          <w:rStyle w:val="FootnoteAnchor"/>
        </w:rPr>
        <w:footnoteReference w:id="14"/>
      </w:r>
      <w:r>
        <w:rPr>
          <w:rFonts w:eastAsia="Times New Roman" w:cs="Times New Roman" w:ascii="Times New Roman" w:hAnsi="Times New Roman"/>
          <w:color w:val="111111"/>
          <w:sz w:val="28"/>
          <w:szCs w:val="28"/>
          <w:lang w:val="en-US"/>
        </w:rPr>
        <w:t xml:space="preserve"> Butir lain yang bisa menunjukkan keberadaan tingkatan  pengetahuan adalah kesulitan yang dihadapi oleh para  Nabi dalam menyampaikan risalah. Tidak adanya potensi  dan lemahnya pemahaman sasaran dakwah menyebabkan  pekerjaan para Nabi bertambah berat. Oleh karena itu,  dalam menyampaikan risalah Tuhan, mereka harus berusaha  turun ke tahapan yang sangat sederhana sehingga apa yang  mereka sampaikan bisa dipahami oleh sasaran dakwah. Hal  ini merupakan pekerjaan yang sangat berat sehingga para Nabi  menghadapi kesulitan yang melelahkan.</w:t>
      </w:r>
    </w:p>
    <w:p>
      <w:pPr>
        <w:pStyle w:val="BookText"/>
        <w:bidi w:val="0"/>
        <w:jc w:val="both"/>
        <w:rPr/>
      </w:pPr>
      <w:r>
        <w:rPr>
          <w:rFonts w:eastAsia="Times New Roman" w:cs="Times New Roman" w:ascii="Times New Roman" w:hAnsi="Times New Roman"/>
          <w:color w:val="111111"/>
          <w:sz w:val="28"/>
          <w:szCs w:val="28"/>
          <w:lang w:val="en-US"/>
        </w:rPr>
        <w:t>"Lisan para Nabi memiliki kesulitan ... mereka tidak  bisa mengatakan semua yang didapatkannya karena  tidak bisa diungkapkan lewat kata-kata. Dari sisi ini,  mereka memberikan pemahaman kepada kita lewat  perumpamaan-perumpamaan dan contoh-contoh.</w:t>
      </w:r>
      <w:r>
        <w:rPr>
          <w:rStyle w:val="FootnoteAnchor"/>
        </w:rPr>
        <w:footnoteReference w:id="15"/>
      </w:r>
      <w:r>
        <w:rPr>
          <w:rFonts w:eastAsia="Times New Roman" w:cs="Times New Roman" w:ascii="Times New Roman" w:hAnsi="Times New Roman"/>
          <w:color w:val="111111"/>
          <w:sz w:val="28"/>
          <w:szCs w:val="28"/>
          <w:lang w:val="en-US"/>
        </w:rPr>
        <w:t xml:space="preserve"> Al-Quran memiliki segalanya ... seluruh manusia bisa  mengambil manfaat darinya. Akan tetapi, pemanfaatan  yang semestinya tidak bisa mereka lakukan.</w:t>
      </w:r>
    </w:p>
    <w:p>
      <w:pPr>
        <w:pStyle w:val="BookText"/>
        <w:bidi w:val="0"/>
        <w:jc w:val="both"/>
        <w:rPr/>
      </w:pPr>
      <w:r>
        <w:rPr>
          <w:rFonts w:eastAsia="Times New Roman" w:cs="Times New Roman" w:ascii="Times New Roman" w:hAnsi="Times New Roman"/>
          <w:color w:val="111111"/>
          <w:sz w:val="28"/>
          <w:szCs w:val="28"/>
          <w:lang w:val="en-US"/>
        </w:rPr>
        <w:t>Pemanfaatan tersebut oleh mereka hanya sesuai  dengan, 'Sesungguhnya yang mengetahui Al-Quran  adalah orang yang diturunkan Al-Quran itu kepadanya,'  dan itu hanya berlaku bagi Nabi Muhammad Saw..</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itu, orang lain tidak bisa memahaminya,  kecuali mereka yang dididik oleh beliau. Para Wali  termasuk anak-anak didik beliau .... Hendaklah turun  sampai ke beberapa tahapan, dari satu batin ke batin  yang lain, dari satu tingkat ke tingkat yang lain hingga  sampai ke tahapan yang berupa lafaz. Al-Quran bukan  sesuatu yang bisa di dengar dan dilihat begitu saja </w:t>
      </w:r>
    </w:p>
    <w:p>
      <w:pPr>
        <w:pStyle w:val="BookText"/>
        <w:bidi w:val="0"/>
        <w:rPr/>
      </w:pPr>
      <w:r>
        <w:rPr>
          <w:rFonts w:eastAsia="Times New Roman" w:cs="Times New Roman" w:ascii="Times New Roman" w:hAnsi="Times New Roman"/>
          <w:color w:val="111111"/>
          <w:sz w:val="28"/>
          <w:szCs w:val="28"/>
          <w:lang w:val="en-US"/>
        </w:rPr>
        <w:t>(maqūlah samʻī wa basharī), bukan kategori lafaz-lafaz  (maqūlah alfāzh), dan tidak juga tergolong ke dalam  kategori aksident (maqūlah aʻrādh). Akan tetapi, ia  sudah diturunkan beberapa derajat bagi kita yang buta  dan tuli. la diturunkan sampai ke tingkatan yang bisa  dipahami, bahkan oleh orang-orang buta dan tuli."</w:t>
      </w:r>
      <w:r>
        <w:rPr>
          <w:rStyle w:val="FootnoteAnchor"/>
        </w:rPr>
        <w:footnoteReference w:id="16"/>
      </w:r>
      <w:r>
        <w:rPr>
          <w:rFonts w:eastAsia="Times New Roman" w:cs="Times New Roman" w:ascii="Times New Roman" w:hAnsi="Times New Roman"/>
          <w:color w:val="111111"/>
          <w:sz w:val="28"/>
          <w:szCs w:val="28"/>
          <w:lang w:val="en-US"/>
        </w:rPr>
        <w:t xml:space="preserve"> Tingkatan pengetahuan yang rendah bisa dinilai benar  manakala ia tidak dipandang sebagai tujuan akhir, tetapi  merupakan alat yang mengantarkan ke tingkatan yang lebih  tinggi. Betapa banyak ilmu yang memiliki kesucian, tetapi  karena dijadikan tujuan akhir, ia menjadi penghalang untuk  sampai ke tingkatan yang lebih tinggi. Ia bukan lagi sekadar  tidak memiliki kebenaran, bahkan berubah menjadi lawan dari  kebenaran itu. Ilmu dan pengetahuan seperti ini merupakan  tabir dan penghalang untuk sampai ke maksud dan tujuan  [yang sebenarnya).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dan berbagai perkara menurut syariat merupakan  wahana bagi pengamalan. Pengamalan juga merupakan  wahana, yang semuanya ada demi satu tujuan. Ini  semua ada semata-mata agar jiwa kita tersingkap  dari tabir-tabir kegelapan dan keluar dari kegelapan  tersebut sehingga sampai ke tabir-tabir cahaya  ilmu yang menurut syariat dan pengetahuan rasional,  semuanya merupakan wahana yang bisa mengantarkan  ke tujuan. Setiap ilmu yang menghalangi manusia dari  memahami maksud kedatangan para Nabi merupakan  tabir. Para Nabi datang untuk membawa manusia dari  kegelapan dunia ini dan mengantarkan mereka ke  sumber cahaya."</w:t>
      </w:r>
      <w:r>
        <w:rPr>
          <w:rStyle w:val="FootnoteAnchor"/>
        </w:rPr>
        <w:footnoteReference w:id="17"/>
      </w:r>
      <w:r>
        <w:rPr>
          <w:rFonts w:eastAsia="Times New Roman" w:cs="Times New Roman" w:ascii="Times New Roman" w:hAnsi="Times New Roman"/>
          <w:color w:val="111111"/>
          <w:sz w:val="28"/>
          <w:szCs w:val="28"/>
          <w:lang w:val="en-US"/>
        </w:rPr>
        <w:t xml:space="preserve"> Sementara itu, meskipun ilmu terkadang berubah  menjadi tabir, itu tidak menjadi alasan untuk memusnahkan  ilmu tersebut. Walaupun metode yang dipakai oleh para Nabi </w:t>
      </w:r>
    </w:p>
    <w:p>
      <w:pPr>
        <w:pStyle w:val="BookText"/>
        <w:bidi w:val="0"/>
        <w:rPr/>
      </w:pPr>
      <w:r>
        <w:rPr>
          <w:rFonts w:eastAsia="Times New Roman" w:cs="Times New Roman" w:ascii="Times New Roman" w:hAnsi="Times New Roman"/>
          <w:color w:val="111111"/>
          <w:sz w:val="28"/>
          <w:szCs w:val="28"/>
          <w:lang w:val="en-US"/>
        </w:rPr>
        <w:t>berbeda dengan metode para filsuf (hakim), para Nabi tidak  menggunakan argumentasi dalam membuktikan keberadaan  Tuhan. Mereka tidak menganggap Tuhan sebagai wujud gaib  yang membutuhkan pembuktian. Namun, itu tidak berarti  menafikan kebutuhan atas argumentasi dan ilmu-ilmu rasional  dan argumentatif.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Setelah butir-butir seperti tauhid mutlak, kesatuan  mutlak ... secara argumentatif kita buktikan ... tetap  ia hanya sebuah argumen, dan tetap saja ada tabir-  tabir di balik argumentasi. Dengan segenap usaha,  jika kita sampai ke inti, maka hati kita pun akan  mencerna makna bahwa 'eksistensi murni adalah  segalanya'. Seseorang yang mempersepsikan suatu  perkara secara rasional melalui argumentasi, ia pun  mempersepsi perkara tersebut dengan hatinya secara  bertahap melalui pengulangan dan mujadalah. Ketika  batasan argumentatif tadi sampai ke hati, hati pun  mempercayainya bahwa di dalam rumah itu hanya  ada pemilik rumah'. Akan tetapi, itu hanya keyakinan  dan keimanan. Bahkan tahap li yathma’inna qalbi  (ketentraman hati) tidak seperti yang dimiliki oleh para  Nabi. Inilah satu tahapan di atas tahapan musyāhadah.</w:t>
      </w:r>
    </w:p>
    <w:p>
      <w:pPr>
        <w:pStyle w:val="BookText"/>
        <w:bidi w:val="0"/>
        <w:jc w:val="both"/>
        <w:rPr/>
      </w:pPr>
      <w:r>
        <w:rPr>
          <w:rFonts w:eastAsia="Times New Roman" w:cs="Times New Roman" w:ascii="Times New Roman" w:hAnsi="Times New Roman"/>
          <w:color w:val="111111"/>
          <w:sz w:val="28"/>
          <w:szCs w:val="28"/>
          <w:lang w:val="en-US"/>
        </w:rPr>
        <w:t>Tahapan musyāhadah hanya seperti seorang buta  yang melangkah dengan tongkatnya dan seorang Arif  membimbingnya ke dalam hatinya, sementara Musa  menyaksikan."</w:t>
      </w:r>
      <w:r>
        <w:rPr>
          <w:rStyle w:val="FootnoteAnchor"/>
        </w:rPr>
        <w:footnoteReference w:id="18"/>
      </w:r>
      <w:r>
        <w:rPr>
          <w:rFonts w:eastAsia="Times New Roman" w:cs="Times New Roman" w:ascii="Times New Roman" w:hAnsi="Times New Roman"/>
          <w:color w:val="111111"/>
          <w:sz w:val="28"/>
          <w:szCs w:val="28"/>
          <w:lang w:val="en-US"/>
        </w:rPr>
        <w:t xml:space="preserve"> Tingkatan persepsi dan pengetahuan dalam pandangan  Imam Khomeini memiliki tahapan sebagai berikut: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Tahapan persepsi ilmiah dan pemikiran yang sejalan  dengan langkah argumentasi. Tahapan ini adalah tahapan  pemilik tabir paling besar yang ditempati oleh para filsuf  dan para ulama.</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Tahapan iman yang puncak kesempurnaanya adalah  ketika sampai ke tahapan ithmi'nān (tenteram). Ini adalah  tahapan orang-orang yang beriman dan mereka yang  yakin.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Tahapan ahli syuhūd (penyaksian) dan para pemilik  hati (shāhib al-qulüb). Tahapan yang melalui cahaya  musyāhadah, mengantarkan mereka sampai ke dalam  fana mutlak.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Tahapan wali yang sempurna (ahli tahaqquq wa  kummal auliyā'). Tahapan ini adalah tahapan yang telah  mencapai kedudukan wahdah (unitas) murni dan mampu  melepaskan katsrah (kemajemukan) dan mencapai  maqam terdekat (qāba qausain).</w:t>
      </w:r>
      <w:r>
        <w:rPr>
          <w:rStyle w:val="FootnoteAnchor"/>
        </w:rPr>
        <w:footnoteReference w:id="19"/>
      </w:r>
      <w:r>
        <w:rPr>
          <w:rFonts w:eastAsia="Times New Roman" w:cs="Times New Roman" w:ascii="Times New Roman" w:hAnsi="Times New Roman"/>
          <w:color w:val="111111"/>
          <w:sz w:val="28"/>
          <w:szCs w:val="28"/>
          <w:lang w:val="en-US"/>
        </w:rPr>
        <w:t xml:space="preserve"> Dengan demikian, melalui klasifikasi pengetahuan,  seseorang bisa terhindar dari berpikir picik dan hanya memiliki  satu sudut pandang. Jika ia sudah mencapai satu tahapan  pengetahuan, ia tidak akan menyalahkan orang lain, dan tidak  merasa puas dengan tahapan yang telah dicapainya. Ia akan  terus berusaha mencapai tahapan yang lebih tinggi lagi.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Ketahuilah bahwa dalam Kitab Ilahi yang universal ini  disebutkan berbagai pengetahuan dari pengetahuan  tentang esensi (maʼrifah al-dzāt) sampai pengetahuan  tentang yang tertinggi (maʼrifahal-aʻlā). Setiap orang,  sesuai potensi masing-masing, bisa memahami setiap  tahapan tersebut. Dalam hal ini, ayat-ayat tentang  tauhid, terutama tauhid af'āl – Misalnya, penjelasan  dan penafsiran dari ulama lahir, ahli hadits, dan  fuqaha benar-benar berbeda dan bertentangan dengan  penjelasan dan penafsiran dari ahli makrifat dan ulama  batin, tetapi masing-masing dari kedua kelompok itu  mengklaim bahwa merekalah yang benar."</w:t>
      </w:r>
      <w:r>
        <w:rPr>
          <w:rStyle w:val="FootnoteAnchor"/>
        </w:rPr>
        <w:footnoteReference w:id="20"/>
      </w:r>
    </w:p>
    <w:p>
      <w:pPr>
        <w:pStyle w:val="BookText"/>
        <w:bidi w:val="0"/>
        <w:rPr/>
      </w:pPr>
      <w:r>
        <w:rPr>
          <w:rFonts w:eastAsia="Times New Roman" w:cs="Times New Roman" w:ascii="Times New Roman" w:hAnsi="Times New Roman"/>
          <w:color w:val="111111"/>
          <w:sz w:val="28"/>
          <w:szCs w:val="28"/>
          <w:lang w:val="en-US"/>
        </w:rPr>
        <w:t>Jelas, bahwa agama dengan sifat universalnya pasti bisa  dicapai oleh semua orang. Perbedaan dan kekhasan alami  setiap individu mengantarkan mereka ke makrifat yang sesuai  untuknya.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Al-Quran merupakan obat bagi penyakit batin, dan  setiap penyakit diobati dengan cara yang berbeda-  beda. Setiap ulama, baik dalam tingkat lahir atau batin  akan mendapatkan manfaat dari Al-Quran sesuai  tingkatan mereka. Sementara itu, sebagian ayat Al-  Quran, seperti ayat pertama dalam Surah Al-Hadid dan  Surah Al-Tauhid - menurut salah satu hadits dalam  Al-Kāfī– ditujukan bagi para pendalam agama di akhir  zaman dan tidak terkecuali, para ulama lahir pun akan  mendapat manfaat darinya. Ini semua merupakan  mukjizat dan sifat umum Al-Quran."</w:t>
      </w:r>
      <w:r>
        <w:rPr>
          <w:rStyle w:val="FootnoteAnchor"/>
        </w:rPr>
        <w:footnoteReference w:id="21"/>
      </w:r>
      <w:r>
        <w:rPr>
          <w:rFonts w:eastAsia="Times New Roman" w:cs="Times New Roman" w:ascii="Times New Roman" w:hAnsi="Times New Roman"/>
          <w:color w:val="111111"/>
          <w:sz w:val="28"/>
          <w:szCs w:val="28"/>
          <w:lang w:val="en-US"/>
        </w:rPr>
        <w:t xml:space="preserve"> Di samping itu, perbedaan-perbedaan alami muncul  dari lingkungan hidup dan faktor-faktor geografis. Hal ini  menyebabkan perbedaan tingkat respon mereka terhadap  dakwah para Nabi. Metode tablig dan dakwah harus disesuaikan  dengan tingkat kemampuan sasaran dakwah sehingga  penerimaan yang cocok bisa terwujud. Sebagian dari mereka  didakwahi dengan cara peringatan dan ditakut-takuti, sebagian  lagi dengan janji dan kabar gembira, dan sebagian yang lain  dengan cerita dan hikayat. Sementara itu, setiap kelompok  menerima setiap metode tadi dengan cara yang berbeda-beda.</w:t>
      </w:r>
    </w:p>
    <w:p>
      <w:pPr>
        <w:pStyle w:val="BookText"/>
        <w:bidi w:val="0"/>
        <w:jc w:val="both"/>
        <w:rPr/>
      </w:pPr>
      <w:r>
        <w:rPr>
          <w:rFonts w:eastAsia="Times New Roman" w:cs="Times New Roman" w:ascii="Times New Roman" w:hAnsi="Times New Roman"/>
          <w:color w:val="111111"/>
          <w:sz w:val="28"/>
          <w:szCs w:val="28"/>
          <w:lang w:val="en-US"/>
        </w:rPr>
        <w:t>Dalam kisah-kisah para Nabi disebutkan bahwa: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Sebagaimana ahli makrifat, sulūk, dan riyādhah  mengambil banyak manfaat darinya (kisah-kisah para  Nabi), begitu pula yang lain, yang mengambil sebagian  manfaat dari manfaat-manfaat yang tak terbatas dalam  kisah-kisah para Nabi tersebut."</w:t>
      </w:r>
      <w:r>
        <w:rPr>
          <w:rStyle w:val="FootnoteAnchor"/>
        </w:rPr>
        <w:footnoteReference w:id="22"/>
      </w:r>
      <w:bookmarkStart w:id="41" w:name="pg5928_44171"/>
    </w:p>
    <w:p>
      <w:pPr>
        <w:pStyle w:val="BookText"/>
        <w:bidi w:val="0"/>
        <w:rPr/>
      </w:pPr>
      <w:bookmarkEnd w:id="41"/>
      <w:r>
        <w:rPr>
          <w:rFonts w:eastAsia="Times New Roman" w:cs="Times New Roman" w:ascii="Times New Roman" w:hAnsi="Times New Roman"/>
          <w:color w:val="111111"/>
          <w:sz w:val="28"/>
          <w:szCs w:val="28"/>
          <w:lang w:val="en-US"/>
        </w:rPr>
        <w:t>Cerita Nabi Ibrahim a.s. merupakan salah satu contoh  pengungkapan yang berbeda-beda.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Mengenai ayat, 'Ketika malam telah gelap, dia melihat  sebuah bintang, </w:t>
      </w:r>
      <w:r>
        <w:rPr>
          <w:rStyle w:val="FootnoteAnchor"/>
        </w:rPr>
        <w:footnoteReference w:id="23"/>
      </w:r>
      <w:r>
        <w:rPr>
          <w:rFonts w:eastAsia="Times New Roman" w:cs="Times New Roman" w:ascii="Times New Roman" w:hAnsi="Times New Roman"/>
          <w:color w:val="111111"/>
          <w:sz w:val="28"/>
          <w:szCs w:val="28"/>
          <w:lang w:val="en-US"/>
        </w:rPr>
        <w:t>para ahli makrifat bisa memahami  suluk dan perjalanan spiritual Nabi Ibrahim a.s..</w:t>
      </w:r>
    </w:p>
    <w:p>
      <w:pPr>
        <w:pStyle w:val="BookText"/>
        <w:bidi w:val="0"/>
        <w:jc w:val="both"/>
        <w:rPr/>
      </w:pPr>
      <w:r>
        <w:rPr>
          <w:rFonts w:eastAsia="Times New Roman" w:cs="Times New Roman" w:ascii="Times New Roman" w:hAnsi="Times New Roman"/>
          <w:color w:val="111111"/>
          <w:sz w:val="28"/>
          <w:szCs w:val="28"/>
          <w:lang w:val="en-US"/>
        </w:rPr>
        <w:t>Kisah tersebut mengajarkan jalan sulūk menuju Allah  dan sair menuju kepada-Nya. Mereka menangkap  hakikat sair nafsi (perjalanan jiwa) dan sulūk maʻnawi  (perilaku spiritual) mulai dari ujung kegelapan alami  yang tampak di jalan tersebut melalui frase: janna  'alaihi lail sampai pengabaian ego mutlak dan egoisme,  serta meninggalkan keakuan, penyembahan diri, dan  sampai ke maqām qudsi, lalu masuk ke dalam gelora  cinta yang diisyaratkan dalam frase. Sesungguhnya aku  menghadapkan diriku kepada Tuhan yang menciptakan  langit dan bumi dengan cenderung kepada agama yang  benar, dan aku bukanlah termasuk orang-orang yang  mempersekutukan Tuhan.</w:t>
      </w:r>
      <w:r>
        <w:rPr>
          <w:rStyle w:val="FootnoteAnchor"/>
        </w:rPr>
        <w:footnoteReference w:id="24"/>
      </w:r>
      <w:r>
        <w:rPr>
          <w:rFonts w:eastAsia="Times New Roman" w:cs="Times New Roman" w:ascii="Times New Roman" w:hAnsi="Times New Roman"/>
          <w:color w:val="111111"/>
          <w:sz w:val="28"/>
          <w:szCs w:val="28"/>
          <w:lang w:val="en-US"/>
        </w:rPr>
        <w:t>Sementara itu, kelompok  lain memahami sair ufuqi (perjalanan langit) dan  metode pendidikan Khalil ar-Rahmān (Ibrahim a.s.)."</w:t>
      </w:r>
      <w:r>
        <w:rPr>
          <w:rStyle w:val="FootnoteAnchor"/>
        </w:rPr>
        <w:footnoteReference w:id="25"/>
      </w:r>
      <w:r>
        <w:rPr>
          <w:rFonts w:eastAsia="Times New Roman" w:cs="Times New Roman" w:ascii="Times New Roman" w:hAnsi="Times New Roman"/>
          <w:color w:val="111111"/>
          <w:sz w:val="28"/>
          <w:szCs w:val="28"/>
          <w:lang w:val="en-US"/>
        </w:rPr>
        <w:t xml:space="preserve"> Terdapat berbagai pemahaman tentang muatan-muatan  Al-Quran, yaitu hal-hal yang berkaitan dengan aturan-aturan  lahiriah syariat dan adab-adab sunnah Ilahiah, masalah maſād  dan argumen pembuktiannya, metode argumentasi (ihtijāj)  Al-Quran terhadap pembuktian eksistensi, serta keesaan dan  sifat-sifat kesempurnaan Tuhan. Semuanya sama dan bersatu  pada masalah-masalah di atas</w:t>
      </w:r>
    </w:p>
    <w:p>
      <w:pPr>
        <w:pStyle w:val="Heading3"/>
        <w:numPr>
          <w:ilvl w:val="2"/>
          <w:numId w:val="1"/>
        </w:numPr>
        <w:bidi w:val="0"/>
        <w:jc w:val="left"/>
        <w:rPr/>
      </w:pPr>
      <w:bookmarkStart w:id="42" w:name="__RefHeading___Toc5529714_581953129"/>
      <w:bookmarkStart w:id="43" w:name="_Toc14"/>
      <w:bookmarkEnd w:id="42"/>
      <w:r>
        <w:rPr/>
        <w:t>Kedudukan Filsafat: Falsafah Luhur (Falsafah ‘Ali), Bukan Falsafah Awam</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Karya-karya berharga Imam Khomeini sarat dengan  muatan-muatan filosofis, serta kaidah-kaidah dan prinsip-  prinsip kebijaksanaan. Sebagian kandungan karya-karyanya </w:t>
      </w:r>
    </w:p>
    <w:p>
      <w:pPr>
        <w:pStyle w:val="BookText"/>
        <w:bidi w:val="0"/>
        <w:rPr/>
      </w:pPr>
      <w:r>
        <w:rPr>
          <w:rFonts w:eastAsia="Times New Roman" w:cs="Times New Roman" w:ascii="Times New Roman" w:hAnsi="Times New Roman"/>
          <w:color w:val="111111"/>
          <w:sz w:val="28"/>
          <w:szCs w:val="28"/>
          <w:lang w:val="en-US"/>
        </w:rPr>
        <w:t>berisi pembelaan terhadap filsafat dan menjawab kerancuan-  kerancuan. Dari situ, bisa dirasakan besarnya penghargaan  beliau terhadap semua pemuka Filsafat Ilahi. Dengan demikian,  beliau menilai Hikmah Mutaʻāliyah memiliki keunggulan  tersendiri disebabkan kentalnya dzauq ‘irfāni yang dimilikinya.</w:t>
      </w:r>
    </w:p>
    <w:p>
      <w:pPr>
        <w:pStyle w:val="BookText"/>
        <w:bidi w:val="0"/>
        <w:jc w:val="both"/>
        <w:rPr/>
      </w:pPr>
      <w:r>
        <w:rPr>
          <w:rFonts w:eastAsia="Times New Roman" w:cs="Times New Roman" w:ascii="Times New Roman" w:hAnsi="Times New Roman"/>
          <w:color w:val="111111"/>
          <w:sz w:val="28"/>
          <w:szCs w:val="28"/>
          <w:lang w:val="en-US"/>
        </w:rPr>
        <w:t>Kajian yang disuguhkan dalam Hikmah Muta'āliyah sejalan  dengan langkah akal, dan berdiri kokoh di atas argumentasi,  serta ditopang dengan burāq dari dzauq dan syuhūd dari  hakim mutaʻāli yang dinamis dan kekal sehingga mampu  mengantarkannya ke dalam pengetahuan lahā thūr warā'a thūr  al-'aql (yang memiliki gunung di balik gunung akal).</w:t>
      </w:r>
    </w:p>
    <w:p>
      <w:pPr>
        <w:pStyle w:val="BookText"/>
        <w:bidi w:val="0"/>
        <w:jc w:val="both"/>
        <w:rPr/>
      </w:pPr>
      <w:r>
        <w:rPr>
          <w:rFonts w:eastAsia="Times New Roman" w:cs="Times New Roman" w:ascii="Times New Roman" w:hAnsi="Times New Roman"/>
          <w:color w:val="111111"/>
          <w:sz w:val="28"/>
          <w:szCs w:val="28"/>
          <w:lang w:val="en-US"/>
        </w:rPr>
        <w:t>Imam Khomeini memberikan kepada para penggagas  filsafat hak mereka. Oleh karena itu, beliau menghargai para  kritikus filsafat yang berpandangan kritis dan dengan keraguan  selama mereka berlandaskan pada akal dan teori dalam setiap  tahapannya.</w:t>
      </w:r>
    </w:p>
    <w:p>
      <w:pPr>
        <w:pStyle w:val="BookText"/>
        <w:bidi w:val="0"/>
        <w:jc w:val="both"/>
        <w:rPr/>
      </w:pPr>
      <w:r>
        <w:rPr>
          <w:rFonts w:eastAsia="Times New Roman" w:cs="Times New Roman" w:ascii="Times New Roman" w:hAnsi="Times New Roman"/>
          <w:color w:val="111111"/>
          <w:sz w:val="28"/>
          <w:szCs w:val="28"/>
          <w:lang w:val="en-US"/>
        </w:rPr>
        <w:t>Dalam hal ini, Imam Khomeini berkali-kali menyarankan  agar tidak mengingkari kelompok teras 'irfān dan pembesar  di bidang dzauq dan syuhūd. Beliau juga senantiasa berpesan  agar jangan membatasi maksud teks pada arti lahiriah, seperti  yang terjadi pada pemahaman kaum awam dan Filsafat  Biasa. Berikut ini adalah beberapa contoh perbedaan antara  penafsiran Filsafat Awam dan Filsafat Luhur dalam masalah-  masalah Ketuhanan.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Penafian Kausalitas  Dalam menafsirkan alhamdulillāh, Imam Khomeini  berkeyakinan bahwa pujian hanya milik Al-Haqq Swt. dan  menafikannya dari selain Dia. Argumentasi yang diajukannya</w:t>
      </w:r>
    </w:p>
    <w:p>
      <w:pPr>
        <w:pStyle w:val="BookText"/>
        <w:bidi w:val="0"/>
        <w:rPr/>
      </w:pPr>
      <w:r>
        <w:rPr>
          <w:rFonts w:eastAsia="Times New Roman" w:cs="Times New Roman" w:ascii="Times New Roman" w:hAnsi="Times New Roman"/>
          <w:color w:val="111111"/>
          <w:sz w:val="28"/>
          <w:szCs w:val="28"/>
          <w:lang w:val="en-US"/>
        </w:rPr>
        <w:t>adalah semua eksistensi merupakan bayangan atau emanasi  (faidh) yang terpancar dari eksistensi Al-Haqq Swt. dan semua  kenikmatan lahir dan batin, yang dalam pandangan orang  awam bersumber dari manusia, pada hakikatnya bersumber  dari Tuhan dan tidak ada sekutu bagi-Nya dalam masalah  tersebut; eksistensi lain bukan sekadar tidak berperan dalam  sebab akibat (kausalitas), bahkan mereka bukan merupakan  sebab persiapan (mu`idd).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Alhamdulillāh, yaitu semua jenis pujian dikhususkan  untuk Tuhan Yang Mahasuci ... dan semua pujian para  pemuji hanya milik Al-Haqq Swt..... Ini sesuai dengan  argumen para ahli hikmah dan pemuka Filsafat Tinggi,  sesuatu yang sangat jelas ... Dzat Yang Esa tidak  mungkin disekutui oleh satu eksistensi pun, walaupun  hanya sekutu dalam hal sebab i'dādi (persiapan) yang  diyakini oleh para penganut Filsafat Awam. Maka,  karena pujian selalu ada berdasarkan kenikmatan dan  kebaikan, tidak mungkin ada pemberi nikmat (mun'im)  selain Wujud Al-Haqq Swt..... Oleh karena itu, semua  pujian dikhsuskan bagi-Nya."</w:t>
      </w:r>
      <w:r>
        <w:rPr>
          <w:rStyle w:val="FootnoteAnchor"/>
        </w:rPr>
        <w:footnoteReference w:id="26"/>
      </w:r>
      <w:r>
        <w:rPr>
          <w:rFonts w:eastAsia="Times New Roman" w:cs="Times New Roman" w:ascii="Times New Roman" w:hAnsi="Times New Roman"/>
          <w:color w:val="111111"/>
          <w:sz w:val="28"/>
          <w:szCs w:val="28"/>
          <w:lang w:val="en-US"/>
        </w:rPr>
        <w:t xml:space="preserve"> Hal yang membedakan Filsafat Luhur dengan Filsafat  Awam terletak pada fakta bahwa Filsafat Tinggi – dengan  melewati beberapa tingkat dan tahapan, menafikkan sebab  akibat dan menganggap bahwa sebab persiapan (i'dādī) tidak  memiliki peran sedikit pun. Di sisi lain, hal tersebut benar-  benar tidak sejalan dengan prinsip Filsafat Awam dan biasa  yang mengkhususkan pujian hanya kepada Tuhan. Berdasarkan  alasan tersebut, alasan dianggap hal yang tidak benar  “Hendaklah diketahui bahwa mengkhususkan semua  pujian dan sejenisnya pada sesuatu, dengan adanya  dua kemungkinan makna pada huruf alif dan lam- </w:t>
      </w:r>
    </w:p>
    <w:p>
      <w:pPr>
        <w:pStyle w:val="BookText"/>
        <w:bidi w:val="0"/>
        <w:rPr/>
      </w:pPr>
      <w:r>
        <w:rPr>
          <w:rFonts w:eastAsia="Times New Roman" w:cs="Times New Roman" w:ascii="Times New Roman" w:hAnsi="Times New Roman"/>
          <w:color w:val="111111"/>
          <w:sz w:val="28"/>
          <w:szCs w:val="28"/>
          <w:lang w:val="en-US"/>
        </w:rPr>
        <w:t>hanya berdasarkan pada sebab akibat filosofis adalah  sesuatu yang dinafikan, walaupun dengan makna  sebab akibat yang lebih dalam sekalipun. Selain dengan  lisan Al-Quran dan 'irfān para Wali (semoga shalawat  tercurah kepada mereka), hal itu tidak akan bisa  dijelaskan.</w:t>
      </w:r>
      <w:r>
        <w:rPr>
          <w:rStyle w:val="FootnoteAnchor"/>
        </w:rPr>
        <w:footnoteReference w:id="27"/>
      </w:r>
      <w:r>
        <w:rPr>
          <w:rFonts w:eastAsia="Times New Roman" w:cs="Times New Roman" w:ascii="Times New Roman" w:hAnsi="Times New Roman"/>
          <w:color w:val="111111"/>
          <w:sz w:val="28"/>
          <w:szCs w:val="28"/>
          <w:lang w:val="en-US"/>
        </w:rPr>
        <w:t xml:space="preserve"> Imam Khomeini selalu menekankan sebuah metode pada  makrifat dan ilmu. Beliau memperingatkan para pendebat  agar jangan sampai mereka mencari segala sesuatu hanya  berdasarkan argumentasi. Sebaliknya, membebaskan diri dari  egosentrisme (keakuan) dan melepaskan segala ikatan duniawi  merupakan syarat utama untuk sampai ke tingkatan‘irfān yang  hakiki.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"Ketahuilah bahwa penempuh jalan spiritual  (sālik) menuju Allah dan para mujahid di jalan-  Nya tidak membatasi makrifat hanya pada satu  ilmu. Menghabiskan umur dalam bergelut dengan  argumentasi merupakan tabir, bahkan tabir yang paling  besar karena penyangga argumentasi adalah kayu'  yang bahkan seorang Sulaiman pun tidak bisa berbuat  apa-apa. Inilah telaga orang-orang suci dan tahapan  orang-orang merdeka.... "</w:t>
      </w:r>
      <w:r>
        <w:rPr>
          <w:rStyle w:val="FootnoteAnchor"/>
        </w:rPr>
        <w:footnoteReference w:id="28"/>
      </w:r>
      <w:r>
        <w:rPr>
          <w:rFonts w:eastAsia="Times New Roman" w:cs="Times New Roman" w:ascii="Times New Roman" w:hAnsi="Times New Roman"/>
          <w:color w:val="111111"/>
          <w:sz w:val="28"/>
          <w:szCs w:val="28"/>
          <w:lang w:val="en-US"/>
        </w:rPr>
        <w:t xml:space="preserve"> 2. Aliran Kehidupan di Segenap Eksistensi  Pandangan seperti ini akan memudahkan pemahaman pada  banyak teks agama. Salah satunya adalah dalam menafsirkan  hamd (pujian). Hamd adalah pujian yang berbentuk lisan  atas perbuatan baik yang dilakukan secara sadar. Penafsiran  tersebut, menurut pandangan Imam Khomeini sangat lemah  dan definisi tersebut datang dari para ilmuwan sastra yang tidak  memahami bahasa secara keseluruhan. Atas dasar ini, kalam, </w:t>
      </w:r>
    </w:p>
    <w:p>
      <w:pPr>
        <w:pStyle w:val="BookText"/>
        <w:bidi w:val="0"/>
        <w:rPr/>
      </w:pPr>
      <w:r>
        <w:rPr>
          <w:rFonts w:eastAsia="Times New Roman" w:cs="Times New Roman" w:ascii="Times New Roman" w:hAnsi="Times New Roman"/>
          <w:color w:val="111111"/>
          <w:sz w:val="28"/>
          <w:szCs w:val="28"/>
          <w:lang w:val="en-US"/>
        </w:rPr>
        <w:t>tasbih, dan tahmid bagi segenap makhluk bersifat majazi. Dalam  pandangan mereka, hakikat bicara (nuthq) dikhususkan bagi  manusia dengan asumsi bahwa Tuhan dan eksistensi lainnya  tidak memiliki kemampuan bicara. Oleh karena itu, penerapan  konsep ini pada mereka tidak bersifat hakiki. Menurut teori  ini, kalam Tuhan berarti penciptaan ucapan, sedangkan ucapan  eksistensi lain adalah tasbih dan tahmid mereka yang esensial  dan alami. Motif dari memunculkan pendapat ini adalah untuk  menyucikan eksistensi Tuhan. Namun pada kenyataannya,  ini merupakan ancaman (tahdid), bahkan penihilan (ta’thil) –  Mahasuci Allah dari penyucian seperti ini,  Dalam menyelesaikan masalah ini, Imam Khomeini  meyakini adanya tahapan pada kata-kata tersebut. Setiap  tahapan memiliki satu alam yang sesuai dengan alam  eksistensi. Oleh karena itu, pujian bisa diterapkan pada setiap  tahapan eksistensi dengan arti kata yang hakiki. Justifikasi atas  klaim tersebut adalah teori “aliran kehidupan dalam segenap  eksistensi".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Ketahuilah, setiap eksistensi memiliki jatah (hadh),  bahkan hadh yang ada di alam gaib yang berupa  kehidupan murni, kehidupan yang mengalir pada  setiap eksistensi. Poin ini telah dibuktikan oleh  para pemuka Filsafat Luhur dengan argumentasi  mereka, oleh para pemilik hati, dan makrifat melalui  penyaksian (musyāhadah). Begitu juga ayat-ayat Ilahi  dan hadits-hadits dari para penerima wahyu, semoga  shalawat dan salam tercurah kepada mereka, sangat  mendukung hal tersebut. Sementara itu, orang-orang  yang tertabir, seperti para Filsuf Awam dan ahl al-  zhāhir (mereka yang bersandar makna lahiriah) yang </w:t>
      </w:r>
      <w:bookmarkStart w:id="44" w:name="pg5928_44176"/>
    </w:p>
    <w:p>
      <w:pPr>
        <w:pStyle w:val="BookText"/>
        <w:bidi w:val="0"/>
        <w:rPr/>
      </w:pPr>
      <w:bookmarkEnd w:id="44"/>
      <w:r>
        <w:rPr>
          <w:rFonts w:eastAsia="Times New Roman" w:cs="Times New Roman" w:ascii="Times New Roman" w:hAnsi="Times New Roman"/>
          <w:color w:val="111111"/>
          <w:sz w:val="28"/>
          <w:szCs w:val="28"/>
          <w:lang w:val="en-US"/>
        </w:rPr>
        <w:t>tidak menangkap ucapan (nuthq) setiap eksistensi,  melakukan takwil, dan mengemukakan berbagai dalih  (taujih). "</w:t>
      </w:r>
      <w:r>
        <w:rPr>
          <w:rStyle w:val="FootnoteAnchor"/>
        </w:rPr>
        <w:footnoteReference w:id="29"/>
      </w:r>
      <w:r>
        <w:rPr>
          <w:rFonts w:eastAsia="Times New Roman" w:cs="Times New Roman" w:ascii="Times New Roman" w:hAnsi="Times New Roman"/>
          <w:color w:val="111111"/>
          <w:sz w:val="28"/>
          <w:szCs w:val="28"/>
          <w:lang w:val="en-US"/>
        </w:rPr>
        <w:t xml:space="preserve"> Dalam rangka mendukung Filsafat Mutaʼāliyah dan  mengenai mereka yang tidak sepantasnya menarik teks-teks  tersebut pada makna lahir yang sesuai dengan pemahaman  mereka, Imam Khomeini berkata,  "Saya heran kepada ahl al-zhāhir - yang menuduh para  filsuf melakukan takwil terhadap Kitab Allah menurut  akal – sedangkan mereka dalam masalah ini melakukan  takwil terhadap ayat-ayat yang jelas dan hadits-hadits  sahih, karena mereka tidak bisa menangkap nuthq  setiap eksistensi tanpa didukung oleh argumen yang  kuat dan benar. Oleh karena itu, mereka menakwil  Al-Quran tanpa argumentasi dan hanya menjauh dari  makna hakiki."</w:t>
      </w:r>
      <w:r>
        <w:rPr>
          <w:rStyle w:val="FootnoteAnchor"/>
        </w:rPr>
        <w:footnoteReference w:id="30"/>
      </w:r>
      <w:r>
        <w:rPr>
          <w:rFonts w:eastAsia="Times New Roman" w:cs="Times New Roman" w:ascii="Times New Roman" w:hAnsi="Times New Roman"/>
          <w:color w:val="111111"/>
          <w:sz w:val="28"/>
          <w:szCs w:val="28"/>
          <w:lang w:val="en-US"/>
        </w:rPr>
        <w:t xml:space="preserve"> Makna hakiki nuthq bisa diterapkan pada semua  eksistensi dan tasbih mereka adalah tasbih nuthqi yang keluar  dari kesadaran dan kehendak. Itu karena, mereka memiliki  tahapan eksistensi dan sadar akan substansi dirinya.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Ruang eksistensi adalah kehidupan murni, hakikat  ilmu, dan kesadaran. Tasbih adalah ucapan berdasarkan  kesadaran dan kehendak, bukan bawaan alami seperti  yang diyakini oleh orang-orang yang tertabir. Setiap  eksistensi memiliki jatah eksistensi dan memiliki  makrifat terhadap Sang Pencipta – Yang Maha Agung  kedudukannya. "</w:t>
      </w:r>
      <w:r>
        <w:rPr>
          <w:rStyle w:val="FootnoteAnchor"/>
        </w:rPr>
        <w:footnoteReference w:id="31"/>
      </w:r>
    </w:p>
    <w:p>
      <w:pPr>
        <w:pStyle w:val="Heading3"/>
        <w:numPr>
          <w:ilvl w:val="2"/>
          <w:numId w:val="1"/>
        </w:numPr>
        <w:bidi w:val="0"/>
        <w:jc w:val="left"/>
        <w:rPr/>
      </w:pPr>
      <w:bookmarkStart w:id="45" w:name="__RefHeading___Toc5529716_581953129"/>
      <w:bookmarkStart w:id="46" w:name="_Toc15"/>
      <w:bookmarkEnd w:id="45"/>
      <w:r>
        <w:rPr/>
        <w:t>Kedudukan Al-Quran</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Perhatian khusus Imam Khomeini terhadap Al-Quran  sangat jelas dan bisa dilihat pada karya-karyanya. Hal ini </w:t>
      </w:r>
    </w:p>
    <w:p>
      <w:pPr>
        <w:pStyle w:val="BookText"/>
        <w:bidi w:val="0"/>
        <w:rPr/>
      </w:pPr>
      <w:r>
        <w:rPr>
          <w:rFonts w:eastAsia="Times New Roman" w:cs="Times New Roman" w:ascii="Times New Roman" w:hAnsi="Times New Roman"/>
          <w:color w:val="111111"/>
          <w:sz w:val="28"/>
          <w:szCs w:val="28"/>
          <w:lang w:val="en-US"/>
        </w:rPr>
        <w:t>merupakan buah dari kecintaan beliau terhadap Al-Quran.</w:t>
      </w:r>
    </w:p>
    <w:p>
      <w:pPr>
        <w:pStyle w:val="BookText"/>
        <w:bidi w:val="0"/>
        <w:jc w:val="both"/>
        <w:rPr/>
      </w:pPr>
      <w:r>
        <w:rPr>
          <w:rFonts w:eastAsia="Times New Roman" w:cs="Times New Roman" w:ascii="Times New Roman" w:hAnsi="Times New Roman"/>
          <w:color w:val="111111"/>
          <w:sz w:val="28"/>
          <w:szCs w:val="28"/>
          <w:lang w:val="en-US"/>
        </w:rPr>
        <w:t>Manisnya penjelasan Al-Quran yang ada dalam tulisan-  tulisannya dapat dirasakan oleh setiap pembaca. Cita rasa  spiritual yang bercampur dengan kesegaran ‘irfāni membuat  rasa manis tersebut menjadi sempurna. Kelebihan terbesar yang  dimiliki Al-Quran dalam pandangan Imam Khomeini adalah Al-  Quran merupakan teks suci yang memiliki kandungan tinggi  yang belum pernah ada sebelumnya dalam sejarah manusia.</w:t>
      </w:r>
    </w:p>
    <w:p>
      <w:pPr>
        <w:pStyle w:val="BookText"/>
        <w:bidi w:val="0"/>
        <w:jc w:val="both"/>
        <w:rPr/>
      </w:pPr>
      <w:r>
        <w:rPr>
          <w:rFonts w:eastAsia="Times New Roman" w:cs="Times New Roman" w:ascii="Times New Roman" w:hAnsi="Times New Roman"/>
          <w:color w:val="111111"/>
          <w:sz w:val="28"/>
          <w:szCs w:val="28"/>
          <w:lang w:val="en-US"/>
        </w:rPr>
        <w:t>Al-Quran telah turun dan menurunkan makrifat dengan arti  yang sebenarnya untuk pemahaman duniawi tentang kabar  langit yang tinggi. Perhatian terhadap semua sisi Al-Quran-  baik sisi keluhuran dan kesuciannya maupun dalam sisi turun  dan menurunaknnya, akan membantu dalam memahami  dengan benar kandungan Al-Quran yang tak terbatas itu.</w:t>
      </w:r>
    </w:p>
    <w:p>
      <w:pPr>
        <w:pStyle w:val="BookText"/>
        <w:bidi w:val="0"/>
        <w:jc w:val="both"/>
        <w:rPr/>
      </w:pPr>
      <w:r>
        <w:rPr>
          <w:rFonts w:eastAsia="Times New Roman" w:cs="Times New Roman" w:ascii="Times New Roman" w:hAnsi="Times New Roman"/>
          <w:color w:val="111111"/>
          <w:sz w:val="28"/>
          <w:szCs w:val="28"/>
          <w:lang w:val="en-US"/>
        </w:rPr>
        <w:t>Tak Ada Tandingannya dalam Sejarah Manusia  Dalam pandangan Imam Khomeini, pengetahuan, dari  segi epistemologi – berada dalam satu aturan yang berurutan.</w:t>
      </w:r>
    </w:p>
    <w:p>
      <w:pPr>
        <w:pStyle w:val="BookText"/>
        <w:bidi w:val="0"/>
        <w:jc w:val="both"/>
        <w:rPr/>
      </w:pPr>
      <w:r>
        <w:rPr>
          <w:rFonts w:eastAsia="Times New Roman" w:cs="Times New Roman" w:ascii="Times New Roman" w:hAnsi="Times New Roman"/>
          <w:color w:val="111111"/>
          <w:sz w:val="28"/>
          <w:szCs w:val="28"/>
          <w:lang w:val="en-US"/>
        </w:rPr>
        <w:t>Dalam rangkaian ini, setiap tahapan memiliki peran dan  pengaruh tersendiri. Setiap ilmu dengan metode khususnya,  mulai dari tahapan yang paling rendah sampai tahapan yang  paling tinggi, semuanya mengandung kebenaran dan hakikat  yang gradual. Tanpa melewati tahapan sebelumnya, siapa pun  tidak akan bisa sampai kepada tahapan berikutnya. Sementara  itu, hikmah dan filsafat manusia yang menghasilkan teori-  teori yang berhubungan dengan wahyu tidak bisa disejajarkan  dengan pengetahuan Ilahiah Islam.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alasan ini, kedalaman dan nilai kandungan Al-  Quran sama sekali tidak didapatkan dalam pengetahuan yang </w:t>
      </w:r>
    </w:p>
    <w:p>
      <w:pPr>
        <w:pStyle w:val="BookText"/>
        <w:bidi w:val="0"/>
        <w:rPr/>
      </w:pPr>
      <w:r>
        <w:rPr>
          <w:rFonts w:eastAsia="Times New Roman" w:cs="Times New Roman" w:ascii="Times New Roman" w:hAnsi="Times New Roman"/>
          <w:color w:val="111111"/>
          <w:sz w:val="28"/>
          <w:szCs w:val="28"/>
          <w:lang w:val="en-US"/>
        </w:rPr>
        <w:t>berkembang sebelumnya. Atas dasar ini, sebagian mereka  mencoba mencari kontradiksi universal antara filsafat dan  agama. Dengan berpegang pada alasan ini, mereka mencoba  menghapuskan filsafat dan teologi.</w:t>
      </w:r>
    </w:p>
    <w:p>
      <w:pPr>
        <w:pStyle w:val="BookText"/>
        <w:bidi w:val="0"/>
        <w:jc w:val="both"/>
        <w:rPr/>
      </w:pPr>
      <w:r>
        <w:rPr>
          <w:rFonts w:eastAsia="Times New Roman" w:cs="Times New Roman" w:ascii="Times New Roman" w:hAnsi="Times New Roman"/>
          <w:color w:val="111111"/>
          <w:sz w:val="28"/>
          <w:szCs w:val="28"/>
          <w:lang w:val="en-US"/>
        </w:rPr>
        <w:t>Alhasil, keunggulan dan ketinggian pengetahuan Ilahiah  menyebabkan perbedaan yang mencolok antara pengetahuan  dan pengetahuan manusia lainnya. Dengan Surah At-Tauhid  misalnya, karena kandungan surah ini berada pada puncak  pengetahuan, seluruh pikiran yang sarat dengan khayal akan  tersingkirkan.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Akal manusia tidak memiliki kemampuan untuk  mencapai pemahaman hakikat dan kedalaman rahasia-  rahasia itu. Akan tetapi, apa yang diraih oleh ahli  makrifat dan apa yang didapat oleh hati ahli Allah  tidak bisa dicerna oleh akal biasa.... Orang yang tidak  memiliki tempat dalam rahasia-rahasia tauhid dan  pengetahuan Ilahiah ini tidak berhak memberikan  pendapat tentang ayat tersebut. Mereka tidak memiliki  hak untuk menafsirkannya ke dalam makna-makna  umum dan pasaran seperti yang mereka pahami."</w:t>
      </w:r>
      <w:r>
        <w:rPr>
          <w:rStyle w:val="FootnoteAnchor"/>
        </w:rPr>
        <w:footnoteReference w:id="32"/>
      </w:r>
      <w:r>
        <w:rPr>
          <w:rFonts w:eastAsia="Times New Roman" w:cs="Times New Roman" w:ascii="Times New Roman" w:hAnsi="Times New Roman"/>
          <w:color w:val="111111"/>
          <w:sz w:val="28"/>
          <w:szCs w:val="28"/>
          <w:lang w:val="en-US"/>
        </w:rPr>
        <w:t xml:space="preserve"> Pada butir ini, Imam Khomeini memberikan pendapat  secara pasti bahwa pengetahuan Ilahiah Al-Quran tidak  ditemukan pada masa sebelumnya, walaupun beliau  mengkhususkan pendapatnya pada sebagian ayat tersebut.</w:t>
      </w:r>
    </w:p>
    <w:p>
      <w:pPr>
        <w:pStyle w:val="BookText"/>
        <w:bidi w:val="0"/>
        <w:jc w:val="both"/>
        <w:rPr/>
      </w:pPr>
      <w:r>
        <w:rPr>
          <w:rFonts w:eastAsia="Times New Roman" w:cs="Times New Roman" w:ascii="Times New Roman" w:hAnsi="Times New Roman"/>
          <w:color w:val="111111"/>
          <w:sz w:val="28"/>
          <w:szCs w:val="28"/>
          <w:lang w:val="en-US"/>
        </w:rPr>
        <w:t>Butir-butir lainnya adalah sebagai berikut.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 pertama Surah Al-Hadid terdapat  kandungan kandungan yang sangat dalam tentang  masalah tauhid dan pengetahuan yang tinggi, rahasia-  rahasia Ilahiah dan abstraksi (tajrid) yang tiada duanya  dalam catatan Ilahi (masfūrāt ilahiyyah), serta mushaf-  mushaf ahli makrifat dan pemilik hati. Bukti paling nyata  bahwa pengetahuan yang terkandung di dalamnya </w:t>
      </w:r>
    </w:p>
    <w:p>
      <w:pPr>
        <w:pStyle w:val="BookText"/>
        <w:bidi w:val="0"/>
        <w:rPr/>
      </w:pPr>
      <w:r>
        <w:rPr>
          <w:rFonts w:eastAsia="Times New Roman" w:cs="Times New Roman" w:ascii="Times New Roman" w:hAnsi="Times New Roman"/>
          <w:color w:val="111111"/>
          <w:sz w:val="28"/>
          <w:szCs w:val="28"/>
          <w:lang w:val="en-US"/>
        </w:rPr>
        <w:t>berada di luar jangkauan dan daya pikir manusia.</w:t>
      </w:r>
    </w:p>
    <w:p>
      <w:pPr>
        <w:pStyle w:val="BookText"/>
        <w:bidi w:val="0"/>
        <w:jc w:val="both"/>
        <w:rPr/>
      </w:pPr>
      <w:r>
        <w:rPr>
          <w:rFonts w:eastAsia="Times New Roman" w:cs="Times New Roman" w:ascii="Times New Roman" w:hAnsi="Times New Roman"/>
          <w:color w:val="111111"/>
          <w:sz w:val="28"/>
          <w:szCs w:val="28"/>
          <w:lang w:val="en-US"/>
        </w:rPr>
        <w:t>Sebelum ayat ini turun, pengetahuan seperti ini tidak  ditemukan dalam sejarah manusia dan mereka tidak  memiliki kemampuan untuk mencapai pengetahuan  seperti ini."</w:t>
      </w:r>
      <w:r>
        <w:rPr>
          <w:rStyle w:val="FootnoteAnchor"/>
        </w:rPr>
        <w:footnoteReference w:id="33"/>
      </w:r>
      <w:r>
        <w:rPr>
          <w:rFonts w:eastAsia="Times New Roman" w:cs="Times New Roman" w:ascii="Times New Roman" w:hAnsi="Times New Roman"/>
          <w:color w:val="111111"/>
          <w:sz w:val="28"/>
          <w:szCs w:val="28"/>
          <w:lang w:val="en-US"/>
        </w:rPr>
        <w:t xml:space="preserve"> Untuk membuktikan dan menguatkan hal ini, harus  dibandingan antara pengetahuan manusia dan pengetahuan  Ilahi. Di antara buku-buku filsafat terdahulu, kandungan paling  tinggi dan paling berbobot tentang masalah makrifat Ketuhanan  bisa ditemukan dalam buku Theologia Plato. Namun, jika  dibandingkan dengan kandungan Al-Quran, kita akan melihat  perbedaan-perbedaan yang sangat nyata.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ini, buku-buku dan karya-karya para pemuka  filsafat dunia, walaupun ilmu mereka bersumber dari  wahyu Ilahi, di mana buku paling tinggi dan paling  dalam adalah buku Theologia .... Dengan semua  kelebihannya dan karena buku tersebut ditulis dan  disusun untuk mengkaji makrifat Rububiah, kita  melihat dari awal sampai akhir, buku ini membahas  maqam-macam rububiah, seperti yang terkandung  dalam ayat pertama Surah Al-Hadid atau mendekati  maksud ayat tersebut atau mendekati rahasia besar  ketauhidan. Firman Allah, 'Dialah yang Awal dan yang  Akhir yang Zahir dan yang Batin,' </w:t>
      </w:r>
      <w:r>
        <w:rPr>
          <w:rStyle w:val="FootnoteAnchor"/>
        </w:rPr>
        <w:footnoteReference w:id="34"/>
      </w:r>
      <w:r>
        <w:rPr>
          <w:rFonts w:eastAsia="Times New Roman" w:cs="Times New Roman" w:ascii="Times New Roman" w:hAnsi="Times New Roman"/>
          <w:color w:val="111111"/>
          <w:sz w:val="28"/>
          <w:szCs w:val="28"/>
          <w:lang w:val="en-US"/>
        </w:rPr>
        <w:t>atau mirip dengan  ayat dalam beberapa firman-Nya, 'Dia bersama kalian  di mana pun kalian berada.''</w:t>
      </w:r>
      <w:r>
        <w:rPr>
          <w:rStyle w:val="FootnoteAnchor"/>
        </w:rPr>
        <w:footnoteReference w:id="35"/>
      </w:r>
      <w:r>
        <w:rPr>
          <w:rFonts w:eastAsia="Times New Roman" w:cs="Times New Roman" w:ascii="Times New Roman" w:hAnsi="Times New Roman"/>
          <w:color w:val="111111"/>
          <w:sz w:val="28"/>
          <w:szCs w:val="28"/>
          <w:lang w:val="en-US"/>
        </w:rPr>
        <w:t xml:space="preserve"> Kita jangan sampai melakukan kesalahan dengan  beranggapan bahwa Filsafat Islam juga memiliki hukum seperti  ini dan merupakan kelanjutan dari Filsafat Yunani. Terdapat  perbedaan universal antara Filsafat Yunani, Filsafat Islam, dan  pengetahuan Qurani. Dalam perbandingan ini, Filsafat Yunani  sama sekali tidak memiliki warna dari kandungan Islam. Filsafat </w:t>
      </w:r>
    </w:p>
    <w:p>
      <w:pPr>
        <w:pStyle w:val="BookText"/>
        <w:bidi w:val="0"/>
        <w:rPr/>
      </w:pPr>
      <w:r>
        <w:rPr>
          <w:rFonts w:eastAsia="Times New Roman" w:cs="Times New Roman" w:ascii="Times New Roman" w:hAnsi="Times New Roman"/>
          <w:color w:val="111111"/>
          <w:sz w:val="28"/>
          <w:szCs w:val="28"/>
          <w:lang w:val="en-US"/>
        </w:rPr>
        <w:t>Islam, terutama Hikmah Mutaʻāliyah memiliki kandungan  makna Al-Quran yang paling tinggi. Oleh karena itu, tuduhan  bahwa aspek Ilahiah Filsafat Islam merupakan Filsafat Yunani,  tidaklah benar. Dengan demikian, sebagian filsuf Islam yang  mengikuti kerangka Filsafat Yunani, dalam makrifat Rububiah  (mabda' wa ma'ād), tidak meraih keberhasilan yang baik.</w:t>
      </w:r>
    </w:p>
    <w:p>
      <w:pPr>
        <w:pStyle w:val="BookText"/>
        <w:bidi w:val="0"/>
        <w:jc w:val="both"/>
        <w:rPr/>
      </w:pPr>
      <w:r>
        <w:rPr>
          <w:rFonts w:eastAsia="Times New Roman" w:cs="Times New Roman" w:ascii="Times New Roman" w:hAnsi="Times New Roman"/>
          <w:color w:val="111111"/>
          <w:sz w:val="28"/>
          <w:szCs w:val="28"/>
          <w:lang w:val="en-US"/>
        </w:rPr>
        <w:t>"Setiap orang yang meneliti kandungan agama-agama  dunia melalui pemikiran para filsuf besar setiap agama  dan membanding kajian mabda' wa maʼād dengan  yang ada dalam agama Hanif Islam melalui para filsuf  besar serta para Arif terkemuka dalam Islam. Ia akan  mengakui bahwa pengetahuan ini bersumber dari  cahaya kandungan Al-Quran serta hadits-hadits Nabi  Saw. dan Ahlulbaitnya a.s.. Maka, ia akan tahu bahwa  hikmah dan ‘irfān Islami bukan bersumber dari Yunani  atau dari para filsuf Yunani, bahkan tidak ada kesamaan  sama sekali dengannya."</w:t>
      </w:r>
      <w:r>
        <w:rPr>
          <w:rStyle w:val="FootnoteAnchor"/>
        </w:rPr>
        <w:footnoteReference w:id="36"/>
      </w:r>
      <w:r>
        <w:rPr>
          <w:rFonts w:eastAsia="Times New Roman" w:cs="Times New Roman" w:ascii="Times New Roman" w:hAnsi="Times New Roman"/>
          <w:color w:val="111111"/>
          <w:sz w:val="28"/>
          <w:szCs w:val="28"/>
          <w:lang w:val="en-US"/>
        </w:rPr>
        <w:t xml:space="preserve"> Jelas, setiap orang yang mengklaim telah mencapai  tafakur Islami, ia tidak boleh begitu yakin dan menganggap  dirinya telah berada di puncak dan memahami ketinggian  ajaran-ajaran ini. Hanya sekelompok orang yang bisa sampai ke  sana, yaitu mereka Ahlulbait suci yang telah mencapai maksud  hakiki Al-Quran melalui cahaya hidayah Tuhan; dan bahwa  kandungan Al-Quran belum pernah ada sebelumnya, begitu  juga makrifat Ahlululbait a.s. sebagai penafsir dan penjelasnya.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hakikatnya, kita juga bisa meraih kandungan Al-Quran,  tentu melalui Ahlulbait a.s., “Maka ikutilah petunjuk mereka."</w:t>
      </w:r>
      <w:r>
        <w:rPr>
          <w:rStyle w:val="FootnoteAnchor"/>
        </w:rPr>
        <w:footnoteReference w:id="37"/>
      </w:r>
      <w:r>
        <w:rPr>
          <w:rFonts w:eastAsia="Times New Roman" w:cs="Times New Roman" w:ascii="Times New Roman" w:hAnsi="Times New Roman"/>
          <w:color w:val="111111"/>
          <w:sz w:val="28"/>
          <w:szCs w:val="28"/>
          <w:lang w:val="en-US"/>
        </w:rPr>
        <w:t xml:space="preserve"> “Di antara banyak kelompok terdapat satu  kelompok- berkat penghuni rumah wahyu, ‘ishmah,  serta khazanah ilmu dan hikmah dalam masalah  ketauhidan dan penyucian Al-Haqq Swt., lebih unggul </w:t>
      </w:r>
    </w:p>
    <w:p>
      <w:pPr>
        <w:pStyle w:val="BookText"/>
        <w:bidi w:val="0"/>
        <w:rPr/>
      </w:pPr>
      <w:r>
        <w:rPr>
          <w:rFonts w:eastAsia="Times New Roman" w:cs="Times New Roman" w:ascii="Times New Roman" w:hAnsi="Times New Roman"/>
          <w:color w:val="111111"/>
          <w:sz w:val="28"/>
          <w:szCs w:val="28"/>
          <w:lang w:val="en-US"/>
        </w:rPr>
        <w:t>dibanding kelompok-kelompok lain. Kelompok Itsnā  “Asyar (Dua Belas Imam a.s.) yang mampu menyusun  buku-buku prinsip akidah, seperti At-Tauhid dari  Syaikh Al-Shaduq, khotbah-khotbah, dan doa-doa para  imam a.s. dalam kajian tentang tauhid dan penyucian  Al-Haqq Swt. yang bersumber dari wahyu. Bukti akan  hal ini telah dikemukakan, bahwa ilmu-ilmu seperti  ini belum pernah ditemukan dalam sejarah manusia  dan tidak ada seorang pun yang mampu menyucikan  Tuhan, seperti yang mereka lakukan karena mereka  mengambil sumber dari kitab suci, wahyu Ilahi, dan Al-  Quran."</w:t>
      </w:r>
      <w:r>
        <w:rPr>
          <w:rStyle w:val="FootnoteAnchor"/>
        </w:rPr>
        <w:footnoteReference w:id="38"/>
      </w:r>
      <w:r>
        <w:rPr>
          <w:rFonts w:eastAsia="Times New Roman" w:cs="Times New Roman" w:ascii="Times New Roman" w:hAnsi="Times New Roman"/>
          <w:color w:val="111111"/>
          <w:sz w:val="28"/>
          <w:szCs w:val="28"/>
          <w:lang w:val="en-US"/>
        </w:rPr>
        <w:t xml:space="preserve"> Bisa ditambahkan contoh lain dari contoh-contoh di  atas, yaitu masalah perkara posisi di antara dua posisi (al-amr  baina al-amrain) ketika daya pikir manusia tidak menggapainya  sedikit pun.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 adalah salah satu kandungan Al-Quran, di mana  sebelum turunnya Kitab Suci ini tidak ditemukan hal  yang serupa itu dan tidak ada satu pun karya para filsuf  tentang hal tersebut. Manusia berutang budi kepada  kitab Tuhan ini, dan di antaranya adalah makrifat  Ilahiah Qurani."</w:t>
      </w:r>
      <w:r>
        <w:rPr>
          <w:rStyle w:val="FootnoteAnchor"/>
        </w:rPr>
        <w:footnoteReference w:id="39"/>
      </w:r>
      <w:r>
        <w:rPr>
          <w:rFonts w:eastAsia="Times New Roman" w:cs="Times New Roman" w:ascii="Times New Roman" w:hAnsi="Times New Roman"/>
          <w:color w:val="111111"/>
          <w:sz w:val="28"/>
          <w:szCs w:val="28"/>
          <w:lang w:val="en-US"/>
        </w:rPr>
        <w:t xml:space="preserve"> Dalam teks-teks agama, bisa dilihat pernyataan-pernyataan  tentang penisbatan perbutan kepada Tuhan secara hakiki yang  memiliki hubungan dengan al-amr baina al-amrain. Tanpa  adanya perhatian dan pemahaman yang benar tentang masalah  ini, kaidah ini bisa ditafsirkan secara salah. Di antara teks-teks  tersebut adalah ayat, “Dan bukan kamu yang melempar ketika  kamu melempar, tetapi Allah-lah yang melempar. "</w:t>
      </w:r>
      <w:r>
        <w:rPr>
          <w:rStyle w:val="FootnoteAnchor"/>
        </w:rPr>
        <w:footnoteReference w:id="40"/>
      </w:r>
      <w:r>
        <w:rPr>
          <w:rFonts w:eastAsia="Times New Roman" w:cs="Times New Roman" w:ascii="Times New Roman" w:hAnsi="Times New Roman"/>
          <w:color w:val="111111"/>
          <w:sz w:val="28"/>
          <w:szCs w:val="28"/>
          <w:lang w:val="en-US"/>
        </w:rPr>
        <w:t xml:space="preserve"> “Amal dan perbuatan kesempurnaan, seperti halnya  dinisbatkan kepada makhluk juga bisa dinisbahkan </w:t>
      </w:r>
    </w:p>
    <w:p>
      <w:pPr>
        <w:pStyle w:val="BookText"/>
        <w:bidi w:val="0"/>
        <w:rPr/>
      </w:pPr>
      <w:r>
        <w:rPr>
          <w:rFonts w:eastAsia="Times New Roman" w:cs="Times New Roman" w:ascii="Times New Roman" w:hAnsi="Times New Roman"/>
          <w:color w:val="111111"/>
          <w:sz w:val="28"/>
          <w:szCs w:val="28"/>
          <w:lang w:val="en-US"/>
        </w:rPr>
        <w:t>kepada Al-Haqq Swt. tanpa harus mengartikannya dalam  bentuk majazi kepada salah satu dari keduanya."</w:t>
      </w:r>
      <w:r>
        <w:rPr>
          <w:rStyle w:val="FootnoteAnchor"/>
        </w:rPr>
        <w:footnoteReference w:id="41"/>
      </w:r>
      <w:r>
        <w:rPr>
          <w:rFonts w:eastAsia="Times New Roman" w:cs="Times New Roman" w:ascii="Times New Roman" w:hAnsi="Times New Roman"/>
          <w:color w:val="111111"/>
          <w:sz w:val="28"/>
          <w:szCs w:val="28"/>
          <w:lang w:val="en-US"/>
        </w:rPr>
        <w:t xml:space="preserve"> Sebenarnya,  - Tafsir manakah yang tepat untuk ayat ini?  - Mengapa perbuatan ini dinisbatkan kepada makhluk dan  pada saat yang sama dinisbatkan juga kepada Tuhan?  Bisakah perbuatan tersebut dinisbatkan kepada keduanya  dengan makna majazi, atau yang satu hakiki dan yang lain  majazi, atau kedua-duanya majazi?  Bisakah perbuatan tersebut dinisbatkan kepada keduanya  dengan arti yang hakiki dan tidak diartikan dengan makna  majazi?  Kelompok yang berpegang kepada kaidah al-amr baina  al-amrain dan pada makna yang benar tentang maksud ayat  tersebut akan mengambil pilihan ketiga. Orang yang berhasil  memahami ini adalah dia yang bisa menyatukan antara wahdah  (kesatuan) dan katsrah (kemajemukan). Seseorang yang  baginya sifat wahdah lebih unggul, maka semua perbuatan  akan ia nisbahkan kepada Al-Haqq Swt., dan barang siapa yang  katsrah lebih dominan baginya, ia tidak melihat satu perbuatan  pun, kecuali dalam katsrah dan akan lupa kepada Al-Haqq  Swt.. Namun, orang yang mampu menyatukan antara wahdah  dan katsrah, ia akan menisbatkan perbuatan tersebut kepada  keduanya tanpa harus membawanya ke dalam makna majazi.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Hal-hal yang terkandung dalam ayat tersebut sangat jelas,  selain menafikan, ia juga menisbatkan perbuatan tersebut. </w:t>
      </w:r>
    </w:p>
    <w:p>
      <w:pPr>
        <w:pStyle w:val="BookText"/>
        <w:bidi w:val="0"/>
        <w:rPr/>
      </w:pPr>
      <w:r>
        <w:rPr>
          <w:rFonts w:eastAsia="Times New Roman" w:cs="Times New Roman" w:ascii="Times New Roman" w:hAnsi="Times New Roman"/>
          <w:color w:val="111111"/>
          <w:sz w:val="28"/>
          <w:szCs w:val="28"/>
          <w:lang w:val="en-US"/>
        </w:rPr>
        <w:t>Keagungan Al-Quran  Seseorang yang berusaha meneliti Al-Quran harus  betul-betul sadar bahwa ia tidak sedang berhadapan dengan  teks-teks dan kandungan yang biasa. Namun, ia sedang  berhadapan dengan kitab agung yang tidak bisa disifati, yang  nilai keagungannya tidak bisa digapai oleh akal. Keagungan  kandungan Al-Quran berada di atas daya pikir manusia  karena memahami sesuatu berarti memahami hakikat sesuatu  tersebut.</w:t>
      </w:r>
    </w:p>
    <w:p>
      <w:pPr>
        <w:pStyle w:val="BookText"/>
        <w:bidi w:val="0"/>
        <w:jc w:val="both"/>
        <w:rPr/>
      </w:pPr>
      <w:r>
        <w:rPr>
          <w:rFonts w:eastAsia="Times New Roman" w:cs="Times New Roman" w:ascii="Times New Roman" w:hAnsi="Times New Roman"/>
          <w:color w:val="111111"/>
          <w:sz w:val="28"/>
          <w:szCs w:val="28"/>
          <w:lang w:val="en-US"/>
        </w:rPr>
        <w:t>Adakah orang yang mengklaim telah memahami hakikat  Al-Quran?  Hakikat Al-Quran pada tahapan sebelum tanazzul adalah  sesuatu yang rahasia dan tahapan tersebut adalah maqam  Dzāt. Karena penguasaan terhadap Dzat Tuhan adalah sesuatu  yang mustahil, penguasaan terhadap hakikat Al-Quran juga  mustahil.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Hakikat Al-Quran ini tidak bisa ditangkap oleh  siapa pun, baik dengan ilmu-ilmu biasa maupun  dengan pengetahuan batin, dan juga tidak dengan  penyingkapan batin (mukāsyafah). "</w:t>
      </w:r>
      <w:r>
        <w:rPr>
          <w:rStyle w:val="FootnoteAnchor"/>
        </w:rPr>
        <w:footnoteReference w:id="42"/>
      </w:r>
      <w:r>
        <w:rPr>
          <w:rFonts w:eastAsia="Times New Roman" w:cs="Times New Roman" w:ascii="Times New Roman" w:hAnsi="Times New Roman"/>
          <w:color w:val="111111"/>
          <w:sz w:val="28"/>
          <w:szCs w:val="28"/>
          <w:lang w:val="en-US"/>
        </w:rPr>
        <w:t xml:space="preserve"> Oleh karena itu, beberapa orang mengklaim bahwa  mereka mampu mencapai hakikat Al-Quran. Namun, telah  menangkap dan memahami maksud Al-Quran adalah klaim  dan keyakinan yang tidak bisa diterima. Meskipun ada jalan  untuk mencapai hal ini, di luar jalan wahyu dan ilham, tidak  ada jalan lain untuk bisa sampai ke kedalamnnya. Tidak ada  yang bisa mencapai maqam ini, kecuali para ahli waris lentera  kenabian.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Kandungan dan hakikat Al-Quran didapat oleh wujud  suci Nabi Penutup Saw.. Melalui mukāsyafah ilahiyyah  yang sempurna dalam gelora cinta qāba qausain  (maqam terdekat) bahkan dalam kesendirian rahasia  maqam au adnā (lebih dekat). "</w:t>
      </w:r>
      <w:r>
        <w:rPr>
          <w:rStyle w:val="FootnoteAnchor"/>
        </w:rPr>
        <w:footnoteReference w:id="43"/>
      </w:r>
      <w:r>
        <w:rPr>
          <w:rFonts w:eastAsia="Times New Roman" w:cs="Times New Roman" w:ascii="Times New Roman" w:hAnsi="Times New Roman"/>
          <w:color w:val="111111"/>
          <w:sz w:val="28"/>
          <w:szCs w:val="28"/>
          <w:lang w:val="en-US"/>
        </w:rPr>
        <w:t xml:space="preserve"> Setelah mengkaji butir di atas dan melewati tahapan  pemahaman hakikat, tahapan Al-Quran yang diturunkan bisa  diposisikan sebagai bagian dari pemahaman Al-Quran bagi  yang lain. Tahapan ini pun memiliki keagungan tersendiri  yang hanya bisa dipahami oleh orang yang memiliki potensi  yang kuat. Dengan memperhatikan beberapa butir di atas,  keagungan Al-Quran yang diturunkan bisa diungkapkan.</w:t>
      </w:r>
    </w:p>
    <w:p>
      <w:pPr>
        <w:pStyle w:val="BookText"/>
        <w:bidi w:val="0"/>
        <w:jc w:val="both"/>
        <w:rPr/>
      </w:pPr>
      <w:r>
        <w:rPr>
          <w:rFonts w:eastAsia="Times New Roman" w:cs="Times New Roman" w:ascii="Times New Roman" w:hAnsi="Times New Roman"/>
          <w:color w:val="111111"/>
          <w:sz w:val="28"/>
          <w:szCs w:val="28"/>
          <w:lang w:val="en-US"/>
        </w:rPr>
        <w:t>Keagungan sebuah ucapan atau kitab bersumber dari salah  satu butir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Baik karena keagungan pembicara, karena  keagungan kandungan dan maksud ucapan atau kitab,  karena keagungan hasil dan efek ucapan atau kitab,  karena keagungan utusan dan perantara ucapan atau  kitab, atau karena keagungan sang penerima risalah  (Nabi Saw.) dan penerima ucapan atau kitab ... dan  karena keagungan waktu dan metode penyampaian  ucapan atau kitab ... dan dalam sahifah nūrānī (Al-  Qur'an) ini berkumpul semua keagungan tadi dalam  bentuk yang lebih tinggi dan lebih sempurna. Maka,  keunggulan Al-Quran adalah karena tidak ada satu  kitab pun yang bisa menyerupai sebagian apalagi  seluruh Al-Quran. "</w:t>
      </w:r>
      <w:r>
        <w:rPr>
          <w:rStyle w:val="FootnoteAnchor"/>
        </w:rPr>
        <w:footnoteReference w:id="44"/>
      </w:r>
      <w:r>
        <w:rPr>
          <w:rFonts w:eastAsia="Times New Roman" w:cs="Times New Roman" w:ascii="Times New Roman" w:hAnsi="Times New Roman"/>
          <w:color w:val="111111"/>
          <w:sz w:val="28"/>
          <w:szCs w:val="28"/>
          <w:lang w:val="en-US"/>
        </w:rPr>
        <w:t xml:space="preserve"> Rincian dari butir-butir tersebut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Keagungan sumber (mabda')  Al-Quran diturunkan dari sumber yang memiliki  keagungan mutlak, tidak ada satu eksistensi pun yang bisa  menyerupainya.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ada satu eksistensi pun yang bisa menyamai  keagungan Al-Haqq Swt.. Mereka hanyalah manifestasi-  Nya di balik ribuan tabir dan maqam.</w:t>
      </w:r>
      <w:r>
        <w:rPr>
          <w:rStyle w:val="FootnoteAnchor"/>
        </w:rPr>
        <w:footnoteReference w:id="45"/>
      </w:r>
      <w:r>
        <w:rPr>
          <w:rFonts w:eastAsia="Times New Roman" w:cs="Times New Roman" w:ascii="Times New Roman" w:hAnsi="Times New Roman"/>
          <w:color w:val="111111"/>
          <w:sz w:val="28"/>
          <w:szCs w:val="28"/>
          <w:lang w:val="en-US"/>
        </w:rPr>
        <w:t xml:space="preserve"> Dalam pandangan ahli makrifat, Al-Quran bersumber  dari Al-Haqq Swt., turun dari sumber segala macam  dzātiyyah, shifātiyyah dan fiʻliyyah lalu ke manifestasi-  manifestasi jalāliyyah dan jamāliyyah Al-Haqq.</w:t>
      </w:r>
    </w:p>
    <w:p>
      <w:pPr>
        <w:pStyle w:val="BookText"/>
        <w:bidi w:val="0"/>
        <w:jc w:val="both"/>
        <w:rPr/>
      </w:pPr>
      <w:r>
        <w:rPr>
          <w:rFonts w:eastAsia="Times New Roman" w:cs="Times New Roman" w:ascii="Times New Roman" w:hAnsi="Times New Roman"/>
          <w:color w:val="111111"/>
          <w:sz w:val="28"/>
          <w:szCs w:val="28"/>
          <w:lang w:val="en-US"/>
        </w:rPr>
        <w:t>Sementara itu, Kitab Samawi lainnya tidak memiliki  maqam dan kedudukan seperti ini."</w:t>
      </w:r>
      <w:r>
        <w:rPr>
          <w:rStyle w:val="FootnoteAnchor"/>
        </w:rPr>
        <w:footnoteReference w:id="46"/>
      </w:r>
      <w:r>
        <w:rPr>
          <w:rFonts w:eastAsia="Times New Roman" w:cs="Times New Roman" w:ascii="Times New Roman" w:hAnsi="Times New Roman"/>
          <w:color w:val="111111"/>
          <w:sz w:val="28"/>
          <w:szCs w:val="28"/>
          <w:lang w:val="en-US"/>
        </w:rPr>
        <w:t xml:space="preserve"> mengungkapkan keagungan Al-Quran cukup  dengan melihat butir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Al-Quran adalah jelmaan dari Tuhan Yang Mahatinggi,  yaitu manifestasi semua asma dan sifat-Nya."</w:t>
      </w:r>
      <w:r>
        <w:rPr>
          <w:rStyle w:val="FootnoteAnchor"/>
        </w:rPr>
        <w:footnoteReference w:id="47"/>
      </w:r>
      <w:r>
        <w:rPr>
          <w:rFonts w:eastAsia="Times New Roman" w:cs="Times New Roman" w:ascii="Times New Roman" w:hAnsi="Times New Roman"/>
          <w:color w:val="111111"/>
          <w:sz w:val="28"/>
          <w:szCs w:val="28"/>
          <w:lang w:val="en-US"/>
        </w:rPr>
        <w:t xml:space="preserve"> 2. Keagungan rasul dan perantara  Jibril Al-Amin adalah malaikat yang dipercaya sebagai  perantara wahyu. Wujud mulia ini adalah malaikat ilmu dan  hikmah. Kedudukan dan keagungan Jibril sering disebut dalam  Al-Quran dan hadits.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Jibril adalah salah satu dari empat rukun wujud,  bahkan ia adalah rukun paling agung dan mulia. "</w:t>
      </w:r>
      <w:r>
        <w:rPr>
          <w:rStyle w:val="FootnoteAnchor"/>
        </w:rPr>
        <w:footnoteReference w:id="48"/>
      </w:r>
      <w:r>
        <w:rPr>
          <w:rFonts w:eastAsia="Times New Roman" w:cs="Times New Roman" w:ascii="Times New Roman" w:hAnsi="Times New Roman"/>
          <w:color w:val="111111"/>
          <w:sz w:val="28"/>
          <w:szCs w:val="28"/>
          <w:lang w:val="en-US"/>
        </w:rPr>
        <w:t xml:space="preserve"> 3. Keagungan Nabi dan pembawa wahyu  Keagungan dan kemuliaan tiada tara Rasulullah Saw. diakui  oleh banyak kalangan. Imam Khomeini, dengan menyingkap  lisan para urafa, mengatakan,  “Pembawa wahyu ... hati yang terjaga, bersih, ahmadi,  ahadi, jam'i, serta muhammadi yang merupakan  jelmaan Al-Haqq Swt. dengan segala maqam Dzat,  Sifat, Asma, serta tindakan-Nya. Dia pemilik khatm  (cincin) kenabian dan otoritas mutlak .... Inti penciptaan,  mutiara wujud, dan saripati wujud.... Ia adalah pemilik  barzakh kubro dan khilafah agung."</w:t>
      </w:r>
      <w:r>
        <w:rPr>
          <w:rStyle w:val="FootnoteAnchor"/>
        </w:rPr>
        <w:footnoteReference w:id="49"/>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Keagungan penjelas (syārih) wahyu  Syārih dan mubayyin (penjelas) Al-Quran adalah wujud-  wujud suci maksum mulai dari Rasul Saw. sampai Imam Al-  Mahdi ('ajjalallāhu farajah) merupakan pintu segala eksistensi,  khazanah agung, sumber hikmah dan wahyu, fondasi segala  pengetahuan, serta pemilik maqam jam'i dan tafshilī.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5. Keagungan waktu turunnya wahyu  Kemuliaan waktu menambah keagungan sesuatu. Al-  Quran turun pada malam lailatul qadr yang merupakan malam  yang paling agung dan khairun min alfi syahr serta merupakan  malam yang paling bercahaya.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6. Keagungan kandungan  Untuk menjelaskan keadungan kandungan ajaran-ajaran  Al-Quran, kita mesti memperhatikan beberapa butir berikut:</w:t>
      </w:r>
    </w:p>
    <w:p>
      <w:pPr>
        <w:pStyle w:val="BookText"/>
        <w:bidi w:val="0"/>
        <w:jc w:val="both"/>
        <w:rPr/>
      </w:pPr>
      <w:r>
        <w:rPr>
          <w:rFonts w:eastAsia="Times New Roman" w:cs="Times New Roman" w:ascii="Times New Roman" w:hAnsi="Times New Roman"/>
          <w:color w:val="111111"/>
          <w:sz w:val="28"/>
          <w:szCs w:val="28"/>
          <w:lang w:val="en-US"/>
        </w:rPr>
        <w:t>a. Al-Quran sarat dengan kandungan yang kaya dan tinggi.</w:t>
      </w:r>
    </w:p>
    <w:p>
      <w:pPr>
        <w:pStyle w:val="BookText"/>
        <w:bidi w:val="0"/>
        <w:jc w:val="both"/>
        <w:rPr/>
      </w:pPr>
      <w:r>
        <w:rPr>
          <w:rFonts w:eastAsia="Times New Roman" w:cs="Times New Roman" w:ascii="Times New Roman" w:hAnsi="Times New Roman"/>
          <w:color w:val="111111"/>
          <w:sz w:val="28"/>
          <w:szCs w:val="28"/>
          <w:lang w:val="en-US"/>
        </w:rPr>
        <w:t>Butir-butir yang terkandung dalam ucapan Imam  Khomeini sudah cukup untuk menjelaskan masalah ini.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bentuk kātibah hadhrat ghaib (maqam kehadiran  gaib) kumpulan semua kesempurnaan dalam bentuk  wahdah jam'iyyah (kesatuan kolektif) ... merupakan  jelmaan sempurna Al-Haqq Swt. yang menjelma  dengan semua asma dan sifat.</w:t>
      </w:r>
      <w:r>
        <w:rPr>
          <w:rStyle w:val="FootnoteAnchor"/>
        </w:rPr>
        <w:footnoteReference w:id="50"/>
      </w:r>
      <w:r>
        <w:rPr>
          <w:rFonts w:eastAsia="Times New Roman" w:cs="Times New Roman" w:ascii="Times New Roman" w:hAnsi="Times New Roman"/>
          <w:color w:val="111111"/>
          <w:sz w:val="28"/>
          <w:szCs w:val="28"/>
          <w:lang w:val="en-US"/>
        </w:rPr>
        <w:t xml:space="preserve"> la merupakan jelmaan yang paling tinggi dari Rahmat  Mutlak ilahiah.</w:t>
      </w:r>
      <w:r>
        <w:rPr>
          <w:rStyle w:val="FootnoteAnchor"/>
        </w:rPr>
        <w:footnoteReference w:id="51"/>
      </w:r>
      <w:r>
        <w:rPr>
          <w:rFonts w:eastAsia="Times New Roman" w:cs="Times New Roman" w:ascii="Times New Roman" w:hAnsi="Times New Roman"/>
          <w:color w:val="111111"/>
          <w:sz w:val="28"/>
          <w:szCs w:val="28"/>
          <w:lang w:val="en-US"/>
        </w:rPr>
        <w:t xml:space="preserve"> Kumpulan semua kandungan dan hakikat asma dan  sifat ... juga kumpulan akhlak dan panggilan menuju  mabda' wa maſād, zuhud dan meninggalkan duniawi  ... yang mengantarkan ke puncak hakikat. </w:t>
      </w:r>
      <w:r>
        <w:rPr>
          <w:rStyle w:val="FootnoteAnchor"/>
        </w:rPr>
        <w:footnoteReference w:id="52"/>
      </w:r>
    </w:p>
    <w:p>
      <w:pPr>
        <w:pStyle w:val="BookText"/>
        <w:bidi w:val="0"/>
        <w:rPr/>
      </w:pPr>
      <w:r>
        <w:rPr>
          <w:rFonts w:eastAsia="Times New Roman" w:cs="Times New Roman" w:ascii="Times New Roman" w:hAnsi="Times New Roman"/>
          <w:color w:val="111111"/>
          <w:sz w:val="28"/>
          <w:szCs w:val="28"/>
          <w:lang w:val="en-US"/>
        </w:rPr>
        <w:t>Al-Quran, karena kekayaan akan rahasia, hakikat, dan  kedalam tauhid, membuat takjub akal ahli makrifat.</w:t>
      </w:r>
    </w:p>
    <w:p>
      <w:pPr>
        <w:pStyle w:val="BookText"/>
        <w:bidi w:val="0"/>
        <w:jc w:val="both"/>
        <w:rPr/>
      </w:pPr>
      <w:r>
        <w:rPr>
          <w:rFonts w:eastAsia="Times New Roman" w:cs="Times New Roman" w:ascii="Times New Roman" w:hAnsi="Times New Roman"/>
          <w:color w:val="111111"/>
          <w:sz w:val="28"/>
          <w:szCs w:val="28"/>
          <w:lang w:val="en-US"/>
        </w:rPr>
        <w:t>Mukjizat besar ini merupakan sahifah langit yang  berkilau,"</w:t>
      </w:r>
      <w:r>
        <w:rPr>
          <w:rStyle w:val="FootnoteAnchor"/>
        </w:rPr>
        <w:footnoteReference w:id="53"/>
      </w:r>
      <w:r>
        <w:rPr>
          <w:rFonts w:eastAsia="Times New Roman" w:cs="Times New Roman" w:ascii="Times New Roman" w:hAnsi="Times New Roman"/>
          <w:color w:val="111111"/>
          <w:sz w:val="28"/>
          <w:szCs w:val="28"/>
          <w:lang w:val="en-US"/>
        </w:rPr>
        <w:t xml:space="preserve"> b. Kandungan yang tidak pernah ada sebelumnya.</w:t>
      </w:r>
    </w:p>
    <w:p>
      <w:pPr>
        <w:pStyle w:val="BookText"/>
        <w:bidi w:val="0"/>
        <w:jc w:val="both"/>
        <w:rPr/>
      </w:pPr>
      <w:r>
        <w:rPr>
          <w:rFonts w:eastAsia="Times New Roman" w:cs="Times New Roman" w:ascii="Times New Roman" w:hAnsi="Times New Roman"/>
          <w:color w:val="111111"/>
          <w:sz w:val="28"/>
          <w:szCs w:val="28"/>
          <w:lang w:val="en-US"/>
        </w:rPr>
        <w:t>"Kita melihat bahwa ajaran yang tersebar di dunia ini  adalah berkat diutusnya Rasulullah Saw. yang di luar  kemampuan manusia, dan kemukjizatannya berada  di atas pemahaman manusia .... Terdapat masalah-  masalah besar yang tidak bisa kita ungkapkan dan  belum pernah terungkap sebelumnya. Hal ini hanya  diketahui oleh beliau dan orang-orang khususnya.</w:t>
      </w:r>
      <w:r>
        <w:rPr>
          <w:rStyle w:val="FootnoteAnchor"/>
        </w:rPr>
        <w:footnoteReference w:id="54"/>
      </w:r>
      <w:r>
        <w:rPr>
          <w:rFonts w:eastAsia="Times New Roman" w:cs="Times New Roman" w:ascii="Times New Roman" w:hAnsi="Times New Roman"/>
          <w:color w:val="111111"/>
          <w:sz w:val="28"/>
          <w:szCs w:val="28"/>
          <w:lang w:val="en-US"/>
        </w:rPr>
        <w:t xml:space="preserve"> ... di dalamnya terkandung hakikat-hakikat dan  kandungan yang tidak ditemukan di dunia sekarang,  apalagi di masa kitab itu turun. Ini merupakan mukjizat  yang paling tinggi dan paling besar. Di dalamnya  terkandung kajian-kajian ‘irfāni yang tidak didapatkan  di masa para filsuf Yunani dan tidak tersentuh oleh  buku-buku Aristoteles, Plato, dan para filsuf besar  zaman itu .... Kajian ‘irfāni seperti apa yang ada dalam  Al-Quran tidak ditemukan dalam buku-buku lain dan  ini sebuah mukjizat bagi Rasulullah Saw....."</w:t>
      </w:r>
      <w:r>
        <w:rPr>
          <w:rStyle w:val="FootnoteAnchor"/>
        </w:rPr>
        <w:footnoteReference w:id="55"/>
      </w:r>
      <w:r>
        <w:rPr>
          <w:rFonts w:eastAsia="Times New Roman" w:cs="Times New Roman" w:ascii="Times New Roman" w:hAnsi="Times New Roman"/>
          <w:color w:val="111111"/>
          <w:sz w:val="28"/>
          <w:szCs w:val="28"/>
          <w:lang w:val="en-US"/>
        </w:rPr>
        <w:t xml:space="preserve"> c. Kandungan yang sarat dengan rahasia dan simbol.</w:t>
      </w:r>
    </w:p>
    <w:p>
      <w:pPr>
        <w:pStyle w:val="BookText"/>
        <w:bidi w:val="0"/>
        <w:jc w:val="both"/>
        <w:rPr/>
      </w:pPr>
      <w:r>
        <w:rPr>
          <w:rFonts w:eastAsia="Times New Roman" w:cs="Times New Roman" w:ascii="Times New Roman" w:hAnsi="Times New Roman"/>
          <w:color w:val="111111"/>
          <w:sz w:val="28"/>
          <w:szCs w:val="28"/>
          <w:lang w:val="en-US"/>
        </w:rPr>
        <w:t>Hakikat tinggi Al-Quran telah diturunkan, tetapi ini  hanya merupakan rahasia antara Tuhan dan Rasul Saw..</w:t>
      </w:r>
    </w:p>
    <w:p>
      <w:pPr>
        <w:pStyle w:val="BookText"/>
        <w:bidi w:val="0"/>
        <w:jc w:val="both"/>
        <w:rPr/>
      </w:pPr>
      <w:r>
        <w:rPr>
          <w:rFonts w:eastAsia="Times New Roman" w:cs="Times New Roman" w:ascii="Times New Roman" w:hAnsi="Times New Roman"/>
          <w:color w:val="111111"/>
          <w:sz w:val="28"/>
          <w:szCs w:val="28"/>
          <w:lang w:val="en-US"/>
        </w:rPr>
        <w:t>Sementara itu, yang lain tidak bisa memahaminya.</w:t>
      </w:r>
    </w:p>
    <w:p>
      <w:pPr>
        <w:pStyle w:val="BookText"/>
        <w:bidi w:val="0"/>
        <w:jc w:val="both"/>
        <w:rPr/>
      </w:pPr>
      <w:r>
        <w:rPr>
          <w:rFonts w:eastAsia="Times New Roman" w:cs="Times New Roman" w:ascii="Times New Roman" w:hAnsi="Times New Roman"/>
          <w:color w:val="111111"/>
          <w:sz w:val="28"/>
          <w:szCs w:val="28"/>
          <w:lang w:val="en-US"/>
        </w:rPr>
        <w:t>Penjelasan mengenai kerahasiahan dan ketersembunyian  kandungan Al-Quran berada di luar pembahasan ini.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salah satu dalil utama dalam hal itu adalah  keagungan kandungan dan isi Al-Quran. Oleh karena itu,  untuk bisa memahami banyak hakikat diperlukan keahlian  dan potensi yang memadai. Itu karena, jika mukadimah  tidak cukup dikuasai maka untuk memahami kandungan- </w:t>
      </w:r>
    </w:p>
    <w:p>
      <w:pPr>
        <w:pStyle w:val="BookText"/>
        <w:bidi w:val="0"/>
        <w:rPr/>
      </w:pPr>
      <w:r>
        <w:rPr>
          <w:rFonts w:eastAsia="Times New Roman" w:cs="Times New Roman" w:ascii="Times New Roman" w:hAnsi="Times New Roman"/>
          <w:color w:val="111111"/>
          <w:sz w:val="28"/>
          <w:szCs w:val="28"/>
          <w:lang w:val="en-US"/>
        </w:rPr>
        <w:t>kandungannya, di samping mustahil, juga hanya akan  menimbulkan pengingkaran dan keraguan. Kandungan-  kandungan Al-Quran hanya bisa diraih secara khusus  oleh ahlinya, sedangkanyang lain hanya bisa melihatnya  sebagai sesuatu yang rahasia dan samar.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Al-Quran merupakan rahasia yang tetap akan menjadi  rahasia dan rahasia yang pasti ber-tanazzul dan turun  ke bawah hingga sampai ke tahapan paling bawah.</w:t>
      </w:r>
      <w:r>
        <w:rPr>
          <w:rStyle w:val="FootnoteAnchor"/>
        </w:rPr>
        <w:footnoteReference w:id="56"/>
      </w:r>
      <w:r>
        <w:rPr>
          <w:rFonts w:eastAsia="Times New Roman" w:cs="Times New Roman" w:ascii="Times New Roman" w:hAnsi="Times New Roman"/>
          <w:color w:val="111111"/>
          <w:sz w:val="28"/>
          <w:szCs w:val="28"/>
          <w:lang w:val="en-US"/>
        </w:rPr>
        <w:t xml:space="preserve"> ... itu adalah dimensi hakiki yang ada di antara pencinta  dan yang dicinta. Itu merupakan rahasia antara Tuhan  dan Nabi mulia Saw., bukan sebuah kandungan yang  bisa kita pahami.</w:t>
      </w:r>
      <w:r>
        <w:rPr>
          <w:rStyle w:val="FootnoteAnchor"/>
        </w:rPr>
        <w:footnoteReference w:id="57"/>
      </w:r>
      <w:r>
        <w:rPr>
          <w:rFonts w:eastAsia="Times New Roman" w:cs="Times New Roman" w:ascii="Times New Roman" w:hAnsi="Times New Roman"/>
          <w:color w:val="111111"/>
          <w:sz w:val="28"/>
          <w:szCs w:val="28"/>
          <w:lang w:val="en-US"/>
        </w:rPr>
        <w:t xml:space="preserve"> ... apa yang bisa dipahami oleh umumnya manusia dari  apa yang disebutkan dan diungkapan dengan jelas,  sedangkan yang ditangkap oleh kelompok khusus  adalah melalui simbol dan isyarat apa yang disebutkan  seperti, ‘keridhaan Allah adalah lebih besar”.</w:t>
      </w:r>
      <w:r>
        <w:rPr>
          <w:rStyle w:val="FootnoteAnchor"/>
        </w:rPr>
        <w:footnoteReference w:id="58"/>
      </w:r>
      <w:r>
        <w:rPr>
          <w:rFonts w:eastAsia="Times New Roman" w:cs="Times New Roman" w:ascii="Times New Roman" w:hAnsi="Times New Roman"/>
          <w:color w:val="111111"/>
          <w:sz w:val="28"/>
          <w:szCs w:val="28"/>
          <w:lang w:val="en-US"/>
        </w:rPr>
        <w:t xml:space="preserve"> Serta ayat tentang pertemuan dengan Allah bagi satu  kelompok. Contoh lain, 'Sekali-kali tidak, sesungguhnya  mereka pada hari itu benar-benar tertutup dari (rahmat)  Tuhan mereka, </w:t>
      </w:r>
      <w:r>
        <w:rPr>
          <w:rStyle w:val="FootnoteAnchor"/>
        </w:rPr>
        <w:footnoteReference w:id="59"/>
      </w:r>
      <w:r>
        <w:rPr>
          <w:rFonts w:eastAsia="Times New Roman" w:cs="Times New Roman" w:ascii="Times New Roman" w:hAnsi="Times New Roman"/>
          <w:color w:val="111111"/>
          <w:sz w:val="28"/>
          <w:szCs w:val="28"/>
          <w:lang w:val="en-US"/>
        </w:rPr>
        <w:t>bagi kelompok yang lain.</w:t>
      </w:r>
      <w:r>
        <w:rPr>
          <w:rStyle w:val="FootnoteAnchor"/>
        </w:rPr>
        <w:footnoteReference w:id="60"/>
      </w:r>
      <w:r>
        <w:rPr>
          <w:rFonts w:eastAsia="Times New Roman" w:cs="Times New Roman" w:ascii="Times New Roman" w:hAnsi="Times New Roman"/>
          <w:color w:val="111111"/>
          <w:sz w:val="28"/>
          <w:szCs w:val="28"/>
          <w:lang w:val="en-US"/>
        </w:rPr>
        <w:t xml:space="preserve"> Ayat Al-Quran dibagi menjadi dua bagian: pertama,  ayat-ayat muhkamāt yang tidak memiliki takwil dan  semua orang bisa memahaminya; kedua, ayat-ayat  mutasyābihāt yang memiliki takwil, berbentuk simbol  dan tidak ada yang bisa mengetahui takwilnya, kecuali  Allah dan orang-orang yang răsikh dalam ilmu.</w:t>
      </w:r>
      <w:r>
        <w:rPr>
          <w:rStyle w:val="FootnoteAnchor"/>
        </w:rPr>
        <w:footnoteReference w:id="61"/>
      </w:r>
      <w:r>
        <w:rPr>
          <w:rFonts w:eastAsia="Times New Roman" w:cs="Times New Roman" w:ascii="Times New Roman" w:hAnsi="Times New Roman"/>
          <w:color w:val="111111"/>
          <w:sz w:val="28"/>
          <w:szCs w:val="28"/>
          <w:lang w:val="en-US"/>
        </w:rPr>
        <w:t xml:space="preserve"> Tidak ada yang bisa mengetahuinya, kecuali orang  yang diajak bicara oleh-Nya, yaitu Rasul Saw. Sang  perantara juga tidak bisa memahaminya, termasuk  Jibril sekalipun. Jibril Al-Amin sekadar perantara dan  bertugas membacakan ayat-ayat dari Yang Mahagaib  kepada Rasul Saw., dan ia bukan yang diajak bicara  (man khuthiba bih)."</w:t>
      </w:r>
      <w:r>
        <w:rPr>
          <w:rStyle w:val="FootnoteAnchor"/>
        </w:rPr>
        <w:footnoteReference w:id="62"/>
      </w:r>
    </w:p>
    <w:p>
      <w:pPr>
        <w:pStyle w:val="BookText"/>
        <w:bidi w:val="0"/>
        <w:rPr/>
      </w:pPr>
      <w:r>
        <w:rPr>
          <w:rFonts w:eastAsia="Times New Roman" w:cs="Times New Roman" w:ascii="Times New Roman" w:hAnsi="Times New Roman"/>
          <w:color w:val="111111"/>
          <w:sz w:val="28"/>
          <w:szCs w:val="28"/>
          <w:lang w:val="en-US"/>
        </w:rPr>
        <w:t>Tujuan Diturunkannya Al-Quran  Al-Quran dengan sifatnya yang universal memiliki banyak  tujuan yang berupa pelajaran. Masing-masing dari tujuan-  tujuan ini memiliki nilai tersendiri, dan semuanya tidak berada  pada satu tingkatan. Secara umum, tujuan-tujuan ini bisa dibagi  menjadi dua bagian, yaitu tujuan pokok dan tujuan cabang.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Tujuan Cabang.</w:t>
      </w:r>
    </w:p>
    <w:p>
      <w:pPr>
        <w:pStyle w:val="BookText"/>
        <w:bidi w:val="0"/>
        <w:jc w:val="both"/>
        <w:rPr/>
      </w:pPr>
      <w:r>
        <w:rPr>
          <w:rFonts w:eastAsia="Times New Roman" w:cs="Times New Roman" w:ascii="Times New Roman" w:hAnsi="Times New Roman"/>
          <w:color w:val="111111"/>
          <w:sz w:val="28"/>
          <w:szCs w:val="28"/>
          <w:lang w:val="en-US"/>
        </w:rPr>
        <w:t>Dalam ucapan Imam Khomeini sering didapatkan sebuah  kata yang menunjukkan tujuan cabang dan umum dari Al-  Quran, yaitu kata “hidangan". Hidangan ini sangat luas seluas  potensi-potensi. Setiap individu manusia bisa menghadiri  hidangan ini dan mengambil manfaat darinya.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Al-Quran dan Kitab Ilahi lainnya merupakan sebuah  ‘hidangan' yang membentang untuk semua manusia. </w:t>
      </w:r>
      <w:r>
        <w:rPr>
          <w:rStyle w:val="FootnoteAnchor"/>
        </w:rPr>
        <w:footnoteReference w:id="63"/>
      </w:r>
      <w:r>
        <w:rPr>
          <w:rFonts w:eastAsia="Times New Roman" w:cs="Times New Roman" w:ascii="Times New Roman" w:hAnsi="Times New Roman"/>
          <w:color w:val="111111"/>
          <w:sz w:val="28"/>
          <w:szCs w:val="28"/>
          <w:lang w:val="en-US"/>
        </w:rPr>
        <w:t xml:space="preserve"> Al-Quran adalah hidangan yang digelar oleh Tuhan  untuk semua manusia ... sebuah hidangan yang luas  untuk manusia. Setiap orang bisa mengambil apa yang  ada dalam Al-Quran sesuai dengan selera masing-  masing .... Kitab ini, yang merupakan hidangan yang  membentang dari barat sampai ke timur, mulai zaman  turunnya wahyu sampai Hari Kiamat, merupakan  sebuah kitab untuk semua orang, baik awam, cendekia,  filsuf, Arif maupun faqih."</w:t>
      </w:r>
      <w:r>
        <w:rPr>
          <w:rStyle w:val="FootnoteAnchor"/>
        </w:rPr>
        <w:footnoteReference w:id="64"/>
      </w:r>
      <w:r>
        <w:rPr>
          <w:rFonts w:eastAsia="Times New Roman" w:cs="Times New Roman" w:ascii="Times New Roman" w:hAnsi="Times New Roman"/>
          <w:color w:val="111111"/>
          <w:sz w:val="28"/>
          <w:szCs w:val="28"/>
          <w:lang w:val="en-US"/>
        </w:rPr>
        <w:t xml:space="preserve"> Luasnya karunia Al-Quran disebabkan ia turun dari  sumber Rahmat Yang Mahamutlak. Rahmat mutlak ini dalam  lahiriahnya bisa diterima oleh semua manusia.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Kitab Agung Ilahiah ini ... merupakan manifestasi  terbesar dari rahmat Ilahiah yang mutlak. </w:t>
      </w:r>
      <w:r>
        <w:rPr>
          <w:rStyle w:val="FootnoteAnchor"/>
        </w:rPr>
        <w:footnoteReference w:id="65"/>
      </w:r>
      <w:r>
        <w:rPr>
          <w:rFonts w:eastAsia="Times New Roman" w:cs="Times New Roman" w:ascii="Times New Roman" w:hAnsi="Times New Roman"/>
          <w:color w:val="111111"/>
          <w:sz w:val="28"/>
          <w:szCs w:val="28"/>
          <w:lang w:val="en-US"/>
        </w:rPr>
        <w:t>Al-Quran  merupakan sebuah rahmat bagi semua manusia."</w:t>
      </w:r>
      <w:r>
        <w:rPr>
          <w:rStyle w:val="FootnoteAnchor"/>
        </w:rPr>
        <w:footnoteReference w:id="66"/>
      </w:r>
    </w:p>
    <w:p>
      <w:pPr>
        <w:pStyle w:val="BookText"/>
        <w:bidi w:val="0"/>
        <w:rPr/>
      </w:pPr>
      <w:r>
        <w:rPr>
          <w:rFonts w:eastAsia="Times New Roman" w:cs="Times New Roman" w:ascii="Times New Roman" w:hAnsi="Times New Roman"/>
          <w:color w:val="111111"/>
          <w:sz w:val="28"/>
          <w:szCs w:val="28"/>
          <w:lang w:val="en-US"/>
        </w:rPr>
        <w:t>Hakikat pengutusan adalah menyampaikan rahmat ini  dan mengutus Rasul Saw. untuk menyajikan hidangan ini di  antara manusia. Ungkapan bahwa Al-Quran bisa dipahami oleh  manusia mengandung konsekuensi bahwa setiap kelompok  akan memiliki pemahaman dan penafsiran masing-masing  dalam merujuk kepada Al-Quran dan bisa memahaminya  “sesuai ukuran dan keluasan eksistensi dan pikirannya"</w:t>
      </w:r>
      <w:r>
        <w:rPr>
          <w:rStyle w:val="FootnoteAnchor"/>
        </w:rPr>
        <w:footnoteReference w:id="67"/>
      </w:r>
      <w:r>
        <w:rPr>
          <w:rFonts w:eastAsia="Times New Roman" w:cs="Times New Roman" w:ascii="Times New Roman" w:hAnsi="Times New Roman"/>
          <w:color w:val="111111"/>
          <w:sz w:val="28"/>
          <w:szCs w:val="28"/>
          <w:lang w:val="en-US"/>
        </w:rPr>
        <w:t xml:space="preserve"> Namun, mereka masih sangat jauh untuk bisa menguasai  seluruh maksud dan sampai ke tujuan akhir.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Sesuatu yang terbatas tidak akan mungkin menguasai  yang tidak terbatas, kecuali ia harus berubah menjadi  tidak terbatas dan menjadi manusia sempurna. Manusa  sempurna tidak memiliki batasan dalam segala hal; ia  merupakan bayangan Dzat Ilahi Yang Mahasuci. Ia bisa  memahami Islam sesuai apa adanya... dan menguasai  Al-Quran sesuai apa adanya.... Sementara itu, yang  lain hanya bisa memahami sesuai dengan tahapan  eksistensi dan kesempurnaannya, dan mereka tetap  terbatas."</w:t>
      </w:r>
      <w:r>
        <w:rPr>
          <w:rStyle w:val="FootnoteAnchor"/>
        </w:rPr>
        <w:footnoteReference w:id="68"/>
      </w:r>
      <w:r>
        <w:rPr>
          <w:rFonts w:eastAsia="Times New Roman" w:cs="Times New Roman" w:ascii="Times New Roman" w:hAnsi="Times New Roman"/>
          <w:color w:val="111111"/>
          <w:sz w:val="28"/>
          <w:szCs w:val="28"/>
          <w:lang w:val="en-US"/>
        </w:rPr>
        <w:t xml:space="preserve"> Sifat ketidakterbatasan yang dimiliki Al-Quran  memperjelas kelemahan banyak pemahaman hakikat. Dengan  sifat yang dimiliki Al-Quran ini, hal-hal yang disampaikan oleh  Nabi Saw. kepada umat hanyalah dalam bentuk perumpamaan.</w:t>
      </w:r>
    </w:p>
    <w:p>
      <w:pPr>
        <w:pStyle w:val="BookText"/>
        <w:bidi w:val="0"/>
        <w:jc w:val="both"/>
        <w:rPr/>
      </w:pPr>
      <w:r>
        <w:rPr>
          <w:rFonts w:eastAsia="Times New Roman" w:cs="Times New Roman" w:ascii="Times New Roman" w:hAnsi="Times New Roman"/>
          <w:color w:val="111111"/>
          <w:sz w:val="28"/>
          <w:szCs w:val="28"/>
          <w:lang w:val="en-US"/>
        </w:rPr>
        <w:t>Penyampaian Nabi Saw. kepada kaumnya ibarat penyampaian  seseorang kepada orang buta atas semua yang dilihatnya.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Bisa dibayangkan kesulitan orang tersebut, bagaimana ia  harus menjelaskan warna-warna kepada orang buta tersebut,  bagaimana orang buta bisa membayangkannya dengan benar,  itu adalah sesuatu yang sulit dan bahkan mustahil.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Proposisi ini bukanlah proposisi akal, tidak juga  dengan hati dan melalui argumen. Ini adalah proposisi  penyaksian (musyāhadah); penyaksian gaib yang bukan  penyaksian dengan kedua mata, tidak juga dengan jiwa  (nafs), dan tidak dengan akal dan hati. Itu adalah hati  alam, hati Nabi dan yang diraih dengan penyaksian.</w:t>
      </w:r>
    </w:p>
    <w:p>
      <w:pPr>
        <w:pStyle w:val="BookText"/>
        <w:bidi w:val="0"/>
        <w:jc w:val="both"/>
        <w:rPr/>
      </w:pPr>
      <w:r>
        <w:rPr>
          <w:rFonts w:eastAsia="Times New Roman" w:cs="Times New Roman" w:ascii="Times New Roman" w:hAnsi="Times New Roman"/>
          <w:color w:val="111111"/>
          <w:sz w:val="28"/>
          <w:szCs w:val="28"/>
          <w:lang w:val="en-US"/>
        </w:rPr>
        <w:t>Akan tetapi hal tersebut tidak bisa dijelaskan, kecuali  melalui perumpamaan seperti penjelasan kepada  orang buta. Bagaimana Anda bisa menjelaskan cahaya  kepada orang lain? Akidah yang dimiliki oleh Nabi Saw.</w:t>
      </w:r>
    </w:p>
    <w:p>
      <w:pPr>
        <w:pStyle w:val="BookText"/>
        <w:bidi w:val="0"/>
        <w:jc w:val="both"/>
        <w:rPr/>
      </w:pPr>
      <w:r>
        <w:rPr>
          <w:rFonts w:eastAsia="Times New Roman" w:cs="Times New Roman" w:ascii="Times New Roman" w:hAnsi="Times New Roman"/>
          <w:color w:val="111111"/>
          <w:sz w:val="28"/>
          <w:szCs w:val="28"/>
          <w:lang w:val="en-US"/>
        </w:rPr>
        <w:t>lebih besar dibanding akidah yang lain, tetapi apa-apa  yang beliau dapatkan dan apa yang turun dari Al-Quran  ke dalam hatinya, kepada siapa beliau jelaskan?"</w:t>
      </w:r>
      <w:r>
        <w:rPr>
          <w:rStyle w:val="FootnoteAnchor"/>
        </w:rPr>
        <w:footnoteReference w:id="69"/>
      </w:r>
      <w:r>
        <w:rPr>
          <w:rFonts w:eastAsia="Times New Roman" w:cs="Times New Roman" w:ascii="Times New Roman" w:hAnsi="Times New Roman"/>
          <w:color w:val="111111"/>
          <w:sz w:val="28"/>
          <w:szCs w:val="28"/>
          <w:lang w:val="en-US"/>
        </w:rPr>
        <w:t xml:space="preserve"> Gambaran yang benar tentang keagungan Al-Quran akan  mempermudah pembuktian bahwa setiap orang sesuai dengan  kadar kemampuannya bisa bersimpuh di sisi Al-Quran, bahkan  para penyelam kedalaman Al-Quran masih jauh untuk sampai  ke dalam hakikat Al-Quran. Kali ini, akan kita singgung ucapan  lain Imam Khomeini tentang sifat-sifat keagungan dan hakikat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Al-Quran juga merupakan jelmaan sempurna Al-Haqq  Swt., artinya Dia menjelma dengan semua asma dan  sifat.</w:t>
      </w:r>
      <w:r>
        <w:rPr>
          <w:rStyle w:val="FootnoteAnchor"/>
        </w:rPr>
        <w:footnoteReference w:id="70"/>
      </w:r>
      <w:r>
        <w:rPr>
          <w:rFonts w:eastAsia="Times New Roman" w:cs="Times New Roman" w:ascii="Times New Roman" w:hAnsi="Times New Roman"/>
          <w:color w:val="111111"/>
          <w:sz w:val="28"/>
          <w:szCs w:val="28"/>
          <w:lang w:val="en-US"/>
        </w:rPr>
        <w:t>Kitab Suci ini adalah kumpulan semua asma dan  sifat, dan sebagai penjelas (mu'arrit) kedudukan suci  Al-Haqq dengan semua maqam dan manifestasi-Nya.</w:t>
      </w:r>
    </w:p>
    <w:p>
      <w:pPr>
        <w:pStyle w:val="BookText"/>
        <w:bidi w:val="0"/>
        <w:jc w:val="both"/>
        <w:rPr/>
      </w:pPr>
      <w:r>
        <w:rPr>
          <w:rFonts w:eastAsia="Times New Roman" w:cs="Times New Roman" w:ascii="Times New Roman" w:hAnsi="Times New Roman"/>
          <w:color w:val="111111"/>
          <w:sz w:val="28"/>
          <w:szCs w:val="28"/>
          <w:lang w:val="en-US"/>
        </w:rPr>
        <w:t>Dengan kata lain, Al-Qur'an ini merupakan bentuk  ‘nama yang paling agung' (ism aʼzham)."'</w:t>
      </w:r>
      <w:r>
        <w:rPr>
          <w:rStyle w:val="FootnoteAnchor"/>
        </w:rPr>
        <w:footnoteReference w:id="71"/>
      </w:r>
      <w:r>
        <w:rPr>
          <w:rFonts w:eastAsia="Times New Roman" w:cs="Times New Roman" w:ascii="Times New Roman" w:hAnsi="Times New Roman"/>
          <w:color w:val="111111"/>
          <w:sz w:val="28"/>
          <w:szCs w:val="28"/>
          <w:lang w:val="en-US"/>
        </w:rPr>
        <w:t xml:space="preserve"> Karena Al-Quran memiliki hakikat-hakikat agung seperti  ini, bahasa Al-Quran tidak berlaku sama bagi semua manusia.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Simbol dan rahasia yang terdapat dalam kandungan Al-Quran  juga demikian. Pembagian ayat-ayat Al-Quran menjadi ayat </w:t>
      </w:r>
    </w:p>
    <w:p>
      <w:pPr>
        <w:pStyle w:val="BookText"/>
        <w:bidi w:val="0"/>
        <w:rPr/>
      </w:pPr>
      <w:r>
        <w:rPr>
          <w:rFonts w:eastAsia="Times New Roman" w:cs="Times New Roman" w:ascii="Times New Roman" w:hAnsi="Times New Roman"/>
          <w:color w:val="111111"/>
          <w:sz w:val="28"/>
          <w:szCs w:val="28"/>
          <w:lang w:val="en-US"/>
        </w:rPr>
        <w:t>muhkamāt dan mutasyābihāt merupakan bukti paling jelas  untuk hal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Ayat-ayat Al-Quran dibagi menjadi dua bagian, yaitu  ayat muhkamat yang tidak memerlukan takwil dan bisa  dipahami oleh semua orang, dan ayat mutasyabihat  yang memerlukan takwil, seperti simbol-simbol dalam  Al-Quran."</w:t>
      </w:r>
      <w:r>
        <w:rPr>
          <w:rStyle w:val="FootnoteAnchor"/>
        </w:rPr>
        <w:footnoteReference w:id="72"/>
      </w:r>
      <w:r>
        <w:rPr>
          <w:rFonts w:eastAsia="Times New Roman" w:cs="Times New Roman" w:ascii="Times New Roman" w:hAnsi="Times New Roman"/>
          <w:color w:val="111111"/>
          <w:sz w:val="28"/>
          <w:szCs w:val="28"/>
          <w:lang w:val="en-US"/>
        </w:rPr>
        <w:t xml:space="preserve"> Pembagian ayat-ayat Al-Quran menjadi ayat teoretis, ayat  praktis, dan juga menjadi penguat dalam hal ini. Dalam ayat-ayat  tentang ilmu, setiap ayat memiliki kedalaman yang berbeda-  beda dan setiap orang akan menangkap sesuai tingkatan  masing-masing. Argumen-argumen tentang kenonmaterian  Wājib Al-Wujūd dan tentang penguasaan substansial (ihāthah  qayyumi) Al-Haqq Swt. termasuk dalam bagian ini.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Al-Quran dan hadits turun untuk berbicara kepada  manusia yang berbeda-beda tingkatan. Di dalamnya,  terkandung ilmu-ilmu yang hanya bisa dipahami oleh  orang-orang yang dikhususkan oleh wahyu, sedangkan  yang lain tidak demikian. Juga, di dalamnya terdapat  ilmu-ilmu untuk kelas tinggi dari kalangan cendekia,  yang lain tidak mampu memahaminya.... Kelompok  tersebut adalah para filsuf besar, seperti Mulla Sadra  dan murid-murid khususnya, seperti Faidh Al-Kasyani,  yang mana mereka telah mampu mengambil ilmu-ilmu  aqli yang tinggi dari ayat-ayat dan hadits-hadits yang  sama sekali tidak bisa dipahami oleh kalian."</w:t>
      </w:r>
      <w:r>
        <w:rPr>
          <w:rStyle w:val="FootnoteAnchor"/>
        </w:rPr>
        <w:footnoteReference w:id="73"/>
      </w:r>
      <w:r>
        <w:rPr>
          <w:rFonts w:eastAsia="Times New Roman" w:cs="Times New Roman" w:ascii="Times New Roman" w:hAnsi="Times New Roman"/>
          <w:color w:val="111111"/>
          <w:sz w:val="28"/>
          <w:szCs w:val="28"/>
          <w:lang w:val="en-US"/>
        </w:rPr>
        <w:t xml:space="preserve"> 2. Tujuan Pokok  Dalam pandangan Imam Khomeini, begitu pentingnya  tujuan pokok Kitab Suci ini sehingga untuk memahami tujuannya  dibutuhkan suatu ukuran dan standar penelitian tafsir-tafsir Al-  Quran yang ada. Tafsir berguna untuk mengungkapkan maksud- </w:t>
      </w:r>
    </w:p>
    <w:p>
      <w:pPr>
        <w:pStyle w:val="BookText"/>
        <w:bidi w:val="0"/>
        <w:rPr/>
      </w:pPr>
      <w:r>
        <w:rPr>
          <w:rFonts w:eastAsia="Times New Roman" w:cs="Times New Roman" w:ascii="Times New Roman" w:hAnsi="Times New Roman"/>
          <w:color w:val="111111"/>
          <w:sz w:val="28"/>
          <w:szCs w:val="28"/>
          <w:lang w:val="en-US"/>
        </w:rPr>
        <w:t>maksud Al-Quran. Oleh karena itu, pada tahap awal, ia harus  menangkap maksud Al-Quran agar bisa menafsirkannya kepada  yang lain. Maksud dan tujuan Al-Quran dalam pandangan  Imam Khomaeni adalah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Suci ini menurut kesaksian Tuhan, merupakan  Kitab Hidayah, pengajaran, dan cahaya jalan sulūk  kemanusiaan. Seorang mufasir hendaklah memberikan  pemahaman tentang kisah-kisah, bahkan setiap ayat Al-  Quran, dalam rangka memberi hidayah tentang alam  gaib, menunjukkan manusia ke jalan kebahagiaan, dan  jalan makrifat kemanusiaan.... Kitab Tuhan ini adalah  Kitab Makrifat dan panggilan menuju kebahagiaan dan  kesempurnaan. Begitu juga, Kitab Tafsir hendaklah  berupa kitab 'irfānī, akhlaki... dan lain-lain dalam  rangka membawa manusia menuju kebahagiaan.</w:t>
      </w:r>
    </w:p>
    <w:p>
      <w:pPr>
        <w:pStyle w:val="BookText"/>
        <w:bidi w:val="0"/>
        <w:jc w:val="both"/>
        <w:rPr/>
      </w:pPr>
      <w:r>
        <w:rPr>
          <w:rFonts w:eastAsia="Times New Roman" w:cs="Times New Roman" w:ascii="Times New Roman" w:hAnsi="Times New Roman"/>
          <w:color w:val="111111"/>
          <w:sz w:val="28"/>
          <w:szCs w:val="28"/>
          <w:lang w:val="en-US"/>
        </w:rPr>
        <w:t>Seorang mufasir yang lalai dan menyepelekan hal ini,  berarti ia telah lalai pada maksud dan tujuan pokok  diturunkannya Al-Quran. Ini merupakan sebuah  kesalahan, di mana selama bertahun-tahun masyarakat  tidak bisa mengambil faedah dari Al-Quran dan  tertutup pintu hidayah bagi mereka... hanya buku  Sulūk llallāh (Perjalanan Menuju Allah), buku Tahdzīb  Nufūs (Pendidikan Jiwa), dan buku Ādāb wa Sunan Al-  llāhiyyah (Etika dan Perilaku Ilahiah).... Hendaklah para  ulama dan para mufasir menyusun buku-buku dalam  rangka menyampaikan pelajaran-pelajaran dan aturan-  aturan 'irfānī dan akhlaki, dan menjelaskan bagaimana  hubungan makhluk dengan Khalik mulai dari dār al-  ghurūs (rumah tipuan) sampai dāral-surūr (rumah  kebahagiaan) dan dār al-khulūd (rumah keabadian)....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Ilahiah ini merupakan kitab yang menghidupkan  setiap hati dengan kehidupan yang abadi, dan ia adalah  kitab ilmu dan makrifat Ilahiah. Ini merupakan kitab  dari Tuhan yang mengajak ke maqam-maqam Ilahiah  Yang Mahaagung dan Mahatinggi.</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Al-Quran adalah sebuah kenikmatan yang bisa  dinikmati oleh semua makhluk. Akan tetapi, apa yang  dinikmati oleh Rasul Saw. tidak setara dengan apa  yang bisa dinikmati oleh orang lain. Sesungguhnya  yang mengetahui Al-Quran adalah orang yang diberi  wahyu.... Al-Quran turun kepadanya dan beliau tahu  apa hakikat yang terkandung di dalamnya. Beliau tahu  bahwa mereka yang mendapat pelajaran darinya, juga  mengetahui hakikat yang termuat di dalamnya."</w:t>
      </w:r>
      <w:r>
        <w:rPr>
          <w:rStyle w:val="FootnoteAnchor"/>
        </w:rPr>
        <w:footnoteReference w:id="75"/>
      </w:r>
      <w:r>
        <w:rPr>
          <w:rFonts w:eastAsia="Times New Roman" w:cs="Times New Roman" w:ascii="Times New Roman" w:hAnsi="Times New Roman"/>
          <w:color w:val="111111"/>
          <w:sz w:val="28"/>
          <w:szCs w:val="28"/>
          <w:lang w:val="en-US"/>
        </w:rPr>
        <w:t xml:space="preserve"> Dalam pandangan Imam Khomeini, untuk bisa  mengetahui hakikat Al-Quran diperlukan nalar dan akal di atas  pemahaman biasa yang tidak cukup untuk memahami hakikat  yang terkandung di dalamnya.</w:t>
      </w:r>
    </w:p>
    <w:p>
      <w:pPr>
        <w:pStyle w:val="BookText"/>
        <w:bidi w:val="0"/>
        <w:jc w:val="both"/>
        <w:rPr/>
      </w:pPr>
      <w:r>
        <w:rPr>
          <w:rFonts w:eastAsia="Times New Roman" w:cs="Times New Roman" w:ascii="Times New Roman" w:hAnsi="Times New Roman"/>
          <w:color w:val="111111"/>
          <w:sz w:val="28"/>
          <w:szCs w:val="28"/>
          <w:lang w:val="en-US"/>
        </w:rPr>
        <w:t>Kedudukan Ri  Dalam pandangan Imam Khomeini, terdapat hubungan  yang sangat erat antara riwayat dan Al-Quran serta terdapat  kesatuan kandungan dan maksud keduanya, karena keduanya  memiliki sumber yang sama. Dalam hal ini, Al-Quran yang  disebut Kitab Tadwini (tekstual), sedangkan para Wali Ilahi dan  insan kamil sebagai Kitab Takwini (penciptaan) adalah sebaik-  baik julukan. Para Wali Ilahi merupakan jelmaan dari kitab-  kitab langit dan pembawa Al-Quran Tadwīnī.</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Takwini llahi dan Quran Nāthiq Rabbani (Quran  yang berbicara) juga turun dari alam gaib... Kitab  Takwīni Ilahi dan para Wali merupakan tajali dari kitab-  kitab langit yang turun dari Penguasa alam semesta,  dan pembawa Al-Quran Tadwīnī. Tidak ada yang bisa  memahami lahir dan batin Al-Quran, kecuali orang-  orang yang terpilih ini.</w:t>
      </w:r>
      <w:r>
        <w:rPr>
          <w:rStyle w:val="FootnoteAnchor"/>
        </w:rPr>
        <w:footnoteReference w:id="76"/>
      </w:r>
      <w:r>
        <w:rPr>
          <w:rFonts w:eastAsia="Times New Roman" w:cs="Times New Roman" w:ascii="Times New Roman" w:hAnsi="Times New Roman"/>
          <w:color w:val="111111"/>
          <w:sz w:val="28"/>
          <w:szCs w:val="28"/>
          <w:lang w:val="en-US"/>
        </w:rPr>
        <w:t xml:space="preserve"> Al-Qur'an adalah bentukan dari nama agung (ism  aʼzham); yang mana insan kamil merupakan tajali dari </w:t>
      </w:r>
      <w:bookmarkStart w:id="47" w:name="pg5928_44196"/>
    </w:p>
    <w:p>
      <w:pPr>
        <w:pStyle w:val="BookText"/>
        <w:bidi w:val="0"/>
        <w:rPr/>
      </w:pPr>
      <w:bookmarkEnd w:id="47"/>
      <w:r>
        <w:rPr>
          <w:rFonts w:eastAsia="Times New Roman" w:cs="Times New Roman" w:ascii="Times New Roman" w:hAnsi="Times New Roman"/>
          <w:color w:val="111111"/>
          <w:sz w:val="28"/>
          <w:szCs w:val="28"/>
          <w:lang w:val="en-US"/>
        </w:rPr>
        <w:t>ism aʻzham. Bahkan keduanya dalam maqam kehadiran  gaib (hadhrah al-ghaib) merupakan satu hakikat. Di  alam kemajemukan, keduanya berpisah sesuai dengan  jelmaan masing-masing, tetapi dalam hal makna,  keduanya tidak terpisah dan ini merupakan makna dari  tidak akan berpisah sampai keduanya menemuiku di  telaga surga.</w:t>
      </w:r>
      <w:r>
        <w:rPr>
          <w:rStyle w:val="FootnoteAnchor"/>
        </w:rPr>
        <w:footnoteReference w:id="77"/>
      </w:r>
      <w:r>
        <w:rPr>
          <w:rFonts w:eastAsia="Times New Roman" w:cs="Times New Roman" w:ascii="Times New Roman" w:hAnsi="Times New Roman"/>
          <w:color w:val="111111"/>
          <w:sz w:val="28"/>
          <w:szCs w:val="28"/>
          <w:lang w:val="en-US"/>
        </w:rPr>
        <w:t xml:space="preserve"> Zat Al-Haqq Yang Mahasuci ... bermanifestasi dalam  wujud Rasulullah Saw. dengan segenap asma dan sifat,  juga ber-tajali dalam Al-Quran dengan segenap asma  dan sifat pula. </w:t>
      </w:r>
      <w:r>
        <w:rPr>
          <w:rStyle w:val="FootnoteAnchor"/>
        </w:rPr>
        <w:footnoteReference w:id="78"/>
      </w:r>
      <w:r>
        <w:rPr>
          <w:rFonts w:eastAsia="Times New Roman" w:cs="Times New Roman" w:ascii="Times New Roman" w:hAnsi="Times New Roman"/>
          <w:color w:val="111111"/>
          <w:sz w:val="28"/>
          <w:szCs w:val="28"/>
          <w:lang w:val="en-US"/>
        </w:rPr>
        <w:t xml:space="preserve"> Mu'arrif bagi Rasulullah Saw. hanyalah Al-Quran.</w:t>
      </w:r>
    </w:p>
    <w:p>
      <w:pPr>
        <w:pStyle w:val="BookText"/>
        <w:bidi w:val="0"/>
        <w:jc w:val="both"/>
        <w:rPr/>
      </w:pPr>
      <w:r>
        <w:rPr>
          <w:rFonts w:eastAsia="Times New Roman" w:cs="Times New Roman" w:ascii="Times New Roman" w:hAnsi="Times New Roman"/>
          <w:color w:val="111111"/>
          <w:sz w:val="28"/>
          <w:szCs w:val="28"/>
          <w:lang w:val="en-US"/>
        </w:rPr>
        <w:t>Seperti halnya Rasulullah Saw. Imam Al-Shadiq a.s.</w:t>
      </w:r>
    </w:p>
    <w:p>
      <w:pPr>
        <w:pStyle w:val="BookText"/>
        <w:bidi w:val="0"/>
        <w:jc w:val="both"/>
        <w:rPr/>
      </w:pPr>
      <w:r>
        <w:rPr>
          <w:rFonts w:eastAsia="Times New Roman" w:cs="Times New Roman" w:ascii="Times New Roman" w:hAnsi="Times New Roman"/>
          <w:color w:val="111111"/>
          <w:sz w:val="28"/>
          <w:szCs w:val="28"/>
          <w:lang w:val="en-US"/>
        </w:rPr>
        <w:t>dan ... merupakan manifestasi sempurna Al-Haqq Swt.,  begitu juga Al-Quran merupakan manifestasi sempurna  dari Allah Swt.."</w:t>
      </w:r>
      <w:r>
        <w:rPr>
          <w:rStyle w:val="FootnoteAnchor"/>
        </w:rPr>
        <w:footnoteReference w:id="79"/>
      </w:r>
    </w:p>
    <w:p>
      <w:pPr>
        <w:pStyle w:val="Heading3"/>
        <w:numPr>
          <w:ilvl w:val="2"/>
          <w:numId w:val="1"/>
        </w:numPr>
        <w:bidi w:val="0"/>
        <w:jc w:val="left"/>
        <w:rPr/>
      </w:pPr>
      <w:bookmarkStart w:id="48" w:name="__RefHeading___Toc5529718_581953129"/>
      <w:bookmarkStart w:id="49" w:name="_Toc16"/>
      <w:bookmarkEnd w:id="48"/>
      <w:r>
        <w:rPr/>
        <w:t>Penghalang Ilmu</w:t>
      </w:r>
      <w:bookmarkEnd w:id="49"/>
    </w:p>
    <w:p>
      <w:pPr>
        <w:pStyle w:val="BookText"/>
        <w:bidi w:val="0"/>
        <w:jc w:val="both"/>
        <w:rPr/>
      </w:pPr>
      <w:r>
        <w:rPr>
          <w:rFonts w:eastAsia="Times New Roman" w:cs="Times New Roman" w:ascii="Times New Roman" w:hAnsi="Times New Roman"/>
          <w:color w:val="111111"/>
          <w:sz w:val="28"/>
          <w:szCs w:val="28"/>
          <w:lang w:val="en-US"/>
        </w:rPr>
        <w:t>Dalam istilah Imam Khomeini, perintang yang  menghalangi manusia untuk bisa sampai ke tujuan hakiki  disebut tabir (hijāb). Tabir-tabir ini memiliki beberapa bentuk,  sebagian dalam bentuk tabir kegelapan (zhulmāni), dan yang  lain berupa tabir cahaya (nūrānī). Artinya, cahaya juga bisa  merupakan salah satu tabir untuk sampai ke tujuan hakiki.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Hijab Nurani  Wujud nyata dari jenis tabir ini adalah ilmu. Ilmu tauhid  sekalipun bisa saja berubah menjadi penghalang yang paling  berbahaya, penghalang di pintu makrifat.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Salah satu tabir besar adalah ilmu. Ia bisa membuat  manusia terlena dengan konsep-konsep universal  (mafāhīm kulliyyah) dan menghalangi jalan manusia.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juga merupakan tabir bagi para Wali. Semakin  bertambah ilmu, tabir pun semakin tebal .... Dalam  hati yang belum siap dan belum matang, ilmu tauhid </w:t>
      </w:r>
    </w:p>
    <w:p>
      <w:pPr>
        <w:pStyle w:val="BookText"/>
        <w:bidi w:val="0"/>
        <w:rPr/>
      </w:pPr>
      <w:r>
        <w:rPr>
          <w:rFonts w:eastAsia="Times New Roman" w:cs="Times New Roman" w:ascii="Times New Roman" w:hAnsi="Times New Roman"/>
          <w:color w:val="111111"/>
          <w:sz w:val="28"/>
          <w:szCs w:val="28"/>
          <w:lang w:val="en-US"/>
        </w:rPr>
        <w:t>merupakan sebuah lumpur, penjara, dan menjadi  penghalang baginya, serta dengan ilmu syariat. Ini  semua merupakan sarana (wasilah).... Ini semua adalah  bagi perantara untuk membangunkan jiwa manusia  dan supaya tabir-tabir ini bisa disibak, di mana kita  semua adalah kegelapan. Keluar dari kegelapan ini,  memungkinkan kita sampai ke tabir-tabir cahaya...."</w:t>
      </w:r>
      <w:r>
        <w:rPr>
          <w:rStyle w:val="FootnoteAnchor"/>
        </w:rPr>
        <w:footnoteReference w:id="80"/>
      </w:r>
      <w:r>
        <w:rPr>
          <w:rFonts w:eastAsia="Times New Roman" w:cs="Times New Roman" w:ascii="Times New Roman" w:hAnsi="Times New Roman"/>
          <w:color w:val="111111"/>
          <w:sz w:val="28"/>
          <w:szCs w:val="28"/>
          <w:lang w:val="en-US"/>
        </w:rPr>
        <w:t xml:space="preserve"> Ilmu dengan segala nilai dan kemulian yang dimilikinya  merupakan salah satu tahapan untuk sampai kepada Allah  Swt.. Metode ilmiah dan argumen filosofis bisa membuktikan  kelemahan hamba dan keagungan Tuhan. Namun, hakikat  'irfān, syuhūd, dan hasil-hasil riyādhah, serta perjalanan  spiritual (sulūk) adalah sesuatu yang lain. Ketika seorang sālik  mampu menyingkirkan tabir dari hakikat dan bisa melihat  kelemahan hamba dalam semua makhluk, ia telah meraih  tahapan yang lebih tinggi dibandingkan dengan tahapan yang  diraih melalui metode ilmiah yang merupakan sebuah tabir  belaka. Oleh karena itu, ketika keduanya dibandingkan, yang  satu bisa menjadi tabir bagi yang lain.</w:t>
      </w:r>
    </w:p>
    <w:p>
      <w:pPr>
        <w:pStyle w:val="BookText"/>
        <w:bidi w:val="0"/>
        <w:jc w:val="both"/>
        <w:rPr/>
      </w:pPr>
      <w:r>
        <w:rPr>
          <w:rFonts w:eastAsia="Times New Roman" w:cs="Times New Roman" w:ascii="Times New Roman" w:hAnsi="Times New Roman"/>
          <w:color w:val="111111"/>
          <w:sz w:val="28"/>
          <w:szCs w:val="28"/>
          <w:lang w:val="en-US"/>
        </w:rPr>
        <w:t>Namun, hal itu bukan berarti bahwa kedudukan ilmu  adalah seperti ketidaktahuan mutlak (jahl muthlaq), keduanya  memiliki derajat yang sama sebagai tabir. Seseorang yang  berada dalam ketidaktahuan mutlak artinya ia belum sampai ke  tahapan ilmu dan belum naik ke tahapan kemanusiaan. Ketika  ia sudah sampai ke tahapan ilmu, hendaklah ia tidak berhenti  dan tidak lagi berusaha untuk sampai ke tahapan yang lebih  tinggi.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Jika seorang sālik melewati jalan hakikat dan  menempuh jalan penghambaan dengan langkah  metode ilmiah dan bersandar pada pemikiran, ia sudah </w:t>
      </w:r>
    </w:p>
    <w:p>
      <w:pPr>
        <w:pStyle w:val="BookText"/>
        <w:bidi w:val="0"/>
        <w:rPr/>
      </w:pPr>
      <w:r>
        <w:rPr>
          <w:rFonts w:eastAsia="Times New Roman" w:cs="Times New Roman" w:ascii="Times New Roman" w:hAnsi="Times New Roman"/>
          <w:color w:val="111111"/>
          <w:sz w:val="28"/>
          <w:szCs w:val="28"/>
          <w:lang w:val="en-US"/>
        </w:rPr>
        <w:t>berada dalam tabir ilmu dan telah mencapai kedudukan  awal kemanusiaan. Akan tetapi, tabir ini adalah  tabir yang tebal, yang menurut istilah adalah ilmu  merupakan tabir terbesar', dan hendaklah seorang sālik  tidak berhenti pada tabir ini, tetapi berusaha untuk  membakarnya."</w:t>
      </w:r>
      <w:r>
        <w:rPr>
          <w:rStyle w:val="FootnoteAnchor"/>
        </w:rPr>
        <w:footnoteReference w:id="81"/>
      </w:r>
      <w:r>
        <w:rPr>
          <w:rFonts w:eastAsia="Times New Roman" w:cs="Times New Roman" w:ascii="Times New Roman" w:hAnsi="Times New Roman"/>
          <w:color w:val="111111"/>
          <w:sz w:val="28"/>
          <w:szCs w:val="28"/>
          <w:lang w:val="en-US"/>
        </w:rPr>
        <w:t xml:space="preserve"> Yang dimaksud dengan keluar dari tabir adalah tidak  menjadikan ilmu sebagai tujuan. Menyibukkan diri dengan hal-  hal yang bukan asasi, menumpuk keragu-raguan, mengadakan  berbagai kajian tentang hal itu, serta menghabiskan umur  hanya pada tataran argumen hanya akan menjerumuskan ke  dalam jebakan setan. Hanya memperbanyak ilmu konseptual  dan menguatkan daya argumen akan membuat manusia  terhalang dalam menempuh jalan yang dilaluinya.</w:t>
      </w:r>
    </w:p>
    <w:p>
      <w:pPr>
        <w:pStyle w:val="BookText"/>
        <w:bidi w:val="0"/>
        <w:jc w:val="both"/>
        <w:rPr/>
      </w:pPr>
      <w:r>
        <w:rPr>
          <w:rFonts w:eastAsia="Times New Roman" w:cs="Times New Roman" w:ascii="Times New Roman" w:hAnsi="Times New Roman"/>
          <w:color w:val="111111"/>
          <w:sz w:val="28"/>
          <w:szCs w:val="28"/>
          <w:lang w:val="en-US"/>
        </w:rPr>
        <w:t>"Terkadang banyak orang menyibukkan diri dengan  ilmu-ilmu argumentatif yang bisa menyebabkan  kegelapan, hitam dalam hati, dan akan menghalanginya  untuk sampai ke tujuan tingginya. Tentang hal ini,  dikatakan 'ilmu adalah tabir terbesar."</w:t>
      </w:r>
      <w:r>
        <w:rPr>
          <w:rStyle w:val="FootnoteAnchor"/>
        </w:rPr>
        <w:footnoteReference w:id="82"/>
      </w:r>
      <w:r>
        <w:rPr>
          <w:rFonts w:eastAsia="Times New Roman" w:cs="Times New Roman" w:ascii="Times New Roman" w:hAnsi="Times New Roman"/>
          <w:color w:val="111111"/>
          <w:sz w:val="28"/>
          <w:szCs w:val="28"/>
          <w:lang w:val="en-US"/>
        </w:rPr>
        <w:t xml:space="preserve"> Selain itu, yang dimaksud keluar dari tabir ini bukan berarti  tidak berusaha meraih ilmu Hushūli, tetapi hal ini merupakan  tahapan untuk mencapai tahapan-tahapan selanjutnya. Setelah  sampai ke tahapan ini, seseorang harus melangkah ke tahapan  selanjutnya yang lebih besar. Artinya, ia harus melepas dan  meninggalkan tahapan ini.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 yang diraih oleh akal lewat kekuatan argumentasi,  metode ilmiah, dan lewat kalam akal, hendaklah  dituliskan di atas lembaran hati. Hakikat kelemahan  hamba dan keagungan Tuhan, hendaklah dihunjamkan  ke dalam hati, semua ikatan dan tabir ilmiah hendaklah  dilepaskan."</w:t>
      </w:r>
      <w:r>
        <w:rPr>
          <w:rStyle w:val="FootnoteAnchor"/>
        </w:rPr>
        <w:footnoteReference w:id="83"/>
      </w:r>
    </w:p>
    <w:p>
      <w:pPr>
        <w:pStyle w:val="BookText"/>
        <w:bidi w:val="0"/>
        <w:rPr/>
      </w:pPr>
      <w:r>
        <w:rPr>
          <w:rFonts w:eastAsia="Times New Roman" w:cs="Times New Roman" w:ascii="Times New Roman" w:hAnsi="Times New Roman"/>
          <w:color w:val="111111"/>
          <w:sz w:val="28"/>
          <w:szCs w:val="28"/>
          <w:lang w:val="en-US"/>
        </w:rPr>
        <w:t>Namun, tahapan ini bukanlah tujuan akhir karena  perjalanan menuju kesempurnaan masih terus berlanjut.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Keakuan (Egoisme)  Egoisme merupakan tabir yang paling berbahaya.</w:t>
      </w:r>
    </w:p>
    <w:p>
      <w:pPr>
        <w:pStyle w:val="BookText"/>
        <w:bidi w:val="0"/>
        <w:jc w:val="both"/>
        <w:rPr/>
      </w:pPr>
      <w:r>
        <w:rPr>
          <w:rFonts w:eastAsia="Times New Roman" w:cs="Times New Roman" w:ascii="Times New Roman" w:hAnsi="Times New Roman"/>
          <w:color w:val="111111"/>
          <w:sz w:val="28"/>
          <w:szCs w:val="28"/>
          <w:lang w:val="en-US"/>
        </w:rPr>
        <w:t>Seseorang yang berada di balik tabir ini tidak akan bisa melihat  apa pun.</w:t>
      </w:r>
    </w:p>
    <w:p>
      <w:pPr>
        <w:pStyle w:val="BookText"/>
        <w:bidi w:val="0"/>
        <w:jc w:val="both"/>
        <w:rPr/>
      </w:pPr>
      <w:r>
        <w:rPr>
          <w:rFonts w:eastAsia="Times New Roman" w:cs="Times New Roman" w:ascii="Times New Roman" w:hAnsi="Times New Roman"/>
          <w:color w:val="111111"/>
          <w:sz w:val="28"/>
          <w:szCs w:val="28"/>
          <w:lang w:val="en-US"/>
        </w:rPr>
        <w:t>"Salah satu tabir yang besar adalah tabir egoisme, di  mana seorang pelajar karena tabir ini akan merasa  dirinya cukup dan tidak butuh apa pun. Ini merupakan  ciri setan yang paling jelas, di mana ia selalu  menonjolkan kesempurnaan khayalinya di depan  manusia, dan mencoba meyakinkan manusia akan hal  itu. Setan selalu menutup mata dari apa-apa yang ada  di balik semua yang ia miliki. "</w:t>
      </w:r>
      <w:r>
        <w:rPr>
          <w:rStyle w:val="FootnoteAnchor"/>
        </w:rPr>
        <w:footnoteReference w:id="84"/>
      </w:r>
      <w:r>
        <w:rPr>
          <w:rFonts w:eastAsia="Times New Roman" w:cs="Times New Roman" w:ascii="Times New Roman" w:hAnsi="Times New Roman"/>
          <w:color w:val="111111"/>
          <w:sz w:val="28"/>
          <w:szCs w:val="28"/>
          <w:lang w:val="en-US"/>
        </w:rPr>
        <w:t xml:space="preserve"> Terdapat beragam contoh egoisme. Dari ucapan-ucapan  Imam Khomeini, bisa disimpulkan sebagai berikut.</w:t>
      </w:r>
    </w:p>
    <w:p>
      <w:pPr>
        <w:pStyle w:val="BookText"/>
        <w:bidi w:val="0"/>
        <w:jc w:val="both"/>
        <w:rPr/>
      </w:pPr>
      <w:r>
        <w:rPr>
          <w:rFonts w:eastAsia="Times New Roman" w:cs="Times New Roman" w:ascii="Times New Roman" w:hAnsi="Times New Roman"/>
          <w:color w:val="111111"/>
          <w:sz w:val="28"/>
          <w:szCs w:val="28"/>
          <w:lang w:val="en-US"/>
        </w:rPr>
        <w:t>a. Egoisme ahli tajwid: mereka merasa cukup dengan ilmu-  ilmu partikular ini dan merasa bahwa hanya mereka yang  menguasai Al-Quran.</w:t>
      </w:r>
    </w:p>
    <w:p>
      <w:pPr>
        <w:pStyle w:val="BookText"/>
        <w:bidi w:val="0"/>
        <w:jc w:val="both"/>
        <w:rPr/>
      </w:pPr>
      <w:r>
        <w:rPr>
          <w:rFonts w:eastAsia="Times New Roman" w:cs="Times New Roman" w:ascii="Times New Roman" w:hAnsi="Times New Roman"/>
          <w:color w:val="111111"/>
          <w:sz w:val="28"/>
          <w:szCs w:val="28"/>
          <w:lang w:val="en-US"/>
        </w:rPr>
        <w:t>b. Egoisme sastrawan: mereka beranggapan bahwa seluruh  aspek Al-Quran hanya terdapat pada aspek verbal (lafzhi)  dan menutup mata terhadap inti hakiki Al-Quran.</w:t>
      </w:r>
    </w:p>
    <w:p>
      <w:pPr>
        <w:pStyle w:val="BookText"/>
        <w:bidi w:val="0"/>
        <w:jc w:val="both"/>
        <w:rPr/>
      </w:pPr>
      <w:r>
        <w:rPr>
          <w:rFonts w:eastAsia="Times New Roman" w:cs="Times New Roman" w:ascii="Times New Roman" w:hAnsi="Times New Roman"/>
          <w:color w:val="111111"/>
          <w:sz w:val="28"/>
          <w:szCs w:val="28"/>
          <w:lang w:val="en-US"/>
        </w:rPr>
        <w:t>c. Egoisme ahli tafsir: mereka hanya asyik dengan bacaan-  bacaan, berbagai pendapat ahli bahasa, asbāb al-nuzūl,  ayat Makiyyah, dan ayat Madaniyyah.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Egoisme para filsuf, para hakim, dan ahli istilah: mereka  terpenjara dengan tabir yang sangat tebal, dengan istilah-  istilah, konsep-konsep, dan yang sejenisnya. </w:t>
      </w:r>
    </w:p>
    <w:p>
      <w:pPr>
        <w:pStyle w:val="BookText"/>
        <w:bidi w:val="0"/>
        <w:rPr/>
      </w:pPr>
      <w:r>
        <w:rPr>
          <w:rFonts w:eastAsia="Times New Roman" w:cs="Times New Roman" w:ascii="Times New Roman" w:hAnsi="Times New Roman"/>
          <w:color w:val="111111"/>
          <w:sz w:val="28"/>
          <w:szCs w:val="28"/>
          <w:lang w:val="en-US"/>
        </w:rPr>
        <w:t>Untuk bisa memahami Al-Quran, selayaknya kita  menyobek tabir-tabir ini.</w:t>
      </w:r>
    </w:p>
    <w:p>
      <w:pPr>
        <w:pStyle w:val="BookText"/>
        <w:bidi w:val="0"/>
        <w:jc w:val="both"/>
        <w:rPr/>
      </w:pPr>
      <w:r>
        <w:rPr>
          <w:rFonts w:eastAsia="Times New Roman" w:cs="Times New Roman" w:ascii="Times New Roman" w:hAnsi="Times New Roman"/>
          <w:color w:val="111111"/>
          <w:sz w:val="28"/>
          <w:szCs w:val="28"/>
          <w:lang w:val="en-US"/>
        </w:rPr>
        <w:t>"Seorang pelajar hendaklah membakar tabir-tabir ini,  dan melihat Al-Quran dari balik tabir-tabir ini, serta  tidak berhenti di salah satu tabir ini."</w:t>
      </w:r>
      <w:r>
        <w:rPr>
          <w:rStyle w:val="FootnoteAnchor"/>
        </w:rPr>
        <w:footnoteReference w:id="85"/>
      </w:r>
      <w:r>
        <w:rPr>
          <w:rFonts w:eastAsia="Times New Roman" w:cs="Times New Roman" w:ascii="Times New Roman" w:hAnsi="Times New Roman"/>
          <w:color w:val="111111"/>
          <w:sz w:val="28"/>
          <w:szCs w:val="28"/>
          <w:lang w:val="en-US"/>
        </w:rPr>
        <w:t xml:space="preserve"> Teori-Teori Sesat dan Kelompok-kelompok Batil  Terdapat banyak faktor yang berbentuk teori-teori sesat  memasuki pikiran manusia. Terkadang, hal itu disebabkan  oleh kelemahan potensi seseorang dan terkadang karena  taklid buta. Dengan sekadar mendengar dari ayah, ibu, atau  yang lain, ia memasukkan hal itu ke dalam hatinya. Jika hal  itu bertentangan dengan riwayat atau ayat, sebagai reaksinya,  mereka menafsirkan riwayat dan ayat tersebut dengan tafsiran  yang bertentangan dengan makna lahiriahnya. Contoh yang  pernah dikemukakan dalam masalah ini adalah ayat yang  berbicara tentang liqā'ullāh (perjumpaan dengan Allah), dan  maʼrifatullāh (mengenal Allah), atau tafakur tentang esensi  Tuhan. Mereka beranggapan bahwa menafsirkan ayat-ayat  seperti ini adalah terlarang dan makrifat ini tidak mungkin  diraih. Bahkan, menurut mereka pengkajian masalah-masalah  ini tergolong tindakan kafir dan zindik.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menyamakan makrifat para Nabi dan para  Wali dengan pengetahuan orang awam dan para  wanita, khususnya tentang masalah dzāt, asma, dan  sifat Al-Haqq Swt.. Bahkan terkadang, mereka berusaha  memperlihatkan bahwa pengetahuan mereka lebih  tinggi dibanding makrifat para Nabi dan para Wali.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berkata, 'Si Fulan memiliki akidah awam yang  baik. Andaikan kita juga memiliki akidah tersebut!' </w:t>
      </w:r>
    </w:p>
    <w:p>
      <w:pPr>
        <w:pStyle w:val="BookText"/>
        <w:bidi w:val="0"/>
        <w:rPr/>
      </w:pPr>
      <w:r>
        <w:rPr>
          <w:rFonts w:eastAsia="Times New Roman" w:cs="Times New Roman" w:ascii="Times New Roman" w:hAnsi="Times New Roman"/>
          <w:color w:val="111111"/>
          <w:sz w:val="28"/>
          <w:szCs w:val="28"/>
          <w:lang w:val="en-US"/>
        </w:rPr>
        <w:t>Ungkapan ini benar, karena ketika orang seperti ini  mengungkapan ucapan tersebut, ia kehilangan akidah  awam dan sudah menganggap pengetahuan khusus  dan Ilahiah ini adalah batil seperti yang disinggung  dalam Al-Quran, “Dan orang-orang kafir berkata,  “Andaikan aku adalah segumpal tanah."</w:t>
      </w:r>
      <w:r>
        <w:rPr>
          <w:rStyle w:val="FootnoteAnchor"/>
        </w:rPr>
        <w:footnoteReference w:id="86"/>
      </w:r>
      <w:r>
        <w:rPr>
          <w:rFonts w:eastAsia="Times New Roman" w:cs="Times New Roman" w:ascii="Times New Roman" w:hAnsi="Times New Roman"/>
          <w:color w:val="111111"/>
          <w:sz w:val="28"/>
          <w:szCs w:val="28"/>
          <w:lang w:val="en-US"/>
        </w:rPr>
        <w:t xml:space="preserve"> Pandangan Picik dan Keyakinan Khayali  Pembatasan kandungan Al-Quran hanya pada pemahaman  orang-orang khusus dan pengkhususan pada kandungan-  kandungan lahiriah dan bentuk luaran merupakan tindakan  yang sangat berbahaya. Hal ini akan menyebabkan Al-Quran  kehilangan makna yang dalam dan kandungannya yang tinggi.</w:t>
      </w:r>
    </w:p>
    <w:p>
      <w:pPr>
        <w:pStyle w:val="BookText"/>
        <w:bidi w:val="0"/>
        <w:jc w:val="both"/>
        <w:rPr/>
      </w:pPr>
      <w:r>
        <w:rPr>
          <w:rFonts w:eastAsia="Times New Roman" w:cs="Times New Roman" w:ascii="Times New Roman" w:hAnsi="Times New Roman"/>
          <w:color w:val="111111"/>
          <w:sz w:val="28"/>
          <w:szCs w:val="28"/>
          <w:lang w:val="en-US"/>
        </w:rPr>
        <w:t>Bahkan, hal ini akan menyebabkan pemahaman dan keyakinan  yang tidak benar pada orang lain. Sebagian kelompok meyakini  bahwa selain yang ditulis dan dipahami oleh para mufasir,  tidak ada seorang pun yang berhak memaknai Al-Quran.</w:t>
      </w:r>
    </w:p>
    <w:p>
      <w:pPr>
        <w:pStyle w:val="BookText"/>
        <w:bidi w:val="0"/>
        <w:jc w:val="both"/>
        <w:rPr/>
      </w:pPr>
      <w:r>
        <w:rPr>
          <w:rFonts w:eastAsia="Times New Roman" w:cs="Times New Roman" w:ascii="Times New Roman" w:hAnsi="Times New Roman"/>
          <w:color w:val="111111"/>
          <w:sz w:val="28"/>
          <w:szCs w:val="28"/>
          <w:lang w:val="en-US"/>
        </w:rPr>
        <w:t>Sebagian lain menganggap bahwa telaah dan tafakur tentang  ayat-ayat Al-Quran merupakan penafsiran bi ra’yi. Dengan  memperluas bidang penelitian dan kajian dalam lingkup  pengetahuan, langkah inilah yang diambil Imam Khomeini  dalam menghadapi pandangan-pandangan batil orang-orang  seperti ini. Beliau meyakini masalah ini sebagai “hak mutlak  akal” dan menganggap tuduhan, bahwa hal ini merupakan tafsir  bi ra'yi sebagai tuduhan yang tidak benar. Beliau berkeyakinan  bahwa secara asasi, kajian dan tafakur merupakan topik di luar  tafsir sehingga tafsiran benar ataupun salah tetap berada pada  tempatnya.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Sebuah hadits menyatakan, “Tidak ada sesuatu yang  lebih jauh dari akal manusia daripada penafsiran Al- </w:t>
      </w:r>
    </w:p>
    <w:p>
      <w:pPr>
        <w:pStyle w:val="BookText"/>
        <w:bidi w:val="0"/>
        <w:rPr/>
      </w:pPr>
      <w:r>
        <w:rPr>
          <w:rFonts w:eastAsia="Times New Roman" w:cs="Times New Roman" w:ascii="Times New Roman" w:hAnsi="Times New Roman"/>
          <w:color w:val="111111"/>
          <w:sz w:val="28"/>
          <w:szCs w:val="28"/>
          <w:lang w:val="en-US"/>
        </w:rPr>
        <w:t>Quran.' Hadits lain menyatakan, 'Agama Allah tidak  bisa dicapai oleh akal.' Hadits-hadits ini maksudnya  adalah apa yang dimaksud dengan agama Allah adalah  hukum-hukum peribadatan dalam agama. Sementara  itu, masalah pembuktian adanya pencipta, ketauhidan,  penyucian, pembuktian adanya maſād, kenabian, serta  seluruh pengetahuan merupakan hak mutlak akal dan  wilayah khusus akal."</w:t>
      </w:r>
      <w:r>
        <w:rPr>
          <w:rStyle w:val="FootnoteAnchor"/>
        </w:rPr>
        <w:footnoteReference w:id="87"/>
      </w:r>
      <w:r>
        <w:rPr>
          <w:rFonts w:eastAsia="Times New Roman" w:cs="Times New Roman" w:ascii="Times New Roman" w:hAnsi="Times New Roman"/>
          <w:color w:val="111111"/>
          <w:sz w:val="28"/>
          <w:szCs w:val="28"/>
          <w:lang w:val="en-US"/>
        </w:rPr>
        <w:t xml:space="preserve"> Sikap antiakal, antiperibadatan, dan taklid merupakan  penyebab kehancuran yang merugikan, bahkan menyebabkan  skriptualisme pada sebagian ulama besar.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dalam ucapan yang keluar dari para pemuka ahli  hadits adalah tentang pembuktian ketauhidan yang  bersandar pada dalil naqli, akan didapatkan hal-hal asing  bahkan sebuah musibah yang mesti kita berlindung  kepada Allah darinya. Ucapan-ucapan seperti ini tidak  harus dicela, tetapi kita harus berlindung kepada Allah  darinya. "</w:t>
      </w:r>
      <w:r>
        <w:rPr>
          <w:rStyle w:val="FootnoteAnchor"/>
        </w:rPr>
        <w:footnoteReference w:id="88"/>
      </w:r>
      <w:r>
        <w:rPr>
          <w:rFonts w:eastAsia="Times New Roman" w:cs="Times New Roman" w:ascii="Times New Roman" w:hAnsi="Times New Roman"/>
          <w:color w:val="111111"/>
          <w:sz w:val="28"/>
          <w:szCs w:val="28"/>
          <w:lang w:val="en-US"/>
        </w:rPr>
        <w:t xml:space="preserve"> Dalam pandangan Imam Khomeini, setiap penafsiran  yang didasarkan pada moralitas, keimanan, dan ‘irfān adalah  keluar dari lingkup tafsir bi ra'yi. Hanya satu penghalang  yang merintangi penggunaan semua ini, yaitu membatasi dan  mengkhususkan pemahaman terhadap kandungan teks-teks  wahyu pada pemahaman kaum awam. Sebagian beranggapan  bahwa seluruh kandungan dan isi teks agama hanya berada  pada hal-hal yang dipahami oleh masyarakat biasa, dan dengan  kejumudan, menggunakan hal ini sebagai tolak ukur bagi setiap  perkara yang lain. Imam Khomeini berusaha sungguh-sungguh  dalam menggugurkan pandangan batil ini. Sebagian dalil untuk  menggugurkan pandangan ini secara berurutan adalah sebagai  berikut.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Bukti-bukti naqli dalam Al-Quran dan hadits tentang  penggunaan moralitas, keimanan, dan ‘irfāni.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Hal-hal yang dihasilkan dari penggunaan moralitas,  keimanan, dan ‘irfāni sesuai dengan argumen-argumen  akal dan ‘irfānī. Oleh karena itu, tuduhan bahwa hal  ini termasuk tafsir bi ra'yi adalah tuduhan yang tidak  mendasar.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Kebanyakan dalam menjelaskan wujud luar konsep ini,  juga tidak bisa digolongkan ke dalam tafsir bi ra’yi.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Untuk menjaga kehati-hatian dalam perkara agama,  terkait hal-hal yang tidak pasti (ghayru badhihi),  hendaklah digunakan istilah-istilah ihtimāli, atau imkānī  (kemungkinan), bukan istilah jazmi (keniscayaan)  sehingga terhindar dari tuduhan adanya tafsir bi ra'yi.</w:t>
      </w:r>
      <w:r>
        <w:rPr>
          <w:rStyle w:val="FootnoteAnchor"/>
        </w:rPr>
        <w:footnoteReference w:id="89"/>
      </w:r>
      <w:r>
        <w:rPr>
          <w:rFonts w:eastAsia="Times New Roman" w:cs="Times New Roman" w:ascii="Times New Roman" w:hAnsi="Times New Roman"/>
          <w:color w:val="111111"/>
          <w:sz w:val="28"/>
          <w:szCs w:val="28"/>
          <w:lang w:val="en-US"/>
        </w:rPr>
        <w:t xml:space="preserve"> “Banyak tafsiran, seperti dalam penafsiran firman Allah,  'Segala puji bagi Allah,' yang merupakan pengkhususan  semua pujian hanya kepada Al-Haqq Swt., tergolong ke  dalam tauhid afʻālī dan bahwa itu sesuai ayat Al-Quran.</w:t>
      </w:r>
    </w:p>
    <w:p>
      <w:pPr>
        <w:pStyle w:val="BookText"/>
        <w:bidi w:val="0"/>
        <w:jc w:val="both"/>
        <w:rPr/>
      </w:pPr>
      <w:r>
        <w:rPr>
          <w:rFonts w:eastAsia="Times New Roman" w:cs="Times New Roman" w:ascii="Times New Roman" w:hAnsi="Times New Roman"/>
          <w:color w:val="111111"/>
          <w:sz w:val="28"/>
          <w:szCs w:val="28"/>
          <w:lang w:val="en-US"/>
        </w:rPr>
        <w:t>Semua kesempurnaan, keindahan, keagungan, serta  kegagahan yang tampak di alam semesta, secara mata  lahir dan hati tertutup dinisbatkan kepada makhluk  bersumber dari Al-Haqq Swt., dan pada hakikatnya  mereka tidak memiliki apa pun. Oleh karena itu,  segala pujian hanya milik Al-Haqq Swt. dan tidak ada  seorang pun yang menjadi sekutu dalam semua itu.</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 hubungan ini dengan tafsir sehingga bisa disebut  tafsir bi ra'yi atau bukan?"</w:t>
      </w:r>
      <w:r>
        <w:rPr>
          <w:rStyle w:val="FootnoteAnchor"/>
        </w:rPr>
        <w:footnoteReference w:id="90"/>
      </w:r>
      <w:r>
        <w:rPr>
          <w:rFonts w:eastAsia="Times New Roman" w:cs="Times New Roman" w:ascii="Times New Roman" w:hAnsi="Times New Roman"/>
          <w:color w:val="111111"/>
          <w:sz w:val="28"/>
          <w:szCs w:val="28"/>
          <w:lang w:val="en-US"/>
        </w:rPr>
        <w:t xml:space="preserve"> Bahaya yang timbul dari pandangan picik seperti ini pada  akhirnya akan menimbulkan skriptualisme dan tidak akan bisa  sampai pada pemahaman agama, kecuali cangkangnya belaka  yang hanya ditujukan bagi orang-orang awam. Sementara itu, </w:t>
      </w:r>
    </w:p>
    <w:p>
      <w:pPr>
        <w:pStyle w:val="BookText"/>
        <w:bidi w:val="0"/>
        <w:rPr/>
      </w:pPr>
      <w:r>
        <w:rPr>
          <w:rFonts w:eastAsia="Times New Roman" w:cs="Times New Roman" w:ascii="Times New Roman" w:hAnsi="Times New Roman"/>
          <w:color w:val="111111"/>
          <w:sz w:val="28"/>
          <w:szCs w:val="28"/>
          <w:lang w:val="en-US"/>
        </w:rPr>
        <w:t>dalam pandangan Imam Khomeini, semua aspek agama – baik  akidah ataupun praktik ibadah, memiliki kulit dan isi walaupun  berupa amal ibadah, yang oleh sebagian orang hanya dianggap  zikir-zikir, wirid-wirid, atau amalan-amalan khusus semata.</w:t>
      </w:r>
    </w:p>
    <w:p>
      <w:pPr>
        <w:pStyle w:val="BookText"/>
        <w:bidi w:val="0"/>
        <w:jc w:val="both"/>
        <w:rPr/>
      </w:pPr>
      <w:r>
        <w:rPr>
          <w:rFonts w:eastAsia="Times New Roman" w:cs="Times New Roman" w:ascii="Times New Roman" w:hAnsi="Times New Roman"/>
          <w:color w:val="111111"/>
          <w:sz w:val="28"/>
          <w:szCs w:val="28"/>
          <w:lang w:val="en-US"/>
        </w:rPr>
        <w:t>Namun dalam pandangan tajam Imam Khomeini, hal itu adalah  sesuatu yang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Sebagian kelompok hanya melihat salat dan seluruh  amal ibadah dalam bentuk luar dan cangkang belaka.</w:t>
      </w:r>
    </w:p>
    <w:p>
      <w:pPr>
        <w:pStyle w:val="BookText"/>
        <w:bidi w:val="0"/>
        <w:jc w:val="both"/>
        <w:rPr/>
      </w:pPr>
      <w:r>
        <w:rPr>
          <w:rFonts w:eastAsia="Times New Roman" w:cs="Times New Roman" w:ascii="Times New Roman" w:hAnsi="Times New Roman"/>
          <w:color w:val="111111"/>
          <w:sz w:val="28"/>
          <w:szCs w:val="28"/>
          <w:lang w:val="en-US"/>
        </w:rPr>
        <w:t>Mereka mengetahui zikir-zikir, doa-doa, dan bacaan-  bacaan sebatas pada pemahaman awam.... Yang  penting bagi mereka adalah tidak mempersempit  makna itu semua hanya pada makna-makna umum,  dan hanya melihat dari kulit luarnya saja, bukan ibadah  yang memiliki hakikat apa pun. Keyakinan ini, selain  bertentangan dengan akal dan teks agama, sangat  berbahaya bagi manusia, akan menyebabkan mereka  merasa cukup dengan itu saja, berhenti di situ, dan  terhalang dari perjalanan (sair) ilmiah dan amaliah."</w:t>
      </w:r>
      <w:r>
        <w:rPr>
          <w:rStyle w:val="FootnoteAnchor"/>
        </w:rPr>
        <w:footnoteReference w:id="91"/>
      </w:r>
      <w:r>
        <w:rPr>
          <w:rFonts w:eastAsia="Times New Roman" w:cs="Times New Roman" w:ascii="Times New Roman" w:hAnsi="Times New Roman"/>
          <w:color w:val="111111"/>
          <w:sz w:val="28"/>
          <w:szCs w:val="28"/>
          <w:lang w:val="en-US"/>
        </w:rPr>
        <w:t xml:space="preserve"> Yang dimaksud oleh hadits yang menyatakan bahwa salat  memiliki 4.000 tahap yang tidak dapat dilewati orang awam  walaupun hanya satu tahap, adalah dalam rangka menjelaskan  hakikat yang ada di atas batas-batas lahiriah salat. Jelas, jika  yang dimaksud adalah batasan-batasan dan hukum-hukum  lahir yaitu syarat-syarat sah salat, menolak untuk melewatinya  secara mutlak merupakan pandangan yang tidak benar. </w:t>
      </w:r>
      <w:r>
        <w:rPr>
          <w:rStyle w:val="FootnoteAnchor"/>
        </w:rPr>
        <w:footnoteReference w:id="92"/>
      </w:r>
      <w:r>
        <w:rPr>
          <w:rFonts w:eastAsia="Times New Roman" w:cs="Times New Roman" w:ascii="Times New Roman" w:hAnsi="Times New Roman"/>
          <w:color w:val="111111"/>
          <w:sz w:val="28"/>
          <w:szCs w:val="28"/>
          <w:lang w:val="en-US"/>
        </w:rPr>
        <w:t>Dari  sini, thaharah dianggap syarat sah ibadah (salat), dan itu berlaku  bagi semua orang, tidak terbatas pada amal-amal lahir saja, di  mana perbedaan tingkat setiap orang dilihat dari masalah ini.</w:t>
      </w:r>
      <w:r>
        <w:rPr>
          <w:rStyle w:val="FootnoteAnchor"/>
        </w:rPr>
        <w:footnoteReference w:id="93"/>
      </w:r>
      <w:r>
        <w:rPr>
          <w:rFonts w:eastAsia="Times New Roman" w:cs="Times New Roman" w:ascii="Times New Roman" w:hAnsi="Times New Roman"/>
          <w:color w:val="111111"/>
          <w:sz w:val="28"/>
          <w:szCs w:val="28"/>
          <w:lang w:val="en-US"/>
        </w:rPr>
        <w:t xml:space="preserve"> Penekanan Imam Khomeini dalam masalah ini sangat menarik.</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"Termasuk perkara yang sangat penting dan mesti  diperhatikan di mana kaum Mukmin, terutama </w:t>
      </w:r>
    </w:p>
    <w:p>
      <w:pPr>
        <w:pStyle w:val="BookText"/>
        <w:bidi w:val="0"/>
        <w:rPr/>
      </w:pPr>
      <w:r>
        <w:rPr>
          <w:rFonts w:eastAsia="Times New Roman" w:cs="Times New Roman" w:ascii="Times New Roman" w:hAnsi="Times New Roman"/>
          <w:color w:val="111111"/>
          <w:sz w:val="28"/>
          <w:szCs w:val="28"/>
          <w:lang w:val="en-US"/>
        </w:rPr>
        <w:t>ahli ilmu, mesti lebih serius mengkajinya, adalah  jika mendengar ucapan dari para ahli jiwa dan ahli  makrifat, janganlah langsung menuduhnya sesat atau  batil, dan jangan menghina dan merendahkan mereka  hanya karena ucapan tersebut asing didengarnya  atau istilah-istilah yang mereka gunakan tidak bisa  dipahami, tanpa alasan yang benar menurut syarit.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Jangan beranggapan bahwa setiap nama (ism) dari  tingkatan nafs, kedudukan-kedudukan para Wali dan  urafa, manifesatsi Al-Haqq, kerinduan ('isyq), cinta  (mahabbah), dan sejenisnya yang termasuk dalam  istilah-istilah ahli makrifat adalah bikinan kaum Sufi,  hanya merupakan pembenaran terhadap klaim-klaim  sufi, atau hanya bikinan sendiri dan menganggap  bahwa hal itu tidak didasari argumen-argumen akal  dan alasan-alasan yang benar menurut syariat."</w:t>
      </w:r>
      <w:r>
        <w:rPr>
          <w:rStyle w:val="FootnoteAnchor"/>
        </w:rPr>
        <w:footnoteReference w:id="94"/>
      </w:r>
      <w:r>
        <w:rPr>
          <w:rFonts w:eastAsia="Times New Roman" w:cs="Times New Roman" w:ascii="Times New Roman" w:hAnsi="Times New Roman"/>
          <w:color w:val="111111"/>
          <w:sz w:val="28"/>
          <w:szCs w:val="28"/>
          <w:lang w:val="en-US"/>
        </w:rPr>
        <w:t xml:space="preserve"> Dosa  Salah satu bencana yang sangat merugikan dalam  memahami kandungan Al-Quran adalah melakukan dosa  dan kemaksiatan. Kemaksiatan akan berpengaruh langsung  terhadap hati manusia sebagai pusat pemahaman, dan ilmu  ini akan menjadi tidak berguna. Setiap amal, sebagaimana  memiliki bentuk lahir, di alam malaikat juga memiliki bentuk  batin. Bentuk malakūti ini akan mengakibatkan terang atau  gelapnya jiwa. Jiwa yang bercahaya bagaikan cermin bening  yang layak untuk menangkap bayangan manifestasi gaib,  jelmaan hakikat, dan makrifat. Sebaliknya, jika cermin ini  dipenuhi kotoran dan noda, bayangan makrifat dan hakikat,  tidak akan terpantul padanya. </w:t>
      </w:r>
      <w:r>
        <w:rPr>
          <w:rStyle w:val="FootnoteAnchor"/>
        </w:rPr>
        <w:footnoteReference w:id="95"/>
      </w:r>
      <w:r>
        <w:rPr>
          <w:rFonts w:eastAsia="Times New Roman" w:cs="Times New Roman" w:ascii="Times New Roman" w:hAnsi="Times New Roman"/>
          <w:color w:val="111111"/>
          <w:sz w:val="28"/>
          <w:szCs w:val="28"/>
          <w:lang w:val="en-US"/>
        </w:rPr>
        <w:t xml:space="preserve"> Jelas, sebagaimana amal kebaikan dan sair wa suluk amali  merupakan faktor utama untuk bisa sampai ke hakikat dan </w:t>
      </w:r>
    </w:p>
    <w:p>
      <w:pPr>
        <w:pStyle w:val="BookText"/>
        <w:bidi w:val="0"/>
        <w:rPr/>
      </w:pPr>
      <w:r>
        <w:rPr>
          <w:rFonts w:eastAsia="Times New Roman" w:cs="Times New Roman" w:ascii="Times New Roman" w:hAnsi="Times New Roman"/>
          <w:color w:val="111111"/>
          <w:sz w:val="28"/>
          <w:szCs w:val="28"/>
          <w:lang w:val="en-US"/>
        </w:rPr>
        <w:t>memiliki pengaruh langsung terhadap hal ini, amal keburukan  juga akan berakibat sebaliknya.</w:t>
      </w:r>
    </w:p>
    <w:p>
      <w:pPr>
        <w:pStyle w:val="BookText"/>
        <w:bidi w:val="0"/>
        <w:jc w:val="both"/>
        <w:rPr/>
      </w:pPr>
      <w:r>
        <w:rPr>
          <w:rFonts w:eastAsia="Times New Roman" w:cs="Times New Roman" w:ascii="Times New Roman" w:hAnsi="Times New Roman"/>
          <w:color w:val="111111"/>
          <w:sz w:val="28"/>
          <w:szCs w:val="28"/>
          <w:lang w:val="en-US"/>
        </w:rPr>
        <w:t>Cinta Dunia  Cinta dunia adalah petaka yang akan memunculkan  kejahatan-kejahatan lain. Makrifat tidak bisa didapat dengan  adanya kecintaan pada duniawi. Semakin besar kecintaan pada  duniawi, semakin tebal pula tabir. Terkadang kecintaan kepada  duniawi begitu besarnya sehingga menyebabkan padamnya api  fitrah dalam jiwa manusia. Al-Quran mengungkapkan tentang  hati, "Maka apakah mereka tidak memperhatikan Al-Quran  ataukah hati mereka terkunci?"</w:t>
      </w:r>
      <w:r>
        <w:rPr>
          <w:rStyle w:val="FootnoteAnchor"/>
        </w:rPr>
        <w:footnoteReference w:id="96"/>
      </w:r>
      <w:r>
        <w:rPr>
          <w:rFonts w:eastAsia="Times New Roman" w:cs="Times New Roman" w:ascii="Times New Roman" w:hAnsi="Times New Roman"/>
          <w:color w:val="111111"/>
          <w:sz w:val="28"/>
          <w:szCs w:val="28"/>
          <w:lang w:val="en-US"/>
        </w:rPr>
        <w:t>Syarat untuk bisa mencapai  pemahaman atas kandungan Ilahiyah Al-Quran adalah kesucian  jiwa. Siapa pun yang hatinya ternodai oleh kotoran duniawi,  mereka tidak akan sampai memahami batin Al-Quran.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Seperti halnya orang yang tidak suci secara lahir,  menurut hukum syariat dilarang untuk memegang kitab  ini, begitu juga orang yang hatinya tidak suci karena  cinta duniawi, tidak akan bisa meraih pengetahuan,  kandungan batin, dan rahasia Al-Quran. "</w:t>
      </w:r>
      <w:r>
        <w:rPr>
          <w:rStyle w:val="FootnoteAnchor"/>
        </w:rPr>
        <w:footnoteReference w:id="97"/>
      </w:r>
      <w:bookmarkStart w:id="50" w:name="pg5928_44217"/>
    </w:p>
    <w:p>
      <w:pPr>
        <w:pStyle w:val="Heading3"/>
        <w:numPr>
          <w:ilvl w:val="2"/>
          <w:numId w:val="1"/>
        </w:numPr>
        <w:bidi w:val="0"/>
        <w:jc w:val="left"/>
        <w:rPr/>
      </w:pPr>
      <w:bookmarkStart w:id="51" w:name="__RefHeading___Toc5529720_581953129"/>
      <w:bookmarkStart w:id="52" w:name="_Toc17"/>
      <w:bookmarkEnd w:id="50"/>
      <w:bookmarkEnd w:id="51"/>
      <w:r>
        <w:rPr/>
        <w:t>Catatan I:</w:t>
      </w:r>
      <w:bookmarkEnd w:id="52"/>
    </w:p>
    <w:p>
      <w:pPr>
        <w:pStyle w:val="BookText"/>
        <w:bidi w:val="0"/>
        <w:jc w:val="both"/>
        <w:rPr/>
      </w:pPr>
      <w:r>
        <w:rPr>
          <w:rFonts w:eastAsia="Times New Roman" w:cs="Times New Roman" w:ascii="Times New Roman" w:hAnsi="Times New Roman"/>
          <w:color w:val="111111"/>
          <w:sz w:val="28"/>
          <w:szCs w:val="28"/>
          <w:lang w:val="en-US"/>
        </w:rPr>
        <w:t>1 Imam Khomeini, Syarh Du'a' Al-Sahr, hlm. 212-213.</w:t>
      </w:r>
    </w:p>
    <w:p>
      <w:pPr>
        <w:pStyle w:val="BookText"/>
        <w:bidi w:val="0"/>
        <w:jc w:val="both"/>
        <w:rPr/>
      </w:pPr>
      <w:r>
        <w:rPr>
          <w:rFonts w:eastAsia="Times New Roman" w:cs="Times New Roman" w:ascii="Times New Roman" w:hAnsi="Times New Roman"/>
          <w:color w:val="111111"/>
          <w:sz w:val="28"/>
          <w:szCs w:val="28"/>
          <w:lang w:val="en-US"/>
        </w:rPr>
        <w:t>2 Imam Khomeini, Syarh Du'a' Al-Sahr, hlm. 174.</w:t>
      </w:r>
    </w:p>
    <w:p>
      <w:pPr>
        <w:pStyle w:val="BookText"/>
        <w:bidi w:val="0"/>
        <w:jc w:val="both"/>
        <w:rPr/>
      </w:pPr>
      <w:r>
        <w:rPr>
          <w:rFonts w:eastAsia="Times New Roman" w:cs="Times New Roman" w:ascii="Times New Roman" w:hAnsi="Times New Roman"/>
          <w:color w:val="111111"/>
          <w:sz w:val="28"/>
          <w:szCs w:val="28"/>
          <w:lang w:val="en-US"/>
        </w:rPr>
        <w:t>3 Imam Khomeini, Ādab Al-Shalāh, hlm. 312.</w:t>
      </w:r>
    </w:p>
    <w:p>
      <w:pPr>
        <w:pStyle w:val="BookText"/>
        <w:bidi w:val="0"/>
        <w:jc w:val="both"/>
        <w:rPr/>
      </w:pPr>
      <w:r>
        <w:rPr>
          <w:rFonts w:eastAsia="Times New Roman" w:cs="Times New Roman" w:ascii="Times New Roman" w:hAnsi="Times New Roman"/>
          <w:color w:val="111111"/>
          <w:sz w:val="28"/>
          <w:szCs w:val="28"/>
          <w:lang w:val="en-US"/>
        </w:rPr>
        <w:t>4 Imam Khomeini, Ādāb Al-Shalāh, hlm. 312-313.</w:t>
      </w:r>
    </w:p>
    <w:p>
      <w:pPr>
        <w:pStyle w:val="BookText"/>
        <w:bidi w:val="0"/>
        <w:jc w:val="both"/>
        <w:rPr/>
      </w:pPr>
      <w:r>
        <w:rPr>
          <w:rFonts w:eastAsia="Times New Roman" w:cs="Times New Roman" w:ascii="Times New Roman" w:hAnsi="Times New Roman"/>
          <w:color w:val="111111"/>
          <w:sz w:val="28"/>
          <w:szCs w:val="28"/>
          <w:lang w:val="en-US"/>
        </w:rPr>
        <w:t>5 Imam Khomeini, Syarh Du'a' Al-Sahr, hlm. 94-95.</w:t>
      </w:r>
    </w:p>
    <w:p>
      <w:pPr>
        <w:pStyle w:val="BookText"/>
        <w:bidi w:val="0"/>
        <w:jc w:val="both"/>
        <w:rPr/>
      </w:pPr>
      <w:r>
        <w:rPr>
          <w:rFonts w:eastAsia="Times New Roman" w:cs="Times New Roman" w:ascii="Times New Roman" w:hAnsi="Times New Roman"/>
          <w:color w:val="111111"/>
          <w:sz w:val="28"/>
          <w:szCs w:val="28"/>
          <w:lang w:val="en-US"/>
        </w:rPr>
        <w:t>6 Imam Khomeini, Syarh Du'a' Al-Sahr, hlm. 95.</w:t>
      </w:r>
    </w:p>
    <w:p>
      <w:pPr>
        <w:pStyle w:val="BookText"/>
        <w:bidi w:val="0"/>
        <w:jc w:val="both"/>
        <w:rPr/>
      </w:pPr>
      <w:r>
        <w:rPr>
          <w:rFonts w:eastAsia="Times New Roman" w:cs="Times New Roman" w:ascii="Times New Roman" w:hAnsi="Times New Roman"/>
          <w:color w:val="111111"/>
          <w:sz w:val="28"/>
          <w:szCs w:val="28"/>
          <w:lang w:val="en-US"/>
        </w:rPr>
        <w:t>7 Imam Khomeini, Syarh Duſā' Al-Sahr, hlm. 94.</w:t>
      </w:r>
    </w:p>
    <w:p>
      <w:pPr>
        <w:pStyle w:val="BookText"/>
        <w:bidi w:val="0"/>
        <w:jc w:val="both"/>
        <w:rPr/>
      </w:pPr>
      <w:r>
        <w:rPr>
          <w:rFonts w:eastAsia="Times New Roman" w:cs="Times New Roman" w:ascii="Times New Roman" w:hAnsi="Times New Roman"/>
          <w:color w:val="111111"/>
          <w:sz w:val="28"/>
          <w:szCs w:val="28"/>
          <w:lang w:val="en-US"/>
        </w:rPr>
        <w:t>8 Imam Khomeini, Ādāb Al-Shalāh, hlm. 290– 291.</w:t>
      </w:r>
    </w:p>
    <w:p>
      <w:pPr>
        <w:pStyle w:val="BookText"/>
        <w:bidi w:val="0"/>
        <w:jc w:val="both"/>
        <w:rPr/>
      </w:pPr>
      <w:r>
        <w:rPr>
          <w:rFonts w:eastAsia="Times New Roman" w:cs="Times New Roman" w:ascii="Times New Roman" w:hAnsi="Times New Roman"/>
          <w:color w:val="111111"/>
          <w:sz w:val="28"/>
          <w:szCs w:val="28"/>
          <w:lang w:val="en-US"/>
        </w:rPr>
        <w:t>9 Imam Khomeini, Syarh Du'a' Al-Sahr, hlm. 96-97.</w:t>
      </w:r>
    </w:p>
    <w:p>
      <w:pPr>
        <w:pStyle w:val="BookText"/>
        <w:bidi w:val="0"/>
        <w:jc w:val="both"/>
        <w:rPr/>
      </w:pPr>
      <w:r>
        <w:rPr>
          <w:rFonts w:eastAsia="Times New Roman" w:cs="Times New Roman" w:ascii="Times New Roman" w:hAnsi="Times New Roman"/>
          <w:color w:val="111111"/>
          <w:sz w:val="28"/>
          <w:szCs w:val="28"/>
          <w:lang w:val="en-US"/>
        </w:rPr>
        <w:t>10 Diwan Syaikh Bahā'i.</w:t>
      </w:r>
    </w:p>
    <w:p>
      <w:pPr>
        <w:pStyle w:val="BookText"/>
        <w:bidi w:val="0"/>
        <w:jc w:val="both"/>
        <w:rPr/>
      </w:pPr>
      <w:r>
        <w:rPr>
          <w:rFonts w:eastAsia="Times New Roman" w:cs="Times New Roman" w:ascii="Times New Roman" w:hAnsi="Times New Roman"/>
          <w:color w:val="111111"/>
          <w:sz w:val="28"/>
          <w:szCs w:val="28"/>
          <w:lang w:val="en-US"/>
        </w:rPr>
        <w:t>11 Imam Khomeini, Syarh Du'a' Al-Sahr, hlm. 96.</w:t>
      </w:r>
    </w:p>
    <w:p>
      <w:pPr>
        <w:pStyle w:val="BookText"/>
        <w:bidi w:val="0"/>
        <w:jc w:val="both"/>
        <w:rPr/>
      </w:pPr>
      <w:r>
        <w:rPr>
          <w:rFonts w:eastAsia="Times New Roman" w:cs="Times New Roman" w:ascii="Times New Roman" w:hAnsi="Times New Roman"/>
          <w:color w:val="111111"/>
          <w:sz w:val="28"/>
          <w:szCs w:val="28"/>
          <w:lang w:val="en-US"/>
        </w:rPr>
        <w:t>12 Imam Khomeini, Tafsir Sūre-e Hamd, hlm. 136.</w:t>
      </w:r>
    </w:p>
    <w:p>
      <w:pPr>
        <w:pStyle w:val="BookText"/>
        <w:bidi w:val="0"/>
        <w:jc w:val="both"/>
        <w:rPr/>
      </w:pPr>
      <w:r>
        <w:rPr>
          <w:rFonts w:eastAsia="Times New Roman" w:cs="Times New Roman" w:ascii="Times New Roman" w:hAnsi="Times New Roman"/>
          <w:color w:val="111111"/>
          <w:sz w:val="28"/>
          <w:szCs w:val="28"/>
          <w:lang w:val="en-US"/>
        </w:rPr>
        <w:t>13 QS Al-Ghāsyiyah: 17.</w:t>
      </w:r>
    </w:p>
    <w:p>
      <w:pPr>
        <w:pStyle w:val="BookText"/>
        <w:bidi w:val="0"/>
        <w:jc w:val="both"/>
        <w:rPr/>
      </w:pPr>
      <w:r>
        <w:rPr>
          <w:rFonts w:eastAsia="Times New Roman" w:cs="Times New Roman" w:ascii="Times New Roman" w:hAnsi="Times New Roman"/>
          <w:color w:val="111111"/>
          <w:sz w:val="28"/>
          <w:szCs w:val="28"/>
          <w:lang w:val="en-US"/>
        </w:rPr>
        <w:t>14 QS Al-Ghāsyiyah: 17.</w:t>
      </w:r>
    </w:p>
    <w:p>
      <w:pPr>
        <w:pStyle w:val="BookText"/>
        <w:bidi w:val="0"/>
        <w:jc w:val="both"/>
        <w:rPr/>
      </w:pPr>
      <w:r>
        <w:rPr>
          <w:rFonts w:eastAsia="Times New Roman" w:cs="Times New Roman" w:ascii="Times New Roman" w:hAnsi="Times New Roman"/>
          <w:color w:val="111111"/>
          <w:sz w:val="28"/>
          <w:szCs w:val="28"/>
          <w:lang w:val="en-US"/>
        </w:rPr>
        <w:t>15 Imam Khomeini, Tafsir Sūre-e Hamd, hlm. 136.</w:t>
      </w:r>
    </w:p>
    <w:p>
      <w:pPr>
        <w:pStyle w:val="BookText"/>
        <w:bidi w:val="0"/>
        <w:jc w:val="both"/>
        <w:rPr/>
      </w:pPr>
      <w:r>
        <w:rPr>
          <w:rFonts w:eastAsia="Times New Roman" w:cs="Times New Roman" w:ascii="Times New Roman" w:hAnsi="Times New Roman"/>
          <w:color w:val="111111"/>
          <w:sz w:val="28"/>
          <w:szCs w:val="28"/>
          <w:lang w:val="en-US"/>
        </w:rPr>
        <w:t>16 Imam Khomeini, Tafsir Süre-e Hamd, hlm. 139–140.</w:t>
      </w:r>
    </w:p>
    <w:p>
      <w:pPr>
        <w:pStyle w:val="BookText"/>
        <w:bidi w:val="0"/>
        <w:jc w:val="both"/>
        <w:rPr/>
      </w:pPr>
      <w:r>
        <w:rPr>
          <w:rFonts w:eastAsia="Times New Roman" w:cs="Times New Roman" w:ascii="Times New Roman" w:hAnsi="Times New Roman"/>
          <w:color w:val="111111"/>
          <w:sz w:val="28"/>
          <w:szCs w:val="28"/>
          <w:lang w:val="en-US"/>
        </w:rPr>
        <w:t>17 Imam Khomeini, Tafsir Sūre-e Hamd, hlm. 145.</w:t>
      </w:r>
    </w:p>
    <w:p>
      <w:pPr>
        <w:pStyle w:val="BookText"/>
        <w:bidi w:val="0"/>
        <w:jc w:val="both"/>
        <w:rPr/>
      </w:pPr>
      <w:r>
        <w:rPr>
          <w:rFonts w:eastAsia="Times New Roman" w:cs="Times New Roman" w:ascii="Times New Roman" w:hAnsi="Times New Roman"/>
          <w:color w:val="111111"/>
          <w:sz w:val="28"/>
          <w:szCs w:val="28"/>
          <w:lang w:val="en-US"/>
        </w:rPr>
        <w:t>18 Imam Khomeini, Tafsir Sūre-e Hamd, hlm. 164, dan Imam</w:t>
      </w:r>
    </w:p>
    <w:p>
      <w:pPr>
        <w:pStyle w:val="BookText"/>
        <w:bidi w:val="0"/>
        <w:jc w:val="both"/>
        <w:rPr/>
      </w:pPr>
      <w:r>
        <w:rPr>
          <w:rFonts w:eastAsia="Times New Roman" w:cs="Times New Roman" w:ascii="Times New Roman" w:hAnsi="Times New Roman"/>
          <w:color w:val="111111"/>
          <w:sz w:val="28"/>
          <w:szCs w:val="28"/>
          <w:lang w:val="en-US"/>
        </w:rPr>
        <w:t>Khomeini, Sirr Al-Shalāh, hlm. 42–43.</w:t>
      </w:r>
    </w:p>
    <w:p>
      <w:pPr>
        <w:pStyle w:val="BookText"/>
        <w:bidi w:val="0"/>
        <w:jc w:val="both"/>
        <w:rPr/>
      </w:pPr>
      <w:r>
        <w:rPr>
          <w:rFonts w:eastAsia="Times New Roman" w:cs="Times New Roman" w:ascii="Times New Roman" w:hAnsi="Times New Roman"/>
          <w:color w:val="111111"/>
          <w:sz w:val="28"/>
          <w:szCs w:val="28"/>
          <w:lang w:val="en-US"/>
        </w:rPr>
        <w:t>19 Imam Khomeini, Sirr Al-Shalāh, hlm. 164.</w:t>
      </w:r>
    </w:p>
    <w:p>
      <w:pPr>
        <w:pStyle w:val="BookText"/>
        <w:bidi w:val="0"/>
        <w:jc w:val="both"/>
        <w:rPr/>
      </w:pPr>
      <w:r>
        <w:rPr>
          <w:rFonts w:eastAsia="Times New Roman" w:cs="Times New Roman" w:ascii="Times New Roman" w:hAnsi="Times New Roman"/>
          <w:color w:val="111111"/>
          <w:sz w:val="28"/>
          <w:szCs w:val="28"/>
          <w:lang w:val="en-US"/>
        </w:rPr>
        <w:t>20 Imam Khomeini, Ādab Al-Shalāh, hlm. 185.</w:t>
      </w:r>
    </w:p>
    <w:p>
      <w:pPr>
        <w:pStyle w:val="BookText"/>
        <w:bidi w:val="0"/>
        <w:jc w:val="both"/>
        <w:rPr/>
      </w:pPr>
      <w:r>
        <w:rPr>
          <w:rFonts w:eastAsia="Times New Roman" w:cs="Times New Roman" w:ascii="Times New Roman" w:hAnsi="Times New Roman"/>
          <w:color w:val="111111"/>
          <w:sz w:val="28"/>
          <w:szCs w:val="28"/>
          <w:lang w:val="en-US"/>
        </w:rPr>
        <w:t>21 Imam Khomeini, Ādāb Al-Shalāh, hlm. 185.</w:t>
      </w:r>
    </w:p>
    <w:p>
      <w:pPr>
        <w:pStyle w:val="BookText"/>
        <w:bidi w:val="0"/>
        <w:jc w:val="both"/>
        <w:rPr/>
      </w:pPr>
      <w:r>
        <w:rPr>
          <w:rFonts w:eastAsia="Times New Roman" w:cs="Times New Roman" w:ascii="Times New Roman" w:hAnsi="Times New Roman"/>
          <w:color w:val="111111"/>
          <w:sz w:val="28"/>
          <w:szCs w:val="28"/>
          <w:lang w:val="en-US"/>
        </w:rPr>
        <w:t>22 Imam Khomeini, Ādab Al-Shalah, hlm. 188.</w:t>
      </w:r>
    </w:p>
    <w:p>
      <w:pPr>
        <w:pStyle w:val="BookText"/>
        <w:bidi w:val="0"/>
        <w:jc w:val="both"/>
        <w:rPr/>
      </w:pPr>
      <w:r>
        <w:rPr>
          <w:rFonts w:eastAsia="Times New Roman" w:cs="Times New Roman" w:ascii="Times New Roman" w:hAnsi="Times New Roman"/>
          <w:color w:val="111111"/>
          <w:sz w:val="28"/>
          <w:szCs w:val="28"/>
          <w:lang w:val="en-US"/>
        </w:rPr>
        <w:t>23 QS Al-An'ām: 76.</w:t>
      </w:r>
    </w:p>
    <w:p>
      <w:pPr>
        <w:pStyle w:val="BookText"/>
        <w:bidi w:val="0"/>
        <w:jc w:val="both"/>
        <w:rPr/>
      </w:pPr>
      <w:r>
        <w:rPr>
          <w:rFonts w:eastAsia="Times New Roman" w:cs="Times New Roman" w:ascii="Times New Roman" w:hAnsi="Times New Roman"/>
          <w:color w:val="111111"/>
          <w:sz w:val="28"/>
          <w:szCs w:val="28"/>
          <w:lang w:val="en-US"/>
        </w:rPr>
        <w:t>24 Imam Khomeini, Ādab Al-Shalāh, hlm. 79.</w:t>
      </w:r>
    </w:p>
    <w:p>
      <w:pPr>
        <w:pStyle w:val="BookText"/>
        <w:bidi w:val="0"/>
        <w:jc w:val="both"/>
        <w:rPr/>
      </w:pPr>
      <w:r>
        <w:rPr>
          <w:rFonts w:eastAsia="Times New Roman" w:cs="Times New Roman" w:ascii="Times New Roman" w:hAnsi="Times New Roman"/>
          <w:color w:val="111111"/>
          <w:sz w:val="28"/>
          <w:szCs w:val="28"/>
          <w:lang w:val="en-US"/>
        </w:rPr>
        <w:t>25 Imam Khomeini, Ādab Al-Shalah, hlm. 188.</w:t>
      </w:r>
    </w:p>
    <w:p>
      <w:pPr>
        <w:pStyle w:val="BookText"/>
        <w:bidi w:val="0"/>
        <w:jc w:val="both"/>
        <w:rPr/>
      </w:pPr>
      <w:r>
        <w:rPr>
          <w:rFonts w:eastAsia="Times New Roman" w:cs="Times New Roman" w:ascii="Times New Roman" w:hAnsi="Times New Roman"/>
          <w:color w:val="111111"/>
          <w:sz w:val="28"/>
          <w:szCs w:val="28"/>
          <w:lang w:val="en-US"/>
        </w:rPr>
        <w:t>26 Imam Khomeini, Ādab Al-Shalah, hlm. 251.</w:t>
      </w:r>
    </w:p>
    <w:p>
      <w:pPr>
        <w:pStyle w:val="BookText"/>
        <w:bidi w:val="0"/>
        <w:jc w:val="both"/>
        <w:rPr/>
      </w:pPr>
      <w:r>
        <w:rPr>
          <w:rFonts w:eastAsia="Times New Roman" w:cs="Times New Roman" w:ascii="Times New Roman" w:hAnsi="Times New Roman"/>
          <w:color w:val="111111"/>
          <w:sz w:val="28"/>
          <w:szCs w:val="28"/>
          <w:lang w:val="en-US"/>
        </w:rPr>
        <w:t>27 Imam Khomeini, Ādāb Al-Shalāh, hlm. 252.</w:t>
      </w:r>
    </w:p>
    <w:p>
      <w:pPr>
        <w:pStyle w:val="BookText"/>
        <w:bidi w:val="0"/>
        <w:jc w:val="both"/>
        <w:rPr/>
      </w:pPr>
      <w:r>
        <w:rPr>
          <w:rFonts w:eastAsia="Times New Roman" w:cs="Times New Roman" w:ascii="Times New Roman" w:hAnsi="Times New Roman"/>
          <w:color w:val="111111"/>
          <w:sz w:val="28"/>
          <w:szCs w:val="28"/>
          <w:lang w:val="en-US"/>
        </w:rPr>
        <w:t>28 Imam Khomeini, Ādab Al-Shalāh, hlm. 253</w:t>
      </w:r>
    </w:p>
    <w:p>
      <w:pPr>
        <w:pStyle w:val="BookText"/>
        <w:bidi w:val="0"/>
        <w:jc w:val="both"/>
        <w:rPr/>
      </w:pPr>
      <w:r>
        <w:rPr>
          <w:rFonts w:eastAsia="Times New Roman" w:cs="Times New Roman" w:ascii="Times New Roman" w:hAnsi="Times New Roman"/>
          <w:color w:val="111111"/>
          <w:sz w:val="28"/>
          <w:szCs w:val="28"/>
          <w:lang w:val="en-US"/>
        </w:rPr>
        <w:t>29 Imam Khomeini, Ādab Al-Shalāh, hlm. 255.</w:t>
      </w:r>
    </w:p>
    <w:p>
      <w:pPr>
        <w:pStyle w:val="BookText"/>
        <w:bidi w:val="0"/>
        <w:jc w:val="both"/>
        <w:rPr/>
      </w:pPr>
      <w:r>
        <w:rPr>
          <w:rFonts w:eastAsia="Times New Roman" w:cs="Times New Roman" w:ascii="Times New Roman" w:hAnsi="Times New Roman"/>
          <w:color w:val="111111"/>
          <w:sz w:val="28"/>
          <w:szCs w:val="28"/>
          <w:lang w:val="en-US"/>
        </w:rPr>
        <w:t>30 Imam Khomeini, Ādāb Al-Shalāh, hlm. 255.</w:t>
      </w:r>
    </w:p>
    <w:p>
      <w:pPr>
        <w:pStyle w:val="BookText"/>
        <w:bidi w:val="0"/>
        <w:jc w:val="both"/>
        <w:rPr/>
      </w:pPr>
      <w:r>
        <w:rPr>
          <w:rFonts w:eastAsia="Times New Roman" w:cs="Times New Roman" w:ascii="Times New Roman" w:hAnsi="Times New Roman"/>
          <w:color w:val="111111"/>
          <w:sz w:val="28"/>
          <w:szCs w:val="28"/>
          <w:lang w:val="en-US"/>
        </w:rPr>
        <w:t>31 Imam Khomeini, Ādab Al-Shalāh., hlm. 256.</w:t>
      </w:r>
    </w:p>
    <w:p>
      <w:pPr>
        <w:pStyle w:val="BookText"/>
        <w:bidi w:val="0"/>
        <w:jc w:val="both"/>
        <w:rPr/>
      </w:pPr>
      <w:r>
        <w:rPr>
          <w:rFonts w:eastAsia="Times New Roman" w:cs="Times New Roman" w:ascii="Times New Roman" w:hAnsi="Times New Roman"/>
          <w:color w:val="111111"/>
          <w:sz w:val="28"/>
          <w:szCs w:val="28"/>
          <w:lang w:val="en-US"/>
        </w:rPr>
        <w:t>32 Imam Khomeini, Ādab Al-Shalāh., hlm. 301 – 302.</w:t>
      </w:r>
    </w:p>
    <w:p>
      <w:pPr>
        <w:pStyle w:val="BookText"/>
        <w:bidi w:val="0"/>
        <w:jc w:val="both"/>
        <w:rPr/>
      </w:pPr>
      <w:r>
        <w:rPr>
          <w:rFonts w:eastAsia="Times New Roman" w:cs="Times New Roman" w:ascii="Times New Roman" w:hAnsi="Times New Roman"/>
          <w:color w:val="111111"/>
          <w:sz w:val="28"/>
          <w:szCs w:val="28"/>
          <w:lang w:val="en-US"/>
        </w:rPr>
        <w:t>33 Imam Khomeini, Ādab Al-Shalāh., hlm. 302-302.</w:t>
      </w:r>
    </w:p>
    <w:p>
      <w:pPr>
        <w:pStyle w:val="BookText"/>
        <w:bidi w:val="0"/>
        <w:jc w:val="both"/>
        <w:rPr/>
      </w:pPr>
      <w:r>
        <w:rPr>
          <w:rFonts w:eastAsia="Times New Roman" w:cs="Times New Roman" w:ascii="Times New Roman" w:hAnsi="Times New Roman"/>
          <w:color w:val="111111"/>
          <w:sz w:val="28"/>
          <w:szCs w:val="28"/>
          <w:lang w:val="en-US"/>
        </w:rPr>
        <w:t>34 QS Al-Hadid: 3.</w:t>
      </w:r>
    </w:p>
    <w:p>
      <w:pPr>
        <w:pStyle w:val="BookText"/>
        <w:bidi w:val="0"/>
        <w:jc w:val="both"/>
        <w:rPr/>
      </w:pPr>
      <w:r>
        <w:rPr>
          <w:rFonts w:eastAsia="Times New Roman" w:cs="Times New Roman" w:ascii="Times New Roman" w:hAnsi="Times New Roman"/>
          <w:color w:val="111111"/>
          <w:sz w:val="28"/>
          <w:szCs w:val="28"/>
          <w:lang w:val="en-US"/>
        </w:rPr>
        <w:t>35 QS Al-Hadid: 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 Imam Khomeini, Ādāb Al-Shalāh, hlm. 304. </w:t>
      </w:r>
    </w:p>
    <w:p>
      <w:pPr>
        <w:pStyle w:val="BookText"/>
        <w:bidi w:val="0"/>
        <w:rPr/>
      </w:pPr>
      <w:r>
        <w:rPr>
          <w:rFonts w:eastAsia="Times New Roman" w:cs="Times New Roman" w:ascii="Times New Roman" w:hAnsi="Times New Roman"/>
          <w:color w:val="111111"/>
          <w:sz w:val="28"/>
          <w:szCs w:val="28"/>
          <w:lang w:val="en-US"/>
        </w:rPr>
        <w:t>37 QS Al-An'ām: 90.</w:t>
      </w:r>
    </w:p>
    <w:p>
      <w:pPr>
        <w:pStyle w:val="BookText"/>
        <w:bidi w:val="0"/>
        <w:jc w:val="both"/>
        <w:rPr/>
      </w:pPr>
      <w:r>
        <w:rPr>
          <w:rFonts w:eastAsia="Times New Roman" w:cs="Times New Roman" w:ascii="Times New Roman" w:hAnsi="Times New Roman"/>
          <w:color w:val="111111"/>
          <w:sz w:val="28"/>
          <w:szCs w:val="28"/>
          <w:lang w:val="en-US"/>
        </w:rPr>
        <w:t>38 Imam Khomeini, Ādāb Al-Shalāh, hlm. 285.</w:t>
      </w:r>
    </w:p>
    <w:p>
      <w:pPr>
        <w:pStyle w:val="BookText"/>
        <w:bidi w:val="0"/>
        <w:jc w:val="both"/>
        <w:rPr/>
      </w:pPr>
      <w:r>
        <w:rPr>
          <w:rFonts w:eastAsia="Times New Roman" w:cs="Times New Roman" w:ascii="Times New Roman" w:hAnsi="Times New Roman"/>
          <w:color w:val="111111"/>
          <w:sz w:val="28"/>
          <w:szCs w:val="28"/>
          <w:lang w:val="en-US"/>
        </w:rPr>
        <w:t>39 mam Khomeini, Ādab Al-Shalah, hlm. 320.</w:t>
      </w:r>
    </w:p>
    <w:p>
      <w:pPr>
        <w:pStyle w:val="BookText"/>
        <w:bidi w:val="0"/>
        <w:jc w:val="both"/>
        <w:rPr/>
      </w:pPr>
      <w:r>
        <w:rPr>
          <w:rFonts w:eastAsia="Times New Roman" w:cs="Times New Roman" w:ascii="Times New Roman" w:hAnsi="Times New Roman"/>
          <w:color w:val="111111"/>
          <w:sz w:val="28"/>
          <w:szCs w:val="28"/>
          <w:lang w:val="en-US"/>
        </w:rPr>
        <w:t>40 QS Al-Anfāl: 17.</w:t>
      </w:r>
    </w:p>
    <w:p>
      <w:pPr>
        <w:pStyle w:val="BookText"/>
        <w:bidi w:val="0"/>
        <w:jc w:val="both"/>
        <w:rPr/>
      </w:pPr>
      <w:r>
        <w:rPr>
          <w:rFonts w:eastAsia="Times New Roman" w:cs="Times New Roman" w:ascii="Times New Roman" w:hAnsi="Times New Roman"/>
          <w:color w:val="111111"/>
          <w:sz w:val="28"/>
          <w:szCs w:val="28"/>
          <w:lang w:val="en-US"/>
        </w:rPr>
        <w:t>41 Imam Khomeini, Ādāb Al-Shalāh, hlm. 320.</w:t>
      </w:r>
    </w:p>
    <w:p>
      <w:pPr>
        <w:pStyle w:val="BookText"/>
        <w:bidi w:val="0"/>
        <w:jc w:val="both"/>
        <w:rPr/>
      </w:pPr>
      <w:r>
        <w:rPr>
          <w:rFonts w:eastAsia="Times New Roman" w:cs="Times New Roman" w:ascii="Times New Roman" w:hAnsi="Times New Roman"/>
          <w:color w:val="111111"/>
          <w:sz w:val="28"/>
          <w:szCs w:val="28"/>
          <w:lang w:val="en-US"/>
        </w:rPr>
        <w:t>42 Imam Khomeini, Ādab Al-Shalāh, hlm. 320.</w:t>
      </w:r>
    </w:p>
    <w:p>
      <w:pPr>
        <w:pStyle w:val="BookText"/>
        <w:bidi w:val="0"/>
        <w:jc w:val="both"/>
        <w:rPr/>
      </w:pPr>
      <w:r>
        <w:rPr>
          <w:rFonts w:eastAsia="Times New Roman" w:cs="Times New Roman" w:ascii="Times New Roman" w:hAnsi="Times New Roman"/>
          <w:color w:val="111111"/>
          <w:sz w:val="28"/>
          <w:szCs w:val="28"/>
          <w:lang w:val="en-US"/>
        </w:rPr>
        <w:t>43 Imam Khomeini, Ādab Al-Shalāh, hlm. 320.</w:t>
      </w:r>
    </w:p>
    <w:p>
      <w:pPr>
        <w:pStyle w:val="BookText"/>
        <w:bidi w:val="0"/>
        <w:jc w:val="both"/>
        <w:rPr/>
      </w:pPr>
      <w:r>
        <w:rPr>
          <w:rFonts w:eastAsia="Times New Roman" w:cs="Times New Roman" w:ascii="Times New Roman" w:hAnsi="Times New Roman"/>
          <w:color w:val="111111"/>
          <w:sz w:val="28"/>
          <w:szCs w:val="28"/>
          <w:lang w:val="en-US"/>
        </w:rPr>
        <w:t>44 Imam Khomeini, Ādāb Al-Shalāh, hlm. 22.</w:t>
      </w:r>
    </w:p>
    <w:p>
      <w:pPr>
        <w:pStyle w:val="BookText"/>
        <w:bidi w:val="0"/>
        <w:jc w:val="both"/>
        <w:rPr/>
      </w:pPr>
      <w:r>
        <w:rPr>
          <w:rFonts w:eastAsia="Times New Roman" w:cs="Times New Roman" w:ascii="Times New Roman" w:hAnsi="Times New Roman"/>
          <w:color w:val="111111"/>
          <w:sz w:val="28"/>
          <w:szCs w:val="28"/>
          <w:lang w:val="en-US"/>
        </w:rPr>
        <w:t>45 Imam Khomeini, Ādab Al-Shalāh, hlm. 22.</w:t>
      </w:r>
    </w:p>
    <w:p>
      <w:pPr>
        <w:pStyle w:val="BookText"/>
        <w:bidi w:val="0"/>
        <w:jc w:val="both"/>
        <w:rPr/>
      </w:pPr>
      <w:r>
        <w:rPr>
          <w:rFonts w:eastAsia="Times New Roman" w:cs="Times New Roman" w:ascii="Times New Roman" w:hAnsi="Times New Roman"/>
          <w:color w:val="111111"/>
          <w:sz w:val="28"/>
          <w:szCs w:val="28"/>
          <w:lang w:val="en-US"/>
        </w:rPr>
        <w:t>46 Imam Khomeini, Ādāb Al-Shalāh, hlm. 16.</w:t>
      </w:r>
    </w:p>
    <w:p>
      <w:pPr>
        <w:pStyle w:val="BookText"/>
        <w:bidi w:val="0"/>
        <w:jc w:val="both"/>
        <w:rPr/>
      </w:pPr>
      <w:r>
        <w:rPr>
          <w:rFonts w:eastAsia="Times New Roman" w:cs="Times New Roman" w:ascii="Times New Roman" w:hAnsi="Times New Roman"/>
          <w:color w:val="111111"/>
          <w:sz w:val="28"/>
          <w:szCs w:val="28"/>
          <w:lang w:val="en-US"/>
        </w:rPr>
        <w:t>47 Imam Khomeini, Adab Al-Shalāh, hlm. 20.</w:t>
      </w:r>
    </w:p>
    <w:p>
      <w:pPr>
        <w:pStyle w:val="BookText"/>
        <w:bidi w:val="0"/>
        <w:jc w:val="both"/>
        <w:rPr/>
      </w:pPr>
      <w:r>
        <w:rPr>
          <w:rFonts w:eastAsia="Times New Roman" w:cs="Times New Roman" w:ascii="Times New Roman" w:hAnsi="Times New Roman"/>
          <w:color w:val="111111"/>
          <w:sz w:val="28"/>
          <w:szCs w:val="28"/>
          <w:lang w:val="en-US"/>
        </w:rPr>
        <w:t>48 Imam Khomeini, Ādab Al-Shalāh, hlm. 22.</w:t>
      </w:r>
    </w:p>
    <w:p>
      <w:pPr>
        <w:pStyle w:val="BookText"/>
        <w:bidi w:val="0"/>
        <w:jc w:val="both"/>
        <w:rPr/>
      </w:pPr>
      <w:r>
        <w:rPr>
          <w:rFonts w:eastAsia="Times New Roman" w:cs="Times New Roman" w:ascii="Times New Roman" w:hAnsi="Times New Roman"/>
          <w:color w:val="111111"/>
          <w:sz w:val="28"/>
          <w:szCs w:val="28"/>
          <w:lang w:val="en-US"/>
        </w:rPr>
        <w:t>49 Imam Khomeini, Adab Al-Shalāh, hlm. 23.</w:t>
      </w:r>
    </w:p>
    <w:p>
      <w:pPr>
        <w:pStyle w:val="BookText"/>
        <w:bidi w:val="0"/>
        <w:jc w:val="both"/>
        <w:rPr/>
      </w:pPr>
      <w:r>
        <w:rPr>
          <w:rFonts w:eastAsia="Times New Roman" w:cs="Times New Roman" w:ascii="Times New Roman" w:hAnsi="Times New Roman"/>
          <w:color w:val="111111"/>
          <w:sz w:val="28"/>
          <w:szCs w:val="28"/>
          <w:lang w:val="en-US"/>
        </w:rPr>
        <w:t>50 Imam Khomeini, Ādab Al-Shalāh, hlm. 23.</w:t>
      </w:r>
    </w:p>
    <w:p>
      <w:pPr>
        <w:pStyle w:val="BookText"/>
        <w:bidi w:val="0"/>
        <w:jc w:val="both"/>
        <w:rPr/>
      </w:pPr>
      <w:r>
        <w:rPr>
          <w:rFonts w:eastAsia="Times New Roman" w:cs="Times New Roman" w:ascii="Times New Roman" w:hAnsi="Times New Roman"/>
          <w:color w:val="111111"/>
          <w:sz w:val="28"/>
          <w:szCs w:val="28"/>
          <w:lang w:val="en-US"/>
        </w:rPr>
        <w:t>51 Imam Khomeini, Ādab Al-Shalāh, hlm. 23.</w:t>
      </w:r>
    </w:p>
    <w:p>
      <w:pPr>
        <w:pStyle w:val="BookText"/>
        <w:bidi w:val="0"/>
        <w:jc w:val="both"/>
        <w:rPr/>
      </w:pPr>
      <w:r>
        <w:rPr>
          <w:rFonts w:eastAsia="Times New Roman" w:cs="Times New Roman" w:ascii="Times New Roman" w:hAnsi="Times New Roman"/>
          <w:color w:val="111111"/>
          <w:sz w:val="28"/>
          <w:szCs w:val="28"/>
          <w:lang w:val="en-US"/>
        </w:rPr>
        <w:t>52 Imam Khomeini, Ādab Al-Shalāh, hlm. 20.</w:t>
      </w:r>
    </w:p>
    <w:p>
      <w:pPr>
        <w:pStyle w:val="BookText"/>
        <w:bidi w:val="0"/>
        <w:jc w:val="both"/>
        <w:rPr/>
      </w:pPr>
      <w:r>
        <w:rPr>
          <w:rFonts w:eastAsia="Times New Roman" w:cs="Times New Roman" w:ascii="Times New Roman" w:hAnsi="Times New Roman"/>
          <w:color w:val="111111"/>
          <w:sz w:val="28"/>
          <w:szCs w:val="28"/>
          <w:lang w:val="en-US"/>
        </w:rPr>
        <w:t>53 Imam Khomeini, Ādab Al-Shalāh, hlm. 16.</w:t>
      </w:r>
    </w:p>
    <w:p>
      <w:pPr>
        <w:pStyle w:val="BookText"/>
        <w:bidi w:val="0"/>
        <w:jc w:val="both"/>
        <w:rPr/>
      </w:pPr>
      <w:r>
        <w:rPr>
          <w:rFonts w:eastAsia="Times New Roman" w:cs="Times New Roman" w:ascii="Times New Roman" w:hAnsi="Times New Roman"/>
          <w:color w:val="111111"/>
          <w:sz w:val="28"/>
          <w:szCs w:val="28"/>
          <w:lang w:val="en-US"/>
        </w:rPr>
        <w:t>54 Imam Khomeini, Ādab Al-Shalāh, hlm. 24.</w:t>
      </w:r>
    </w:p>
    <w:p>
      <w:pPr>
        <w:pStyle w:val="BookText"/>
        <w:bidi w:val="0"/>
        <w:jc w:val="both"/>
        <w:rPr/>
      </w:pPr>
      <w:r>
        <w:rPr>
          <w:rFonts w:eastAsia="Times New Roman" w:cs="Times New Roman" w:ascii="Times New Roman" w:hAnsi="Times New Roman"/>
          <w:color w:val="111111"/>
          <w:sz w:val="28"/>
          <w:szCs w:val="28"/>
          <w:lang w:val="en-US"/>
        </w:rPr>
        <w:t>55 Imam Khomeini, Ādab Al-Shalāh, hlm. 61.</w:t>
      </w:r>
    </w:p>
    <w:p>
      <w:pPr>
        <w:pStyle w:val="BookText"/>
        <w:bidi w:val="0"/>
        <w:jc w:val="both"/>
        <w:rPr/>
      </w:pPr>
      <w:r>
        <w:rPr>
          <w:rFonts w:eastAsia="Times New Roman" w:cs="Times New Roman" w:ascii="Times New Roman" w:hAnsi="Times New Roman"/>
          <w:color w:val="111111"/>
          <w:sz w:val="28"/>
          <w:szCs w:val="28"/>
          <w:lang w:val="en-US"/>
        </w:rPr>
        <w:t>56 Imam Khomeini, Adab Al-Shalāh, hlm. 64.</w:t>
      </w:r>
    </w:p>
    <w:p>
      <w:pPr>
        <w:pStyle w:val="BookText"/>
        <w:bidi w:val="0"/>
        <w:jc w:val="both"/>
        <w:rPr/>
      </w:pPr>
      <w:r>
        <w:rPr>
          <w:rFonts w:eastAsia="Times New Roman" w:cs="Times New Roman" w:ascii="Times New Roman" w:hAnsi="Times New Roman"/>
          <w:color w:val="111111"/>
          <w:sz w:val="28"/>
          <w:szCs w:val="28"/>
          <w:lang w:val="en-US"/>
        </w:rPr>
        <w:t>57 Imam Khomeini, Ādab Al-Shalāh, hlm. 63.</w:t>
      </w:r>
    </w:p>
    <w:p>
      <w:pPr>
        <w:pStyle w:val="BookText"/>
        <w:bidi w:val="0"/>
        <w:jc w:val="both"/>
        <w:rPr/>
      </w:pPr>
      <w:r>
        <w:rPr>
          <w:rFonts w:eastAsia="Times New Roman" w:cs="Times New Roman" w:ascii="Times New Roman" w:hAnsi="Times New Roman"/>
          <w:color w:val="111111"/>
          <w:sz w:val="28"/>
          <w:szCs w:val="28"/>
          <w:lang w:val="en-US"/>
        </w:rPr>
        <w:t>58 Imam Khomeini, Ādāb Al-Shalāh, hlm. 19.</w:t>
      </w:r>
    </w:p>
    <w:p>
      <w:pPr>
        <w:pStyle w:val="BookText"/>
        <w:bidi w:val="0"/>
        <w:jc w:val="both"/>
        <w:rPr/>
      </w:pPr>
      <w:r>
        <w:rPr>
          <w:rFonts w:eastAsia="Times New Roman" w:cs="Times New Roman" w:ascii="Times New Roman" w:hAnsi="Times New Roman"/>
          <w:color w:val="111111"/>
          <w:sz w:val="28"/>
          <w:szCs w:val="28"/>
          <w:lang w:val="en-US"/>
        </w:rPr>
        <w:t>59 Imam Khomeini, Ādab Al-Shalāh, hlm. 30.</w:t>
      </w:r>
    </w:p>
    <w:p>
      <w:pPr>
        <w:pStyle w:val="BookText"/>
        <w:bidi w:val="0"/>
        <w:jc w:val="both"/>
        <w:rPr/>
      </w:pPr>
      <w:r>
        <w:rPr>
          <w:rFonts w:eastAsia="Times New Roman" w:cs="Times New Roman" w:ascii="Times New Roman" w:hAnsi="Times New Roman"/>
          <w:color w:val="111111"/>
          <w:sz w:val="28"/>
          <w:szCs w:val="28"/>
          <w:lang w:val="en-US"/>
        </w:rPr>
        <w:t>60 QS At-Taubah: 72.</w:t>
      </w:r>
    </w:p>
    <w:p>
      <w:pPr>
        <w:pStyle w:val="BookText"/>
        <w:bidi w:val="0"/>
        <w:jc w:val="both"/>
        <w:rPr/>
      </w:pPr>
      <w:r>
        <w:rPr>
          <w:rFonts w:eastAsia="Times New Roman" w:cs="Times New Roman" w:ascii="Times New Roman" w:hAnsi="Times New Roman"/>
          <w:color w:val="111111"/>
          <w:sz w:val="28"/>
          <w:szCs w:val="28"/>
          <w:lang w:val="en-US"/>
        </w:rPr>
        <w:t>61 QS Al-Muthaffifin: 15.</w:t>
      </w:r>
    </w:p>
    <w:p>
      <w:pPr>
        <w:pStyle w:val="BookText"/>
        <w:bidi w:val="0"/>
        <w:jc w:val="both"/>
        <w:rPr/>
      </w:pPr>
      <w:r>
        <w:rPr>
          <w:rFonts w:eastAsia="Times New Roman" w:cs="Times New Roman" w:ascii="Times New Roman" w:hAnsi="Times New Roman"/>
          <w:color w:val="111111"/>
          <w:sz w:val="28"/>
          <w:szCs w:val="28"/>
          <w:lang w:val="en-US"/>
        </w:rPr>
        <w:t>62 Imam Khomeini, Ādāb Al-Shalāh, hlm. 33.</w:t>
      </w:r>
    </w:p>
    <w:p>
      <w:pPr>
        <w:pStyle w:val="BookText"/>
        <w:bidi w:val="0"/>
        <w:jc w:val="both"/>
        <w:rPr/>
      </w:pPr>
      <w:r>
        <w:rPr>
          <w:rFonts w:eastAsia="Times New Roman" w:cs="Times New Roman" w:ascii="Times New Roman" w:hAnsi="Times New Roman"/>
          <w:color w:val="111111"/>
          <w:sz w:val="28"/>
          <w:szCs w:val="28"/>
          <w:lang w:val="en-US"/>
        </w:rPr>
        <w:t>63 Imam Khomeini, Ādab Al-Shalāh, hlm. 139.</w:t>
      </w:r>
    </w:p>
    <w:p>
      <w:pPr>
        <w:pStyle w:val="BookText"/>
        <w:bidi w:val="0"/>
        <w:jc w:val="both"/>
        <w:rPr/>
      </w:pPr>
      <w:r>
        <w:rPr>
          <w:rFonts w:eastAsia="Times New Roman" w:cs="Times New Roman" w:ascii="Times New Roman" w:hAnsi="Times New Roman"/>
          <w:color w:val="111111"/>
          <w:sz w:val="28"/>
          <w:szCs w:val="28"/>
          <w:lang w:val="en-US"/>
        </w:rPr>
        <w:t>64 Imam Khomeini, Adab Al-Shalāh, hlm. 76.</w:t>
      </w:r>
    </w:p>
    <w:p>
      <w:pPr>
        <w:pStyle w:val="BookText"/>
        <w:bidi w:val="0"/>
        <w:jc w:val="both"/>
        <w:rPr/>
      </w:pPr>
      <w:r>
        <w:rPr>
          <w:rFonts w:eastAsia="Times New Roman" w:cs="Times New Roman" w:ascii="Times New Roman" w:hAnsi="Times New Roman"/>
          <w:color w:val="111111"/>
          <w:sz w:val="28"/>
          <w:szCs w:val="28"/>
          <w:lang w:val="en-US"/>
        </w:rPr>
        <w:t>65 Imam Khomeini, Ādāb Al-Shalāh, hlm. 28.</w:t>
      </w:r>
    </w:p>
    <w:p>
      <w:pPr>
        <w:pStyle w:val="BookText"/>
        <w:bidi w:val="0"/>
        <w:jc w:val="both"/>
        <w:rPr/>
      </w:pPr>
      <w:r>
        <w:rPr>
          <w:rFonts w:eastAsia="Times New Roman" w:cs="Times New Roman" w:ascii="Times New Roman" w:hAnsi="Times New Roman"/>
          <w:color w:val="111111"/>
          <w:sz w:val="28"/>
          <w:szCs w:val="28"/>
          <w:lang w:val="en-US"/>
        </w:rPr>
        <w:t>66 Imam Khomeini, Ādab Al-Shalāh, hlm. 126.</w:t>
      </w:r>
    </w:p>
    <w:p>
      <w:pPr>
        <w:pStyle w:val="BookText"/>
        <w:bidi w:val="0"/>
        <w:jc w:val="both"/>
        <w:rPr/>
      </w:pPr>
      <w:r>
        <w:rPr>
          <w:rFonts w:eastAsia="Times New Roman" w:cs="Times New Roman" w:ascii="Times New Roman" w:hAnsi="Times New Roman"/>
          <w:color w:val="111111"/>
          <w:sz w:val="28"/>
          <w:szCs w:val="28"/>
          <w:lang w:val="en-US"/>
        </w:rPr>
        <w:t>67 Imam Khomeini, Ādāb Al-Shalāh, hlm. 16.</w:t>
      </w:r>
    </w:p>
    <w:p>
      <w:pPr>
        <w:pStyle w:val="BookText"/>
        <w:bidi w:val="0"/>
        <w:jc w:val="both"/>
        <w:rPr/>
      </w:pPr>
      <w:r>
        <w:rPr>
          <w:rFonts w:eastAsia="Times New Roman" w:cs="Times New Roman" w:ascii="Times New Roman" w:hAnsi="Times New Roman"/>
          <w:color w:val="111111"/>
          <w:sz w:val="28"/>
          <w:szCs w:val="28"/>
          <w:lang w:val="en-US"/>
        </w:rPr>
        <w:t>68 Imam Khomeini, Ādāb Al-Shalāh, hlm. 127.</w:t>
      </w:r>
    </w:p>
    <w:p>
      <w:pPr>
        <w:pStyle w:val="BookText"/>
        <w:bidi w:val="0"/>
        <w:jc w:val="both"/>
        <w:rPr/>
      </w:pPr>
      <w:r>
        <w:rPr>
          <w:rFonts w:eastAsia="Times New Roman" w:cs="Times New Roman" w:ascii="Times New Roman" w:hAnsi="Times New Roman"/>
          <w:color w:val="111111"/>
          <w:sz w:val="28"/>
          <w:szCs w:val="28"/>
          <w:lang w:val="en-US"/>
        </w:rPr>
        <w:t>69 Imam Khomeini, Ādab Al-Shalāh, hlm. 75.</w:t>
      </w:r>
    </w:p>
    <w:p>
      <w:pPr>
        <w:pStyle w:val="BookText"/>
        <w:bidi w:val="0"/>
        <w:jc w:val="both"/>
        <w:rPr/>
      </w:pPr>
      <w:r>
        <w:rPr>
          <w:rFonts w:eastAsia="Times New Roman" w:cs="Times New Roman" w:ascii="Times New Roman" w:hAnsi="Times New Roman"/>
          <w:color w:val="111111"/>
          <w:sz w:val="28"/>
          <w:szCs w:val="28"/>
          <w:lang w:val="en-US"/>
        </w:rPr>
        <w:t>70 Imam Khomeini, Ādab Al-Shalāh, hlm. 138.</w:t>
      </w:r>
    </w:p>
    <w:p>
      <w:pPr>
        <w:pStyle w:val="BookText"/>
        <w:bidi w:val="0"/>
        <w:jc w:val="both"/>
        <w:rPr/>
      </w:pPr>
      <w:r>
        <w:rPr>
          <w:rFonts w:eastAsia="Times New Roman" w:cs="Times New Roman" w:ascii="Times New Roman" w:hAnsi="Times New Roman"/>
          <w:color w:val="111111"/>
          <w:sz w:val="28"/>
          <w:szCs w:val="28"/>
          <w:lang w:val="en-US"/>
        </w:rPr>
        <w:t>71 Imam Khomeini, Ādab Al-Shalāh, hlm. 144.</w:t>
      </w:r>
    </w:p>
    <w:p>
      <w:pPr>
        <w:pStyle w:val="BookText"/>
        <w:bidi w:val="0"/>
        <w:jc w:val="both"/>
        <w:rPr/>
      </w:pPr>
      <w:r>
        <w:rPr>
          <w:rFonts w:eastAsia="Times New Roman" w:cs="Times New Roman" w:ascii="Times New Roman" w:hAnsi="Times New Roman"/>
          <w:color w:val="111111"/>
          <w:sz w:val="28"/>
          <w:szCs w:val="28"/>
          <w:lang w:val="en-US"/>
        </w:rPr>
        <w:t>72 Imam Khomeini, Ādab Al-Shalāh, hlm. 20.</w:t>
      </w:r>
    </w:p>
    <w:p>
      <w:pPr>
        <w:pStyle w:val="BookText"/>
        <w:bidi w:val="0"/>
        <w:jc w:val="both"/>
        <w:rPr/>
      </w:pPr>
      <w:r>
        <w:rPr>
          <w:rFonts w:eastAsia="Times New Roman" w:cs="Times New Roman" w:ascii="Times New Roman" w:hAnsi="Times New Roman"/>
          <w:color w:val="111111"/>
          <w:sz w:val="28"/>
          <w:szCs w:val="28"/>
          <w:lang w:val="en-US"/>
        </w:rPr>
        <w:t>73 Imam Khomeini, Ādab Al-Shalāh, hlm. 17.</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74 Imam Khomeini, Ādāb Al-Shalāh, hlm. 139. </w:t>
      </w:r>
    </w:p>
    <w:p>
      <w:pPr>
        <w:pStyle w:val="BookText"/>
        <w:bidi w:val="0"/>
        <w:rPr/>
      </w:pPr>
      <w:r>
        <w:rPr>
          <w:rFonts w:eastAsia="Times New Roman" w:cs="Times New Roman" w:ascii="Times New Roman" w:hAnsi="Times New Roman"/>
          <w:color w:val="111111"/>
          <w:sz w:val="28"/>
          <w:szCs w:val="28"/>
          <w:lang w:val="en-US"/>
        </w:rPr>
        <w:t>75 Imam Khomeini, Ādab Al-Shalāh, hlm. 139.</w:t>
      </w:r>
    </w:p>
    <w:p>
      <w:pPr>
        <w:pStyle w:val="BookText"/>
        <w:bidi w:val="0"/>
        <w:jc w:val="both"/>
        <w:rPr/>
      </w:pPr>
      <w:r>
        <w:rPr>
          <w:rFonts w:eastAsia="Times New Roman" w:cs="Times New Roman" w:ascii="Times New Roman" w:hAnsi="Times New Roman"/>
          <w:color w:val="111111"/>
          <w:sz w:val="28"/>
          <w:szCs w:val="28"/>
          <w:lang w:val="en-US"/>
        </w:rPr>
        <w:t>76 Imam Khomeini, Ādab Al-Shalāh, hlm. 159-161.</w:t>
      </w:r>
    </w:p>
    <w:p>
      <w:pPr>
        <w:pStyle w:val="BookText"/>
        <w:bidi w:val="0"/>
        <w:jc w:val="both"/>
        <w:rPr/>
      </w:pPr>
      <w:r>
        <w:rPr>
          <w:rFonts w:eastAsia="Times New Roman" w:cs="Times New Roman" w:ascii="Times New Roman" w:hAnsi="Times New Roman"/>
          <w:color w:val="111111"/>
          <w:sz w:val="28"/>
          <w:szCs w:val="28"/>
          <w:lang w:val="en-US"/>
        </w:rPr>
        <w:t>77 Imam Khomeini, Ādab Al-Shalāh, hlm. 147.</w:t>
      </w:r>
    </w:p>
    <w:p>
      <w:pPr>
        <w:pStyle w:val="BookText"/>
        <w:bidi w:val="0"/>
        <w:jc w:val="both"/>
        <w:rPr/>
      </w:pPr>
      <w:r>
        <w:rPr>
          <w:rFonts w:eastAsia="Times New Roman" w:cs="Times New Roman" w:ascii="Times New Roman" w:hAnsi="Times New Roman"/>
          <w:color w:val="111111"/>
          <w:sz w:val="28"/>
          <w:szCs w:val="28"/>
          <w:lang w:val="en-US"/>
        </w:rPr>
        <w:t>78 Imam Khomeini, Ādab Al-Shalāh, hlm. 18.</w:t>
      </w:r>
    </w:p>
    <w:p>
      <w:pPr>
        <w:pStyle w:val="BookText"/>
        <w:bidi w:val="0"/>
        <w:jc w:val="both"/>
        <w:rPr/>
      </w:pPr>
      <w:r>
        <w:rPr>
          <w:rFonts w:eastAsia="Times New Roman" w:cs="Times New Roman" w:ascii="Times New Roman" w:hAnsi="Times New Roman"/>
          <w:color w:val="111111"/>
          <w:sz w:val="28"/>
          <w:szCs w:val="28"/>
          <w:lang w:val="en-US"/>
        </w:rPr>
        <w:t>79 Imam Khomeini, Ādab Al-Shalāh, hlm. 17.</w:t>
      </w:r>
    </w:p>
    <w:p>
      <w:pPr>
        <w:pStyle w:val="BookText"/>
        <w:bidi w:val="0"/>
        <w:jc w:val="both"/>
        <w:rPr/>
      </w:pPr>
      <w:r>
        <w:rPr>
          <w:rFonts w:eastAsia="Times New Roman" w:cs="Times New Roman" w:ascii="Times New Roman" w:hAnsi="Times New Roman"/>
          <w:color w:val="111111"/>
          <w:sz w:val="28"/>
          <w:szCs w:val="28"/>
          <w:lang w:val="en-US"/>
        </w:rPr>
        <w:t>80 Imam Khomeini, Ādab Al-Shalāh, hlm. 19.</w:t>
      </w:r>
    </w:p>
    <w:p>
      <w:pPr>
        <w:pStyle w:val="BookText"/>
        <w:bidi w:val="0"/>
        <w:jc w:val="both"/>
        <w:rPr/>
      </w:pPr>
      <w:r>
        <w:rPr>
          <w:rFonts w:eastAsia="Times New Roman" w:cs="Times New Roman" w:ascii="Times New Roman" w:hAnsi="Times New Roman"/>
          <w:color w:val="111111"/>
          <w:sz w:val="28"/>
          <w:szCs w:val="28"/>
          <w:lang w:val="en-US"/>
        </w:rPr>
        <w:t>81 Imam Khomeini, Ādab Al-Shalāh, hlm. 20.</w:t>
      </w:r>
    </w:p>
    <w:p>
      <w:pPr>
        <w:pStyle w:val="BookText"/>
        <w:bidi w:val="0"/>
        <w:jc w:val="both"/>
        <w:rPr/>
      </w:pPr>
      <w:r>
        <w:rPr>
          <w:rFonts w:eastAsia="Times New Roman" w:cs="Times New Roman" w:ascii="Times New Roman" w:hAnsi="Times New Roman"/>
          <w:color w:val="111111"/>
          <w:sz w:val="28"/>
          <w:szCs w:val="28"/>
          <w:lang w:val="en-US"/>
        </w:rPr>
        <w:t>82 Imam Khomeini, Tafsir Sūre-e Hamd, hlm. 143-144.</w:t>
      </w:r>
    </w:p>
    <w:p>
      <w:pPr>
        <w:pStyle w:val="BookText"/>
        <w:bidi w:val="0"/>
        <w:jc w:val="both"/>
        <w:rPr/>
      </w:pPr>
      <w:r>
        <w:rPr>
          <w:rFonts w:eastAsia="Times New Roman" w:cs="Times New Roman" w:ascii="Times New Roman" w:hAnsi="Times New Roman"/>
          <w:color w:val="111111"/>
          <w:sz w:val="28"/>
          <w:szCs w:val="28"/>
          <w:lang w:val="en-US"/>
        </w:rPr>
        <w:t>83 Imam Khomeini, Ādab Al-Shalāh, hlm. 12 dan 263.</w:t>
      </w:r>
    </w:p>
    <w:p>
      <w:pPr>
        <w:pStyle w:val="BookText"/>
        <w:bidi w:val="0"/>
        <w:jc w:val="both"/>
        <w:rPr/>
      </w:pPr>
      <w:r>
        <w:rPr>
          <w:rFonts w:eastAsia="Times New Roman" w:cs="Times New Roman" w:ascii="Times New Roman" w:hAnsi="Times New Roman"/>
          <w:color w:val="111111"/>
          <w:sz w:val="28"/>
          <w:szCs w:val="28"/>
          <w:lang w:val="en-US"/>
        </w:rPr>
        <w:t>84 Imam Khomeini, Ādab Al-Shalāh, hlm. 93.</w:t>
      </w:r>
    </w:p>
    <w:p>
      <w:pPr>
        <w:pStyle w:val="BookText"/>
        <w:bidi w:val="0"/>
        <w:jc w:val="both"/>
        <w:rPr/>
      </w:pPr>
      <w:r>
        <w:rPr>
          <w:rFonts w:eastAsia="Times New Roman" w:cs="Times New Roman" w:ascii="Times New Roman" w:hAnsi="Times New Roman"/>
          <w:color w:val="111111"/>
          <w:sz w:val="28"/>
          <w:szCs w:val="28"/>
          <w:lang w:val="en-US"/>
        </w:rPr>
        <w:t>85 Imam Khomeini, Ādāb Al-Shalāh, hlm. 12.</w:t>
      </w:r>
    </w:p>
    <w:p>
      <w:pPr>
        <w:pStyle w:val="BookText"/>
        <w:bidi w:val="0"/>
        <w:jc w:val="both"/>
        <w:rPr/>
      </w:pPr>
      <w:r>
        <w:rPr>
          <w:rFonts w:eastAsia="Times New Roman" w:cs="Times New Roman" w:ascii="Times New Roman" w:hAnsi="Times New Roman"/>
          <w:color w:val="111111"/>
          <w:sz w:val="28"/>
          <w:szCs w:val="28"/>
          <w:lang w:val="en-US"/>
        </w:rPr>
        <w:t>Imam Khomeini, Ādāb Al-Shalāh, hlm. 195.</w:t>
      </w:r>
    </w:p>
    <w:p>
      <w:pPr>
        <w:pStyle w:val="BookText"/>
        <w:bidi w:val="0"/>
        <w:jc w:val="both"/>
        <w:rPr/>
      </w:pPr>
      <w:r>
        <w:rPr>
          <w:rFonts w:eastAsia="Times New Roman" w:cs="Times New Roman" w:ascii="Times New Roman" w:hAnsi="Times New Roman"/>
          <w:color w:val="111111"/>
          <w:sz w:val="28"/>
          <w:szCs w:val="28"/>
          <w:lang w:val="en-US"/>
        </w:rPr>
        <w:t>87 Imam Khomeini, Ādāb Al-Shalāh, hlm. 196.</w:t>
      </w:r>
    </w:p>
    <w:p>
      <w:pPr>
        <w:pStyle w:val="BookText"/>
        <w:bidi w:val="0"/>
        <w:jc w:val="both"/>
        <w:rPr/>
      </w:pPr>
      <w:r>
        <w:rPr>
          <w:rFonts w:eastAsia="Times New Roman" w:cs="Times New Roman" w:ascii="Times New Roman" w:hAnsi="Times New Roman"/>
          <w:color w:val="111111"/>
          <w:sz w:val="28"/>
          <w:szCs w:val="28"/>
          <w:lang w:val="en-US"/>
        </w:rPr>
        <w:t>88 QS An-Naba': 40.</w:t>
      </w:r>
    </w:p>
    <w:p>
      <w:pPr>
        <w:pStyle w:val="BookText"/>
        <w:bidi w:val="0"/>
        <w:jc w:val="both"/>
        <w:rPr/>
      </w:pPr>
      <w:r>
        <w:rPr>
          <w:rFonts w:eastAsia="Times New Roman" w:cs="Times New Roman" w:ascii="Times New Roman" w:hAnsi="Times New Roman"/>
          <w:color w:val="111111"/>
          <w:sz w:val="28"/>
          <w:szCs w:val="28"/>
          <w:lang w:val="en-US"/>
        </w:rPr>
        <w:t>89 Imam Khomeini, Ādab Al-Shalah, hlm 200.</w:t>
      </w:r>
    </w:p>
    <w:p>
      <w:pPr>
        <w:pStyle w:val="BookText"/>
        <w:bidi w:val="0"/>
        <w:jc w:val="both"/>
        <w:rPr/>
      </w:pPr>
      <w:r>
        <w:rPr>
          <w:rFonts w:eastAsia="Times New Roman" w:cs="Times New Roman" w:ascii="Times New Roman" w:hAnsi="Times New Roman"/>
          <w:color w:val="111111"/>
          <w:sz w:val="28"/>
          <w:szCs w:val="28"/>
          <w:lang w:val="en-US"/>
        </w:rPr>
        <w:t>90 Imam Khomeini, Ādab Al-Shalāh, hlm 200.</w:t>
      </w:r>
    </w:p>
    <w:p>
      <w:pPr>
        <w:pStyle w:val="BookText"/>
        <w:bidi w:val="0"/>
        <w:jc w:val="both"/>
        <w:rPr/>
      </w:pPr>
      <w:r>
        <w:rPr>
          <w:rFonts w:eastAsia="Times New Roman" w:cs="Times New Roman" w:ascii="Times New Roman" w:hAnsi="Times New Roman"/>
          <w:color w:val="111111"/>
          <w:sz w:val="28"/>
          <w:szCs w:val="28"/>
          <w:lang w:val="en-US"/>
        </w:rPr>
        <w:t>91 Imam Khomeini, Ādāb Al-Shalāh, hlm. 347.</w:t>
      </w:r>
    </w:p>
    <w:p>
      <w:pPr>
        <w:pStyle w:val="BookText"/>
        <w:bidi w:val="0"/>
        <w:jc w:val="both"/>
        <w:rPr/>
      </w:pPr>
      <w:r>
        <w:rPr>
          <w:rFonts w:eastAsia="Times New Roman" w:cs="Times New Roman" w:ascii="Times New Roman" w:hAnsi="Times New Roman"/>
          <w:color w:val="111111"/>
          <w:sz w:val="28"/>
          <w:szCs w:val="28"/>
          <w:lang w:val="en-US"/>
        </w:rPr>
        <w:t>92 Imam Khomeini, Ādāb Al-Shalāh, hlm. 199.</w:t>
      </w:r>
    </w:p>
    <w:p>
      <w:pPr>
        <w:pStyle w:val="BookText"/>
        <w:bidi w:val="0"/>
        <w:jc w:val="both"/>
        <w:rPr/>
      </w:pPr>
      <w:r>
        <w:rPr>
          <w:rFonts w:eastAsia="Times New Roman" w:cs="Times New Roman" w:ascii="Times New Roman" w:hAnsi="Times New Roman"/>
          <w:color w:val="111111"/>
          <w:sz w:val="28"/>
          <w:szCs w:val="28"/>
          <w:lang w:val="en-US"/>
        </w:rPr>
        <w:t>93 Imam Khomeini, Sirr Al-Shalāh, hlm. 23, 27 dan 40.</w:t>
      </w:r>
    </w:p>
    <w:p>
      <w:pPr>
        <w:pStyle w:val="BookText"/>
        <w:bidi w:val="0"/>
        <w:jc w:val="both"/>
        <w:rPr/>
      </w:pPr>
      <w:r>
        <w:rPr>
          <w:rFonts w:eastAsia="Times New Roman" w:cs="Times New Roman" w:ascii="Times New Roman" w:hAnsi="Times New Roman"/>
          <w:color w:val="111111"/>
          <w:sz w:val="28"/>
          <w:szCs w:val="28"/>
          <w:lang w:val="en-US"/>
        </w:rPr>
        <w:t>94 Imam Khomeini, Sirr Al-Shalāh, hlm. 29.</w:t>
      </w:r>
    </w:p>
    <w:p>
      <w:pPr>
        <w:pStyle w:val="BookText"/>
        <w:bidi w:val="0"/>
        <w:jc w:val="both"/>
        <w:rPr/>
      </w:pPr>
      <w:r>
        <w:rPr>
          <w:rFonts w:eastAsia="Times New Roman" w:cs="Times New Roman" w:ascii="Times New Roman" w:hAnsi="Times New Roman"/>
          <w:color w:val="111111"/>
          <w:sz w:val="28"/>
          <w:szCs w:val="28"/>
          <w:lang w:val="en-US"/>
        </w:rPr>
        <w:t>95 Imam Khomeini, Sirr Al-Shalāh, hlm. 60-61.</w:t>
      </w:r>
    </w:p>
    <w:p>
      <w:pPr>
        <w:pStyle w:val="BookText"/>
        <w:bidi w:val="0"/>
        <w:jc w:val="both"/>
        <w:rPr/>
      </w:pPr>
      <w:r>
        <w:rPr>
          <w:rFonts w:eastAsia="Times New Roman" w:cs="Times New Roman" w:ascii="Times New Roman" w:hAnsi="Times New Roman"/>
          <w:color w:val="111111"/>
          <w:sz w:val="28"/>
          <w:szCs w:val="28"/>
          <w:lang w:val="en-US"/>
        </w:rPr>
        <w:t>96 Imam Khomeini, Sirr Al-Shalāh, hlm. 64-65.</w:t>
      </w:r>
    </w:p>
    <w:p>
      <w:pPr>
        <w:pStyle w:val="BookText"/>
        <w:bidi w:val="0"/>
        <w:jc w:val="both"/>
        <w:rPr/>
      </w:pPr>
      <w:r>
        <w:rPr>
          <w:rFonts w:eastAsia="Times New Roman" w:cs="Times New Roman" w:ascii="Times New Roman" w:hAnsi="Times New Roman"/>
          <w:color w:val="111111"/>
          <w:sz w:val="28"/>
          <w:szCs w:val="28"/>
          <w:lang w:val="en-US"/>
        </w:rPr>
        <w:t>97 Imam Khomeini, Ādāb Al-Shalāh, hlm. 201.</w:t>
      </w:r>
    </w:p>
    <w:p>
      <w:pPr>
        <w:pStyle w:val="BookText"/>
        <w:bidi w:val="0"/>
        <w:jc w:val="both"/>
        <w:rPr/>
      </w:pPr>
      <w:r>
        <w:rPr>
          <w:rFonts w:eastAsia="Times New Roman" w:cs="Times New Roman" w:ascii="Times New Roman" w:hAnsi="Times New Roman"/>
          <w:color w:val="111111"/>
          <w:sz w:val="28"/>
          <w:szCs w:val="28"/>
          <w:lang w:val="en-US"/>
        </w:rPr>
        <w:t>98 QS Muhammad: 24.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99 Imam Khomeini, Ādāb Al-Shalāh, hlm. 202. </w:t>
      </w:r>
      <w:bookmarkStart w:id="53" w:name="pg5928_44223"/>
    </w:p>
    <w:p>
      <w:pPr>
        <w:pStyle w:val="Heading2"/>
        <w:numPr>
          <w:ilvl w:val="1"/>
          <w:numId w:val="1"/>
        </w:numPr>
        <w:bidi w:val="0"/>
        <w:jc w:val="left"/>
        <w:rPr/>
      </w:pPr>
      <w:bookmarkStart w:id="54" w:name="__RefHeading___Toc5529722_581953129"/>
      <w:bookmarkStart w:id="55" w:name="_Toc18"/>
      <w:bookmarkEnd w:id="53"/>
      <w:bookmarkEnd w:id="54"/>
      <w:r>
        <w:rPr/>
        <w:t>BAB II</w:t>
      </w:r>
      <w:bookmarkEnd w:id="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6" w:name="__RefHeading___Toc5529724_581953129"/>
      <w:bookmarkStart w:id="57" w:name="_Toc19"/>
      <w:bookmarkEnd w:id="56"/>
      <w:r>
        <w:rPr/>
        <w:t>PRINSIP-PRINSIP FILSAFAT DAN PANDANGAN DUNIA</w:t>
      </w:r>
      <w:bookmarkEnd w:id="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butir-butir yang akan disinggung dalam Bab ini berkaitan  dengan tiga tema, yaitu Tuhan, manusia, dan alam. Dalam  pembahasan tiga tema ini, prinsip-prinsip filsafat dan ajaran-  ajaran ‘irfāni memiliki peran utama, dan tanpa keduanya siapa  pun tidak akan berhasil mengkaji ketiga butir di atas. Dalam  kamus akrifat Imam Khomeini, penguasaan mendalam beliau  tentang prinsip-prinsip hikmah mutaʼāliyah dan 'irfān teoretis  bisa dilihat dengan sangat jelas. Prinsip-prinsip tersebut  menjadikan teori-teori yang diajukan memiliki kelebihan dan  kekuatan yang cukup menonjol.</w:t>
      </w:r>
    </w:p>
    <w:p>
      <w:pPr>
        <w:pStyle w:val="BookText"/>
        <w:bidi w:val="0"/>
        <w:jc w:val="both"/>
        <w:rPr/>
      </w:pPr>
      <w:r>
        <w:rPr>
          <w:rFonts w:eastAsia="Times New Roman" w:cs="Times New Roman" w:ascii="Times New Roman" w:hAnsi="Times New Roman"/>
          <w:color w:val="111111"/>
          <w:sz w:val="28"/>
          <w:szCs w:val="28"/>
          <w:lang w:val="en-US"/>
        </w:rPr>
        <w:t>Sebagian orang yang tidak menguasai dan memahami  hikmah mutaʼāliyah ketika sampai pada masalah makrifat Ilahi,  mereka berusaha untuk menutup kajian bahkan melarang  segala bentuk kajian dan penelitian tentang hal ini. Selain  itu, mereka juga memberikan label bid'ah pada setiap kajian  yang berkenaan dengan masalah ini dengan menyandarkan  ucapannya pada Al-Quran dan hadits. Sebagian kelompok  yang agak netral, ketika berhadapan dengan teks-teks yang  kandungannyaberada di luar pemahaman dan keilmuan mereka,  tanpa sedikit pun memberikan penjelasan dan penafsiran.</w:t>
      </w:r>
    </w:p>
    <w:p>
      <w:pPr>
        <w:pStyle w:val="BookText"/>
        <w:bidi w:val="0"/>
        <w:jc w:val="both"/>
        <w:rPr/>
      </w:pPr>
      <w:r>
        <w:rPr>
          <w:rFonts w:eastAsia="Times New Roman" w:cs="Times New Roman" w:ascii="Times New Roman" w:hAnsi="Times New Roman"/>
          <w:color w:val="111111"/>
          <w:sz w:val="28"/>
          <w:szCs w:val="28"/>
          <w:lang w:val="en-US"/>
        </w:rPr>
        <w:t>Mereka langsung mengklaim bahwa masalah ini termasuk hal-  hal yang samar (ghawāmidh). Mereka beranggapan bahwa teks  itu pada dasarnya tidak jelas dan samar bagi semua orang dan  berada di luar wilayah berpikir manusia.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kesempatan ini, untuk lebih memperjelas kekayaan  pemikiran filsafat, ‘irfān, dan peranan penting keduanya dalam  kajian Ketuhanan, manusia, dan alam. Masalah ini akan dikaji  secara singkat dengan meneliti pandangan-pandangan Imam  Khomeini terhadap hal tersebut. </w:t>
      </w:r>
      <w:bookmarkStart w:id="58" w:name="pg5928_44229"/>
    </w:p>
    <w:p>
      <w:pPr>
        <w:pStyle w:val="Heading3"/>
        <w:numPr>
          <w:ilvl w:val="2"/>
          <w:numId w:val="1"/>
        </w:numPr>
        <w:bidi w:val="0"/>
        <w:jc w:val="left"/>
        <w:rPr/>
      </w:pPr>
      <w:bookmarkStart w:id="59" w:name="__RefHeading___Toc5529726_581953129"/>
      <w:bookmarkStart w:id="60" w:name="_Toc20"/>
      <w:bookmarkEnd w:id="58"/>
      <w:bookmarkEnd w:id="59"/>
      <w:r>
        <w:rPr/>
        <w:t>Teologi: Mengenal Tuhan</w:t>
      </w:r>
      <w:bookmarkEnd w:id="60"/>
    </w:p>
    <w:p>
      <w:pPr>
        <w:pStyle w:val="BookText"/>
        <w:bidi w:val="0"/>
        <w:jc w:val="both"/>
        <w:rPr/>
      </w:pPr>
      <w:r>
        <w:rPr>
          <w:rFonts w:eastAsia="Times New Roman" w:cs="Times New Roman" w:ascii="Times New Roman" w:hAnsi="Times New Roman"/>
          <w:color w:val="111111"/>
          <w:sz w:val="28"/>
          <w:szCs w:val="28"/>
          <w:lang w:val="en-US"/>
        </w:rPr>
        <w:t>Sudah menjadi kesepakatan para filsuf dan para Arif,  bahwa mustahil adanya batasan bagi ilmu dan makrifat Al-Haqq  Swt., hal ini juga dikuatkan oleh wahyu. Dalam pandangan  Imam Khomeini, butir ini terletak pada awal kajian teologi.</w:t>
      </w:r>
    </w:p>
    <w:p>
      <w:pPr>
        <w:pStyle w:val="BookText"/>
        <w:bidi w:val="0"/>
        <w:jc w:val="both"/>
        <w:rPr/>
      </w:pPr>
      <w:r>
        <w:rPr>
          <w:rFonts w:eastAsia="Times New Roman" w:cs="Times New Roman" w:ascii="Times New Roman" w:hAnsi="Times New Roman"/>
          <w:color w:val="111111"/>
          <w:sz w:val="28"/>
          <w:szCs w:val="28"/>
          <w:lang w:val="en-US"/>
        </w:rPr>
        <w:t>"Zat Suci Al-Haqq Swt. pada hakikatnya bersih dari  segala bentuk penyerupaan; baik lahir maupun  batin serta suci dari isyarat, sifat, dan nama. Tangan  harapan para ahli makrifat tidak sanggup menggapai  semua keagungan-Nya dan kaki sulūk para pemilik  hati (ahl al-qulüb) lemah di hadapan kedudukan suci-  Nya. Tujuan makrifat para Wali sempurna adalah mā  'arafnāka (kami tidak sanggup mengenali-Mu dengan  sebenar-benarnya) dan akhir perjalanan para pemilik  rahasia (ahl al-asrār), adalah mā 'abadnāka (kami tidak  sanggup beribadah pada-Mu sebagaimana mestinya).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Puncak ahli makrifat dan ahli tauhid adalah sampai ke  kedudukan tinggi kamāl al-ikhlāsh nafy al-shifāt 'anhu  (keikhlasan sempurna dan menafikan segala sifat dari-  Nya).</w:t>
      </w:r>
      <w:r>
        <w:rPr>
          <w:rStyle w:val="FootnoteAnchor"/>
        </w:rPr>
        <w:footnoteReference w:id="98"/>
      </w:r>
      <w:r>
        <w:rPr>
          <w:rFonts w:eastAsia="Times New Roman" w:cs="Times New Roman" w:ascii="Times New Roman" w:hAnsi="Times New Roman"/>
          <w:color w:val="111111"/>
          <w:sz w:val="28"/>
          <w:szCs w:val="28"/>
          <w:lang w:val="en-US"/>
        </w:rPr>
        <w:t>Tujuan ahli sulūk, para ahli sujud, dan para  Arif adalah yang tertinggi, di mana sifat-sifat menyatu  dengan-Mu dan segala atribut terkoyak-koyak di sisi-  Mu (dhāllat fika al-shifātwa tafassakhat dūnaka al-  nuʻūt). "</w:t>
      </w:r>
      <w:r>
        <w:rPr>
          <w:rStyle w:val="FootnoteAnchor"/>
        </w:rPr>
        <w:footnoteReference w:id="99"/>
      </w:r>
      <w:r>
        <w:rPr>
          <w:rStyle w:val="FootnoteAnchor"/>
        </w:rPr>
        <w:footnoteReference w:id="100"/>
      </w:r>
      <w:r>
        <w:rPr>
          <w:rFonts w:eastAsia="Times New Roman" w:cs="Times New Roman" w:ascii="Times New Roman" w:hAnsi="Times New Roman"/>
          <w:color w:val="111111"/>
          <w:sz w:val="28"/>
          <w:szCs w:val="28"/>
          <w:lang w:val="en-US"/>
        </w:rPr>
        <w:t xml:space="preserve"> Prinsip dan butir logis ini – kemustahilan adanya  keterbatasan dalam ilmu Tuhan, begitu rumit sehingga  mengakibatkan banyak orang yang mengklaim telah menggapai  ilmu tersesat. Maka, sebagian kelompok secara umum  menutup pintu menuju pengetahuan tentang Tuhan dan tidak  mengizinkan seorang pun melakukan kajian apa pun tentangnya  dan penelitian tentang Dzat Suci Ilahi. Ketidakmampuan  memahami maksud hakiki dalam masalah ini mengakibatkan  mereka terjebak dalam lingkaran ini. Sementara itu, dalam </w:t>
      </w:r>
    </w:p>
    <w:p>
      <w:pPr>
        <w:pStyle w:val="BookText"/>
        <w:bidi w:val="0"/>
        <w:rPr/>
      </w:pPr>
      <w:r>
        <w:rPr>
          <w:rFonts w:eastAsia="Times New Roman" w:cs="Times New Roman" w:ascii="Times New Roman" w:hAnsi="Times New Roman"/>
          <w:color w:val="111111"/>
          <w:sz w:val="28"/>
          <w:szCs w:val="28"/>
          <w:lang w:val="en-US"/>
        </w:rPr>
        <w:t>pandangan Imam Khomeini, pelarangan terhadap kajian  masalah ini tidak bersifat mutlak. Dengan pengertian bahwa  pelarangan itu hanya berlaku pada sebagian tingkat maqam  Al-Haqq Swt., sedangkan pada tingkat yang lain, pelarangan  hanya berlaku bagi sebagian individu, bukan bagi semuanya.</w:t>
      </w:r>
    </w:p>
    <w:p>
      <w:pPr>
        <w:pStyle w:val="BookText"/>
        <w:bidi w:val="0"/>
        <w:jc w:val="both"/>
        <w:rPr/>
      </w:pPr>
      <w:r>
        <w:rPr>
          <w:rFonts w:eastAsia="Times New Roman" w:cs="Times New Roman" w:ascii="Times New Roman" w:hAnsi="Times New Roman"/>
          <w:color w:val="111111"/>
          <w:sz w:val="28"/>
          <w:szCs w:val="28"/>
          <w:lang w:val="en-US"/>
        </w:rPr>
        <w:t>Dengan menggunakan istilah-istilah 'irfānī tentang Dzat  Ilahi, penjelasan kajian ini akan menjadi mudah. Menurut  keyakinan para ahli 'irfān, terdapat tiga tingkatan untuk Dzat  Ilahi. Terkadang, Dzat Ilahi dilihat dari dimensi min haitsu  hiya (pada level hakikat dirinya), dan ini adalah maqam ghaib  mashūn, (sirr maknūn/majhūl muthlaq: maqam yang sangat  tersembunyi) terkadang, yang dimaksud adalah maqam  ahadiyyah dan manifestasi pada emanasi tersuci (faidh aqdas);  dan terkadang dilihat dari dimensi maqam wāhidiyyah dan  manifestasi pada emanasi suci (faidh muqaddas) dalam  kedudukan Dzat Ilahi. Yang tidak bisa diraih dalam tafakur  semua orang adalah level pertama, bukan yang kedua.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Dzat Kudus Gaib, tangan para pengharap tidak  mampu meraihnya. Menghabiskan umur untuk  memikirkan Dzat tersebut hanya akan mengakibatkan  kesesatan. Sementara itu, yang bisa diketahui oleh  para ahli Allah dan para pengenal-Nya adalah maqam  wāhidiyyah' dan ahadiyyah. Maqam wāhidiyyah adalah  bagi kaum ahli Allah yang awam dan maqam ahadiyyah  adalah untuk kaum khusus di antara mereka.</w:t>
      </w:r>
      <w:r>
        <w:rPr>
          <w:rStyle w:val="FootnoteAnchor"/>
        </w:rPr>
        <w:footnoteReference w:id="101"/>
      </w:r>
      <w:r>
        <w:rPr>
          <w:rFonts w:eastAsia="Times New Roman" w:cs="Times New Roman" w:ascii="Times New Roman" w:hAnsi="Times New Roman"/>
          <w:color w:val="111111"/>
          <w:sz w:val="28"/>
          <w:szCs w:val="28"/>
          <w:lang w:val="en-US"/>
        </w:rPr>
        <w:t xml:space="preserve"> Kajian ini yang lebih detail dibahas dalam karya Imam  Khomeini. Secara umum juga diberi penjelasan yang memadai  tentang hadits yang menyarankan dan hadits yang melarang  tafakur tentang Dzat. Sangat jarang ditemukan buku yang </w:t>
      </w:r>
      <w:bookmarkStart w:id="61" w:name="pg5928_44233"/>
    </w:p>
    <w:p>
      <w:pPr>
        <w:pStyle w:val="BookText"/>
        <w:bidi w:val="0"/>
        <w:rPr/>
      </w:pPr>
      <w:bookmarkEnd w:id="61"/>
      <w:r>
        <w:rPr>
          <w:rFonts w:eastAsia="Times New Roman" w:cs="Times New Roman" w:ascii="Times New Roman" w:hAnsi="Times New Roman"/>
          <w:color w:val="111111"/>
          <w:sz w:val="28"/>
          <w:szCs w:val="28"/>
          <w:lang w:val="en-US"/>
        </w:rPr>
        <w:t>mengkaji masalah ini seindah penjelasan yang disampaikan  oleh beliau.</w:t>
      </w:r>
    </w:p>
    <w:p>
      <w:pPr>
        <w:pStyle w:val="Heading3"/>
        <w:numPr>
          <w:ilvl w:val="2"/>
          <w:numId w:val="1"/>
        </w:numPr>
        <w:bidi w:val="0"/>
        <w:jc w:val="left"/>
        <w:rPr/>
      </w:pPr>
      <w:bookmarkStart w:id="62" w:name="__RefHeading___Toc5529728_581953129"/>
      <w:bookmarkStart w:id="63" w:name="_Toc21"/>
      <w:bookmarkEnd w:id="62"/>
      <w:r>
        <w:rPr/>
        <w:t>Tauhid Sifat</w:t>
      </w:r>
      <w:bookmarkEnd w:id="63"/>
    </w:p>
    <w:p>
      <w:pPr>
        <w:pStyle w:val="BookText"/>
        <w:bidi w:val="0"/>
        <w:jc w:val="both"/>
        <w:rPr/>
      </w:pPr>
      <w:r>
        <w:rPr>
          <w:rFonts w:eastAsia="Times New Roman" w:cs="Times New Roman" w:ascii="Times New Roman" w:hAnsi="Times New Roman"/>
          <w:color w:val="111111"/>
          <w:sz w:val="28"/>
          <w:szCs w:val="28"/>
          <w:lang w:val="en-US"/>
        </w:rPr>
        <w:t>Dalam kajian ini juga terdapat istilah-istilah yang khusus  digunakan oleh para ahli Allah. Oleh karena itu, kajian ini diawali  dengan sifat dan nama (ism) yang kemudian dilanjutkan pada  masalah tauhid sifat. Sifat Ilahi memiliki dua maqam,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Asma dan sifat esensial (dzātiyyah) yang berada  dalam manifestasi wahidiyah (hadhrah wāhidiyyah).</w:t>
      </w:r>
    </w:p>
    <w:p>
      <w:pPr>
        <w:pStyle w:val="BookText"/>
        <w:bidi w:val="0"/>
        <w:jc w:val="both"/>
        <w:rPr/>
      </w:pPr>
      <w:r>
        <w:rPr>
          <w:rFonts w:eastAsia="Times New Roman" w:cs="Times New Roman" w:ascii="Times New Roman" w:hAnsi="Times New Roman"/>
          <w:color w:val="111111"/>
          <w:sz w:val="28"/>
          <w:szCs w:val="28"/>
          <w:lang w:val="en-US"/>
        </w:rPr>
        <w:t>Pengetahuan, kuasa (qudrah), dan sifat yang terkait  dengan dzāt termasuk dalam maqam-maqam dzāt.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Asma dan sifat fiíliyyah dimiliki oleh Al-Haqq dengan  bermanifestasi pada emanasi suci (faidh al-muqaddas),  seperti ilmu fi'li menurut pandangan para penganut  paham Illuminasi (isyrāqiyyūn).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Maqam dzāt berbeda dengan maqam-maqam lain,  dan sifat-sifat ini merupakan tabir cahaya (nūrāni) bagi dzāt.</w:t>
      </w:r>
    </w:p>
    <w:p>
      <w:pPr>
        <w:pStyle w:val="BookText"/>
        <w:bidi w:val="0"/>
        <w:jc w:val="both"/>
        <w:rPr/>
      </w:pPr>
      <w:r>
        <w:rPr>
          <w:rFonts w:eastAsia="Times New Roman" w:cs="Times New Roman" w:ascii="Times New Roman" w:hAnsi="Times New Roman"/>
          <w:color w:val="111111"/>
          <w:sz w:val="28"/>
          <w:szCs w:val="28"/>
          <w:lang w:val="en-US"/>
        </w:rPr>
        <w:t>Dalam dzāt ahadiyyah, segala entifikasi (taʻayyunāt), dan sifat  semuanya melebur.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Asmaul husna dan sifat-sifat tinggi rububiah  merupakan tabir cahaya bagi dzāt ahadiyyah, di mana  entifikasi asma semuanya melebur. Pada maqam ini,  semua manifestasi sifakan."</w:t>
      </w:r>
      <w:r>
        <w:rPr>
          <w:rStyle w:val="FootnoteAnchor"/>
        </w:rPr>
        <w:footnoteReference w:id="102"/>
      </w:r>
      <w:r>
        <w:rPr>
          <w:rFonts w:eastAsia="Times New Roman" w:cs="Times New Roman" w:ascii="Times New Roman" w:hAnsi="Times New Roman"/>
          <w:color w:val="111111"/>
          <w:sz w:val="28"/>
          <w:szCs w:val="28"/>
          <w:lang w:val="en-US"/>
        </w:rPr>
        <w:t xml:space="preserve"> Dalam hal ini, konsep-konsep asma tentang Tuhan dilihat  dari segi maqam penampakan (zhuhūr) dan manifestasi Al-  Haqq. Kemajemukan (takatstsur) pertama di alam eksistensi  adalah takatstsurilmi (kemajemukan ilmu) ketika Al-Haqq  dengan penyingkapan secara terperinci (kasyf al-tafshili) dalam </w:t>
      </w:r>
    </w:p>
    <w:p>
      <w:pPr>
        <w:pStyle w:val="BookText"/>
        <w:bidi w:val="0"/>
        <w:rPr/>
      </w:pPr>
      <w:r>
        <w:rPr>
          <w:rFonts w:eastAsia="Times New Roman" w:cs="Times New Roman" w:ascii="Times New Roman" w:hAnsi="Times New Roman"/>
          <w:color w:val="111111"/>
          <w:sz w:val="28"/>
          <w:szCs w:val="28"/>
          <w:lang w:val="en-US"/>
        </w:rPr>
        <w:t>inti ilmu secara global, melihat diri-Nya dalam cermin sifat dan  asma dzāt.</w:t>
      </w:r>
      <w:r>
        <w:rPr>
          <w:rStyle w:val="FootnoteAnchor"/>
        </w:rPr>
        <w:footnoteReference w:id="103"/>
      </w:r>
      <w:r>
        <w:rPr>
          <w:rFonts w:eastAsia="Times New Roman" w:cs="Times New Roman" w:ascii="Times New Roman" w:hAnsi="Times New Roman"/>
          <w:color w:val="111111"/>
          <w:sz w:val="28"/>
          <w:szCs w:val="28"/>
          <w:lang w:val="en-US"/>
        </w:rPr>
        <w:t xml:space="preserve"> "Semua asma dan sifat Ilahi adalah sempurna, bahkan  merupakan kesempurnaan itu. Hal itu dikarenakan di  dalam maqam ini tidak ada kekurangan dan segala  kesempurnaan merupakan jelmaan dari kesempurnaan  asma Ilahi dan manifestasi-Nya. Ism yang paling  sempurna adalah ism dari semua kesempurnaan ...</w:t>
      </w:r>
    </w:p>
    <w:p>
      <w:pPr>
        <w:pStyle w:val="BookText"/>
        <w:bidi w:val="0"/>
        <w:jc w:val="both"/>
        <w:rPr/>
      </w:pPr>
      <w:r>
        <w:rPr>
          <w:rFonts w:eastAsia="Times New Roman" w:cs="Times New Roman" w:ascii="Times New Roman" w:hAnsi="Times New Roman"/>
          <w:color w:val="111111"/>
          <w:sz w:val="28"/>
          <w:szCs w:val="28"/>
          <w:lang w:val="en-US"/>
        </w:rPr>
        <w:t>dan di antara asma Tuhan, “Allah” adalah yang paling  sempurna."</w:t>
      </w:r>
      <w:r>
        <w:rPr>
          <w:rStyle w:val="FootnoteAnchor"/>
        </w:rPr>
        <w:footnoteReference w:id="104"/>
      </w:r>
      <w:r>
        <w:rPr>
          <w:rFonts w:eastAsia="Times New Roman" w:cs="Times New Roman" w:ascii="Times New Roman" w:hAnsi="Times New Roman"/>
          <w:color w:val="111111"/>
          <w:sz w:val="28"/>
          <w:szCs w:val="28"/>
          <w:lang w:val="en-US"/>
        </w:rPr>
        <w:t xml:space="preserve"> Masalah tauhid sifat merupakan kajian yang paling rumit  dalam pembahasan teologi. Karena kerumitan ini, sebagian  kelompok terjerumus ke dalam penambahan sifat bagi Tuhan,  sedangkan sebagian lain menafikan dan menghilangkan sifat-  sifat kesempurnaan dari-Nya. Namun, para filsuf Islam-  berkat bimbingan para Imam Ahlulbait a.s. - menganggap  kedua paham tersebut adalah sesat dan berkeyakinan adanya  kemanungggalan dzāt, sifat, dan di antara sifat-sifat itu. Tanpa  memahami dasar-dasar Filsafat Hikmah Muta'āliyah, mustahil  bisa memahami pembahasan yang sepelik dan serumit ini:</w:t>
      </w:r>
    </w:p>
    <w:p>
      <w:pPr>
        <w:pStyle w:val="BookText"/>
        <w:bidi w:val="0"/>
        <w:jc w:val="both"/>
        <w:rPr/>
      </w:pPr>
      <w:r>
        <w:rPr>
          <w:rFonts w:eastAsia="Times New Roman" w:cs="Times New Roman" w:ascii="Times New Roman" w:hAnsi="Times New Roman"/>
          <w:color w:val="111111"/>
          <w:sz w:val="28"/>
          <w:szCs w:val="28"/>
          <w:lang w:val="en-US"/>
        </w:rPr>
        <w:t>basīth al-haqiqah kull al-asyyā' (hakikat murni adalah segalanya),  dan shirf al-wujud kull al-asyyā' (eksistensi murni adalah  segalanya), serta eksistensi mutlak adalah pencipta segala  sesuatu. Banyak kajian yang sangat rumit ini didapatkan dalam  penjelasan-penjelasan Imam Khomeini, dan disampaikannya  dengan penjelasan argumentatif.</w:t>
      </w:r>
    </w:p>
    <w:p>
      <w:pPr>
        <w:pStyle w:val="BookText"/>
        <w:bidi w:val="0"/>
        <w:jc w:val="both"/>
        <w:rPr/>
      </w:pPr>
      <w:r>
        <w:rPr>
          <w:rFonts w:eastAsia="Times New Roman" w:cs="Times New Roman" w:ascii="Times New Roman" w:hAnsi="Times New Roman"/>
          <w:color w:val="111111"/>
          <w:sz w:val="28"/>
          <w:szCs w:val="28"/>
          <w:lang w:val="en-US"/>
        </w:rPr>
        <w:t>Dalam Hikmah Muta'āliyah Ilahi telah diajukan  argumentasi tentang satu masalah yaitu:</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Semakin sederhana (basīth) suatu eksistensi, semakin  identik dengan keesaan. Keluasan eksistensi dan </w:t>
      </w:r>
    </w:p>
    <w:p>
      <w:pPr>
        <w:pStyle w:val="BookText"/>
        <w:bidi w:val="0"/>
        <w:rPr/>
      </w:pPr>
      <w:r>
        <w:rPr>
          <w:rFonts w:eastAsia="Times New Roman" w:cs="Times New Roman" w:ascii="Times New Roman" w:hAnsi="Times New Roman"/>
          <w:color w:val="111111"/>
          <w:sz w:val="28"/>
          <w:szCs w:val="28"/>
          <w:lang w:val="en-US"/>
        </w:rPr>
        <w:t>cakupannya atas semua eksistensi yang berbeda-beda  akan menjadikannya semakin sempurna. Apa yang ada  di sebuah zaman juga ada di alam dahr, tetapi dalam  bentuk eksistensi kolektif (jamʻi). Begitu pula, semua  eksistensi yang bertentangan di zaman, ada juga di  alam dahr dalam bentuk yang lebih halus. Apa yang  bervariasi di dalam penciptaan pertama (di dunia) akan  tampak dengan keserasiannya di dalam penciptaan  akhirat.</w:t>
      </w:r>
      <w:r>
        <w:rPr>
          <w:rStyle w:val="FootnoteAnchor"/>
        </w:rPr>
        <w:footnoteReference w:id="105"/>
      </w:r>
      <w:r>
        <w:rPr>
          <w:rFonts w:eastAsia="Times New Roman" w:cs="Times New Roman" w:ascii="Times New Roman" w:hAnsi="Times New Roman"/>
          <w:color w:val="111111"/>
          <w:sz w:val="28"/>
          <w:szCs w:val="28"/>
          <w:lang w:val="en-US"/>
        </w:rPr>
        <w:t xml:space="preserve"> Eksistensi mutlak adalah Pencipta segala sesuatu dan  Pemilik segala kesempurnaan. Argumen 'eksistensi  murni adalah segala sesuatu, tetapi bukan sesuatu  darinya', artinya segala sesuatu, tetapi berbeda dengan  bentuk entifikasi (taʻayyunāt), dan segala eksistensi,  tetapi tidak dalam bentuk entitas, melainkan dalam  bentuk kesempurnaan mutlak."</w:t>
      </w:r>
      <w:r>
        <w:rPr>
          <w:rStyle w:val="FootnoteAnchor"/>
        </w:rPr>
        <w:footnoteReference w:id="106"/>
      </w:r>
      <w:r>
        <w:rPr>
          <w:rFonts w:eastAsia="Times New Roman" w:cs="Times New Roman" w:ascii="Times New Roman" w:hAnsi="Times New Roman"/>
          <w:color w:val="111111"/>
          <w:sz w:val="28"/>
          <w:szCs w:val="28"/>
          <w:lang w:val="en-US"/>
        </w:rPr>
        <w:t xml:space="preserve"> Dalam teks-teks agama terdapat istilah-istilah tentang  Al-Haqq Swt. dan sifat-sifat kesucian-Nya, tidak ada jalan lain  untuk bisa menjelaskan segala aspek sifat eksistensi sederhana  mutlak, kecuali dengan kaidah tersebut. Imam Khomeini,  dengan mengacu pada kaidah ini, menafsirkan teks berikut  yang dinukil dari Amirul Mukminin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Mahasuci Dia yang telah meluaskan rahmat-Nya  kepada wali-wali-Nya dengan besarnya bencana  dan membesarkan bencana-Nya bagi musuh-musuh-  Nya dengan luasnya rahmat.</w:t>
      </w:r>
      <w:r>
        <w:rPr>
          <w:rStyle w:val="FootnoteAnchor"/>
        </w:rPr>
        <w:footnoteReference w:id="107"/>
      </w:r>
      <w:r>
        <w:rPr>
          <w:rFonts w:eastAsia="Times New Roman" w:cs="Times New Roman" w:ascii="Times New Roman" w:hAnsi="Times New Roman"/>
          <w:color w:val="111111"/>
          <w:sz w:val="28"/>
          <w:szCs w:val="28"/>
          <w:lang w:val="en-US"/>
        </w:rPr>
        <w:t>Juga, disebutkan ayat  berikut: “Katakanlah, Serulah Allah atau serulah Ar-  Rahmān'. Dengan nama yang mana saja kamu seru,  Dia mempunyai asmaul husna (nama-nama yang  terbaik)."&lt;a href="#ref-footnote4-page66" id="footnote4-page66" style="display:inline-block"&gt;</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 xml:space="preserve"> Penjelasan Imam Khomeini yang berlandaskan pada  dasar-dasar filsafat adalah sebagai berikut: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Hakikat eksistensi, hakikat keesaan, dan cahaya  murni, terlepas dari segala ketergantungan karena la </w:t>
      </w:r>
      <w:bookmarkStart w:id="64" w:name="pg5928_44238"/>
    </w:p>
    <w:p>
      <w:pPr>
        <w:pStyle w:val="BookText"/>
        <w:bidi w:val="0"/>
        <w:rPr/>
      </w:pPr>
      <w:bookmarkEnd w:id="64"/>
      <w:r>
        <w:rPr>
          <w:rFonts w:eastAsia="Times New Roman" w:cs="Times New Roman" w:ascii="Times New Roman" w:hAnsi="Times New Roman"/>
          <w:color w:val="111111"/>
          <w:sz w:val="28"/>
          <w:szCs w:val="28"/>
          <w:lang w:val="en-US"/>
        </w:rPr>
        <w:t>merupakan hakikat sederhana (basīth al-haqiqah). Di  dalamnya tidak ada sedikit pun ketiadaan, keburukan,  dan kekurangan. Maka, la adalah segala sesuatu, tetapi  bukan salah satu dari semua itu, dan hakikat seperti  ini memiliki sifat-sifat yang berlawanan. Eksistensi  yang Esa terlepas dari kemajemukan, baik eksistensial  maupun intelektual, dan suci dari entifikasi, baik di dunia  luar maupun dalam pikiran. Kesimpulannya, hakikat  Mahatinggi Al-Haqq dalam penampakannya adalah  ketersembunyiannya dan dalam ketersembunyiannya  adalah penampakan; rahmat-Nya ada dalam kemarahan-  Nya, dan kemarahan-Nya ada dalam rahmat-Nya.</w:t>
      </w:r>
      <w:r>
        <w:rPr>
          <w:rStyle w:val="FootnoteAnchor"/>
        </w:rPr>
        <w:footnoteReference w:id="108"/>
      </w:r>
      <w:r>
        <w:rPr>
          <w:rFonts w:eastAsia="Times New Roman" w:cs="Times New Roman" w:ascii="Times New Roman" w:hAnsi="Times New Roman"/>
          <w:color w:val="111111"/>
          <w:sz w:val="28"/>
          <w:szCs w:val="28"/>
          <w:lang w:val="en-US"/>
        </w:rPr>
        <w:t xml:space="preserve"> Bacalah, entah itu Allah, Rahman, Rahim, atau nama-  Nya yang mana pun, semuanya adalah asmaul husna.</w:t>
      </w:r>
    </w:p>
    <w:p>
      <w:pPr>
        <w:pStyle w:val="BookText"/>
        <w:bidi w:val="0"/>
        <w:jc w:val="both"/>
        <w:rPr/>
      </w:pPr>
      <w:r>
        <w:rPr>
          <w:rFonts w:eastAsia="Times New Roman" w:cs="Times New Roman" w:ascii="Times New Roman" w:hAnsi="Times New Roman"/>
          <w:color w:val="111111"/>
          <w:sz w:val="28"/>
          <w:szCs w:val="28"/>
          <w:lang w:val="en-US"/>
        </w:rPr>
        <w:t>Semua asmaul husna ada dalam sifat-sifat Al-Haqq  Swt. dan karena bersifat mutlak maka tidak ada  batasan, karena nama (isim) adalah yang dinamai itu  (musamma). Eksistensi mutlak adalah kesempurnaan  mutlak. Kesempurnaan mutlak, segala sesuatunya  mutlak, semua sifatnya mutlak sehingga kita tidak  bisa membayangkan adanya keterpisahan di antara itu  semua."</w:t>
      </w:r>
      <w:r>
        <w:rPr>
          <w:rStyle w:val="FootnoteAnchor"/>
        </w:rPr>
        <w:footnoteReference w:id="109"/>
      </w:r>
    </w:p>
    <w:p>
      <w:pPr>
        <w:pStyle w:val="Heading3"/>
        <w:numPr>
          <w:ilvl w:val="2"/>
          <w:numId w:val="1"/>
        </w:numPr>
        <w:bidi w:val="0"/>
        <w:jc w:val="left"/>
        <w:rPr/>
      </w:pPr>
      <w:bookmarkStart w:id="65" w:name="__RefHeading___Toc5529730_581953129"/>
      <w:bookmarkStart w:id="66" w:name="_Toc22"/>
      <w:bookmarkEnd w:id="65"/>
      <w:r>
        <w:rPr/>
        <w:t>Tauhid Perbuatan</w:t>
      </w:r>
      <w:bookmarkEnd w:id="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Butir terpenting dalam kajian ini adalah hubungan  perbuatan dan pengaruh pelaku alami dan insani dengan  perbuatan Tuhan. Kemudian, apakah ada eksistensi lain  yang berpengaruh selain Tuhan? Sebagian kelompok untuk  menghindari pengaruh lain selain Tuhan, menisbatkan semua  perbuatan kepada-Nya dan menganut paham jabr (manusia  tidak memiliki ikhtiar dalam perbuatannya). Sebagian lain  untuk menyucikan Tuhan dari sebagian perbuatan dan  kekurangan, meyakini bahwa semua makhluk berdiri sendiri  dalam semua perbuatannya dan memegang paham Tafwidh  (manusia memiliki ikhtiar mutlak). </w:t>
      </w:r>
    </w:p>
    <w:p>
      <w:pPr>
        <w:pStyle w:val="BookText"/>
        <w:bidi w:val="0"/>
        <w:rPr/>
      </w:pPr>
      <w:r>
        <w:rPr>
          <w:rFonts w:eastAsia="Times New Roman" w:cs="Times New Roman" w:ascii="Times New Roman" w:hAnsi="Times New Roman"/>
          <w:color w:val="111111"/>
          <w:sz w:val="28"/>
          <w:szCs w:val="28"/>
          <w:lang w:val="en-US"/>
        </w:rPr>
        <w:t>Jelas, kedua kelompok ini meyakini penisbatan perbuatan,  yang satu bersifat hakiki dan yang lain bersifat majazi. Jika  digabungkan, kedua kelompok tersebut adalah sama dengan  yang lain; selain menisbatkan perbuatan kepada Tuhan,  mereka juga menisbatkan perbuatan kepada makhluk; kedua  sisi ini bersifat hakiki, tidak bersifat majazi.</w:t>
      </w:r>
    </w:p>
    <w:p>
      <w:pPr>
        <w:pStyle w:val="BookText"/>
        <w:bidi w:val="0"/>
        <w:jc w:val="both"/>
        <w:rPr/>
      </w:pPr>
      <w:r>
        <w:rPr>
          <w:rFonts w:eastAsia="Times New Roman" w:cs="Times New Roman" w:ascii="Times New Roman" w:hAnsi="Times New Roman"/>
          <w:color w:val="111111"/>
          <w:sz w:val="28"/>
          <w:szCs w:val="28"/>
          <w:lang w:val="en-US"/>
        </w:rPr>
        <w:t>"Pemahaman akan hubungan antara Tuhan, dan  makhluk, serta hubungan perbuatan di antara  keduanya merupakan kajian yang sangat penting  dalam pembahasan teologi dan induk dari semua  masalah filosofis sehingga ketika masalah ini mampu  diselesaikan akan banyak masalah penting lain yang  akan terselesaikan, di antaranya adalah masalah jabr  dan tafwidh."</w:t>
      </w:r>
      <w:r>
        <w:rPr>
          <w:rStyle w:val="FootnoteAnchor"/>
        </w:rPr>
        <w:footnoteReference w:id="110"/>
      </w:r>
      <w:r>
        <w:rPr>
          <w:rFonts w:eastAsia="Times New Roman" w:cs="Times New Roman" w:ascii="Times New Roman" w:hAnsi="Times New Roman"/>
          <w:color w:val="111111"/>
          <w:sz w:val="28"/>
          <w:szCs w:val="28"/>
          <w:lang w:val="en-US"/>
        </w:rPr>
        <w:t xml:space="preserve"> Teks-teks Al-Quran dan hadits sarat dengan kandungan  bahwa satu perbuatan selain dinisbatkan kepada Tuhan  juga dinisbatkan kepada makhluk, seperti pembahasan  tentang turunnya Al-Quran. Terkadang, penurunan Al-Quran  dinisbatkan kepada Tuhan, seperti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turunkan Al-Quran pada malam  yang penuh berkah.</w:t>
      </w:r>
      <w:r>
        <w:rPr>
          <w:rStyle w:val="FootnoteAnchor"/>
        </w:rPr>
        <w:footnoteReference w:id="111"/>
      </w:r>
      <w:r>
        <w:rPr>
          <w:rFonts w:eastAsia="Times New Roman" w:cs="Times New Roman" w:ascii="Times New Roman" w:hAnsi="Times New Roman"/>
          <w:color w:val="111111"/>
          <w:sz w:val="28"/>
          <w:szCs w:val="28"/>
          <w:lang w:val="en-US"/>
        </w:rPr>
        <w:t xml:space="preserve"> “Sesungguhnya Kami yang menurunkan Al-Dzikr dan  kami juga yang akan menjaganya.</w:t>
      </w:r>
      <w:r>
        <w:rPr>
          <w:rStyle w:val="FootnoteAnchor"/>
        </w:rPr>
        <w:footnoteReference w:id="112"/>
      </w:r>
      <w:r>
        <w:rPr>
          <w:rFonts w:eastAsia="Times New Roman" w:cs="Times New Roman" w:ascii="Times New Roman" w:hAnsi="Times New Roman"/>
          <w:color w:val="111111"/>
          <w:sz w:val="28"/>
          <w:szCs w:val="28"/>
          <w:lang w:val="en-US"/>
        </w:rPr>
        <w:t xml:space="preserve"> Di tempat lain disebutkan bahwa penurunan Al-Quran  dinisbatkan kepada makhluk, seperti ayat: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Telah turun ruh Al-Amin dengan membawa Al-  Quran."</w:t>
      </w:r>
      <w:r>
        <w:rPr>
          <w:rStyle w:val="FootnoteAnchor"/>
        </w:rPr>
        <w:footnoteReference w:id="113"/>
      </w:r>
      <w:r>
        <w:rPr>
          <w:rFonts w:eastAsia="Times New Roman" w:cs="Times New Roman" w:ascii="Times New Roman" w:hAnsi="Times New Roman"/>
          <w:color w:val="111111"/>
          <w:sz w:val="28"/>
          <w:szCs w:val="28"/>
          <w:lang w:val="en-US"/>
        </w:rPr>
        <w:t xml:space="preserve"> Terkait masalah turunnya Al-Quran, sebagian kelompok  berpegang pada ayat, </w:t>
      </w:r>
    </w:p>
    <w:p>
      <w:pPr>
        <w:pStyle w:val="BookText"/>
        <w:bidi w:val="0"/>
        <w:rPr/>
      </w:pPr>
      <w:r>
        <w:rPr>
          <w:rFonts w:eastAsia="Times New Roman" w:cs="Times New Roman" w:ascii="Times New Roman" w:hAnsi="Times New Roman"/>
          <w:color w:val="111111"/>
          <w:sz w:val="28"/>
          <w:szCs w:val="28"/>
          <w:lang w:val="en-US"/>
        </w:rPr>
        <w:t>"Hai Haman! Buatkanlah bagi-Ku sebuah bangunan  yang tinggi. "</w:t>
      </w:r>
      <w:r>
        <w:rPr>
          <w:rStyle w:val="FootnoteAnchor"/>
        </w:rPr>
        <w:footnoteReference w:id="114"/>
      </w:r>
      <w:r>
        <w:rPr>
          <w:rFonts w:eastAsia="Times New Roman" w:cs="Times New Roman" w:ascii="Times New Roman" w:hAnsi="Times New Roman"/>
          <w:color w:val="111111"/>
          <w:sz w:val="28"/>
          <w:szCs w:val="28"/>
          <w:lang w:val="en-US"/>
        </w:rPr>
        <w:t xml:space="preserve"> Namun dalam pandangan Imam Khomeini, penyelesaian  seperti ini tidaklah benar karena mereka telah membandingkan  perbuatan Tuhan dengan perbuatan makhluk. Mereka mengira  perbuatan Tuhan berhubungan dengan makhluk, seperti  perbuatan makhluk berhubungan dengan makhluk lainnya. Ia  berkeyakinan bahwa hanya dasar-dasar filosofis serta 'irfāni-  lah yang mampu menjelaskan pemahaman yang benar tentang  hubungan perbuatan antara Tuhan dan makhluk.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Seluruh alam keberadaan dan tingkatan-tingkatan  eksistensi adalah bentuk emanasi suci (faidh muqaddas)  yang merupakan manifestasi illuminatif (tajalli isyrāqi)  Al-Haqq Swt., seperti halnya relasi illuminatif (idhāfiyyah  isyrāqiyyah) merupakan wujud penghubung, terikat,  dan kefakiran murni. Maka, entitas dan bentuk pun  merupakan eksistensi terikat (wujūd rabthi), di mana ia  tidak memiliki identitas dan kemandirian. Dengan kata  lain, seluruh ruang keberadaan adalah fana dalam Al-  Haqq Swt., baik dalam esensi, sifat, maupun perbuatan.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Atas dasar ini, peran dan perbuatan kesempurnaan  dinisbatkan kepada makhluk dengan hubungan  demikian (hubungan antara wujud makhluk dengan  wujud Al-Haqq Swt.). Juga, hal itu dinisbatkan kepada  Tuhan dengan penisbatan yang sama, di mana tidak  ada yang bersifat majazi pada kedua sisi."</w:t>
      </w:r>
      <w:r>
        <w:rPr>
          <w:rStyle w:val="FootnoteAnchor"/>
        </w:rPr>
        <w:footnoteReference w:id="115"/>
      </w:r>
      <w:r>
        <w:rPr>
          <w:rFonts w:eastAsia="Times New Roman" w:cs="Times New Roman" w:ascii="Times New Roman" w:hAnsi="Times New Roman"/>
          <w:color w:val="111111"/>
          <w:sz w:val="28"/>
          <w:szCs w:val="28"/>
          <w:lang w:val="en-US"/>
        </w:rPr>
        <w:t xml:space="preserve"> Dalam masalah ini, bentuk teks-teks agama tidak sama  sehingga seseorang tidak bisa seenaknya menisbatkan satu  perbuatan ke satu pihak hanya dengan menafsirkan sebagian  teks. Namun di sisi lain, terdapat teks-teks yang mendukung  pendapat yang sebaliknya. Di antaranya adalah ayat, “Tidak ada  suatu binatang melata pun melainkan Dia-lah yang memegang </w:t>
      </w:r>
    </w:p>
    <w:p>
      <w:pPr>
        <w:pStyle w:val="BookText"/>
        <w:bidi w:val="0"/>
        <w:rPr/>
      </w:pPr>
      <w:r>
        <w:rPr>
          <w:rFonts w:eastAsia="Times New Roman" w:cs="Times New Roman" w:ascii="Times New Roman" w:hAnsi="Times New Roman"/>
          <w:color w:val="111111"/>
          <w:sz w:val="28"/>
          <w:szCs w:val="28"/>
          <w:lang w:val="en-US"/>
        </w:rPr>
        <w:t>ubun-ubunnya,"</w:t>
      </w:r>
      <w:r>
        <w:rPr>
          <w:rStyle w:val="FootnoteAnchor"/>
        </w:rPr>
        <w:footnoteReference w:id="116"/>
      </w:r>
      <w:r>
        <w:rPr>
          <w:rFonts w:eastAsia="Times New Roman" w:cs="Times New Roman" w:ascii="Times New Roman" w:hAnsi="Times New Roman"/>
          <w:color w:val="111111"/>
          <w:sz w:val="28"/>
          <w:szCs w:val="28"/>
          <w:lang w:val="en-US"/>
        </w:rPr>
        <w:t>bagi mereka yang meyakini paham Tafwidh  akan menjadi sebuah kesulitan dan kemusykilan. Hal ini juga  tidak berarti mendukung paham Jabr dengan menghapus  perantara (bagi perbuatan Tuhan), karena di sisi lain terdapat  teks-teks yang bertentangan dengan pandangan tersebut. Oleh  karena itu, penjelasan ihwal kemandirian dan ketercakupan  tanpa ada perantara wujud Al-Haqq Swt. tidak bertentangan  dengan aturan yang menyatakan adanya perantara bagi  perbuatan Tuhan.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mengira bahwa Al-Haqq Swt.</w:t>
      </w:r>
    </w:p>
    <w:p>
      <w:pPr>
        <w:pStyle w:val="BookText"/>
        <w:bidi w:val="0"/>
        <w:jc w:val="both"/>
        <w:rPr/>
      </w:pPr>
      <w:r>
        <w:rPr>
          <w:rFonts w:eastAsia="Times New Roman" w:cs="Times New Roman" w:ascii="Times New Roman" w:hAnsi="Times New Roman"/>
          <w:color w:val="111111"/>
          <w:sz w:val="28"/>
          <w:szCs w:val="28"/>
          <w:lang w:val="en-US"/>
        </w:rPr>
        <w:t>tersusun dari setiap eksistensi yang ada dan meliputi  setiap eksistensi tanpa ada perantara, seperti yang  diisyaratkan dalam ayat, 'Tidak ada satu binatang  melata pun melainkan Dialah yang memegang ubun-  ubunnya'.</w:t>
      </w:r>
      <w:r>
        <w:rPr>
          <w:rStyle w:val="FootnoteAnchor"/>
        </w:rPr>
        <w:footnoteReference w:id="117"/>
      </w:r>
      <w:r>
        <w:rPr>
          <w:rFonts w:eastAsia="Times New Roman" w:cs="Times New Roman" w:ascii="Times New Roman" w:hAnsi="Times New Roman"/>
          <w:color w:val="111111"/>
          <w:sz w:val="28"/>
          <w:szCs w:val="28"/>
          <w:lang w:val="en-US"/>
        </w:rPr>
        <w:t xml:space="preserve"> Berarti mereka telah menyamakan maqam-maqam  dan telah salah memahami istilah-istilah. Mereka telah  menyamakan antara maqam katsrah (kemajemukan)  dan tingkatan eksistensi dengan kefanaan entitas."</w:t>
      </w:r>
      <w:r>
        <w:rPr>
          <w:rStyle w:val="FootnoteAnchor"/>
        </w:rPr>
        <w:footnoteReference w:id="118"/>
      </w:r>
      <w:r>
        <w:rPr>
          <w:rFonts w:eastAsia="Times New Roman" w:cs="Times New Roman" w:ascii="Times New Roman" w:hAnsi="Times New Roman"/>
          <w:color w:val="111111"/>
          <w:sz w:val="28"/>
          <w:szCs w:val="28"/>
          <w:lang w:val="en-US"/>
        </w:rPr>
        <w:t xml:space="preserve"> Oleh karena itu, yang bisa menyelesaikan penisbatan-  penisbatan ini adalah orang yang mampu menyatukan antara  wahdah dan katsrah. Orang-orang yang tertabir dari wahdah  akan menisbatkan perbuatan hanya kepada makhluk, dan  sebaliknya, orang yang dalam dirinya didominasi wahdah  hanya menisbatkan segala perbuatan kepada Tuhan.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Orang yang berada dalam katsrah murni dan tertabir  dari wahdah akan menisbatkan perbuatan kepada  makhluk dan akan lalai kepada Al-Haqq Swt., seperti  kita yang termasuk orang-orang yang tertabir. Mereka  yang didominasi wahdah dan tertutup dari makhluk  akan menisbatkan semua perbuatan kepada Al-  Haqq Swt..... Seorang Arif hakiki adalah orang yang </w:t>
      </w:r>
    </w:p>
    <w:p>
      <w:pPr>
        <w:pStyle w:val="BookText"/>
        <w:bidi w:val="0"/>
        <w:rPr/>
      </w:pPr>
      <w:r>
        <w:rPr>
          <w:rFonts w:eastAsia="Times New Roman" w:cs="Times New Roman" w:ascii="Times New Roman" w:hAnsi="Times New Roman"/>
          <w:color w:val="111111"/>
          <w:sz w:val="28"/>
          <w:szCs w:val="28"/>
          <w:lang w:val="en-US"/>
        </w:rPr>
        <w:t>mampu menyatukan wahdah dan katsrah, yaitu selain  menisbatkan perbuatan kepada Al-Haqq Swt. dengan  pengertian hakiki, juga menisbatkan perbuatan kepada  makhluk dalam pengertian hakiki. "</w:t>
      </w:r>
      <w:r>
        <w:rPr>
          <w:rStyle w:val="FootnoteAnchor"/>
        </w:rPr>
        <w:footnoteReference w:id="119"/>
      </w:r>
      <w:r>
        <w:rPr>
          <w:rFonts w:eastAsia="Times New Roman" w:cs="Times New Roman" w:ascii="Times New Roman" w:hAnsi="Times New Roman"/>
          <w:color w:val="111111"/>
          <w:sz w:val="28"/>
          <w:szCs w:val="28"/>
          <w:lang w:val="en-US"/>
        </w:rPr>
        <w:t xml:space="preserve"> Atas dasar keyakinan ini, kita disarankan untuk merujuk  pada teks seperti ayat,  “Tidaklah engkau melempar ketika engkau melempar,  tetapi Allah-lah yang melempar. "</w:t>
      </w:r>
      <w:r>
        <w:rPr>
          <w:rStyle w:val="FootnoteAnchor"/>
        </w:rPr>
        <w:footnoteReference w:id="120"/>
      </w:r>
      <w:r>
        <w:rPr>
          <w:rFonts w:eastAsia="Times New Roman" w:cs="Times New Roman" w:ascii="Times New Roman" w:hAnsi="Times New Roman"/>
          <w:color w:val="111111"/>
          <w:sz w:val="28"/>
          <w:szCs w:val="28"/>
          <w:lang w:val="en-US"/>
        </w:rPr>
        <w:t xml:space="preserve"> Dalam ayat ini, walau dinisbatkan pekerjaan melempar  kepada manusia, juga dinafikan perbuatan itu darinya. Jadi,  selain dinafikan juga dinisbatkan. Pandangan kaum Arif tentang  kesatuan antara wahdah dan katsrah akan bisa menggali  maksud hakiki teks ini.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 bisa menggunakan kajian tauhid fi'li (tauhid  perbuatan) untuk mengkhususkan pujian hanya kepada  Al-Haqq Swt. dan melepaskan semua pujian dari tangan  makhluk .... Untuk hal itu, terdapat maqam-maqam, di  antaranya adalah penafian Ketuhanan dalam perbuatan  yang dengan kata lain tidak ada yang berpengaruh  dalam wujud, kecuali Allah'."</w:t>
      </w:r>
      <w:r>
        <w:rPr>
          <w:rStyle w:val="FootnoteAnchor"/>
        </w:rPr>
        <w:footnoteReference w:id="121"/>
      </w:r>
      <w:r>
        <w:rPr>
          <w:rFonts w:eastAsia="Times New Roman" w:cs="Times New Roman" w:ascii="Times New Roman" w:hAnsi="Times New Roman"/>
          <w:color w:val="111111"/>
          <w:sz w:val="28"/>
          <w:szCs w:val="28"/>
          <w:lang w:val="en-US"/>
        </w:rPr>
        <w:t xml:space="preserve"> Imam Khomeini dalam menjelaskan masalah ini, selain  mengkajinya dari aspek ‘irfāni, beliau juga mengkajinya dari  aspek filosofis. Butir-butir filosofis yang berpengaruh dalam  menganalisis pembahasan ini adalah semua wujud imkāni  (eksistensi mungkin) adalah bayangan yang dinisbatkan kepada  eksistensi Al-Haqq Swt.. Mereka adalah wujud rabthi murni  dan tidak berdiri sendiri. Oleh karena itu, pengaruh penciptaan  tidak bisa dinisbatkan kepada mereka. Suatu eksistensi bisa  disebut mencipta ketika seorang fā'il (subjek) berdiri sendiri </w:t>
      </w:r>
      <w:bookmarkStart w:id="67" w:name="pg5928_44248"/>
    </w:p>
    <w:p>
      <w:pPr>
        <w:pStyle w:val="BookText"/>
        <w:bidi w:val="0"/>
        <w:rPr/>
      </w:pPr>
      <w:bookmarkEnd w:id="67"/>
      <w:r>
        <w:rPr>
          <w:rFonts w:eastAsia="Times New Roman" w:cs="Times New Roman" w:ascii="Times New Roman" w:hAnsi="Times New Roman"/>
          <w:color w:val="111111"/>
          <w:sz w:val="28"/>
          <w:szCs w:val="28"/>
          <w:lang w:val="en-US"/>
        </w:rPr>
        <w:t>dalam mencipta, yang membutuhkan kemandirian dalam  eksistensi. Dengan bantuan kajian 'irfāni, pembahasan itu akan  seperti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Hakikat eksistensi bayangan (zhill) adalah tajali  dari kekuasaan Al-Haqq Swt.. Dalam cermin-cermin  penciptaan makna lā ilaha illallāh adalah penyaksian  perbuatan dan kekuasaan Al-Haqq Swt. dalam makhluk,  menafikan entifikasi penciptaan, memfanakan maqam  fā'iliyyah, serta pengaruhnya dalam Al-Haqq Swt.."</w:t>
      </w:r>
      <w:r>
        <w:rPr>
          <w:rStyle w:val="FootnoteAnchor"/>
        </w:rPr>
        <w:footnoteReference w:id="122"/>
      </w:r>
    </w:p>
    <w:p>
      <w:pPr>
        <w:pStyle w:val="Heading3"/>
        <w:numPr>
          <w:ilvl w:val="2"/>
          <w:numId w:val="1"/>
        </w:numPr>
        <w:bidi w:val="0"/>
        <w:jc w:val="left"/>
        <w:rPr/>
      </w:pPr>
      <w:bookmarkStart w:id="68" w:name="__RefHeading___Toc5529732_581953129"/>
      <w:bookmarkStart w:id="69" w:name="_Toc23"/>
      <w:bookmarkEnd w:id="68"/>
      <w:r>
        <w:rPr/>
        <w:t>Antropologi</w:t>
      </w:r>
      <w:bookmarkEnd w:id="69"/>
    </w:p>
    <w:p>
      <w:pPr>
        <w:pStyle w:val="BookText"/>
        <w:bidi w:val="0"/>
        <w:jc w:val="both"/>
        <w:rPr/>
      </w:pPr>
      <w:r>
        <w:rPr>
          <w:rFonts w:eastAsia="Times New Roman" w:cs="Times New Roman" w:ascii="Times New Roman" w:hAnsi="Times New Roman"/>
          <w:color w:val="111111"/>
          <w:sz w:val="28"/>
          <w:szCs w:val="28"/>
          <w:lang w:val="en-US"/>
        </w:rPr>
        <w:t>Dalam pandangan dunia religius, manusia memiliki  perbedaan mendasar dengan makhluk lainnya. Terdapat  banyak sisi dalam esensi manusia yang menyebabkan  perbedaan ini. Dari sisi ontologis, manusia berada para  sederetan makhluk yang mengalami proses penyempurnaan  dan aktualisasi yang merupakan keistimewaan manusia.</w:t>
      </w:r>
    </w:p>
    <w:p>
      <w:pPr>
        <w:pStyle w:val="BookText"/>
        <w:bidi w:val="0"/>
        <w:jc w:val="both"/>
        <w:rPr/>
      </w:pPr>
      <w:r>
        <w:rPr>
          <w:rFonts w:eastAsia="Times New Roman" w:cs="Times New Roman" w:ascii="Times New Roman" w:hAnsi="Times New Roman"/>
          <w:color w:val="111111"/>
          <w:sz w:val="28"/>
          <w:szCs w:val="28"/>
          <w:lang w:val="en-US"/>
        </w:rPr>
        <w:t>Pandangan Imam Khomeini tentang manusia sejalan dengan  refleksi agama dan prinsip-prinsip supranatural logika. Sifat-  sifat yang dikemukakannya tentang manusia sangat jelas  menguatkan hal ini. Begitu pula, dzauq ‘irfāni memiliki peran  vital dalam masalah ini. Dua istilah, yaitu jāmi' (komprehensif)  dan kāmil (sempurna) menjelaskan seluruh kandungan yang  sangat cocok dengan potensi eksistensi yang dimiliki manusia.</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 adalah eksistensi yang memiliki seluruh dasar rangkaian  wujud. Oleh karena itu, dengan terpenuhinya semua ini,  manusia bisa mencapai puncak kesempurnaan. </w:t>
      </w:r>
      <w:bookmarkStart w:id="70" w:name="pg5928_44250"/>
    </w:p>
    <w:p>
      <w:pPr>
        <w:pStyle w:val="Heading3"/>
        <w:numPr>
          <w:ilvl w:val="2"/>
          <w:numId w:val="1"/>
        </w:numPr>
        <w:bidi w:val="0"/>
        <w:jc w:val="left"/>
        <w:rPr/>
      </w:pPr>
      <w:bookmarkStart w:id="71" w:name="__RefHeading___Toc5529734_581953129"/>
      <w:bookmarkStart w:id="72" w:name="_Toc24"/>
      <w:bookmarkEnd w:id="70"/>
      <w:bookmarkEnd w:id="71"/>
      <w:r>
        <w:rPr/>
        <w:t>Insan Kamil</w:t>
      </w:r>
      <w:bookmarkEnd w:id="72"/>
    </w:p>
    <w:p>
      <w:pPr>
        <w:pStyle w:val="BookText"/>
        <w:bidi w:val="0"/>
        <w:jc w:val="both"/>
        <w:rPr/>
      </w:pPr>
      <w:r>
        <w:rPr>
          <w:rFonts w:eastAsia="Times New Roman" w:cs="Times New Roman" w:ascii="Times New Roman" w:hAnsi="Times New Roman"/>
          <w:color w:val="111111"/>
          <w:sz w:val="28"/>
          <w:szCs w:val="28"/>
          <w:lang w:val="en-US"/>
        </w:rPr>
        <w:t>Tanda-tanda insan kamil (manusia paripurna)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Kesatuan (jāmi“) dari seluruh kesatuan ada dalam  kemajemukan (wahdah fi 'ain katsrah).</w:t>
      </w:r>
    </w:p>
    <w:p>
      <w:pPr>
        <w:pStyle w:val="BookText"/>
        <w:bidi w:val="0"/>
        <w:jc w:val="both"/>
        <w:rPr/>
      </w:pPr>
      <w:r>
        <w:rPr>
          <w:rFonts w:eastAsia="Times New Roman" w:cs="Times New Roman" w:ascii="Times New Roman" w:hAnsi="Times New Roman"/>
          <w:color w:val="111111"/>
          <w:sz w:val="28"/>
          <w:szCs w:val="28"/>
          <w:lang w:val="en-US"/>
        </w:rPr>
        <w:t>Manusia adalah eksistensi yang memiliki seluruh  tingkatan konkret (ʻainī), ideal (mitsālī), dan indrawi (hissī).</w:t>
      </w:r>
    </w:p>
    <w:p>
      <w:pPr>
        <w:pStyle w:val="BookText"/>
        <w:bidi w:val="0"/>
        <w:jc w:val="both"/>
        <w:rPr/>
      </w:pPr>
      <w:r>
        <w:rPr>
          <w:rFonts w:eastAsia="Times New Roman" w:cs="Times New Roman" w:ascii="Times New Roman" w:hAnsi="Times New Roman"/>
          <w:color w:val="111111"/>
          <w:sz w:val="28"/>
          <w:szCs w:val="28"/>
          <w:lang w:val="en-US"/>
        </w:rPr>
        <w:t>Dalam dirinya berkumpul seluruh alam gaib (ghaib), alam  nyata (syahādah), dan hal-hal yang ada di antara keduanya,  seperti yang difirmankan Allah Swt.,  “Dan Allah telah mengajarkan kepada Adam semua  asma."</w:t>
      </w:r>
      <w:r>
        <w:rPr>
          <w:rStyle w:val="FootnoteAnchor"/>
        </w:rPr>
        <w:footnoteReference w:id="123"/>
      </w:r>
      <w:r>
        <w:rPr>
          <w:rFonts w:eastAsia="Times New Roman" w:cs="Times New Roman" w:ascii="Times New Roman" w:hAnsi="Times New Roman"/>
          <w:color w:val="111111"/>
          <w:sz w:val="28"/>
          <w:szCs w:val="28"/>
          <w:lang w:val="en-US"/>
        </w:rPr>
        <w:t>and</w:t>
      </w:r>
      <w:r>
        <w:rPr>
          <w:rStyle w:val="FootnoteAnchor"/>
        </w:rPr>
        <w:footnoteReference w:id="124"/>
      </w:r>
      <w:r>
        <w:rPr>
          <w:rFonts w:eastAsia="Times New Roman" w:cs="Times New Roman" w:ascii="Times New Roman" w:hAnsi="Times New Roman"/>
          <w:color w:val="111111"/>
          <w:sz w:val="28"/>
          <w:szCs w:val="28"/>
          <w:lang w:val="en-US"/>
        </w:rPr>
        <w:t xml:space="preserve"> Banyak istilah yang digunakan oleh Imam Khomeini  tentang manusia. Istilah-istilah itu diambil dari teks-teks  agama, seperti Hujjah Terbesar Tuhan bagi Makhluk, Kitab yang  Ditulis oleh Tuhan, Jalan yang Lurus, Khalifah Tuhan di Muka  Bumi, dan lain-lain. Hendak diperhatikan bahwa istilah-istilah  ini merupakan istilah bagi insan kamil, bukan istilah umum  bagi semua manusia.</w:t>
      </w:r>
    </w:p>
    <w:p>
      <w:pPr>
        <w:pStyle w:val="BookText"/>
        <w:bidi w:val="0"/>
        <w:jc w:val="both"/>
        <w:rPr/>
      </w:pPr>
      <w:r>
        <w:rPr>
          <w:rFonts w:eastAsia="Times New Roman" w:cs="Times New Roman" w:ascii="Times New Roman" w:hAnsi="Times New Roman"/>
          <w:color w:val="111111"/>
          <w:sz w:val="28"/>
          <w:szCs w:val="28"/>
          <w:lang w:val="en-US"/>
        </w:rPr>
        <w:t>Kesempurnaan adalah keluar dari potensi (quwwah)  menuju aktualisasi (fiʻl). Untuk bisa keluar dari potensi menuju  aktualisasi, manusia harus memiliki hubungan dengan Sang  Pembimbing (Murabbī). Doa akan menciptakan hubungan ini,  jika ia memiliki potensi yang sesuai dengan doa dan hubungan  ini, doa tersebut pasti terkabul.</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menjadi inti kajian dalam masalah ini adalah sistem  asma tentang alam Ketuhanan. Tuhan dengan segala asma  dan sifat-Nya adalah pembimbing bagi manusia. Insan kamil </w:t>
      </w:r>
    </w:p>
    <w:p>
      <w:pPr>
        <w:pStyle w:val="BookText"/>
        <w:bidi w:val="0"/>
        <w:rPr/>
      </w:pPr>
      <w:r>
        <w:rPr>
          <w:rFonts w:eastAsia="Times New Roman" w:cs="Times New Roman" w:ascii="Times New Roman" w:hAnsi="Times New Roman"/>
          <w:color w:val="111111"/>
          <w:sz w:val="28"/>
          <w:szCs w:val="28"/>
          <w:lang w:val="en-US"/>
        </w:rPr>
        <w:t>adalah manusia yang dalam jalur makrifatnya mampu melewati  tahapan penyatuan antara wahdah dan katsrah. Penyatuan dua  hal ini merupakan tingkatan dan maqam yang paling sulit,  tempat para Nabi, sekalipun tidak semuanya bisa melewati  tahapan ini. Hanya Nabi terakhir yang mampu melewatinya.</w:t>
      </w:r>
    </w:p>
    <w:p>
      <w:pPr>
        <w:pStyle w:val="BookText"/>
        <w:bidi w:val="0"/>
        <w:jc w:val="both"/>
        <w:rPr/>
      </w:pPr>
      <w:r>
        <w:rPr>
          <w:rFonts w:eastAsia="Times New Roman" w:cs="Times New Roman" w:ascii="Times New Roman" w:hAnsi="Times New Roman"/>
          <w:color w:val="111111"/>
          <w:sz w:val="28"/>
          <w:szCs w:val="28"/>
          <w:lang w:val="en-US"/>
        </w:rPr>
        <w:t>"Menjaga maqam katsrah dalam wahdah dan wahdah  dalam katsrah tidak bisa dilakukan oleh semua Nabi,  kecuali Nabi terakhir secara hakiki dan para Walinya  yang tidak hakiki."</w:t>
      </w:r>
      <w:r>
        <w:rPr>
          <w:rStyle w:val="FootnoteAnchor"/>
        </w:rPr>
        <w:footnoteReference w:id="125"/>
      </w:r>
      <w:r>
        <w:rPr>
          <w:rFonts w:eastAsia="Times New Roman" w:cs="Times New Roman" w:ascii="Times New Roman" w:hAnsi="Times New Roman"/>
          <w:color w:val="111111"/>
          <w:sz w:val="28"/>
          <w:szCs w:val="28"/>
          <w:lang w:val="en-US"/>
        </w:rPr>
        <w:t xml:space="preserve"> Apa yang diriwayatkan dari Nabi Saw. adalah sebagai  berikut: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"Saudaraku Musa, mata kanannya buta, sedangkan  saudaraku Isa, mata kirinya buta, sedangkan aku  memiliki dua mata yang bisa melihat."</w:t>
      </w:r>
      <w:r>
        <w:rPr>
          <w:rStyle w:val="FootnoteAnchor"/>
        </w:rPr>
        <w:footnoteReference w:id="126"/>
      </w:r>
      <w:r>
        <w:rPr>
          <w:rFonts w:eastAsia="Times New Roman" w:cs="Times New Roman" w:ascii="Times New Roman" w:hAnsi="Times New Roman"/>
          <w:color w:val="111111"/>
          <w:sz w:val="28"/>
          <w:szCs w:val="28"/>
          <w:lang w:val="en-US"/>
        </w:rPr>
        <w:t xml:space="preserve"> Jika kita mengkaji doa-doa, kita akan menyaksikan dengan  jelas bahwa katsrah kadang lebih dominan dalam diri seorang  sālik (penempuh jalan spiritual), kadang wahdah yang lebih  dominan, dan berdasarkan hal ini, seorang sālik menyebut  nama Tuhannya. Sementara itu, insan kamil dalam doa-doanya  memanggil Tuhan dengan penyatuan antara wahdah dan  katsrah, walaupun mungkin saja salah satunya lebih dominan.</w:t>
      </w:r>
      <w:r>
        <w:rPr>
          <w:rStyle w:val="FootnoteAnchor"/>
        </w:rPr>
        <w:footnoteReference w:id="127"/>
      </w:r>
      <w:r>
        <w:rPr>
          <w:rFonts w:eastAsia="Times New Roman" w:cs="Times New Roman" w:ascii="Times New Roman" w:hAnsi="Times New Roman"/>
          <w:color w:val="111111"/>
          <w:sz w:val="28"/>
          <w:szCs w:val="28"/>
          <w:lang w:val="en-US"/>
        </w:rPr>
        <w:t xml:space="preserve"> Tuhan dengan ism aʻzham-Nya, yaitu kumpulan seluruh  kehadiran eksistensial (hadhrāt wujūdi) — bermanifestasi dalam  diri insan kamil. Insan kamil tersebut adalah cermin seluruh  sifat Al-Haqq Swt. dan juga merupakan khalifah Tuhan di muka  bumi ini.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Kesatuan Sifat Jalāl dan Jamāl  Manusia diciptakan oleh Tuhan dan dijadikan sebagai  khalifah-Nya. Tuhan dengan maqam ulūhiyyah-Nya adalah  kesatuan dari seluruh sifat yang saling berlawanan, seperti sifat  kasih (rahmah) dan murka (ghadhab), tersembunyi (buthūn)  dan tampak (zhuhūr), yang awal (awwaliyyah) dan yang  akhir (ākhiriyyah). Begitu pula dengan khalifah-Nya, karena  kedekatan dengan kesatuan (wahdah) dan kesederhanaan  (bisāthah), ia juga memiliki kesatuan ini walaupun hati insan  kamil dan para Wali Ilahi berbeda dalam dimensi penampakan  manifestasi Al-Haqq.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Hati yang satu merupakan manifestasi  dari cita rasa (dzauq), cinta ('isyq), keindahan, serta keelokan,  sedangkan hati yang lain merupakan manifestasi keagungan,  kebesaran, dan kekuatan.</w:t>
      </w:r>
    </w:p>
    <w:p>
      <w:pPr>
        <w:pStyle w:val="BookText"/>
        <w:bidi w:val="0"/>
        <w:jc w:val="both"/>
        <w:rPr/>
      </w:pPr>
      <w:r>
        <w:rPr>
          <w:rFonts w:eastAsia="Times New Roman" w:cs="Times New Roman" w:ascii="Times New Roman" w:hAnsi="Times New Roman"/>
          <w:color w:val="111111"/>
          <w:sz w:val="28"/>
          <w:szCs w:val="28"/>
          <w:lang w:val="en-US"/>
        </w:rPr>
        <w:t>Hanya ada satu hati yang memiliki kedua sifat yang  berlawanan, yaitu sifat jalāl dan jamāl, serta nama teragung  (ism aʻzham), tempat kesatuan sifat bermanifestasi dalam  dirinya, yaitu hati penutup para Nabi (Muhammad Saw.) dan  para washi-nya. Namun sesuai potensi yang dimiliki para Nabi,  Tuhan bermanifestasi kepada mereka. Contohnya, karena Nabi  Yahya memiliki hati yang tunduk dan khusyuk, Tuhan pun  menampakkan sifat jalāl kepadanya, yaitu sifat angkuh, agung,  dan keras, sedangkan kepada Nabi Isa yang memiliki hati  yang selalu berbaik sangka kepada Tuhannya, Dia tampakkan  dengan sifat lembut dan kasih.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Takwini  Dalam menjelaskan masalah ini, akan ditelusuri garis  perjalanan kemunculan manusia mulai dari alam ulūhi sampai</w:t>
      </w:r>
    </w:p>
    <w:p>
      <w:pPr>
        <w:pStyle w:val="BookText"/>
        <w:bidi w:val="0"/>
        <w:rPr/>
      </w:pPr>
      <w:r>
        <w:rPr>
          <w:rFonts w:eastAsia="Times New Roman" w:cs="Times New Roman" w:ascii="Times New Roman" w:hAnsi="Times New Roman"/>
          <w:color w:val="111111"/>
          <w:sz w:val="28"/>
          <w:szCs w:val="28"/>
          <w:lang w:val="en-US"/>
        </w:rPr>
        <w:t>materiel pertama (hayūlā), dan mulai dari alam hayūlā sampai  maqam dāna fatadallā (semakin dekat (pada Tuhan]—peny.).</w:t>
      </w:r>
    </w:p>
    <w:p>
      <w:pPr>
        <w:pStyle w:val="BookText"/>
        <w:bidi w:val="0"/>
        <w:jc w:val="both"/>
        <w:rPr/>
      </w:pPr>
      <w:r>
        <w:rPr>
          <w:rFonts w:eastAsia="Times New Roman" w:cs="Times New Roman" w:ascii="Times New Roman" w:hAnsi="Times New Roman"/>
          <w:color w:val="111111"/>
          <w:sz w:val="28"/>
          <w:szCs w:val="28"/>
          <w:lang w:val="en-US"/>
        </w:rPr>
        <w:t>Perjalanan manusia, mulai dari awal sampai akhir penciptaan  melewati dua qaus (jalur). Garis perjalanan berputar ini memiliki  dua perjalanan, yaitu turun (nuzūlī) dan naik (shu'ūdī). Manusia,  dalam jalur perjalanan turunnya, bermula dari kehadiran  tunggal (hadhrah wāhidiyyah) dan entitas permanen ('ain  tsābit) yang berada di alam Ilahi dan masuk ke alam kehendak  (māsyiyah). Dari sana, berlanjut ke alam akal ('uqūl), alam ruh,  malaikat muqarrab, lalu ke alam malakūt tinggi ('ulyā), ke alam  barzakh, dan alam mitsāli (ideal), lalu bersambung ke alam  tabiat. Di alam tabiat, manusia mengenakan baju yang paling  rendah, yaitu materi pertama (hayūlā).</w:t>
      </w:r>
    </w:p>
    <w:p>
      <w:pPr>
        <w:pStyle w:val="BookText"/>
        <w:bidi w:val="0"/>
        <w:jc w:val="both"/>
        <w:rPr/>
      </w:pPr>
      <w:r>
        <w:rPr>
          <w:rFonts w:eastAsia="Times New Roman" w:cs="Times New Roman" w:ascii="Times New Roman" w:hAnsi="Times New Roman"/>
          <w:color w:val="111111"/>
          <w:sz w:val="28"/>
          <w:szCs w:val="28"/>
          <w:lang w:val="en-US"/>
        </w:rPr>
        <w:t>Sementara itu, jalur perjalanan naik (shu'ūdī) dan  penyempurnaan (takammulī) manusia, dimulai dari titik  yang paling rendah berlanjut ke haribaan Al-Wājib Swt..</w:t>
      </w:r>
    </w:p>
    <w:p>
      <w:pPr>
        <w:pStyle w:val="BookText"/>
        <w:bidi w:val="0"/>
        <w:jc w:val="both"/>
        <w:rPr/>
      </w:pPr>
      <w:r>
        <w:rPr>
          <w:rFonts w:eastAsia="Times New Roman" w:cs="Times New Roman" w:ascii="Times New Roman" w:hAnsi="Times New Roman"/>
          <w:color w:val="111111"/>
          <w:sz w:val="28"/>
          <w:szCs w:val="28"/>
          <w:lang w:val="en-US"/>
        </w:rPr>
        <w:t>Ayat Al-Quran dalam Surah At-Tin menjelaskan kedua  perjalanan tersebut, yaitu nuzūli dan shu’ūdi, “Sungguh Kami  telah ciptakan manusia dengan sebaik-baiknya penciptaan.</w:t>
      </w:r>
    </w:p>
    <w:p>
      <w:pPr>
        <w:pStyle w:val="BookText"/>
        <w:bidi w:val="0"/>
        <w:jc w:val="both"/>
        <w:rPr/>
      </w:pPr>
      <w:r>
        <w:rPr>
          <w:rFonts w:eastAsia="Times New Roman" w:cs="Times New Roman" w:ascii="Times New Roman" w:hAnsi="Times New Roman"/>
          <w:color w:val="111111"/>
          <w:sz w:val="28"/>
          <w:szCs w:val="28"/>
          <w:lang w:val="en-US"/>
        </w:rPr>
        <w:t>Kemudian, Kami kembalikan ia kepada yang paling rendah di  antara yang rendah."</w:t>
      </w:r>
      <w:r>
        <w:rPr>
          <w:rStyle w:val="FootnoteAnchor"/>
        </w:rPr>
        <w:footnoteReference w:id="128"/>
      </w:r>
      <w:r>
        <w:rPr>
          <w:rFonts w:eastAsia="Times New Roman" w:cs="Times New Roman" w:ascii="Times New Roman" w:hAnsi="Times New Roman"/>
          <w:color w:val="111111"/>
          <w:sz w:val="28"/>
          <w:szCs w:val="28"/>
          <w:lang w:val="en-US"/>
        </w:rPr>
        <w:t>Dalam gambaran ini, manusia tersusun  dari seluruh rangkaian eksistensi.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"Insan kamil adalah seluruh rangkaian eksistensi, dan  melalui perantaraannya, lingkaran eksistensi menjadi  sempurna. Ia adalah awal dan akhir, lahir dan batin,  dan ia adalah kitab universal Ilahi. "</w:t>
      </w:r>
      <w:r>
        <w:rPr>
          <w:rStyle w:val="FootnoteAnchor"/>
        </w:rPr>
        <w:footnoteReference w:id="129"/>
      </w:r>
      <w:r>
        <w:rPr>
          <w:rFonts w:eastAsia="Times New Roman" w:cs="Times New Roman" w:ascii="Times New Roman" w:hAnsi="Times New Roman"/>
          <w:color w:val="111111"/>
          <w:sz w:val="28"/>
          <w:szCs w:val="28"/>
          <w:lang w:val="en-US"/>
        </w:rPr>
        <w:t xml:space="preserve"> Karena insan kamil merupakan Kitab Takwini, maka  semua sifat yang dimiliki Kitab Tadwini (Al-Quran) juga  dimilikinya. Kata takwin (penciptaan), sesuai dengan maknanya, </w:t>
      </w:r>
    </w:p>
    <w:p>
      <w:pPr>
        <w:pStyle w:val="BookText"/>
        <w:bidi w:val="0"/>
        <w:rPr/>
      </w:pPr>
      <w:r>
        <w:rPr>
          <w:rFonts w:eastAsia="Times New Roman" w:cs="Times New Roman" w:ascii="Times New Roman" w:hAnsi="Times New Roman"/>
          <w:color w:val="111111"/>
          <w:sz w:val="28"/>
          <w:szCs w:val="28"/>
          <w:lang w:val="en-US"/>
        </w:rPr>
        <w:t>memiliki tingkatan kurang sempurna, dan paling sempurna.</w:t>
      </w:r>
    </w:p>
    <w:p>
      <w:pPr>
        <w:pStyle w:val="BookText"/>
        <w:bidi w:val="0"/>
        <w:jc w:val="both"/>
        <w:rPr/>
      </w:pPr>
      <w:r>
        <w:rPr>
          <w:rFonts w:eastAsia="Times New Roman" w:cs="Times New Roman" w:ascii="Times New Roman" w:hAnsi="Times New Roman"/>
          <w:color w:val="111111"/>
          <w:sz w:val="28"/>
          <w:szCs w:val="28"/>
          <w:lang w:val="en-US"/>
        </w:rPr>
        <w:t>Standar pembagiannya adalah kadar yang dimilikinya dalam  mencerminkan alam gaib, pusaka yang tersembunyi (kanz al-  makhfi), dan rahasia yang tertutup.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Setiap sesuatu yang merupakan manifestasi Al-Haqq  Swt., cermin esensinya akan semakin sempurna dan  lebih mencerminkan alam gaib. "</w:t>
      </w:r>
      <w:r>
        <w:rPr>
          <w:rStyle w:val="FootnoteAnchor"/>
        </w:rPr>
        <w:footnoteReference w:id="130"/>
      </w:r>
      <w:r>
        <w:rPr>
          <w:rFonts w:eastAsia="Times New Roman" w:cs="Times New Roman" w:ascii="Times New Roman" w:hAnsi="Times New Roman"/>
          <w:color w:val="111111"/>
          <w:sz w:val="28"/>
          <w:szCs w:val="28"/>
          <w:lang w:val="en-US"/>
        </w:rPr>
        <w:t xml:space="preserve"> Dengan penafsiran ini, 'uqūl dan nufūs espahbedi  merupakan kalimah yang sempurna karena dalam  perbandingannya dengan eksistensi-eksistensi lain, ia terlepas  dari debu entifikasi esensial dan kerendahan materi. Namun,  masing-masing darinya merupakan cermin bagi salah satu sifat  dan ism. Mereka terhitung rendah di hadapan insan kamil yang  memiliki eksistensi yang sempurna dan merupakan cermin  dari seluruh tanda dan sifat Ilahi, dan merupakan kalimah Ilahi  yang paling sempurna.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Penerapan kata kalimah pada semua wujūd takwini  bisa berdasarkan analisis atas arti kata kalām. Kalām dipakai  untuk mengungkapkan yang terkandung dalam batin (dhamī)  sehingga setiap sesuatu yang memiliki peran seperti ini, istilah  ini bisa digunakan. Yang mengilhami pembahasan ini adalah  ucapan Amirul Mukminin a.s. tentang Al-Quran, “Sungguh Dia  telah bermanifestasi pada hamba-hamba-Nya dalam kalam-Nya,  tetapi mereka tidak bisa melihat manifestasi itu." Pembahasan  sesuai dengan ucapan ini, bahwa kalam Ilahi merupakan suara  dan panggilan yang tidak bisa didengar, perbuatan Tuhan adalah  kalām itu yang menjadi sempurna. Telah dinukil dari beliau  a.s., “Ketika Dia berkehendak terjadinya sesuatu, Dia berfirman, </w:t>
      </w:r>
    </w:p>
    <w:p>
      <w:pPr>
        <w:pStyle w:val="BookText"/>
        <w:bidi w:val="0"/>
        <w:rPr/>
      </w:pPr>
      <w:r>
        <w:rPr>
          <w:rFonts w:eastAsia="Times New Roman" w:cs="Times New Roman" w:ascii="Times New Roman" w:hAnsi="Times New Roman"/>
          <w:color w:val="111111"/>
          <w:sz w:val="28"/>
          <w:szCs w:val="28"/>
          <w:lang w:val="en-US"/>
        </w:rPr>
        <w:t>Jadilah!' maka jadilah ia, bukan dengan suara yang bisa diindra  dan bukan dengan seruan yang bisa didengar, tetapi kalam-  Nya adalah perbuatan-Nya." Analisis ini merupakan dalil bagi  kesamaan antara Kitab Tadwīni (Al-Quran) dan Kitab Takwini  (insan kamil). Sebagian dari kesamaan itu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Kesamaan dalam cara turun (nuzūl).</w:t>
      </w:r>
    </w:p>
    <w:p>
      <w:pPr>
        <w:pStyle w:val="BookText"/>
        <w:bidi w:val="0"/>
        <w:jc w:val="both"/>
        <w:rPr/>
      </w:pPr>
      <w:r>
        <w:rPr>
          <w:rFonts w:eastAsia="Times New Roman" w:cs="Times New Roman" w:ascii="Times New Roman" w:hAnsi="Times New Roman"/>
          <w:color w:val="111111"/>
          <w:sz w:val="28"/>
          <w:szCs w:val="28"/>
          <w:lang w:val="en-US"/>
        </w:rPr>
        <w:t>Seperti halnya Kitab Tadwīni turun dari alam gaib  bersamaan dengan ribuan tabir, begitu pula dengan Kitab  Takwini. Dengan alasan ini, Kitab Takwini (insan kamil) adalah  orang yang pantas mengemban Kitab Tadwīnī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Takwini Ilahi ini adalah para Wali-Nya, di mana  mereka adalah kitab-kitab langit dan tidak ada seorang  pun yang mengemban lahir dan batin Al-Quran, selain  mereka."</w:t>
      </w:r>
      <w:r>
        <w:rPr>
          <w:rStyle w:val="FootnoteAnchor"/>
        </w:rPr>
        <w:footnoteReference w:id="131"/>
      </w:r>
      <w:r>
        <w:rPr>
          <w:rFonts w:eastAsia="Times New Roman" w:cs="Times New Roman" w:ascii="Times New Roman" w:hAnsi="Times New Roman"/>
          <w:color w:val="111111"/>
          <w:sz w:val="28"/>
          <w:szCs w:val="28"/>
          <w:lang w:val="en-US"/>
        </w:rPr>
        <w:t xml:space="preserve"> Dengan sifat ini, rahasia yang terkandung dalam sebagian  hadits akan menjadi jelas. Hadits-hadits tersebut menjelaskan  bahwa ilmu tentang kandungan kitab hanya dimiliki oleh  para washi Nabi Saw.. Sebagian dari hadits-hadits ini sebagai  berikut: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Al-Shadiq a.s. berkata, “Demi Allah, kami  memiliki seluruh ilmu kitab itu.'  Imam Baqir a.s. berkata, “Tidak ada seorang pun yang  bisa mengklaim dirinya memahami kandungan seluruh  Al-Quran, baik lahir maupun batinnya, kecuali para  washi.'</w:t>
      </w:r>
      <w:r>
        <w:rPr>
          <w:rStyle w:val="FootnoteAnchor"/>
        </w:rPr>
        <w:footnoteReference w:id="132"/>
      </w:r>
      <w:r>
        <w:rPr>
          <w:rFonts w:eastAsia="Times New Roman" w:cs="Times New Roman" w:ascii="Times New Roman" w:hAnsi="Times New Roman"/>
          <w:color w:val="111111"/>
          <w:sz w:val="28"/>
          <w:szCs w:val="28"/>
          <w:lang w:val="en-US"/>
        </w:rPr>
        <w:t xml:space="preserve"> 2. Kesamaan dalam tampak dan tersembunyi  Seperti halnya, Kitab Tadwini memiliki 7 atau 70 batin dan  tidak ada yang bisa mengetahuinya, kecuali Allah dan orang-  orang yang mumpuni (rāsikhūn) dalam ilmu, serta hanya orang- </w:t>
      </w:r>
      <w:bookmarkStart w:id="73" w:name="pg5928_44257"/>
    </w:p>
    <w:p>
      <w:pPr>
        <w:pStyle w:val="BookText"/>
        <w:bidi w:val="0"/>
        <w:rPr/>
      </w:pPr>
      <w:bookmarkEnd w:id="73"/>
      <w:r>
        <w:rPr>
          <w:rFonts w:eastAsia="Times New Roman" w:cs="Times New Roman" w:ascii="Times New Roman" w:hAnsi="Times New Roman"/>
          <w:color w:val="111111"/>
          <w:sz w:val="28"/>
          <w:szCs w:val="28"/>
          <w:lang w:val="en-US"/>
        </w:rPr>
        <w:t>orang suci yang bisa memahaminya. Begitu pula dengan Kitab  Takwini Ilahi, yaitu kitab Anfusi ataupun Ufuqi. Keyakinan akan  kesamaan-kesamaan ini akan mempermudah permasalahan.</w:t>
      </w:r>
    </w:p>
    <w:p>
      <w:pPr>
        <w:pStyle w:val="BookText"/>
        <w:bidi w:val="0"/>
        <w:jc w:val="both"/>
        <w:rPr/>
      </w:pPr>
      <w:r>
        <w:rPr>
          <w:rFonts w:eastAsia="Times New Roman" w:cs="Times New Roman" w:ascii="Times New Roman" w:hAnsi="Times New Roman"/>
          <w:color w:val="111111"/>
          <w:sz w:val="28"/>
          <w:szCs w:val="28"/>
          <w:lang w:val="en-US"/>
        </w:rPr>
        <w:t>Sebagaimana dalam memahami Kitab Tadwini tidak dibenarkan  hanya melihat dari sisi lahir, begitu pula dalam menilai insan  kamil. Cara ini akan mengakibatkan kesesatan dan kesalahan  seperti yang telah dilakukan oleh setan. Setan, dengan hanya  melihat lahiriah manusia dan dengan pandangan yang terbatas,  mencoba perbandingkan dan menjadikan alasan akan kekuatan  dan kebesaran dirinya. Ia membuat perbandingan antara api  dan tanah, yang seharusnya ia membandingkan antara cahaya  Adam a.s. dan api sehingga ia akan bisa melihat kelebihan yang  dimiliki Adam a.s..</w:t>
      </w:r>
    </w:p>
    <w:p>
      <w:pPr>
        <w:pStyle w:val="BookText"/>
        <w:bidi w:val="0"/>
        <w:jc w:val="both"/>
        <w:rPr/>
      </w:pPr>
      <w:r>
        <w:rPr>
          <w:rFonts w:eastAsia="Times New Roman" w:cs="Times New Roman" w:ascii="Times New Roman" w:hAnsi="Times New Roman"/>
          <w:color w:val="111111"/>
          <w:sz w:val="28"/>
          <w:szCs w:val="28"/>
          <w:lang w:val="en-US"/>
        </w:rPr>
        <w:t>Contoh lain dari sikap memandang lahiriah takwin  (penciptaan) adalah perbuatan orang-orang yang mengingkari  para Nabi a.s.. Mereka yang tertabir dari maqam-maqam dan  kedudukan maknawi para Nabi.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atas dasar ini, mereka beranggapan bahwa para  Nabi adalah seperti manusia biasa yang tidak memiliki  kelebihan, kecuali dalam tindakan-tindakan lahiriah  dan duniawi belaka."</w:t>
      </w:r>
      <w:r>
        <w:rPr>
          <w:rStyle w:val="FootnoteAnchor"/>
        </w:rPr>
        <w:footnoteReference w:id="133"/>
      </w:r>
    </w:p>
    <w:p>
      <w:pPr>
        <w:pStyle w:val="Heading3"/>
        <w:numPr>
          <w:ilvl w:val="2"/>
          <w:numId w:val="1"/>
        </w:numPr>
        <w:bidi w:val="0"/>
        <w:jc w:val="left"/>
        <w:rPr/>
      </w:pPr>
      <w:bookmarkStart w:id="74" w:name="__RefHeading___Toc5529736_581953129"/>
      <w:bookmarkStart w:id="75" w:name="_Toc25"/>
      <w:bookmarkEnd w:id="74"/>
      <w:r>
        <w:rPr/>
        <w:t>Garis Perjalanan Penyempurnaan Manusia Biasa</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adalah suatu proses melebur dan  menghilangnya sesuatu, kemudian digantikan dengan dengan  bentuk lain, seperti kesempurnaan materi pertama (hayūlā)  dengan bentuk (shūrah), dan kesempurnaan genus (jins)  dengan diferensi (fash/). Dalam masalah ini, Imam Khomeini  mengambil inspirasi dari aspek batin dan lahir teks-teks agama, </w:t>
      </w:r>
    </w:p>
    <w:p>
      <w:pPr>
        <w:pStyle w:val="BookText"/>
        <w:bidi w:val="0"/>
        <w:rPr/>
      </w:pPr>
      <w:r>
        <w:rPr>
          <w:rFonts w:eastAsia="Times New Roman" w:cs="Times New Roman" w:ascii="Times New Roman" w:hAnsi="Times New Roman"/>
          <w:color w:val="111111"/>
          <w:sz w:val="28"/>
          <w:szCs w:val="28"/>
          <w:lang w:val="en-US"/>
        </w:rPr>
        <w:t>mengkaji masalah kewalian (wilāyah), dan peran pentingnya  dalam kesempurnaan manusia.</w:t>
      </w:r>
    </w:p>
    <w:p>
      <w:pPr>
        <w:pStyle w:val="BookText"/>
        <w:bidi w:val="0"/>
        <w:jc w:val="both"/>
        <w:rPr/>
      </w:pPr>
      <w:r>
        <w:rPr>
          <w:rFonts w:eastAsia="Times New Roman" w:cs="Times New Roman" w:ascii="Times New Roman" w:hAnsi="Times New Roman"/>
          <w:color w:val="111111"/>
          <w:sz w:val="28"/>
          <w:szCs w:val="28"/>
          <w:lang w:val="en-US"/>
        </w:rPr>
        <w:t>Dari sudut pandang ini, semua ibadah, akidah, dan  hukum syariat memiliki peran sebagai hayūlā, di mana  semuanya hanya kulit dan bungkus, sedangkan wilāyah adalah  batin dan penyebab aktualisasi (fiʻliyyah) sesuatu. Materi dan  hayūlā tanpa shūrah tidak mungkin terwujud, terutama alam  akhirat yang merupakan alam kehidupan (dār al-hayawān)  merupakan pengadilan shūrah dan fi'liyyah. Pembahasan ini  akan merembet ke masalah lain yang telah disinggung dalam  ucapan-ucapan yang dinukil dari para maksum Ahlulbait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 siapa tidak mengenal imam zamannya  atau barang siapa tidak beriman, kematiannya seperti  kematian jahiliah, kufur, dan munafik. "</w:t>
      </w:r>
      <w:r>
        <w:rPr>
          <w:rStyle w:val="FootnoteAnchor"/>
        </w:rPr>
        <w:footnoteReference w:id="134"/>
      </w:r>
      <w:r>
        <w:rPr>
          <w:rFonts w:eastAsia="Times New Roman" w:cs="Times New Roman" w:ascii="Times New Roman" w:hAnsi="Times New Roman"/>
          <w:color w:val="111111"/>
          <w:sz w:val="28"/>
          <w:szCs w:val="28"/>
          <w:lang w:val="en-US"/>
        </w:rPr>
        <w:t xml:space="preserve"> Proses keluarnya potensi (quwwah) menuju aktualisasi  (fiʻI), atau dari kekurangan menuju kesempurnaan, bersifat  gradual, yang menurut istilah disebut harakah (gerak). Harakah  ini memiliki awal, akhir, dan melewati tahapan substansi.</w:t>
      </w:r>
    </w:p>
    <w:p>
      <w:pPr>
        <w:pStyle w:val="BookText"/>
        <w:bidi w:val="0"/>
        <w:jc w:val="both"/>
        <w:rPr/>
      </w:pPr>
      <w:r>
        <w:rPr>
          <w:rFonts w:eastAsia="Times New Roman" w:cs="Times New Roman" w:ascii="Times New Roman" w:hAnsi="Times New Roman"/>
          <w:color w:val="111111"/>
          <w:sz w:val="28"/>
          <w:szCs w:val="28"/>
          <w:lang w:val="en-US"/>
        </w:rPr>
        <w:t>Dari sudut pandang 'irfān, tahapan dan urutan ini bermula  dari makhluk, lalu ke al-haqq al-muqayyad (kebenaran yang  bersyarat), kemudian berakhir pada al-haqq al-muthlaq  (kebenaran mutlak).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Dalam jalur perjalanan ini, ia harus melewati satu  demi satu alam yang beraneka ragam."</w:t>
      </w:r>
      <w:r>
        <w:rPr>
          <w:rStyle w:val="FootnoteAnchor"/>
        </w:rPr>
        <w:footnoteReference w:id="135"/>
      </w:r>
      <w:r>
        <w:rPr>
          <w:rFonts w:eastAsia="Times New Roman" w:cs="Times New Roman" w:ascii="Times New Roman" w:hAnsi="Times New Roman"/>
          <w:color w:val="111111"/>
          <w:sz w:val="28"/>
          <w:szCs w:val="28"/>
          <w:lang w:val="en-US"/>
        </w:rPr>
        <w:t xml:space="preserve"> Kisah-kisah dan perjalanan makrifat para Nabi Ilahi  merupakan contoh yang tepat untuk bisa menggambarkan  model-model tahapan perjalanan penyempurnaan manusia.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kisah-kisah itu, kisah Nabi Ibrahim a.s. merupakan </w:t>
      </w:r>
    </w:p>
    <w:p>
      <w:pPr>
        <w:pStyle w:val="BookText"/>
        <w:bidi w:val="0"/>
        <w:rPr/>
      </w:pPr>
      <w:r>
        <w:rPr>
          <w:rFonts w:eastAsia="Times New Roman" w:cs="Times New Roman" w:ascii="Times New Roman" w:hAnsi="Times New Roman"/>
          <w:color w:val="111111"/>
          <w:sz w:val="28"/>
          <w:szCs w:val="28"/>
          <w:lang w:val="en-US"/>
        </w:rPr>
        <w:t>contoh terbaik untuk menggambarkan hal ini. Beliau, dengan  tahapan perjalanan yang dilaluinya, mulai dari bintang, bulan,  dan matahari, pada akhirnya sampai kepada Sang Pencipta  langit dan bumi.</w:t>
      </w:r>
    </w:p>
    <w:p>
      <w:pPr>
        <w:pStyle w:val="BookText"/>
        <w:bidi w:val="0"/>
        <w:jc w:val="both"/>
        <w:rPr/>
      </w:pPr>
      <w:r>
        <w:rPr>
          <w:rFonts w:eastAsia="Times New Roman" w:cs="Times New Roman" w:ascii="Times New Roman" w:hAnsi="Times New Roman"/>
          <w:color w:val="111111"/>
          <w:sz w:val="28"/>
          <w:szCs w:val="28"/>
          <w:lang w:val="en-US"/>
        </w:rPr>
        <w:t>Aspek batin dari perjalanan ini menurut sudut pandang  ‘irfān adalah sebagai berikut: Nabi Ibrahim a.s. bermula dari  tingkatan jiwa (nafs), hati (qalb), dan ruh yang akhirnya sampai  kepada Tuhan Yang Mahamutlak dan terlepas dari segala  bentuk entifikasi dan definisi. Ketika melihat keyakinan jiwa  menjelma dengan terbitnya bintang, beliau berpindah dari  alam biasa ke alam nafs. Namun, karena melihat terbenamnya  bintang, beliau pun beranjak ke tingkatan qalb dengan  melihat kemunculan bulan. Setelah matahari terbit, beliau  pun menerima Ketuhanan ruh, dan kemudian beliau tunduk  kepada Tuhan Pencipta semuanya.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perjalanan ini, Nabi Ibrahin a.s. melewati tingkatan-  tingkatan indra, imajinasi, dan berpikir sehingga beliau sampai  ke tujuan. Dalam perjalanan ini, beliau harus melewati stasiun  (maqam) pertengahan atau barzakh terendah sampai ke  maqam tetinggi hingga akhirnya sampai ke alam akhirat. Dari  alam akhirat, perjalanan berlanjut ke alam asma dan sifat, dan  akhirnya sampai ke Ilahiyyah Muthlaq, yaitu kesatuan kolektif  (ahadiyyah jam'iyyah) tempat semua manifestasi makhluk,  asma dan sifat, serta entifikasi ilmi (ilmu) dan ‘aini (obyek  eksternal) menjadi fana. </w:t>
      </w:r>
      <w:r>
        <w:rPr>
          <w:rStyle w:val="FootnoteAnchor"/>
        </w:rPr>
        <w:footnoteReference w:id="136"/>
      </w:r>
      <w:bookmarkStart w:id="76" w:name="pg5928_44260"/>
    </w:p>
    <w:p>
      <w:pPr>
        <w:pStyle w:val="Heading3"/>
        <w:numPr>
          <w:ilvl w:val="2"/>
          <w:numId w:val="1"/>
        </w:numPr>
        <w:bidi w:val="0"/>
        <w:jc w:val="left"/>
        <w:rPr/>
      </w:pPr>
      <w:bookmarkStart w:id="77" w:name="__RefHeading___Toc5529738_581953129"/>
      <w:bookmarkStart w:id="78" w:name="_Toc26"/>
      <w:bookmarkEnd w:id="76"/>
      <w:bookmarkEnd w:id="77"/>
      <w:r>
        <w:rPr/>
        <w:t>Insan Kamil sebagai Perantara bagi Kesempurnaan Manusia Lainnya</w:t>
      </w:r>
      <w:bookmarkEnd w:id="78"/>
    </w:p>
    <w:p>
      <w:pPr>
        <w:pStyle w:val="BookText"/>
        <w:bidi w:val="0"/>
        <w:jc w:val="both"/>
        <w:rPr/>
      </w:pPr>
      <w:r>
        <w:rPr>
          <w:rFonts w:eastAsia="Times New Roman" w:cs="Times New Roman" w:ascii="Times New Roman" w:hAnsi="Times New Roman"/>
          <w:color w:val="111111"/>
          <w:sz w:val="28"/>
          <w:szCs w:val="28"/>
          <w:lang w:val="en-US"/>
        </w:rPr>
        <w:t>Sistem emanasi (faidh) memiliki peran penting dalam  penyempurnaan manusia. Faidh tanpa satu atau beberapa  perantara tidak mungkin sampai kepada makhluk. Tuhan  merupakan pelaku melalui manifestasi (fā'il bi tajallī), sedangkan  alam penciptaan merupakan jelmaan dari keindahan (jamāl).</w:t>
      </w:r>
    </w:p>
    <w:p>
      <w:pPr>
        <w:pStyle w:val="BookText"/>
        <w:bidi w:val="0"/>
        <w:jc w:val="both"/>
        <w:rPr/>
      </w:pPr>
      <w:r>
        <w:rPr>
          <w:rFonts w:eastAsia="Times New Roman" w:cs="Times New Roman" w:ascii="Times New Roman" w:hAnsi="Times New Roman"/>
          <w:color w:val="111111"/>
          <w:sz w:val="28"/>
          <w:szCs w:val="28"/>
          <w:lang w:val="en-US"/>
        </w:rPr>
        <w:t>Nya. Manifestasi ini tidak langsung, tetapi melewati perantara-  perantara sehingga setiap makhluk bisa mendapatkan emanasi  (faidh) Al-Haqq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tidak karena manifestasi asma, dunia akan  diliputi gelapnya ketiadaan dan buramnya kehampaan.</w:t>
      </w:r>
    </w:p>
    <w:p>
      <w:pPr>
        <w:pStyle w:val="BookText"/>
        <w:bidi w:val="0"/>
        <w:jc w:val="both"/>
        <w:rPr/>
      </w:pPr>
      <w:r>
        <w:rPr>
          <w:rFonts w:eastAsia="Times New Roman" w:cs="Times New Roman" w:ascii="Times New Roman" w:hAnsi="Times New Roman"/>
          <w:color w:val="111111"/>
          <w:sz w:val="28"/>
          <w:szCs w:val="28"/>
          <w:lang w:val="en-US"/>
        </w:rPr>
        <w:t>Itu karena, manifestasi esensial (tajalli dzātī) tidak  mungkin menjelma bagi setiap sesuatu yang ada  di alam ini, bahkan tidak bagi setiap hati para sālik,  kecuali terjadi pada tabir salah satu asma dan sifat....</w:t>
      </w:r>
    </w:p>
    <w:p>
      <w:pPr>
        <w:pStyle w:val="BookText"/>
        <w:bidi w:val="0"/>
        <w:jc w:val="both"/>
        <w:rPr/>
      </w:pPr>
      <w:r>
        <w:rPr>
          <w:rFonts w:eastAsia="Times New Roman" w:cs="Times New Roman" w:ascii="Times New Roman" w:hAnsi="Times New Roman"/>
          <w:color w:val="111111"/>
          <w:sz w:val="28"/>
          <w:szCs w:val="28"/>
          <w:lang w:val="en-US"/>
        </w:rPr>
        <w:t>Semua asma bermanifestasi dalam asma Allāh....</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Lewat asma ini, manifestasi terjadi pada entitas-entitas  tetap (a'yān tsābitah) setiap hakikat, kecuali entitas  tetap ('ain tsābit) insan kamil, di mana semua asma  bermanifestasi dengan manifestasi permulaan (tajalli  ibtidā') tanpa membutuhkan perantara. Begitu pula,  manifestasi objektif (tajalli ‘ainī) bermanifestasi pada  insan kamil lewat asma Allāh tanpa perantaraan satu  pun dari asma dan sifat, sedangkan manifestasi pada  setiap makhluk terjadi melalui perantaraan asma. Ini  merupakan rahasia Tuhan; mengapa para malaikat  disuruh bersujud kepada Adam a.s. dengan asma Al-  Muhith yang bermanifestasi kepada Adam a.s. .... Jika  tidak demikian, maka ia tidak akan bisa menguasai  semua asma. Karena Adam merupakan manifestasi  nama Tuhan yang paling agung (ism aʻzham) bagi  Allah, maka mandat khilafah Tuhan bagi setiap makhluk  diberikan kepadanya."</w:t>
      </w:r>
      <w:r>
        <w:rPr>
          <w:rStyle w:val="FootnoteAnchor"/>
        </w:rPr>
        <w:footnoteReference w:id="137"/>
      </w:r>
      <w:bookmarkStart w:id="79" w:name="pg5928_44261"/>
    </w:p>
    <w:p>
      <w:pPr>
        <w:pStyle w:val="BookText"/>
        <w:bidi w:val="0"/>
        <w:rPr/>
      </w:pPr>
      <w:bookmarkEnd w:id="79"/>
      <w:r>
        <w:rPr>
          <w:rFonts w:eastAsia="Times New Roman" w:cs="Times New Roman" w:ascii="Times New Roman" w:hAnsi="Times New Roman"/>
          <w:color w:val="111111"/>
          <w:sz w:val="28"/>
          <w:szCs w:val="28"/>
          <w:lang w:val="en-US"/>
        </w:rPr>
        <w:t>Banyak hadits yang menyatakan bahwa insan kamil adalah  perantara menuju kesempurnaan bagi setiap makhluk dalam  perjalanan turun (qaus nuzūlī) eksistensi. Meskipun dengan  kalimat yang berbeda-beda dan istilah yang bermacam-macam,  riwayat-riwayat tersebut menyinggung sumber pertama (shādir  awwal). Begitu pula, dengan perjalanan naik (qaus shu’ūdi),  insan kamil merupakan perantara dalam kembalinya setiap  makhluk kepada Al-Haqq Swt.. Terdapat teks-teks yang bisa  menjadi dalil bagi klaim ini, seperti Kembalinya makhluk kepada  kalian dan hisab mereka atas kalian.... Dengan kalian, Allah  memulai dan dengan kalian pula, Dia mengakhiri;</w:t>
      </w:r>
      <w:r>
        <w:rPr>
          <w:rStyle w:val="FootnoteAnchor"/>
        </w:rPr>
        <w:footnoteReference w:id="138"/>
      </w:r>
      <w:r>
        <w:rPr>
          <w:rFonts w:eastAsia="Times New Roman" w:cs="Times New Roman" w:ascii="Times New Roman" w:hAnsi="Times New Roman"/>
          <w:color w:val="111111"/>
          <w:sz w:val="28"/>
          <w:szCs w:val="28"/>
          <w:lang w:val="en-US"/>
        </w:rPr>
        <w:t>dan ayat  Al-Quran, “Sesungguhnya kepada Kamilah kembali mereka.</w:t>
      </w:r>
    </w:p>
    <w:p>
      <w:pPr>
        <w:pStyle w:val="BookText"/>
        <w:bidi w:val="0"/>
        <w:jc w:val="both"/>
        <w:rPr/>
      </w:pPr>
      <w:r>
        <w:rPr>
          <w:rFonts w:eastAsia="Times New Roman" w:cs="Times New Roman" w:ascii="Times New Roman" w:hAnsi="Times New Roman"/>
          <w:color w:val="111111"/>
          <w:sz w:val="28"/>
          <w:szCs w:val="28"/>
          <w:lang w:val="en-US"/>
        </w:rPr>
        <w:t>Kemudian sesungguhnya kewajiban Kamilah menghisab  mereka."</w:t>
      </w:r>
      <w:r>
        <w:rPr>
          <w:rStyle w:val="FootnoteAnchor"/>
        </w:rPr>
        <w:footnoteReference w:id="139"/>
      </w:r>
      <w:r>
        <w:rPr>
          <w:rFonts w:eastAsia="Times New Roman" w:cs="Times New Roman" w:ascii="Times New Roman" w:hAnsi="Times New Roman"/>
          <w:color w:val="111111"/>
          <w:sz w:val="28"/>
          <w:szCs w:val="28"/>
          <w:lang w:val="en-US"/>
        </w:rPr>
        <w:t xml:space="preserve"> “Kembali kepada insan kamil adalah kembali kepada  Allah, karena insan kamil fana mutlak dan abadi  dengan keabadian Allah. Diri insan kamil tidak memiliki  entifikasi eksistensial (taʻayyun inniyyah) dan keakuan  (anāniyyah), tetapi dirinya adalah bagian dari asmaul  husna dan ism aʼzham."</w:t>
      </w:r>
      <w:r>
        <w:rPr>
          <w:rStyle w:val="FootnoteAnchor"/>
        </w:rPr>
        <w:footnoteReference w:id="140"/>
      </w:r>
    </w:p>
    <w:p>
      <w:pPr>
        <w:pStyle w:val="Heading3"/>
        <w:numPr>
          <w:ilvl w:val="2"/>
          <w:numId w:val="1"/>
        </w:numPr>
        <w:bidi w:val="0"/>
        <w:jc w:val="left"/>
        <w:rPr/>
      </w:pPr>
      <w:bookmarkStart w:id="80" w:name="__RefHeading___Toc5529740_581953129"/>
      <w:bookmarkStart w:id="81" w:name="_Toc27"/>
      <w:bookmarkEnd w:id="80"/>
      <w:r>
        <w:rPr/>
        <w:t>Tingkatan Nafs dan Maqam Manusia</w:t>
      </w:r>
      <w:bookmarkEnd w:id="81"/>
    </w:p>
    <w:p>
      <w:pPr>
        <w:pStyle w:val="BookText"/>
        <w:bidi w:val="0"/>
        <w:jc w:val="both"/>
        <w:rPr/>
      </w:pPr>
      <w:r>
        <w:rPr>
          <w:rFonts w:eastAsia="Times New Roman" w:cs="Times New Roman" w:ascii="Times New Roman" w:hAnsi="Times New Roman"/>
          <w:color w:val="111111"/>
          <w:sz w:val="28"/>
          <w:szCs w:val="28"/>
          <w:lang w:val="en-US"/>
        </w:rPr>
        <w:t>Nafs (jiwa) manusia memiliki tingkatan dan jelmaan yang  berbeda-beda. Pada kajian ini, bisa kita saksikan sebagian  istilah yang biasa digunakan dalam kajian Antropologi Filosofis,  ‘irfāni, dan fungsinya dalam penafsiran teks-teks agama.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Nafs Al-Nāthiqah  Walaupun ia sebuah hakikat yang sederhana (basīth),  dalam kesederhanaannya, ia memiliki nasy'ah (konfigurasi):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Nasy'ah dunyāwiyyah zhāhiriyyah, pancaindra lahiriah  merupakan manifestasinya dan badan malaki adalah  rumah baginya.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Nasy'ah barzakhiyyah, indra batin, badan barzakhi, dan  bentuk mitsāli-nya merupakan manifestasi baginya.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Nasy'ah ghaibiyyah bāthiniyyah, hati dan dimensi-  dimensinya merupakan manifestasi baginya.</w:t>
      </w:r>
    </w:p>
    <w:p>
      <w:pPr>
        <w:pStyle w:val="BookText"/>
        <w:bidi w:val="0"/>
        <w:jc w:val="both"/>
        <w:rPr/>
      </w:pPr>
      <w:r>
        <w:rPr>
          <w:rFonts w:eastAsia="Times New Roman" w:cs="Times New Roman" w:ascii="Times New Roman" w:hAnsi="Times New Roman"/>
          <w:color w:val="111111"/>
          <w:sz w:val="28"/>
          <w:szCs w:val="28"/>
          <w:lang w:val="en-US"/>
        </w:rPr>
        <w:t>Hubungan antara satu tingkatan dan tingkatan yang lain  adalah seperti hubungan antara lahir dan batin, atau hubungan  antara manifestasi dan subyek yang bermanifestasi (mutajallī).</w:t>
      </w:r>
    </w:p>
    <w:p>
      <w:pPr>
        <w:pStyle w:val="BookText"/>
        <w:bidi w:val="0"/>
        <w:jc w:val="both"/>
        <w:rPr/>
      </w:pPr>
      <w:r>
        <w:rPr>
          <w:rFonts w:eastAsia="Times New Roman" w:cs="Times New Roman" w:ascii="Times New Roman" w:hAnsi="Times New Roman"/>
          <w:color w:val="111111"/>
          <w:sz w:val="28"/>
          <w:szCs w:val="28"/>
          <w:lang w:val="en-US"/>
        </w:rPr>
        <w:t>Dengan memperhatikan ketiga tingkatan yang ada pada  manusia, mesti menjadi peringatan bahwa dengan alasan apa  pun, tidak dibenarkan menyalahkan adab-adab, taklif-taklif  lahiriah, dan menyepelekan hal-hal tersebut dalam perannya  bagi kesempurnaan manusia.</w:t>
      </w:r>
    </w:p>
    <w:p>
      <w:pPr>
        <w:pStyle w:val="BookText"/>
        <w:bidi w:val="0"/>
        <w:jc w:val="both"/>
        <w:rPr/>
      </w:pPr>
      <w:r>
        <w:rPr>
          <w:rFonts w:eastAsia="Times New Roman" w:cs="Times New Roman" w:ascii="Times New Roman" w:hAnsi="Times New Roman"/>
          <w:color w:val="111111"/>
          <w:sz w:val="28"/>
          <w:szCs w:val="28"/>
          <w:lang w:val="en-US"/>
        </w:rPr>
        <w:t>"... seluruh adab lahiriah syariat sangat berpengaruh  terhadap batin manusia. Setiap akhlak yang mulia  merupakan bagian dari tingkatan maqam nafs yang  memiliki peran penting bagi lahir dan batin manusia.</w:t>
      </w:r>
    </w:p>
    <w:p>
      <w:pPr>
        <w:pStyle w:val="BookText"/>
        <w:bidi w:val="0"/>
        <w:jc w:val="both"/>
        <w:rPr/>
      </w:pPr>
      <w:r>
        <w:rPr>
          <w:rFonts w:eastAsia="Times New Roman" w:cs="Times New Roman" w:ascii="Times New Roman" w:hAnsi="Times New Roman"/>
          <w:color w:val="111111"/>
          <w:sz w:val="28"/>
          <w:szCs w:val="28"/>
          <w:lang w:val="en-US"/>
        </w:rPr>
        <w:t>Setiap pengetahuan Ilahiah dan akidah yang hak sangat  memengaruhi dimensi-dimensi barzakhī dan zhāhiri."</w:t>
      </w:r>
      <w:r>
        <w:rPr>
          <w:rStyle w:val="FootnoteAnchor"/>
        </w:rPr>
        <w:footnoteReference w:id="141"/>
      </w:r>
      <w:r>
        <w:rPr>
          <w:rFonts w:eastAsia="Times New Roman" w:cs="Times New Roman" w:ascii="Times New Roman" w:hAnsi="Times New Roman"/>
          <w:color w:val="111111"/>
          <w:sz w:val="28"/>
          <w:szCs w:val="28"/>
          <w:lang w:val="en-US"/>
        </w:rPr>
        <w:t xml:space="preserve"> B. Dalam istilah lain, manusia memiliki empat tingkatan dan  maqam, di antaranya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Malak.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Malakūt.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Jabarūt.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Lāhūt. </w:t>
      </w:r>
      <w:bookmarkStart w:id="82" w:name="pg5928_44263"/>
    </w:p>
    <w:p>
      <w:pPr>
        <w:pStyle w:val="BookText"/>
        <w:bidi w:val="0"/>
        <w:rPr/>
      </w:pPr>
      <w:bookmarkEnd w:id="82"/>
      <w:r>
        <w:rPr>
          <w:rFonts w:eastAsia="Times New Roman" w:cs="Times New Roman" w:ascii="Times New Roman" w:hAnsi="Times New Roman"/>
          <w:color w:val="111111"/>
          <w:sz w:val="28"/>
          <w:szCs w:val="28"/>
          <w:lang w:val="en-US"/>
        </w:rPr>
        <w:t>C. Atau dalam istilah lain, manusia memiliki lima maqam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Maqām syahādah muthlaq.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Maqām ghaib muthlaq.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Maqām syahādah mudhāf.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Maqām ghaib mudhāf.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Maqām kaun jāmi'.</w:t>
      </w:r>
    </w:p>
    <w:p>
      <w:pPr>
        <w:pStyle w:val="BookText"/>
        <w:bidi w:val="0"/>
        <w:jc w:val="both"/>
        <w:rPr/>
      </w:pPr>
      <w:r>
        <w:rPr>
          <w:rFonts w:eastAsia="Times New Roman" w:cs="Times New Roman" w:ascii="Times New Roman" w:hAnsi="Times New Roman"/>
          <w:color w:val="111111"/>
          <w:sz w:val="28"/>
          <w:szCs w:val="28"/>
          <w:lang w:val="en-US"/>
        </w:rPr>
        <w:t>D. Dengan istilah lain, 7 maqam yang dimiliki manusia,  masyhur di kalangan urafa dengan istilah 7 Kota Cinta  atau 7 iklim wujud. Dengan kata lain, terdapat banyak  maqam lain yang dimiliki manusia, seperti dalam istilah  yang lebih detail lagi, bahwa manusia memiliki 100 atau  1000 stasiun (manzil) dan kedudukan</w:t>
      </w:r>
      <w:r>
        <w:rPr>
          <w:rStyle w:val="FootnoteAnchor"/>
        </w:rPr>
        <w:footnoteReference w:id="1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3" w:name="__RefHeading___Toc5529742_581953129"/>
      <w:bookmarkStart w:id="84" w:name="_Toc28"/>
      <w:bookmarkEnd w:id="83"/>
      <w:r>
        <w:rPr/>
        <w:t>Awal dan Akhir Kesempurnaan</w:t>
      </w:r>
      <w:bookmarkEnd w:id="84"/>
    </w:p>
    <w:p>
      <w:pPr>
        <w:pStyle w:val="BookText"/>
        <w:bidi w:val="0"/>
        <w:jc w:val="both"/>
        <w:rPr/>
      </w:pPr>
      <w:r>
        <w:rPr>
          <w:rFonts w:eastAsia="Times New Roman" w:cs="Times New Roman" w:ascii="Times New Roman" w:hAnsi="Times New Roman"/>
          <w:color w:val="111111"/>
          <w:sz w:val="28"/>
          <w:szCs w:val="28"/>
          <w:lang w:val="en-US"/>
        </w:rPr>
        <w:t>Inti dari mi'raj manusia adalah ketundukannya pada  keagungan rububiah dan kehinaan dalam ibadahnya. Keakuan  dan keangkuhan merupakan tabir yang paling tebal dan  paling gelap. Membakar tabir ini merupakan langkah awal  dalam menghilangkan tabir-tabir selanjutnya. Tanpa melewati  tahapan ini, siapa pun jangan berharap bisa berhasil dalam  tahapan-tahapan berikutnya.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Salah satu kunci alam gaib dan alam nyata (syahādah),  serta salah satu pintu untuk masuk ke dalam  kesempurnaan ruhani adalah membakar tabir ini....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Syarat awal sulūk menuju Allah adalah melewati  tahapan ini. Bahkan, ini merupakan tolak ukur dalam  menentukan apakah suatu riyādhah benar atau salah.</w:t>
      </w:r>
      <w:r>
        <w:rPr>
          <w:rStyle w:val="FootnoteAnchor"/>
        </w:rPr>
        <w:footnoteReference w:id="143"/>
      </w:r>
      <w:r>
        <w:rPr>
          <w:rFonts w:eastAsia="Times New Roman" w:cs="Times New Roman" w:ascii="Times New Roman" w:hAnsi="Times New Roman"/>
          <w:color w:val="111111"/>
          <w:sz w:val="28"/>
          <w:szCs w:val="28"/>
          <w:lang w:val="en-US"/>
        </w:rPr>
        <w:t xml:space="preserve"> Ketika keakuan, egoisme, dan keangkuhan menguasai  manusia, ia akan menjauh dari kesempurnaan manusia </w:t>
      </w:r>
    </w:p>
    <w:p>
      <w:pPr>
        <w:pStyle w:val="BookText"/>
        <w:bidi w:val="0"/>
        <w:rPr/>
      </w:pPr>
      <w:r>
        <w:rPr>
          <w:rFonts w:eastAsia="Times New Roman" w:cs="Times New Roman" w:ascii="Times New Roman" w:hAnsi="Times New Roman"/>
          <w:color w:val="111111"/>
          <w:sz w:val="28"/>
          <w:szCs w:val="28"/>
          <w:lang w:val="en-US"/>
        </w:rPr>
        <w:t>dan akan kehilangan maqam kedekatan dengan Tuhan  (qurb rubūbī). "</w:t>
      </w:r>
      <w:r>
        <w:rPr>
          <w:rStyle w:val="FootnoteAnchor"/>
        </w:rPr>
        <w:footnoteReference w:id="144"/>
      </w:r>
      <w:r>
        <w:rPr>
          <w:rFonts w:eastAsia="Times New Roman" w:cs="Times New Roman" w:ascii="Times New Roman" w:hAnsi="Times New Roman"/>
          <w:color w:val="111111"/>
          <w:sz w:val="28"/>
          <w:szCs w:val="28"/>
          <w:lang w:val="en-US"/>
        </w:rPr>
        <w:t xml:space="preserve"> Ibadah disyariatkan semata-mata agar hal tersebut bisa  tercapai. Dalam semua ibadah, di dalamnya tersembunyi kedua  maqam ini: maqam keagungan rububiah yang merupakan  hakikat dan maqam kerendahan ubudiah. Dari semua ibadah,  salat memiliki kududukan khusus dalam mencapai hal itu. Dari  dimensi luarnya, salat merupakan zikir yang agung (dzikr kabīr)  dan menyeluruh, serta merupakan pengagungan ism aʼzham-  di dalamnya terkumpul semua maqam uluhiah – Sementara  itu dari dimensi batinnya, salat merupakan mi'raj kedekatan  (qurb) kepada Al-Haqq Swt., dan hakikat yang mengantarkan  ke dalam keindahan mutlak dan fana dalam Dzāt suci-Nya.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Kesempurnaan mutlak adalah sampainya seseorang  di dalam fana dalam Allah (fanā' Allāh) dan bergabung  dengan lautan Tuhan yang tidak terbatas, menyaksikan  keindahan, dan tenggelam dalam samudra Cahaya  Mutlak. Itu semua bisa tercapai dengan salat."</w:t>
      </w:r>
      <w:r>
        <w:rPr>
          <w:rStyle w:val="FootnoteAnchor"/>
        </w:rPr>
        <w:footnoteReference w:id="145"/>
      </w:r>
      <w:r>
        <w:rPr>
          <w:rFonts w:eastAsia="Times New Roman" w:cs="Times New Roman" w:ascii="Times New Roman" w:hAnsi="Times New Roman"/>
          <w:color w:val="111111"/>
          <w:sz w:val="28"/>
          <w:szCs w:val="28"/>
          <w:lang w:val="en-US"/>
        </w:rPr>
        <w:t xml:space="preserve"> Melewati penyembahan diri dan melepaskan keakuan  tidak harus terus dilakukan dalam setiap tahapan hingga  akhirnya ia menyaksikan Al-Haqq Swt. dan fana dalam dzāt  mutlak-Nya, tahapan itu merupakan tahapan dan tujuan  tertinggi  "Tujuan penciptaan manusia adalah alam gaib mutlak,  dan di antara semua makhluk, ia merupakan pilihan  (mushthafā). Tujuan perjalanannya adalah untuk  sampai ke pintu Allah, dan fana dalam dzāt Allah,  serta tengelam dalam fana dalam Allah. Ma'ād (tempat  kembali) adalah kepada Allah, dari Allah, dalam Allah, </w:t>
      </w:r>
      <w:bookmarkStart w:id="85" w:name="pg5928_44265"/>
    </w:p>
    <w:p>
      <w:pPr>
        <w:pStyle w:val="BookText"/>
        <w:bidi w:val="0"/>
        <w:rPr/>
      </w:pPr>
      <w:bookmarkEnd w:id="85"/>
      <w:r>
        <w:rPr>
          <w:rFonts w:eastAsia="Times New Roman" w:cs="Times New Roman" w:ascii="Times New Roman" w:hAnsi="Times New Roman"/>
          <w:color w:val="111111"/>
          <w:sz w:val="28"/>
          <w:szCs w:val="28"/>
          <w:lang w:val="en-US"/>
        </w:rPr>
        <w:t>serta dengan Allah, seperti disebutkan dalam Al-Quran,  'Sesungguhnya kepada kami kembalinya mereka.''</w:t>
      </w:r>
      <w:r>
        <w:rPr>
          <w:rStyle w:val="FootnoteAnchor"/>
        </w:rPr>
        <w:footnoteReference w:id="146"/>
      </w:r>
    </w:p>
    <w:p>
      <w:pPr>
        <w:pStyle w:val="Heading3"/>
        <w:numPr>
          <w:ilvl w:val="2"/>
          <w:numId w:val="1"/>
        </w:numPr>
        <w:bidi w:val="0"/>
        <w:jc w:val="left"/>
        <w:rPr/>
      </w:pPr>
      <w:bookmarkStart w:id="86" w:name="__RefHeading___Toc5529744_581953129"/>
      <w:bookmarkStart w:id="87" w:name="_Toc29"/>
      <w:bookmarkEnd w:id="86"/>
      <w:r>
        <w:rPr/>
        <w:t>Kosmologi</w:t>
      </w:r>
      <w:bookmarkEnd w:id="87"/>
    </w:p>
    <w:p>
      <w:pPr>
        <w:pStyle w:val="BookText"/>
        <w:bidi w:val="0"/>
        <w:jc w:val="both"/>
        <w:rPr/>
      </w:pPr>
      <w:r>
        <w:rPr>
          <w:rFonts w:eastAsia="Times New Roman" w:cs="Times New Roman" w:ascii="Times New Roman" w:hAnsi="Times New Roman"/>
          <w:color w:val="111111"/>
          <w:sz w:val="28"/>
          <w:szCs w:val="28"/>
          <w:lang w:val="en-US"/>
        </w:rPr>
        <w:t>Menurut istilah agama, alam selain Allah disebut khalq.</w:t>
      </w:r>
    </w:p>
    <w:p>
      <w:pPr>
        <w:pStyle w:val="BookText"/>
        <w:bidi w:val="0"/>
        <w:jc w:val="both"/>
        <w:rPr/>
      </w:pPr>
      <w:r>
        <w:rPr>
          <w:rFonts w:eastAsia="Times New Roman" w:cs="Times New Roman" w:ascii="Times New Roman" w:hAnsi="Times New Roman"/>
          <w:color w:val="111111"/>
          <w:sz w:val="28"/>
          <w:szCs w:val="28"/>
          <w:lang w:val="en-US"/>
        </w:rPr>
        <w:t>Untuk mengkaji esensi, semua makhluk dibutuhkan prinsip-  prinsip filosofis dan logika yang kuat. Yang menjadi perhatian  dalam prinsip-prinsip Filsafat Islam adalah kesatuan penguasa  (wahdah hakim) atas segala aturan alam. Semua kesatuan yang  selaras, satu tujuan dan saling berhubungan ini menunjukkan  adanya subjek (fā'il), dan sebab menjadikannya ada (mūjid).</w:t>
      </w:r>
    </w:p>
    <w:p>
      <w:pPr>
        <w:pStyle w:val="BookText"/>
        <w:bidi w:val="0"/>
        <w:jc w:val="both"/>
        <w:rPr/>
      </w:pPr>
      <w:r>
        <w:rPr>
          <w:rFonts w:eastAsia="Times New Roman" w:cs="Times New Roman" w:ascii="Times New Roman" w:hAnsi="Times New Roman"/>
          <w:color w:val="111111"/>
          <w:sz w:val="28"/>
          <w:szCs w:val="28"/>
          <w:lang w:val="en-US"/>
        </w:rPr>
        <w:t>Dalam bahasa filsafat, bisa dilihat perhatian penuh tertuju  pada dasar-dasar pembahasan ini. Hal ini akan tampak  dalam hubungan Yang Esa dan yang beraneka; dan dalam hal  kemunculan beraneka dari Yang Esa dan kembalinya yang  beraneka kepada Yang Esa.</w:t>
      </w:r>
    </w:p>
    <w:p>
      <w:pPr>
        <w:pStyle w:val="BookText"/>
        <w:bidi w:val="0"/>
        <w:jc w:val="both"/>
        <w:rPr/>
      </w:pPr>
      <w:r>
        <w:rPr>
          <w:rFonts w:eastAsia="Times New Roman" w:cs="Times New Roman" w:ascii="Times New Roman" w:hAnsi="Times New Roman"/>
          <w:color w:val="111111"/>
          <w:sz w:val="28"/>
          <w:szCs w:val="28"/>
          <w:lang w:val="en-US"/>
        </w:rPr>
        <w:t>Kajian tentang sebab akibat dalam bentuk filosofis khas  sangat membantu memperkuat landasan untuk mengkaji  pembahasan kosmologi. Dalam kajian filosofis yang umum,  pembahasan serupa, seperti pembahasan tentang wajib dan  mungkin pembahasan lain, bisa mengisi kekosongan yang  mungkin ada.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Imam Khomeini, kajian-kajian filosofis  yang diungkap memiliki bentuk yang lebih tinggi, bisa dilihat  dari aspek dzauq ‘irfāni, istilah-istilah, dan kata-kata yang  diambil dari teks-teks agama. Dalam sudut pandang ini,  penjelasan tentang alam wujud mumkin yang bersumber  dari sumber pertama tidak mungkin dibenarkan. Oleh karena  itu, penekanan pada kesubjekan (fā'iliyyah) Ilahi merupakan </w:t>
      </w:r>
    </w:p>
    <w:p>
      <w:pPr>
        <w:pStyle w:val="BookText"/>
        <w:bidi w:val="0"/>
        <w:rPr/>
      </w:pPr>
      <w:r>
        <w:rPr>
          <w:rFonts w:eastAsia="Times New Roman" w:cs="Times New Roman" w:ascii="Times New Roman" w:hAnsi="Times New Roman"/>
          <w:color w:val="111111"/>
          <w:sz w:val="28"/>
          <w:szCs w:val="28"/>
          <w:lang w:val="en-US"/>
        </w:rPr>
        <w:t>butir utama dalam kajian tersebut, terutama pandangannya  tentang panteisme (wahdah al-wujūd) yang membuat  teori yang dikemukakannya memiliki kekhususan. Ketika  berbicara tentang manifestasi, semua hal yang tergolong  ke dalam fenomena-fenomena manifestasi sekalipun diakui  keberadaannya, tidak bisa dikatakan eksistensi yang berdiri  sendiri dari sumbernya.</w:t>
      </w:r>
    </w:p>
    <w:p>
      <w:pPr>
        <w:pStyle w:val="BookText"/>
        <w:bidi w:val="0"/>
        <w:jc w:val="both"/>
        <w:rPr/>
      </w:pPr>
      <w:r>
        <w:rPr>
          <w:rFonts w:eastAsia="Times New Roman" w:cs="Times New Roman" w:ascii="Times New Roman" w:hAnsi="Times New Roman"/>
          <w:color w:val="111111"/>
          <w:sz w:val="28"/>
          <w:szCs w:val="28"/>
          <w:lang w:val="en-US"/>
        </w:rPr>
        <w:t>Perhatian terhadap butir penting ini akan memunculkan  metode kajian tersendiri tentang makhluk. Para urafa Islam,  dengan melihat teks-teks yang sangat kaya dari hadits dan  Al-Quran, berusaha mengkaji hal tersebut. Bahkan, mereka  berusaha untuk menggunakan istilah-istilah yang ada dalam  teks-teks tersebut. Oleh karena itu, bisa dilihat dengan jelas  perbedaan istilah yang mereka gunakan yang diambil dari teks-  teks agama dengan istilah-istilah yang digunakan oleh para  filsuf. Sebagai ganti istilah hukum kausalitas yang dipakai oleh  para filsuf untuk menjelaskan proses penciptaan alam, mereka  menggunakan istilah 'sistem asma' untuk menjelaskan masalah  ini. Karena melihat adanya kekurangan dalam kajian-kajian  filosofis tentang proses penciptaan alam, Hikmah Mutaʻāliyah  berusaha menutup kekurangan ini dengan metode khusus  yang digunakannya.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teks agama yang menyandarkan emanasi Ilahi  pada asma Ilahi. Meskipun untuk membentuk sebuah sistem  dibutuhkan asas dan fondasi hukum tersendiri, para Arif Islam  lebih bertumpu pada teks-teks agama dan berusaha mengkaji  masalah ini dengan berpedoman pada teks-teks tersebut  dibanding kelompok lain. Dalam pandangan mereka, segenap </w:t>
      </w:r>
    </w:p>
    <w:p>
      <w:pPr>
        <w:pStyle w:val="BookText"/>
        <w:bidi w:val="0"/>
        <w:rPr/>
      </w:pPr>
      <w:r>
        <w:rPr>
          <w:rFonts w:eastAsia="Times New Roman" w:cs="Times New Roman" w:ascii="Times New Roman" w:hAnsi="Times New Roman"/>
          <w:color w:val="111111"/>
          <w:sz w:val="28"/>
          <w:szCs w:val="28"/>
          <w:lang w:val="en-US"/>
        </w:rPr>
        <w:t>eksistensi membentuk satu kesatuan, yaitu nama (ism), objek  yang dinamai (musammā), lahiriah, dan manifestasinya.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semua bangunan hakikat, mulai dari puncak  tertinggi: alam spiritual ('üqul muhaiminah qādisah)  hingga alam terendah: alam materi (alam tabiat)  merupakan manifestasi maqam nama Allah Yang  Agung, dan juga merupakan manifestasi dari kehendak  mutlak yang disebut dengan umm asmā' fi'liyyah.</w:t>
      </w:r>
    </w:p>
    <w:p>
      <w:pPr>
        <w:pStyle w:val="BookText"/>
        <w:bidi w:val="0"/>
        <w:jc w:val="both"/>
        <w:rPr/>
      </w:pPr>
      <w:r>
        <w:rPr>
          <w:rFonts w:eastAsia="Times New Roman" w:cs="Times New Roman" w:ascii="Times New Roman" w:hAnsi="Times New Roman"/>
          <w:color w:val="111111"/>
          <w:sz w:val="28"/>
          <w:szCs w:val="28"/>
          <w:lang w:val="en-US"/>
        </w:rPr>
        <w:t>Seperti dikatakan, manifestasi eksistensi adalah dengan  bismillāhirrahmānirrahim ... dengan nama Allah, semua  eksistensi adalah entifikasi lahir, bahkan ia adalah nama  Allah, dan dalam kontemplasi ini, semua asma memiliki  bentuk yang bermacam-macam ...."</w:t>
      </w:r>
      <w:r>
        <w:rPr>
          <w:rStyle w:val="FootnoteAnchor"/>
        </w:rPr>
        <w:footnoteReference w:id="147"/>
      </w:r>
      <w:r>
        <w:rPr>
          <w:rFonts w:eastAsia="Times New Roman" w:cs="Times New Roman" w:ascii="Times New Roman" w:hAnsi="Times New Roman"/>
          <w:color w:val="111111"/>
          <w:sz w:val="28"/>
          <w:szCs w:val="28"/>
          <w:lang w:val="en-US"/>
        </w:rPr>
        <w:t xml:space="preserve"> Teks yang dianggap sempurna oleh Imam Khomeini dalam  menafsirkan alam semesta adalah bismillāhirrahmānirrahim  dan Surah Al-hamd (Al-Fātihah).</w:t>
      </w:r>
    </w:p>
    <w:p>
      <w:pPr>
        <w:pStyle w:val="BookText"/>
        <w:bidi w:val="0"/>
        <w:jc w:val="both"/>
        <w:rPr/>
      </w:pPr>
      <w:r>
        <w:rPr>
          <w:rFonts w:eastAsia="Times New Roman" w:cs="Times New Roman" w:ascii="Times New Roman" w:hAnsi="Times New Roman"/>
          <w:color w:val="111111"/>
          <w:sz w:val="28"/>
          <w:szCs w:val="28"/>
          <w:lang w:val="en-US"/>
        </w:rPr>
        <w:t>"Dalam bismillāhirrahmānirrahim tercakup segenap  alam eksistensi dalam bentuk umum, sedangkan dalam  Surah Al-hamd disebutkan secara terperinci. "</w:t>
      </w:r>
      <w:r>
        <w:rPr>
          <w:rStyle w:val="FootnoteAnchor"/>
        </w:rPr>
        <w:footnoteReference w:id="148"/>
      </w:r>
      <w:r>
        <w:rPr>
          <w:rFonts w:eastAsia="Times New Roman" w:cs="Times New Roman" w:ascii="Times New Roman" w:hAnsi="Times New Roman"/>
          <w:color w:val="111111"/>
          <w:sz w:val="28"/>
          <w:szCs w:val="28"/>
          <w:lang w:val="en-US"/>
        </w:rPr>
        <w:t xml:space="preserve"> Dalam penafsiran frase bismillāh, biasanya dikatakan  bahwa huruf bā' adalah bā' sababiyyah (menunjukkan sebab).</w:t>
      </w:r>
    </w:p>
    <w:p>
      <w:pPr>
        <w:pStyle w:val="BookText"/>
        <w:bidi w:val="0"/>
        <w:jc w:val="both"/>
        <w:rPr/>
      </w:pPr>
      <w:r>
        <w:rPr>
          <w:rFonts w:eastAsia="Times New Roman" w:cs="Times New Roman" w:ascii="Times New Roman" w:hAnsi="Times New Roman"/>
          <w:color w:val="111111"/>
          <w:sz w:val="28"/>
          <w:szCs w:val="28"/>
          <w:lang w:val="en-US"/>
        </w:rPr>
        <w:t>Namun dalam kajian ini, huruf bā' tidak menunjukkan sebab  sehingga hubungan antara Al-Haqq Swt. dan makhluk tidak  dalam bentuk hukum sebab akibat, tetapi berupa manifestasi  dan penampakan. Bagian lain dari teks agama yang mendukung  penjelasan tersebut adalah: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Yang Awal dan Yang Akhir, Yang Zahir dan Yang  Batin."</w:t>
      </w:r>
      <w:r>
        <w:rPr>
          <w:rStyle w:val="FootnoteAnchor"/>
        </w:rPr>
        <w:footnoteReference w:id="149"/>
      </w:r>
      <w:r>
        <w:rPr>
          <w:rFonts w:eastAsia="Times New Roman" w:cs="Times New Roman" w:ascii="Times New Roman" w:hAnsi="Times New Roman"/>
          <w:color w:val="111111"/>
          <w:sz w:val="28"/>
          <w:szCs w:val="28"/>
          <w:lang w:val="en-US"/>
        </w:rPr>
        <w:t xml:space="preserve"> “Tatkala Tuhannya menampakkan diri kepada gunung  itu."</w:t>
      </w:r>
      <w:r>
        <w:rPr>
          <w:rStyle w:val="FootnoteAnchor"/>
        </w:rPr>
        <w:footnoteReference w:id="150"/>
      </w:r>
    </w:p>
    <w:p>
      <w:pPr>
        <w:pStyle w:val="BookText"/>
        <w:bidi w:val="0"/>
        <w:rPr/>
      </w:pPr>
      <w:r>
        <w:rPr>
          <w:rFonts w:eastAsia="Times New Roman" w:cs="Times New Roman" w:ascii="Times New Roman" w:hAnsi="Times New Roman"/>
          <w:color w:val="111111"/>
          <w:sz w:val="28"/>
          <w:szCs w:val="28"/>
          <w:lang w:val="en-US"/>
        </w:rPr>
        <w:t>Dengan meneliti lebih dalam ayat-ayat ini, akan diperoleh  ungkapan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Segala yang tampak adalah Dia.</w:t>
      </w:r>
      <w:r>
        <w:rPr>
          <w:rStyle w:val="FootnoteAnchor"/>
        </w:rPr>
        <w:footnoteReference w:id="151"/>
      </w:r>
      <w:r>
        <w:rPr>
          <w:rFonts w:eastAsia="Times New Roman" w:cs="Times New Roman" w:ascii="Times New Roman" w:hAnsi="Times New Roman"/>
          <w:color w:val="111111"/>
          <w:sz w:val="28"/>
          <w:szCs w:val="28"/>
          <w:lang w:val="en-US"/>
        </w:rPr>
        <w:t xml:space="preserve"> Maka eksistensi selain Dia, di hadapan Al-Haqq Swt.,  adalah ketiadaan. Al-Haqq Swt. tidak memiliki lawan  ... sama sekali tidak ada eksistensi lain di hadapan  Eksistensi Mutlak.</w:t>
      </w:r>
      <w:r>
        <w:rPr>
          <w:rStyle w:val="FootnoteAnchor"/>
        </w:rPr>
        <w:footnoteReference w:id="152"/>
      </w:r>
      <w:r>
        <w:rPr>
          <w:rFonts w:eastAsia="Times New Roman" w:cs="Times New Roman" w:ascii="Times New Roman" w:hAnsi="Times New Roman"/>
          <w:color w:val="111111"/>
          <w:sz w:val="28"/>
          <w:szCs w:val="28"/>
          <w:lang w:val="en-US"/>
        </w:rPr>
        <w:t xml:space="preserve"> Untuk lebih mendekatkan pemahaman pada akal  manusia, terdapat berbagai contoh yang dikemukakan  oleh ahli makrifat seperti bayangan dan pemilik  bayangan. Namun, contoh yang paling tepat adalah  perumpamaan antara gelombang dan lautan.</w:t>
      </w:r>
    </w:p>
    <w:p>
      <w:pPr>
        <w:pStyle w:val="BookText"/>
        <w:bidi w:val="0"/>
        <w:jc w:val="both"/>
        <w:rPr/>
      </w:pPr>
      <w:r>
        <w:rPr>
          <w:rFonts w:eastAsia="Times New Roman" w:cs="Times New Roman" w:ascii="Times New Roman" w:hAnsi="Times New Roman"/>
          <w:color w:val="111111"/>
          <w:sz w:val="28"/>
          <w:szCs w:val="28"/>
          <w:lang w:val="en-US"/>
        </w:rPr>
        <w:t>Perumpamaan seperti matahari dan cahayanya,  atau hubungan erat antara jiwa dan kondisi-kondisi  kejiwaan, juga merupakan perumpamaan yang tidak  kalah tepatnya dari yang lain karena bentuk hubungan  antara jiwa dan kondisi-kondisi kejiwaan tidak berbeda  jauh dengan hubungan antara Al-Haqq Swt. dan  makhluk-Nya."</w:t>
      </w:r>
      <w:r>
        <w:rPr>
          <w:rStyle w:val="FootnoteAnchor"/>
        </w:rPr>
        <w:footnoteReference w:id="153"/>
      </w:r>
      <w:r>
        <w:rPr>
          <w:rFonts w:eastAsia="Times New Roman" w:cs="Times New Roman" w:ascii="Times New Roman" w:hAnsi="Times New Roman"/>
          <w:color w:val="111111"/>
          <w:sz w:val="28"/>
          <w:szCs w:val="28"/>
          <w:lang w:val="en-US"/>
        </w:rPr>
        <w:t xml:space="preserve"> Dalam pandangan 'irfān, variasi asma merupakan awal  dari keberagaman wujud di alam, manifestasi ini merupakan  kunci bagi eksistensi dan sebab penciptaan.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 ini merupakan awal dari keberagaman yang  akan terealisasi di alam eksistensi. Pada hakikatnya,  keberagaman ini merupakan keberagaman ilmiah  dan penyaksian Al-Haqq dalam cermin sifat dan  asma .... Dengan manifestasi asma dan sifat ini, pintu  eksistensi pun terbuka. Alam gaib dengan alam nyata  bergabung sehingga rahmat bagi segenap hamba dan  nikmat bagi setiap umat mulai tersebar. Dalam hal  ini, jika manifestasi asma tidak terwujud maka alam  akan berada dalam gelapnya ketiadaan, buramnya  keterbatasan, dan ngerinya ketersembunyian karena  manifestasi esensial (tajalli dzātī) tidak mungkin terjadi  pada semua makhluk."</w:t>
      </w:r>
      <w:r>
        <w:rPr>
          <w:rStyle w:val="FootnoteAnchor"/>
        </w:rPr>
        <w:footnoteReference w:id="154"/>
      </w:r>
      <w:bookmarkStart w:id="88" w:name="pg5928_44269"/>
    </w:p>
    <w:p>
      <w:pPr>
        <w:pStyle w:val="Heading3"/>
        <w:numPr>
          <w:ilvl w:val="2"/>
          <w:numId w:val="1"/>
        </w:numPr>
        <w:bidi w:val="0"/>
        <w:jc w:val="left"/>
        <w:rPr/>
      </w:pPr>
      <w:bookmarkStart w:id="89" w:name="__RefHeading___Toc5529746_581953129"/>
      <w:bookmarkStart w:id="90" w:name="_Toc30"/>
      <w:bookmarkEnd w:id="88"/>
      <w:bookmarkEnd w:id="89"/>
      <w:r>
        <w:rPr/>
        <w:t>Catatan II:</w:t>
      </w:r>
      <w:bookmarkEnd w:id="90"/>
    </w:p>
    <w:p>
      <w:pPr>
        <w:pStyle w:val="BookText"/>
        <w:bidi w:val="0"/>
        <w:jc w:val="both"/>
        <w:rPr/>
      </w:pPr>
      <w:r>
        <w:rPr>
          <w:rFonts w:eastAsia="Times New Roman" w:cs="Times New Roman" w:ascii="Times New Roman" w:hAnsi="Times New Roman"/>
          <w:color w:val="111111"/>
          <w:sz w:val="28"/>
          <w:szCs w:val="28"/>
          <w:lang w:val="en-US"/>
        </w:rPr>
        <w:t>1 Nahjul Balāghah, Khotbah no. 1.</w:t>
      </w:r>
    </w:p>
    <w:p>
      <w:pPr>
        <w:pStyle w:val="BookText"/>
        <w:bidi w:val="0"/>
        <w:jc w:val="both"/>
        <w:rPr/>
      </w:pPr>
      <w:r>
        <w:rPr>
          <w:rFonts w:eastAsia="Times New Roman" w:cs="Times New Roman" w:ascii="Times New Roman" w:hAnsi="Times New Roman"/>
          <w:color w:val="111111"/>
          <w:sz w:val="28"/>
          <w:szCs w:val="28"/>
          <w:lang w:val="en-US"/>
        </w:rPr>
        <w:t>2 Shahifah Sajjādiyyah, Doa no. 32.</w:t>
      </w:r>
    </w:p>
    <w:p>
      <w:pPr>
        <w:pStyle w:val="BookText"/>
        <w:bidi w:val="0"/>
        <w:jc w:val="both"/>
        <w:rPr/>
      </w:pPr>
      <w:r>
        <w:rPr>
          <w:rFonts w:eastAsia="Times New Roman" w:cs="Times New Roman" w:ascii="Times New Roman" w:hAnsi="Times New Roman"/>
          <w:color w:val="111111"/>
          <w:sz w:val="28"/>
          <w:szCs w:val="28"/>
          <w:lang w:val="en-US"/>
        </w:rPr>
        <w:t>3 Imam Khomeini, Ādāb Al-Shalāh, hlm. 305.</w:t>
      </w:r>
    </w:p>
    <w:p>
      <w:pPr>
        <w:pStyle w:val="BookText"/>
        <w:bidi w:val="0"/>
        <w:jc w:val="both"/>
        <w:rPr/>
      </w:pPr>
      <w:r>
        <w:rPr>
          <w:rFonts w:eastAsia="Times New Roman" w:cs="Times New Roman" w:ascii="Times New Roman" w:hAnsi="Times New Roman"/>
          <w:color w:val="111111"/>
          <w:sz w:val="28"/>
          <w:szCs w:val="28"/>
          <w:lang w:val="en-US"/>
        </w:rPr>
        <w:t>4 Imam Khomeini, Ādāb Al-Shalāh, hlm. 307.</w:t>
      </w:r>
    </w:p>
    <w:p>
      <w:pPr>
        <w:pStyle w:val="BookText"/>
        <w:bidi w:val="0"/>
        <w:jc w:val="both"/>
        <w:rPr/>
      </w:pPr>
      <w:r>
        <w:rPr>
          <w:rFonts w:eastAsia="Times New Roman" w:cs="Times New Roman" w:ascii="Times New Roman" w:hAnsi="Times New Roman"/>
          <w:color w:val="111111"/>
          <w:sz w:val="28"/>
          <w:szCs w:val="28"/>
          <w:lang w:val="en-US"/>
        </w:rPr>
        <w:t>5 Imam Khomeini, Adab Al-Shalāh, hlm. 308.</w:t>
      </w:r>
    </w:p>
    <w:p>
      <w:pPr>
        <w:pStyle w:val="BookText"/>
        <w:bidi w:val="0"/>
        <w:jc w:val="both"/>
        <w:rPr/>
      </w:pPr>
      <w:r>
        <w:rPr>
          <w:rFonts w:eastAsia="Times New Roman" w:cs="Times New Roman" w:ascii="Times New Roman" w:hAnsi="Times New Roman"/>
          <w:color w:val="111111"/>
          <w:sz w:val="28"/>
          <w:szCs w:val="28"/>
          <w:lang w:val="en-US"/>
        </w:rPr>
        <w:t>6 Imam Khomeini, Syarh Du'a' Al-Sahr, hlm. 119.</w:t>
      </w:r>
    </w:p>
    <w:p>
      <w:pPr>
        <w:pStyle w:val="BookText"/>
        <w:bidi w:val="0"/>
        <w:jc w:val="both"/>
        <w:rPr/>
      </w:pPr>
      <w:r>
        <w:rPr>
          <w:rFonts w:eastAsia="Times New Roman" w:cs="Times New Roman" w:ascii="Times New Roman" w:hAnsi="Times New Roman"/>
          <w:color w:val="111111"/>
          <w:sz w:val="28"/>
          <w:szCs w:val="28"/>
          <w:lang w:val="en-US"/>
        </w:rPr>
        <w:t>7 Imam Khomeini, Syarh Du'ā' Al-Sahr, hlm. 119.</w:t>
      </w:r>
    </w:p>
    <w:p>
      <w:pPr>
        <w:pStyle w:val="BookText"/>
        <w:bidi w:val="0"/>
        <w:jc w:val="both"/>
        <w:rPr/>
      </w:pPr>
      <w:r>
        <w:rPr>
          <w:rFonts w:eastAsia="Times New Roman" w:cs="Times New Roman" w:ascii="Times New Roman" w:hAnsi="Times New Roman"/>
          <w:color w:val="111111"/>
          <w:sz w:val="28"/>
          <w:szCs w:val="28"/>
          <w:lang w:val="en-US"/>
        </w:rPr>
        <w:t>8 Imam Khomeini, Syarh Du'a' Al-Sahr, hlm 112.</w:t>
      </w:r>
    </w:p>
    <w:p>
      <w:pPr>
        <w:pStyle w:val="BookText"/>
        <w:bidi w:val="0"/>
        <w:jc w:val="both"/>
        <w:rPr/>
      </w:pPr>
      <w:r>
        <w:rPr>
          <w:rFonts w:eastAsia="Times New Roman" w:cs="Times New Roman" w:ascii="Times New Roman" w:hAnsi="Times New Roman"/>
          <w:color w:val="111111"/>
          <w:sz w:val="28"/>
          <w:szCs w:val="28"/>
          <w:lang w:val="en-US"/>
        </w:rPr>
        <w:t>9 Imam Khomeini, Syarh Du'a' Al-Sahr, hlm 44.</w:t>
      </w:r>
    </w:p>
    <w:p>
      <w:pPr>
        <w:pStyle w:val="BookText"/>
        <w:bidi w:val="0"/>
        <w:jc w:val="both"/>
        <w:rPr/>
      </w:pPr>
      <w:r>
        <w:rPr>
          <w:rFonts w:eastAsia="Times New Roman" w:cs="Times New Roman" w:ascii="Times New Roman" w:hAnsi="Times New Roman"/>
          <w:color w:val="111111"/>
          <w:sz w:val="28"/>
          <w:szCs w:val="28"/>
          <w:lang w:val="en-US"/>
        </w:rPr>
        <w:t>10 Imam Khomeini, Tafsir Sūre-e Hamd, hlm. 162.</w:t>
      </w:r>
    </w:p>
    <w:p>
      <w:pPr>
        <w:pStyle w:val="BookText"/>
        <w:bidi w:val="0"/>
        <w:jc w:val="both"/>
        <w:rPr/>
      </w:pPr>
      <w:r>
        <w:rPr>
          <w:rFonts w:eastAsia="Times New Roman" w:cs="Times New Roman" w:ascii="Times New Roman" w:hAnsi="Times New Roman"/>
          <w:color w:val="111111"/>
          <w:sz w:val="28"/>
          <w:szCs w:val="28"/>
          <w:lang w:val="en-US"/>
        </w:rPr>
        <w:t>11 Imam Khomeini, Syarh Du'a' Al-Sahr, hlm. 45.</w:t>
      </w:r>
    </w:p>
    <w:p>
      <w:pPr>
        <w:pStyle w:val="BookText"/>
        <w:bidi w:val="0"/>
        <w:jc w:val="both"/>
        <w:rPr/>
      </w:pPr>
      <w:r>
        <w:rPr>
          <w:rFonts w:eastAsia="Times New Roman" w:cs="Times New Roman" w:ascii="Times New Roman" w:hAnsi="Times New Roman"/>
          <w:color w:val="111111"/>
          <w:sz w:val="28"/>
          <w:szCs w:val="28"/>
          <w:lang w:val="en-US"/>
        </w:rPr>
        <w:t>12 QS Al-Isra': 110.</w:t>
      </w:r>
    </w:p>
    <w:p>
      <w:pPr>
        <w:pStyle w:val="BookText"/>
        <w:bidi w:val="0"/>
        <w:jc w:val="both"/>
        <w:rPr/>
      </w:pPr>
      <w:r>
        <w:rPr>
          <w:rFonts w:eastAsia="Times New Roman" w:cs="Times New Roman" w:ascii="Times New Roman" w:hAnsi="Times New Roman"/>
          <w:color w:val="111111"/>
          <w:sz w:val="28"/>
          <w:szCs w:val="28"/>
          <w:lang w:val="en-US"/>
        </w:rPr>
        <w:t>13 Imam Khomeini, Sirr Al-Shalāh, hlm. 20.</w:t>
      </w:r>
    </w:p>
    <w:p>
      <w:pPr>
        <w:pStyle w:val="BookText"/>
        <w:bidi w:val="0"/>
        <w:jc w:val="both"/>
        <w:rPr/>
      </w:pPr>
      <w:r>
        <w:rPr>
          <w:rFonts w:eastAsia="Times New Roman" w:cs="Times New Roman" w:ascii="Times New Roman" w:hAnsi="Times New Roman"/>
          <w:color w:val="111111"/>
          <w:sz w:val="28"/>
          <w:szCs w:val="28"/>
          <w:lang w:val="en-US"/>
        </w:rPr>
        <w:t>14 Imam Khomeini, Tafsir Sūre-e Hamd, hlm. 162–163.</w:t>
      </w:r>
    </w:p>
    <w:p>
      <w:pPr>
        <w:pStyle w:val="BookText"/>
        <w:bidi w:val="0"/>
        <w:jc w:val="both"/>
        <w:rPr/>
      </w:pPr>
      <w:r>
        <w:rPr>
          <w:rFonts w:eastAsia="Times New Roman" w:cs="Times New Roman" w:ascii="Times New Roman" w:hAnsi="Times New Roman"/>
          <w:color w:val="111111"/>
          <w:sz w:val="28"/>
          <w:szCs w:val="28"/>
          <w:lang w:val="en-US"/>
        </w:rPr>
        <w:t>15 Imam Khomeini, Ādab Al-Shalāh, hlm. 7,8 dan 319.</w:t>
      </w:r>
    </w:p>
    <w:p>
      <w:pPr>
        <w:pStyle w:val="BookText"/>
        <w:bidi w:val="0"/>
        <w:jc w:val="both"/>
        <w:rPr/>
      </w:pPr>
      <w:r>
        <w:rPr>
          <w:rFonts w:eastAsia="Times New Roman" w:cs="Times New Roman" w:ascii="Times New Roman" w:hAnsi="Times New Roman"/>
          <w:color w:val="111111"/>
          <w:sz w:val="28"/>
          <w:szCs w:val="28"/>
          <w:lang w:val="en-US"/>
        </w:rPr>
        <w:t>16 QS Ad-Dukhān: 3.</w:t>
      </w:r>
    </w:p>
    <w:p>
      <w:pPr>
        <w:pStyle w:val="BookText"/>
        <w:bidi w:val="0"/>
        <w:jc w:val="both"/>
        <w:rPr/>
      </w:pPr>
      <w:r>
        <w:rPr>
          <w:rFonts w:eastAsia="Times New Roman" w:cs="Times New Roman" w:ascii="Times New Roman" w:hAnsi="Times New Roman"/>
          <w:color w:val="111111"/>
          <w:sz w:val="28"/>
          <w:szCs w:val="28"/>
          <w:lang w:val="en-US"/>
        </w:rPr>
        <w:t>17 QS Al-Hijr: 9.</w:t>
      </w:r>
    </w:p>
    <w:p>
      <w:pPr>
        <w:pStyle w:val="BookText"/>
        <w:bidi w:val="0"/>
        <w:jc w:val="both"/>
        <w:rPr/>
      </w:pPr>
      <w:r>
        <w:rPr>
          <w:rFonts w:eastAsia="Times New Roman" w:cs="Times New Roman" w:ascii="Times New Roman" w:hAnsi="Times New Roman"/>
          <w:color w:val="111111"/>
          <w:sz w:val="28"/>
          <w:szCs w:val="28"/>
          <w:lang w:val="en-US"/>
        </w:rPr>
        <w:t>18 QS As-Syu'arā': 193.</w:t>
      </w:r>
    </w:p>
    <w:p>
      <w:pPr>
        <w:pStyle w:val="BookText"/>
        <w:bidi w:val="0"/>
        <w:jc w:val="both"/>
        <w:rPr/>
      </w:pPr>
      <w:r>
        <w:rPr>
          <w:rFonts w:eastAsia="Times New Roman" w:cs="Times New Roman" w:ascii="Times New Roman" w:hAnsi="Times New Roman"/>
          <w:color w:val="111111"/>
          <w:sz w:val="28"/>
          <w:szCs w:val="28"/>
          <w:lang w:val="en-US"/>
        </w:rPr>
        <w:t>19 QS Al-Mu'min: 36.</w:t>
      </w:r>
    </w:p>
    <w:p>
      <w:pPr>
        <w:pStyle w:val="BookText"/>
        <w:bidi w:val="0"/>
        <w:jc w:val="both"/>
        <w:rPr/>
      </w:pPr>
      <w:r>
        <w:rPr>
          <w:rFonts w:eastAsia="Times New Roman" w:cs="Times New Roman" w:ascii="Times New Roman" w:hAnsi="Times New Roman"/>
          <w:color w:val="111111"/>
          <w:sz w:val="28"/>
          <w:szCs w:val="28"/>
          <w:lang w:val="en-US"/>
        </w:rPr>
        <w:t>20 Imam Khomeini, Ādab Al-Shalāh, hlm. 319-320.</w:t>
      </w:r>
    </w:p>
    <w:p>
      <w:pPr>
        <w:pStyle w:val="BookText"/>
        <w:bidi w:val="0"/>
        <w:jc w:val="both"/>
        <w:rPr/>
      </w:pPr>
      <w:r>
        <w:rPr>
          <w:rFonts w:eastAsia="Times New Roman" w:cs="Times New Roman" w:ascii="Times New Roman" w:hAnsi="Times New Roman"/>
          <w:color w:val="111111"/>
          <w:sz w:val="28"/>
          <w:szCs w:val="28"/>
          <w:lang w:val="en-US"/>
        </w:rPr>
        <w:t>21 QS Hūd: 56.</w:t>
      </w:r>
    </w:p>
    <w:p>
      <w:pPr>
        <w:pStyle w:val="BookText"/>
        <w:bidi w:val="0"/>
        <w:jc w:val="both"/>
        <w:rPr/>
      </w:pPr>
      <w:r>
        <w:rPr>
          <w:rFonts w:eastAsia="Times New Roman" w:cs="Times New Roman" w:ascii="Times New Roman" w:hAnsi="Times New Roman"/>
          <w:color w:val="111111"/>
          <w:sz w:val="28"/>
          <w:szCs w:val="28"/>
          <w:lang w:val="en-US"/>
        </w:rPr>
        <w:t>22 QS Hūd: 56.</w:t>
      </w:r>
    </w:p>
    <w:p>
      <w:pPr>
        <w:pStyle w:val="BookText"/>
        <w:bidi w:val="0"/>
        <w:jc w:val="both"/>
        <w:rPr/>
      </w:pPr>
      <w:r>
        <w:rPr>
          <w:rFonts w:eastAsia="Times New Roman" w:cs="Times New Roman" w:ascii="Times New Roman" w:hAnsi="Times New Roman"/>
          <w:color w:val="111111"/>
          <w:sz w:val="28"/>
          <w:szCs w:val="28"/>
          <w:lang w:val="en-US"/>
        </w:rPr>
        <w:t>23 Imam Khomeini, Ādāb Al-Shalāh, hlm. 137.</w:t>
      </w:r>
    </w:p>
    <w:p>
      <w:pPr>
        <w:pStyle w:val="BookText"/>
        <w:bidi w:val="0"/>
        <w:jc w:val="both"/>
        <w:rPr/>
      </w:pPr>
      <w:r>
        <w:rPr>
          <w:rFonts w:eastAsia="Times New Roman" w:cs="Times New Roman" w:ascii="Times New Roman" w:hAnsi="Times New Roman"/>
          <w:color w:val="111111"/>
          <w:sz w:val="28"/>
          <w:szCs w:val="28"/>
          <w:lang w:val="en-US"/>
        </w:rPr>
        <w:t>24 Imam Khomeini, Ādab Al-Shalāh, hlm. 320.</w:t>
      </w:r>
    </w:p>
    <w:p>
      <w:pPr>
        <w:pStyle w:val="BookText"/>
        <w:bidi w:val="0"/>
        <w:jc w:val="both"/>
        <w:rPr/>
      </w:pPr>
      <w:r>
        <w:rPr>
          <w:rFonts w:eastAsia="Times New Roman" w:cs="Times New Roman" w:ascii="Times New Roman" w:hAnsi="Times New Roman"/>
          <w:color w:val="111111"/>
          <w:sz w:val="28"/>
          <w:szCs w:val="28"/>
          <w:lang w:val="en-US"/>
        </w:rPr>
        <w:t>25 QS Al-Anfāl: 17.</w:t>
      </w:r>
    </w:p>
    <w:p>
      <w:pPr>
        <w:pStyle w:val="BookText"/>
        <w:bidi w:val="0"/>
        <w:jc w:val="both"/>
        <w:rPr/>
      </w:pPr>
      <w:r>
        <w:rPr>
          <w:rFonts w:eastAsia="Times New Roman" w:cs="Times New Roman" w:ascii="Times New Roman" w:hAnsi="Times New Roman"/>
          <w:color w:val="111111"/>
          <w:sz w:val="28"/>
          <w:szCs w:val="28"/>
          <w:lang w:val="en-US"/>
        </w:rPr>
        <w:t>26 Imam Khomeini, Ādab Al-Shalāh, hlm. 372.</w:t>
      </w:r>
    </w:p>
    <w:p>
      <w:pPr>
        <w:pStyle w:val="BookText"/>
        <w:bidi w:val="0"/>
        <w:jc w:val="both"/>
        <w:rPr/>
      </w:pPr>
      <w:r>
        <w:rPr>
          <w:rFonts w:eastAsia="Times New Roman" w:cs="Times New Roman" w:ascii="Times New Roman" w:hAnsi="Times New Roman"/>
          <w:color w:val="111111"/>
          <w:sz w:val="28"/>
          <w:szCs w:val="28"/>
          <w:lang w:val="en-US"/>
        </w:rPr>
        <w:t>27 Imam Khomeini, Ādāb Al-Shalah, hlm. 138, 139, 172 dan</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28 QS Al-Baqarah: 31.</w:t>
      </w:r>
    </w:p>
    <w:p>
      <w:pPr>
        <w:pStyle w:val="BookText"/>
        <w:bidi w:val="0"/>
        <w:jc w:val="both"/>
        <w:rPr/>
      </w:pPr>
      <w:r>
        <w:rPr>
          <w:rFonts w:eastAsia="Times New Roman" w:cs="Times New Roman" w:ascii="Times New Roman" w:hAnsi="Times New Roman"/>
          <w:color w:val="111111"/>
          <w:sz w:val="28"/>
          <w:szCs w:val="28"/>
          <w:lang w:val="en-US"/>
        </w:rPr>
        <w:t>29 Imam Khomeini, Syarh Du'a' Al-Sahr, hlm. 10.</w:t>
      </w:r>
    </w:p>
    <w:p>
      <w:pPr>
        <w:pStyle w:val="BookText"/>
        <w:bidi w:val="0"/>
        <w:jc w:val="both"/>
        <w:rPr/>
      </w:pPr>
      <w:r>
        <w:rPr>
          <w:rFonts w:eastAsia="Times New Roman" w:cs="Times New Roman" w:ascii="Times New Roman" w:hAnsi="Times New Roman"/>
          <w:color w:val="111111"/>
          <w:sz w:val="28"/>
          <w:szCs w:val="28"/>
          <w:lang w:val="en-US"/>
        </w:rPr>
        <w:t>30 Imam Khomeini, Tafsir Sure-e Hamd, hlm. 132-133.</w:t>
      </w:r>
    </w:p>
    <w:p>
      <w:pPr>
        <w:pStyle w:val="BookText"/>
        <w:bidi w:val="0"/>
        <w:jc w:val="both"/>
        <w:rPr/>
      </w:pPr>
      <w:r>
        <w:rPr>
          <w:rFonts w:eastAsia="Times New Roman" w:cs="Times New Roman" w:ascii="Times New Roman" w:hAnsi="Times New Roman"/>
          <w:color w:val="111111"/>
          <w:sz w:val="28"/>
          <w:szCs w:val="28"/>
          <w:lang w:val="en-US"/>
        </w:rPr>
        <w:t>31 Imam Khomeini, Tafsir Sure-e Hamd, hlm. 132–133</w:t>
      </w:r>
    </w:p>
    <w:p>
      <w:pPr>
        <w:pStyle w:val="BookText"/>
        <w:bidi w:val="0"/>
        <w:jc w:val="both"/>
        <w:rPr/>
      </w:pPr>
      <w:r>
        <w:rPr>
          <w:rFonts w:eastAsia="Times New Roman" w:cs="Times New Roman" w:ascii="Times New Roman" w:hAnsi="Times New Roman"/>
          <w:color w:val="111111"/>
          <w:sz w:val="28"/>
          <w:szCs w:val="28"/>
          <w:lang w:val="en-US"/>
        </w:rPr>
        <w:t>32 Imam Khomeini, Tafsīr Sure-e Hamd, hlm. 214.</w:t>
      </w:r>
    </w:p>
    <w:p>
      <w:pPr>
        <w:pStyle w:val="BookText"/>
        <w:bidi w:val="0"/>
        <w:jc w:val="both"/>
        <w:rPr/>
      </w:pPr>
      <w:r>
        <w:rPr>
          <w:rFonts w:eastAsia="Times New Roman" w:cs="Times New Roman" w:ascii="Times New Roman" w:hAnsi="Times New Roman"/>
          <w:color w:val="111111"/>
          <w:sz w:val="28"/>
          <w:szCs w:val="28"/>
          <w:lang w:val="en-US"/>
        </w:rPr>
        <w:t>33 Imam Khomeini, Tafsir Sure-e Hamd, hlm. 45 – 46; hlm.158.</w:t>
      </w:r>
    </w:p>
    <w:p>
      <w:pPr>
        <w:pStyle w:val="BookText"/>
        <w:bidi w:val="0"/>
        <w:jc w:val="both"/>
        <w:rPr/>
      </w:pPr>
      <w:r>
        <w:rPr>
          <w:rFonts w:eastAsia="Times New Roman" w:cs="Times New Roman" w:ascii="Times New Roman" w:hAnsi="Times New Roman"/>
          <w:color w:val="111111"/>
          <w:sz w:val="28"/>
          <w:szCs w:val="28"/>
          <w:lang w:val="en-US"/>
        </w:rPr>
        <w:t>34 QS At-Tin: 4–5.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Imam Khomeini, Tafsir Sure-e Hamd, hlm. 91. </w:t>
      </w:r>
    </w:p>
    <w:p>
      <w:pPr>
        <w:pStyle w:val="BookText"/>
        <w:bidi w:val="0"/>
        <w:rPr/>
      </w:pPr>
      <w:r>
        <w:rPr>
          <w:rFonts w:eastAsia="Times New Roman" w:cs="Times New Roman" w:ascii="Times New Roman" w:hAnsi="Times New Roman"/>
          <w:color w:val="111111"/>
          <w:sz w:val="28"/>
          <w:szCs w:val="28"/>
          <w:lang w:val="en-US"/>
        </w:rPr>
        <w:t>36 Imam Khomeini, Tafsir Sure-e Hamd, hlm. 90.</w:t>
      </w:r>
    </w:p>
    <w:p>
      <w:pPr>
        <w:pStyle w:val="BookText"/>
        <w:bidi w:val="0"/>
        <w:jc w:val="both"/>
        <w:rPr/>
      </w:pPr>
      <w:r>
        <w:rPr>
          <w:rFonts w:eastAsia="Times New Roman" w:cs="Times New Roman" w:ascii="Times New Roman" w:hAnsi="Times New Roman"/>
          <w:color w:val="111111"/>
          <w:sz w:val="28"/>
          <w:szCs w:val="28"/>
          <w:lang w:val="en-US"/>
        </w:rPr>
        <w:t>37 Imam Khomeini, Tafsīr Sure-e Hamd, hlm. 93–94.</w:t>
      </w:r>
    </w:p>
    <w:p>
      <w:pPr>
        <w:pStyle w:val="BookText"/>
        <w:bidi w:val="0"/>
        <w:jc w:val="both"/>
        <w:rPr/>
      </w:pPr>
      <w:r>
        <w:rPr>
          <w:rFonts w:eastAsia="Times New Roman" w:cs="Times New Roman" w:ascii="Times New Roman" w:hAnsi="Times New Roman"/>
          <w:color w:val="111111"/>
          <w:sz w:val="28"/>
          <w:szCs w:val="28"/>
          <w:lang w:val="en-US"/>
        </w:rPr>
        <w:t>38 Imam Khomeini, Tafsir Sure-e Hamd, hlm. 94.</w:t>
      </w:r>
    </w:p>
    <w:p>
      <w:pPr>
        <w:pStyle w:val="BookText"/>
        <w:bidi w:val="0"/>
        <w:jc w:val="both"/>
        <w:rPr/>
      </w:pPr>
      <w:r>
        <w:rPr>
          <w:rFonts w:eastAsia="Times New Roman" w:cs="Times New Roman" w:ascii="Times New Roman" w:hAnsi="Times New Roman"/>
          <w:color w:val="111111"/>
          <w:sz w:val="28"/>
          <w:szCs w:val="28"/>
          <w:lang w:val="en-US"/>
        </w:rPr>
        <w:t>39 Imam Khomeini, Tafsir Sure-e Hamd, hlm. 95.</w:t>
      </w:r>
    </w:p>
    <w:p>
      <w:pPr>
        <w:pStyle w:val="BookText"/>
        <w:bidi w:val="0"/>
        <w:jc w:val="both"/>
        <w:rPr/>
      </w:pPr>
      <w:r>
        <w:rPr>
          <w:rFonts w:eastAsia="Times New Roman" w:cs="Times New Roman" w:ascii="Times New Roman" w:hAnsi="Times New Roman"/>
          <w:color w:val="111111"/>
          <w:sz w:val="28"/>
          <w:szCs w:val="28"/>
          <w:lang w:val="en-US"/>
        </w:rPr>
        <w:t>40 Imam Khomeini, Tafsir Sure-e Hamd, hlm. 122.</w:t>
      </w:r>
    </w:p>
    <w:p>
      <w:pPr>
        <w:pStyle w:val="BookText"/>
        <w:bidi w:val="0"/>
        <w:jc w:val="both"/>
        <w:rPr/>
      </w:pPr>
      <w:r>
        <w:rPr>
          <w:rFonts w:eastAsia="Times New Roman" w:cs="Times New Roman" w:ascii="Times New Roman" w:hAnsi="Times New Roman"/>
          <w:color w:val="111111"/>
          <w:sz w:val="28"/>
          <w:szCs w:val="28"/>
          <w:lang w:val="en-US"/>
        </w:rPr>
        <w:t>41 Imam Khomeini, Tafsir Sure-e Hamd, hlm. 23.</w:t>
      </w:r>
    </w:p>
    <w:p>
      <w:pPr>
        <w:pStyle w:val="BookText"/>
        <w:bidi w:val="0"/>
        <w:jc w:val="both"/>
        <w:rPr/>
      </w:pPr>
      <w:r>
        <w:rPr>
          <w:rFonts w:eastAsia="Times New Roman" w:cs="Times New Roman" w:ascii="Times New Roman" w:hAnsi="Times New Roman"/>
          <w:color w:val="111111"/>
          <w:sz w:val="28"/>
          <w:szCs w:val="28"/>
          <w:lang w:val="en-US"/>
        </w:rPr>
        <w:t>42 Imam Khomeini, Tafsir Sure-e Hamd, hlm. 22-23.</w:t>
      </w:r>
    </w:p>
    <w:p>
      <w:pPr>
        <w:pStyle w:val="BookText"/>
        <w:bidi w:val="0"/>
        <w:jc w:val="both"/>
        <w:rPr/>
      </w:pPr>
      <w:r>
        <w:rPr>
          <w:rFonts w:eastAsia="Times New Roman" w:cs="Times New Roman" w:ascii="Times New Roman" w:hAnsi="Times New Roman"/>
          <w:color w:val="111111"/>
          <w:sz w:val="28"/>
          <w:szCs w:val="28"/>
          <w:lang w:val="en-US"/>
        </w:rPr>
        <w:t>43 Imam Khomeini, Tafsir Sure-e Hamd, hlm. 122.</w:t>
      </w:r>
    </w:p>
    <w:p>
      <w:pPr>
        <w:pStyle w:val="BookText"/>
        <w:bidi w:val="0"/>
        <w:jc w:val="both"/>
        <w:rPr/>
      </w:pPr>
      <w:r>
        <w:rPr>
          <w:rFonts w:eastAsia="Times New Roman" w:cs="Times New Roman" w:ascii="Times New Roman" w:hAnsi="Times New Roman"/>
          <w:color w:val="111111"/>
          <w:sz w:val="28"/>
          <w:szCs w:val="28"/>
          <w:lang w:val="en-US"/>
        </w:rPr>
        <w:t>44 Ziyārah Jāmi'ah Kabīrah.</w:t>
      </w:r>
    </w:p>
    <w:p>
      <w:pPr>
        <w:pStyle w:val="BookText"/>
        <w:bidi w:val="0"/>
        <w:jc w:val="both"/>
        <w:rPr/>
      </w:pPr>
      <w:r>
        <w:rPr>
          <w:rFonts w:eastAsia="Times New Roman" w:cs="Times New Roman" w:ascii="Times New Roman" w:hAnsi="Times New Roman"/>
          <w:color w:val="111111"/>
          <w:sz w:val="28"/>
          <w:szCs w:val="28"/>
          <w:lang w:val="en-US"/>
        </w:rPr>
        <w:t>45 QS Al-Ghāsyiyah: 25-26.</w:t>
      </w:r>
    </w:p>
    <w:p>
      <w:pPr>
        <w:pStyle w:val="BookText"/>
        <w:bidi w:val="0"/>
        <w:jc w:val="both"/>
        <w:rPr/>
      </w:pPr>
      <w:r>
        <w:rPr>
          <w:rFonts w:eastAsia="Times New Roman" w:cs="Times New Roman" w:ascii="Times New Roman" w:hAnsi="Times New Roman"/>
          <w:color w:val="111111"/>
          <w:sz w:val="28"/>
          <w:szCs w:val="28"/>
          <w:lang w:val="en-US"/>
        </w:rPr>
        <w:t>46 Imam Khomeini, Ādāb Al-Shalāh, hlm. 263.</w:t>
      </w:r>
    </w:p>
    <w:p>
      <w:pPr>
        <w:pStyle w:val="BookText"/>
        <w:bidi w:val="0"/>
        <w:jc w:val="both"/>
        <w:rPr/>
      </w:pPr>
      <w:r>
        <w:rPr>
          <w:rFonts w:eastAsia="Times New Roman" w:cs="Times New Roman" w:ascii="Times New Roman" w:hAnsi="Times New Roman"/>
          <w:color w:val="111111"/>
          <w:sz w:val="28"/>
          <w:szCs w:val="28"/>
          <w:lang w:val="en-US"/>
        </w:rPr>
        <w:t>47 Imam Khomeini, Ādab Al-Shalāh, hlm. 86.</w:t>
      </w:r>
    </w:p>
    <w:p>
      <w:pPr>
        <w:pStyle w:val="BookText"/>
        <w:bidi w:val="0"/>
        <w:jc w:val="both"/>
        <w:rPr/>
      </w:pPr>
      <w:r>
        <w:rPr>
          <w:rFonts w:eastAsia="Times New Roman" w:cs="Times New Roman" w:ascii="Times New Roman" w:hAnsi="Times New Roman"/>
          <w:color w:val="111111"/>
          <w:sz w:val="28"/>
          <w:szCs w:val="28"/>
          <w:lang w:val="en-US"/>
        </w:rPr>
        <w:t>48 Imam Khomeini, Sirr al-Shalāh, hlm. 20.</w:t>
      </w:r>
    </w:p>
    <w:p>
      <w:pPr>
        <w:pStyle w:val="BookText"/>
        <w:bidi w:val="0"/>
        <w:jc w:val="both"/>
        <w:rPr/>
      </w:pPr>
      <w:r>
        <w:rPr>
          <w:rFonts w:eastAsia="Times New Roman" w:cs="Times New Roman" w:ascii="Times New Roman" w:hAnsi="Times New Roman"/>
          <w:color w:val="111111"/>
          <w:sz w:val="28"/>
          <w:szCs w:val="28"/>
          <w:lang w:val="en-US"/>
        </w:rPr>
        <w:t>49 Imam Khomeini, Ādāb Al-Shalāh, hlm. 8.</w:t>
      </w:r>
    </w:p>
    <w:p>
      <w:pPr>
        <w:pStyle w:val="BookText"/>
        <w:bidi w:val="0"/>
        <w:jc w:val="both"/>
        <w:rPr/>
      </w:pPr>
      <w:r>
        <w:rPr>
          <w:rFonts w:eastAsia="Times New Roman" w:cs="Times New Roman" w:ascii="Times New Roman" w:hAnsi="Times New Roman"/>
          <w:color w:val="111111"/>
          <w:sz w:val="28"/>
          <w:szCs w:val="28"/>
          <w:lang w:val="en-US"/>
        </w:rPr>
        <w:t>50 Imam Khomeini, Ādāb Al-Shalāh, hlm. 7.</w:t>
      </w:r>
    </w:p>
    <w:p>
      <w:pPr>
        <w:pStyle w:val="BookText"/>
        <w:bidi w:val="0"/>
        <w:jc w:val="both"/>
        <w:rPr/>
      </w:pPr>
      <w:r>
        <w:rPr>
          <w:rFonts w:eastAsia="Times New Roman" w:cs="Times New Roman" w:ascii="Times New Roman" w:hAnsi="Times New Roman"/>
          <w:color w:val="111111"/>
          <w:sz w:val="28"/>
          <w:szCs w:val="28"/>
          <w:lang w:val="en-US"/>
        </w:rPr>
        <w:t>51 Imam Khomeini, Ādāb Al-Shalāh, hlm. 143.</w:t>
      </w:r>
    </w:p>
    <w:p>
      <w:pPr>
        <w:pStyle w:val="BookText"/>
        <w:bidi w:val="0"/>
        <w:jc w:val="both"/>
        <w:rPr/>
      </w:pPr>
      <w:r>
        <w:rPr>
          <w:rFonts w:eastAsia="Times New Roman" w:cs="Times New Roman" w:ascii="Times New Roman" w:hAnsi="Times New Roman"/>
          <w:color w:val="111111"/>
          <w:sz w:val="28"/>
          <w:szCs w:val="28"/>
          <w:lang w:val="en-US"/>
        </w:rPr>
        <w:t>52 QS Al-Ghāsyiyah: 20.</w:t>
      </w:r>
    </w:p>
    <w:p>
      <w:pPr>
        <w:pStyle w:val="BookText"/>
        <w:bidi w:val="0"/>
        <w:jc w:val="both"/>
        <w:rPr/>
      </w:pPr>
      <w:r>
        <w:rPr>
          <w:rFonts w:eastAsia="Times New Roman" w:cs="Times New Roman" w:ascii="Times New Roman" w:hAnsi="Times New Roman"/>
          <w:color w:val="111111"/>
          <w:sz w:val="28"/>
          <w:szCs w:val="28"/>
          <w:lang w:val="en-US"/>
        </w:rPr>
        <w:t>53 Imam Khomeini, Sirr al-Shalāh, hlm. 138-139.</w:t>
      </w:r>
    </w:p>
    <w:p>
      <w:pPr>
        <w:pStyle w:val="BookText"/>
        <w:bidi w:val="0"/>
        <w:jc w:val="both"/>
        <w:rPr/>
      </w:pPr>
      <w:r>
        <w:rPr>
          <w:rFonts w:eastAsia="Times New Roman" w:cs="Times New Roman" w:ascii="Times New Roman" w:hAnsi="Times New Roman"/>
          <w:color w:val="111111"/>
          <w:sz w:val="28"/>
          <w:szCs w:val="28"/>
          <w:lang w:val="en-US"/>
        </w:rPr>
        <w:t>54 Imam Khomeini, Sirr al-Shalāh, hlm 141; Tafsir Sūre-e Hamd, hlm. 132.</w:t>
      </w:r>
    </w:p>
    <w:p>
      <w:pPr>
        <w:pStyle w:val="BookText"/>
        <w:bidi w:val="0"/>
        <w:jc w:val="both"/>
        <w:rPr/>
      </w:pPr>
      <w:r>
        <w:rPr>
          <w:rFonts w:eastAsia="Times New Roman" w:cs="Times New Roman" w:ascii="Times New Roman" w:hAnsi="Times New Roman"/>
          <w:color w:val="111111"/>
          <w:sz w:val="28"/>
          <w:szCs w:val="28"/>
          <w:lang w:val="en-US"/>
        </w:rPr>
        <w:t>55 QS Al-Hadid: 3.</w:t>
      </w:r>
    </w:p>
    <w:p>
      <w:pPr>
        <w:pStyle w:val="BookText"/>
        <w:bidi w:val="0"/>
        <w:jc w:val="both"/>
        <w:rPr/>
      </w:pPr>
      <w:r>
        <w:rPr>
          <w:rFonts w:eastAsia="Times New Roman" w:cs="Times New Roman" w:ascii="Times New Roman" w:hAnsi="Times New Roman"/>
          <w:color w:val="111111"/>
          <w:sz w:val="28"/>
          <w:szCs w:val="28"/>
          <w:lang w:val="en-US"/>
        </w:rPr>
        <w:t>56 QS Al-A'rāf: 143.</w:t>
      </w:r>
    </w:p>
    <w:p>
      <w:pPr>
        <w:pStyle w:val="BookText"/>
        <w:bidi w:val="0"/>
        <w:jc w:val="both"/>
        <w:rPr/>
      </w:pPr>
      <w:r>
        <w:rPr>
          <w:rFonts w:eastAsia="Times New Roman" w:cs="Times New Roman" w:ascii="Times New Roman" w:hAnsi="Times New Roman"/>
          <w:color w:val="111111"/>
          <w:sz w:val="28"/>
          <w:szCs w:val="28"/>
          <w:lang w:val="en-US"/>
        </w:rPr>
        <w:t>57 Imam Khomeini, Tafsir Sūre-e Hamd, hlm. 158.</w:t>
      </w:r>
    </w:p>
    <w:p>
      <w:pPr>
        <w:pStyle w:val="BookText"/>
        <w:bidi w:val="0"/>
        <w:jc w:val="both"/>
        <w:rPr/>
      </w:pPr>
      <w:r>
        <w:rPr>
          <w:rFonts w:eastAsia="Times New Roman" w:cs="Times New Roman" w:ascii="Times New Roman" w:hAnsi="Times New Roman"/>
          <w:color w:val="111111"/>
          <w:sz w:val="28"/>
          <w:szCs w:val="28"/>
          <w:lang w:val="en-US"/>
        </w:rPr>
        <w:t>58 Imam Khomeini, Tafsir Sūre-e Hamd, hlm. 158.</w:t>
      </w:r>
    </w:p>
    <w:p>
      <w:pPr>
        <w:pStyle w:val="BookText"/>
        <w:bidi w:val="0"/>
        <w:jc w:val="both"/>
        <w:rPr/>
      </w:pPr>
      <w:r>
        <w:rPr>
          <w:rFonts w:eastAsia="Times New Roman" w:cs="Times New Roman" w:ascii="Times New Roman" w:hAnsi="Times New Roman"/>
          <w:color w:val="111111"/>
          <w:sz w:val="28"/>
          <w:szCs w:val="28"/>
          <w:lang w:val="en-US"/>
        </w:rPr>
        <w:t>59 Imam Khomeini, Tafsir Sūre-e Hamd, hlm 133.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60 Imam Khomeini, Syarh Du'ā' al-Sahr, hlm. 121. </w:t>
      </w:r>
      <w:bookmarkStart w:id="91" w:name="pg5928_44271"/>
    </w:p>
    <w:p>
      <w:pPr>
        <w:pStyle w:val="Heading2"/>
        <w:numPr>
          <w:ilvl w:val="1"/>
          <w:numId w:val="1"/>
        </w:numPr>
        <w:bidi w:val="0"/>
        <w:jc w:val="left"/>
        <w:rPr/>
      </w:pPr>
      <w:bookmarkStart w:id="92" w:name="__RefHeading___Toc5529748_581953129"/>
      <w:bookmarkStart w:id="93" w:name="_Toc31"/>
      <w:bookmarkEnd w:id="91"/>
      <w:bookmarkEnd w:id="92"/>
      <w:r>
        <w:rPr/>
        <w:t>BAB III</w:t>
      </w:r>
      <w:bookmarkEnd w:id="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4" w:name="__RefHeading___Toc5529750_581953129"/>
      <w:bookmarkStart w:id="95" w:name="_Toc32"/>
      <w:bookmarkEnd w:id="94"/>
      <w:r>
        <w:rPr/>
        <w:t>PRINSIP-PRINSIP FILOSOFIS DAN PENAFSIRAN TEKS</w:t>
      </w:r>
      <w:bookmarkEnd w:id="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6" w:name="pg5928_44273"/>
      <w:bookmarkStart w:id="97" w:name="pg5928_44273"/>
      <w:bookmarkEnd w:id="97"/>
    </w:p>
    <w:p>
      <w:pPr>
        <w:pStyle w:val="BookText"/>
        <w:bidi w:val="0"/>
        <w:rPr/>
      </w:pPr>
      <w:bookmarkStart w:id="98" w:name="pg5928_44273"/>
      <w:bookmarkEnd w:id="98"/>
      <w:r>
        <w:rPr>
          <w:rFonts w:eastAsia="Times New Roman" w:cs="Times New Roman" w:ascii="Times New Roman" w:hAnsi="Times New Roman"/>
          <w:color w:val="111111"/>
          <w:sz w:val="28"/>
          <w:szCs w:val="28"/>
          <w:lang w:val="en-US"/>
        </w:rPr>
        <w:t>dalam Bab ini kajian akan terpusat pada upaya menjelaskan  kebutuhan yang sangat penting, tafsir teks-teks agama  terhadap prinsip-prinsip filosofis yang kuat. Dalam teks-teks  agama ditemukan banyak istilah yang digunakan, tidak hanya  membutuhkan penjelasan yang mendalam dan argumentatif,  tetapi juga membutuhkan penguasaan teori-teori filosofis.</w:t>
      </w:r>
    </w:p>
    <w:p>
      <w:pPr>
        <w:pStyle w:val="BookText"/>
        <w:bidi w:val="0"/>
        <w:jc w:val="both"/>
        <w:rPr/>
      </w:pPr>
      <w:r>
        <w:rPr>
          <w:rFonts w:eastAsia="Times New Roman" w:cs="Times New Roman" w:ascii="Times New Roman" w:hAnsi="Times New Roman"/>
          <w:color w:val="111111"/>
          <w:sz w:val="28"/>
          <w:szCs w:val="28"/>
          <w:lang w:val="en-US"/>
        </w:rPr>
        <w:t>Bahkan dalam setiap jenis kajian sederhana sekalipun masalah  ini dibutuhkan.</w:t>
      </w:r>
    </w:p>
    <w:p>
      <w:pPr>
        <w:pStyle w:val="BookText"/>
        <w:bidi w:val="0"/>
        <w:jc w:val="both"/>
        <w:rPr/>
      </w:pPr>
      <w:r>
        <w:rPr>
          <w:rFonts w:eastAsia="Times New Roman" w:cs="Times New Roman" w:ascii="Times New Roman" w:hAnsi="Times New Roman"/>
          <w:color w:val="111111"/>
          <w:sz w:val="28"/>
          <w:szCs w:val="28"/>
          <w:lang w:val="en-US"/>
        </w:rPr>
        <w:t>Dengan demikian, seseorang yang menganggap tidak  perlunya prinsip-prinsip dan kajian-kajian akal ketika hendak  memberikan argumentasi dalam bidang apa pun, ia sama  sekali tidak akan bisa memahami secara mendalam teks-teks  tersebut. Alasannya, masalah ini merupakan tujuan pokok  pembahasan ini. Oleh karena itu, kajian ini hanya berkenaan  dengan beberapa istilah dan sebagian teks saja yang di  dalamnya terdapat istilah-istilah yang berhubungan dengan  prinsip-prinsip logis filosofis yang dikutip dari karya-karya  Imam Khomeini.</w:t>
      </w:r>
    </w:p>
    <w:p>
      <w:pPr>
        <w:pStyle w:val="Heading3"/>
        <w:numPr>
          <w:ilvl w:val="2"/>
          <w:numId w:val="1"/>
        </w:numPr>
        <w:bidi w:val="0"/>
        <w:jc w:val="left"/>
        <w:rPr/>
      </w:pPr>
      <w:bookmarkStart w:id="99" w:name="__RefHeading___Toc5529752_581953129"/>
      <w:bookmarkStart w:id="100" w:name="_Toc33"/>
      <w:bookmarkEnd w:id="99"/>
      <w:r>
        <w:rPr/>
        <w:t>Āyat (Tanda)</w:t>
      </w:r>
      <w:bookmarkEnd w:id="1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 Allah, sungguh aku memohon pada-Mu yang  paling mulia dari ayat-ayat-Mu, dan semua ayat-Mu  adalah mulia. Ya Allah, sungguh aku memohon pada-  Mu dengan ayat-ayat-Mu seluruhnya.</w:t>
      </w:r>
      <w:r>
        <w:rPr>
          <w:rStyle w:val="FootnoteAnchor"/>
        </w:rPr>
        <w:footnoteReference w:id="155"/>
      </w:r>
      <w:r>
        <w:rPr>
          <w:rFonts w:eastAsia="Times New Roman" w:cs="Times New Roman" w:ascii="Times New Roman" w:hAnsi="Times New Roman"/>
          <w:color w:val="111111"/>
          <w:sz w:val="28"/>
          <w:szCs w:val="28"/>
          <w:lang w:val="en-US"/>
        </w:rPr>
        <w:t xml:space="preserve"> “Kami akan memperlihatkan kepada mereka tanda-  tanda (kekuasaan) Kami di segenap ufuk dan pada diri  mereka sehingga jelas bagi mereka bahwa Al-Quran itu  adalah benar, dan apakah Tuhanmu tidak cukup (bagi  kamu) bahwa sesungguhnya Dia menyaksikan segala  sesuatu</w:t>
      </w:r>
      <w:r>
        <w:rPr>
          <w:rStyle w:val="FootnoteAnchor"/>
        </w:rPr>
        <w:footnoteReference w:id="156"/>
      </w:r>
      <w:r>
        <w:rPr>
          <w:rFonts w:eastAsia="Times New Roman" w:cs="Times New Roman" w:ascii="Times New Roman" w:hAnsi="Times New Roman"/>
          <w:color w:val="111111"/>
          <w:sz w:val="28"/>
          <w:szCs w:val="28"/>
          <w:lang w:val="en-US"/>
        </w:rPr>
        <w:t xml:space="preserve"> “Bacalah kitabmu, cukuplah dirimu pada waktu ini  sebagai penghisab terhadapmu.''</w:t>
      </w:r>
      <w:r>
        <w:rPr>
          <w:rStyle w:val="FootnoteAnchor"/>
        </w:rPr>
        <w:footnoteReference w:id="157"/>
      </w:r>
    </w:p>
    <w:p>
      <w:pPr>
        <w:pStyle w:val="BookText"/>
        <w:bidi w:val="0"/>
        <w:rPr/>
      </w:pPr>
      <w:r>
        <w:rPr>
          <w:rFonts w:eastAsia="Times New Roman" w:cs="Times New Roman" w:ascii="Times New Roman" w:hAnsi="Times New Roman"/>
          <w:color w:val="111111"/>
          <w:sz w:val="28"/>
          <w:szCs w:val="28"/>
          <w:lang w:val="en-US"/>
        </w:rPr>
        <w:t>Dalam pandangan Imam Khomeini, semua makhluk  adalah ayat-ayat Ilahi. Semuanya merupakan lembaran-  lembaran yang turun dari langit keesaan (ahadiyyah) dan setiap  makhluk-Nya adalah sebuah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Rangkaian eksistensi bersumber dari materi  ('unshurī), malaikat (malaki), bayangan (asybāh), ruh-  ruh (arwāh), gaib, serta syuhud .... Kitab-kitab Ilahiah,  dan lembaran-lembaran rububiah yang sangat bernilai,  serta zabur-zabur ini turun dari langit keesaan. Setiap  tingkatan dan derajat dari tingkatan eksistensi berada  dalam rangkaian dimensi sebuah ayat yang dibacakan  ke 'telinga hati yang memiliki keyakinan'..."</w:t>
      </w:r>
      <w:r>
        <w:rPr>
          <w:rStyle w:val="FootnoteAnchor"/>
        </w:rPr>
        <w:footnoteReference w:id="158"/>
      </w:r>
      <w:r>
        <w:rPr>
          <w:rFonts w:eastAsia="Times New Roman" w:cs="Times New Roman" w:ascii="Times New Roman" w:hAnsi="Times New Roman"/>
          <w:color w:val="111111"/>
          <w:sz w:val="28"/>
          <w:szCs w:val="28"/>
          <w:lang w:val="en-US"/>
        </w:rPr>
        <w:t xml:space="preserve"> Meskipun istilah-istilah filosofis sangat penting dalam  penjelasan teks, tetapi untuk bisa memahami secara benar,  tidak begitu mudah bila hanya mengandalkan silogisme (qiyās)  dan argumentasi. Kebersihan hati adalah sebaik-baik faktor  untuk bisa mencerna dan memahami kandungan teks. Hati  yang sudah mencapai tahapan yakin akan mampu mencapai  kandungan tersebut. Hati yang telah bersih dari polusi alam  materi akan melihat segala sesuatu sebagai ayat dan tanda dari  alam gaib, dan akan bisa menyaksikan asma dan sifat-sifat Ilahi  dalam setiap eksistensi, bahkan dalam benda-benda mati dan  tumbuhan.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"Seorang sālik yang telah sampai ke maqam ini  (tingkatan yakin), dia akan melihat segala sesuatu  sebagai tanda dan ayat Ilahi. Segala sesuatu, bahkan  benda mati dan tumbuhan, semuanya merupakan kitab  Ilahi di mana seorang penempuh jalan ruhani menuju  Tuhan dan seorang mujahid di jalan-Nya sesuai dengan  kapasitas eksistensinya bisa membaca asma dan sifat  Ilahi dalam semua itu."</w:t>
      </w:r>
      <w:r>
        <w:rPr>
          <w:rStyle w:val="FootnoteAnchor"/>
        </w:rPr>
        <w:footnoteReference w:id="159"/>
      </w:r>
    </w:p>
    <w:p>
      <w:pPr>
        <w:pStyle w:val="BookText"/>
        <w:bidi w:val="0"/>
        <w:rPr/>
      </w:pPr>
      <w:r>
        <w:rPr>
          <w:rFonts w:eastAsia="Times New Roman" w:cs="Times New Roman" w:ascii="Times New Roman" w:hAnsi="Times New Roman"/>
          <w:color w:val="111111"/>
          <w:sz w:val="28"/>
          <w:szCs w:val="28"/>
          <w:lang w:val="en-US"/>
        </w:rPr>
        <w:t>Semua ini merupakan ayat Ilahi, serta bisa menunjukkan  dan mencerminkan yang ada di baliknya, bukan masalah yang  berada di luar lingkup agama. Hadits yang diriwayatkan dari  Imam Ali a.s. dan Imam Al-Shadiq a.s. menjadi bukti atas  hal ini, “Tidaklah aku melihat sesuatu, kecuali aku melihat  Allah sebelumnya, bersamanya, dan setelahnya." Ayat-ayat  alam semesta dalam istilah Al-Quran menjelaskan dengan  baik masalah ini, bahwa segala sesuatu adalah ayat. Dalam  pandangan ‘irfān, penerapan ayat pada segala sesuatu bukan  tanpa ukuran sehingga Sang Pemilik ayat tidak tampak. Yang  demikian itu, tidak bisa disebut ayat.</w:t>
      </w:r>
    </w:p>
    <w:p>
      <w:pPr>
        <w:pStyle w:val="BookText"/>
        <w:bidi w:val="0"/>
        <w:jc w:val="both"/>
        <w:rPr/>
      </w:pPr>
      <w:r>
        <w:rPr>
          <w:rFonts w:eastAsia="Times New Roman" w:cs="Times New Roman" w:ascii="Times New Roman" w:hAnsi="Times New Roman"/>
          <w:color w:val="111111"/>
          <w:sz w:val="28"/>
          <w:szCs w:val="28"/>
          <w:lang w:val="en-US"/>
        </w:rPr>
        <w:t>Sebagian kalangan berpendapat bahwa sesuatu bisa  diterapkan pada sesuatu yang lain dan sesuatu tersebut bisa  diketahui dengan melihat lawannya. Sebagai contoh, melalui  ketiadaan kita bisa mengetahui keberadaan atau melalui  kegelapan, kita bisa mengetahui adanya cahaya. Gambaran  seperti ini merupakan gambaran orang awam ketika tidak ada  keserasian (sinkhiyyah) antara ayat dan pemilik ayat, yang satu  tidak bisa menjadi petunjuk dan definisi hakiki bagi yang lain.</w:t>
      </w:r>
    </w:p>
    <w:p>
      <w:pPr>
        <w:pStyle w:val="BookText"/>
        <w:bidi w:val="0"/>
        <w:jc w:val="both"/>
        <w:rPr/>
      </w:pPr>
      <w:r>
        <w:rPr>
          <w:rFonts w:eastAsia="Times New Roman" w:cs="Times New Roman" w:ascii="Times New Roman" w:hAnsi="Times New Roman"/>
          <w:color w:val="111111"/>
          <w:sz w:val="28"/>
          <w:szCs w:val="28"/>
          <w:lang w:val="en-US"/>
        </w:rPr>
        <w:t>Sebaliknya, dalam pandangan ‘irfān jika sesuatu merupakan  ayat (tanda), ia tidak lain adalah manifestasi dari Pemilik ayat.</w:t>
      </w:r>
    </w:p>
    <w:p>
      <w:pPr>
        <w:pStyle w:val="BookText"/>
        <w:bidi w:val="0"/>
        <w:jc w:val="both"/>
        <w:rPr/>
      </w:pPr>
      <w:r>
        <w:rPr>
          <w:rFonts w:eastAsia="Times New Roman" w:cs="Times New Roman" w:ascii="Times New Roman" w:hAnsi="Times New Roman"/>
          <w:color w:val="111111"/>
          <w:sz w:val="28"/>
          <w:szCs w:val="28"/>
          <w:lang w:val="en-US"/>
        </w:rPr>
        <w:t>Yang hakiki dalam hal ini adalah Pemilik ayat yang terpancar  dalam bentuk ayat.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Anda telah mampu menyibak tabir kegelapan,  Anda akan melihat manifestasi dan penampakan Al-  Haqq Swt. dalam semua makhluk dan kekuasaan-Nya  yang mencakup semua itu. Semua makhluk adalah  ayat dan tanda di mana semua kesempurnaan yang  mereka miliki menunjukkan kesempurnaan yang dimiliki  Penciptanya."</w:t>
      </w:r>
      <w:r>
        <w:rPr>
          <w:rStyle w:val="FootnoteAnchor"/>
        </w:rPr>
        <w:footnoteReference w:id="160"/>
      </w:r>
    </w:p>
    <w:p>
      <w:pPr>
        <w:pStyle w:val="BookText"/>
        <w:bidi w:val="0"/>
        <w:rPr/>
      </w:pPr>
      <w:r>
        <w:rPr>
          <w:rFonts w:eastAsia="Times New Roman" w:cs="Times New Roman" w:ascii="Times New Roman" w:hAnsi="Times New Roman"/>
          <w:color w:val="111111"/>
          <w:sz w:val="28"/>
          <w:szCs w:val="28"/>
          <w:lang w:val="en-US"/>
        </w:rPr>
        <w:t>Namun dalam perannya sebagai tanda dan petunjuk,  tidak semua ayat berada dalam satu tingkatan, tetapi memiliki  tingkatan yang berbeda-beda. Di antara ayat-ayat, manusia  merupakan ayat yang paling unggul dalam menunjukkan  Khaliknya. Pernyataan ini terilhami dari ucapan Imam Al-  Shadiq a.s.,  "Sesungguhnya bentuk manusia merupakan hujjah  Allah yang paling besar atas makhluk-Nya. Manusia  merupakan kitab yang ditulis dengan tangan-Nya,  merupakan kumpulan, dan rangkuman dari eksistensi  alam semesta.</w:t>
      </w:r>
      <w:r>
        <w:rPr>
          <w:rStyle w:val="FootnoteAnchor"/>
        </w:rPr>
        <w:footnoteReference w:id="161"/>
      </w:r>
      <w:r>
        <w:rPr>
          <w:rFonts w:eastAsia="Times New Roman" w:cs="Times New Roman" w:ascii="Times New Roman" w:hAnsi="Times New Roman"/>
          <w:color w:val="111111"/>
          <w:sz w:val="28"/>
          <w:szCs w:val="28"/>
          <w:lang w:val="en-US"/>
        </w:rPr>
        <w:t xml:space="preserve"> Insan kamil yang merupakan khalifah Tuhan di muka bumi,  adalah ayat yang paling agung dan hujjah yang paling besar.</w:t>
      </w:r>
    </w:p>
    <w:p>
      <w:pPr>
        <w:pStyle w:val="BookText"/>
        <w:bidi w:val="0"/>
        <w:jc w:val="both"/>
        <w:rPr/>
      </w:pPr>
      <w:r>
        <w:rPr>
          <w:rFonts w:eastAsia="Times New Roman" w:cs="Times New Roman" w:ascii="Times New Roman" w:hAnsi="Times New Roman"/>
          <w:color w:val="111111"/>
          <w:sz w:val="28"/>
          <w:szCs w:val="28"/>
          <w:lang w:val="en-US"/>
        </w:rPr>
        <w:t>Insan kamil juga merupakan kumpulan dari seluruh tingkatan  alam gaib, alam lahir, dan sebagai pengemban kitab-kitab Ilahi.</w:t>
      </w:r>
    </w:p>
    <w:p>
      <w:pPr>
        <w:pStyle w:val="BookText"/>
        <w:bidi w:val="0"/>
        <w:jc w:val="both"/>
        <w:rPr/>
      </w:pPr>
      <w:r>
        <w:rPr>
          <w:rFonts w:eastAsia="Times New Roman" w:cs="Times New Roman" w:ascii="Times New Roman" w:hAnsi="Times New Roman"/>
          <w:color w:val="111111"/>
          <w:sz w:val="28"/>
          <w:szCs w:val="28"/>
          <w:lang w:val="en-US"/>
        </w:rPr>
        <w:t>Dengan berpijak pada hadits yang berbunyi, “Sesungguhnya  Allah menciptakan Adam dengan rupanya," maka insan kamil  bisa dijelaskan dengan sifat-sifat berikut: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Adam adalah perumpamaan ideal (matsal aʻlā) Al-  Haqq Swt., juga merupakan ayat Allah terbesar,  manifestasi paling sempurna, cermin segala manifestasi  asma dan sifat Allah, wajah Allah (wajhullāh), mata  Allah ('ainullāh), tangan Allah (yadullāh), serta sisi  Allah (janbillāh). Dia melihat, mendengar, dan berbuat  karena Allah, serta Allah juga melihat, mendengar, dan  berbuat olehnya."</w:t>
      </w:r>
      <w:r>
        <w:rPr>
          <w:rStyle w:val="FootnoteAnchor"/>
        </w:rPr>
        <w:footnoteReference w:id="162"/>
      </w:r>
      <w:r>
        <w:rPr>
          <w:rFonts w:eastAsia="Times New Roman" w:cs="Times New Roman" w:ascii="Times New Roman" w:hAnsi="Times New Roman"/>
          <w:color w:val="111111"/>
          <w:sz w:val="28"/>
          <w:szCs w:val="28"/>
          <w:lang w:val="en-US"/>
        </w:rPr>
        <w:t xml:space="preserve"> Ungkapan ini bukan hal yang asing dan bukan perkara  baru yang masuk ke dalam teks agama. Hadits-hadits dari para  Maksum a.s. sangat kaya dengan perkara-perkara seperti ini. </w:t>
      </w:r>
    </w:p>
    <w:p>
      <w:pPr>
        <w:pStyle w:val="BookText"/>
        <w:bidi w:val="0"/>
        <w:rPr/>
      </w:pPr>
      <w:r>
        <w:rPr>
          <w:rFonts w:eastAsia="Times New Roman" w:cs="Times New Roman" w:ascii="Times New Roman" w:hAnsi="Times New Roman"/>
          <w:color w:val="111111"/>
          <w:sz w:val="28"/>
          <w:szCs w:val="28"/>
          <w:lang w:val="en-US"/>
        </w:rPr>
        <w:t>Imam Al-Baqir a.s. – ketika menafsirkan ayat: “Tentang  apakah mereka saling bertanya-tanya? Tentang berita yang  besar” – menjelaskan bahwa ayat ini berkenaan dengan Imam  Ali a.s.. Beliau pernah berkata,  “Bagi Tuhan, tidak ada ayat yang lebih besar dan berita  yang paling agung, selain diriku."</w:t>
      </w:r>
      <w:r>
        <w:rPr>
          <w:rStyle w:val="FootnoteAnchor"/>
        </w:rPr>
        <w:footnoteReference w:id="163"/>
      </w:r>
      <w:r>
        <w:rPr>
          <w:rFonts w:eastAsia="Times New Roman" w:cs="Times New Roman" w:ascii="Times New Roman" w:hAnsi="Times New Roman"/>
          <w:color w:val="111111"/>
          <w:sz w:val="28"/>
          <w:szCs w:val="28"/>
          <w:lang w:val="en-US"/>
        </w:rPr>
        <w:t xml:space="preserve"> Setiap makhluk, semakin besar kesempurnaannya  semakin sempurna kedudukannya sebagai tanda Tuhan. Para  Arif dan filsuf besar menyebut ciri-ciri ini sebagai “sisi Sang  Pencipta" (yali al-bārī). Kata wajh juga diambil dari teks-teks  agama yang berinti dari teks-teks agama lebih mudah dijelaskan  oleh para filsuf dan urafa.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Segala sesuatu akan hancur, kecuali wajah-Nya."</w:t>
      </w:r>
      <w:r>
        <w:rPr>
          <w:rStyle w:val="FootnoteAnchor"/>
        </w:rPr>
        <w:footnoteReference w:id="164"/>
      </w:r>
      <w:r>
        <w:rPr>
          <w:rFonts w:eastAsia="Times New Roman" w:cs="Times New Roman" w:ascii="Times New Roman" w:hAnsi="Times New Roman"/>
          <w:color w:val="111111"/>
          <w:sz w:val="28"/>
          <w:szCs w:val="28"/>
          <w:lang w:val="en-US"/>
        </w:rPr>
        <w:t xml:space="preserve"> Hadits dari para Maksum a.s., “Kami adalah wajah Allah,"  dan juga petikan Doa Nudbah, “Di mana wajah Allah, di  mana para Wali menghadap kepadanya," menjelaskan alasan  bahwa tanda-tanda llahi terdapat dalam diri setiap makhluk,  dan manifestasi Al-Haqq Swt. dalam cermin kesempurnaan.</w:t>
      </w:r>
    </w:p>
    <w:p>
      <w:pPr>
        <w:pStyle w:val="BookText"/>
        <w:bidi w:val="0"/>
        <w:jc w:val="both"/>
        <w:rPr/>
      </w:pPr>
      <w:r>
        <w:rPr>
          <w:rFonts w:eastAsia="Times New Roman" w:cs="Times New Roman" w:ascii="Times New Roman" w:hAnsi="Times New Roman"/>
          <w:color w:val="111111"/>
          <w:sz w:val="28"/>
          <w:szCs w:val="28"/>
          <w:lang w:val="en-US"/>
        </w:rPr>
        <w:t>Mereka mengisyaratkan bahwa makhluk adalah ayat Allah  Swt.. Di antara ayat-ayat dan manifestasi-manifestasi tersebut,  ada insan kamil yang merupakan cermin seluruh sifat Tuhan.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Entifikasi (taʻayyun) dari nama yang paling  komprehensif (ism jāmi') adalah entitas permanen (a'in  tsābit) insan kamil dan hakikat muhammadiyah. Insan  kamil merupakan manifestasi nama komprehensif dan  cermin manifestasi nama agung (ism aʻzham)."</w:t>
      </w:r>
      <w:r>
        <w:rPr>
          <w:rStyle w:val="FootnoteAnchor"/>
        </w:rPr>
        <w:footnoteReference w:id="165"/>
      </w:r>
      <w:bookmarkStart w:id="101" w:name="pg5928_44278"/>
    </w:p>
    <w:p>
      <w:pPr>
        <w:pStyle w:val="Heading3"/>
        <w:numPr>
          <w:ilvl w:val="2"/>
          <w:numId w:val="1"/>
        </w:numPr>
        <w:bidi w:val="0"/>
        <w:jc w:val="left"/>
        <w:rPr/>
      </w:pPr>
      <w:bookmarkStart w:id="102" w:name="__RefHeading___Toc5529754_581953129"/>
      <w:bookmarkStart w:id="103" w:name="_Toc34"/>
      <w:bookmarkEnd w:id="101"/>
      <w:bookmarkEnd w:id="102"/>
      <w:r>
        <w:rPr/>
        <w:t>Ism (Nama)</w:t>
      </w:r>
      <w:bookmarkEnd w:id="10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Dengan nama Allah Yang Maha Pengasih lagi Maha  Penyayang. Hanya milik Allah asmaul husna. Maka,  memohonlah kepada-Nya dengan menyebut asmaul  husna itu."</w:t>
      </w:r>
      <w:r>
        <w:rPr>
          <w:rStyle w:val="FootnoteAnchor"/>
        </w:rPr>
        <w:footnoteReference w:id="166"/>
      </w:r>
      <w:r>
        <w:rPr>
          <w:rFonts w:eastAsia="Times New Roman" w:cs="Times New Roman" w:ascii="Times New Roman" w:hAnsi="Times New Roman"/>
          <w:color w:val="111111"/>
          <w:sz w:val="28"/>
          <w:szCs w:val="28"/>
          <w:lang w:val="en-US"/>
        </w:rPr>
        <w:t xml:space="preserve"> Imam Al-Baqir a.s. berkata, “Demi Allah, kami adalah  asmaul husna." Dalam hadits lain disebutkan, “Sesungguhnya  Allah mencipta nama-nama dengan huruf-huruf yang tidak  memiliki suara."  Dengan menggunakan media akal – yang berlandaskan  pada dzauq 'irfāni – teks-teks tersebut bisa dijelaskan dengan  baik. Sebagaimana telah disebutkan sebelumnya, bahwa  penjelasan yang benar dan bersandar pada teks-teks agama  tentang alam semesta akhirnya sampai ke puncak teori,  bahwasanya penciptaan terjadi berdasarkan aturan asma dan  manifestasi dari asma tersebut.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Rangkaian dan tingkatan eksistensi, serta ruang lingkup  dan juga tingkatan penyaksian (syuhūd), semuanya merupakan  asma Ilahi. Ism merupakan identitas dan segala sesuatu dari  maqam kehadiran gaib (hadhrah ghaib) yang masuk ke dalam  lingkaran eksistensi merupakan simbol dan manifestasi Al-  Haqq Swt..</w:t>
      </w:r>
      <w:r>
        <w:rPr>
          <w:rStyle w:val="FootnoteAnchor"/>
        </w:rPr>
        <w:footnoteReference w:id="167"/>
      </w:r>
      <w:r>
        <w:rPr>
          <w:rFonts w:eastAsia="Times New Roman" w:cs="Times New Roman" w:ascii="Times New Roman" w:hAnsi="Times New Roman"/>
          <w:color w:val="111111"/>
          <w:sz w:val="28"/>
          <w:szCs w:val="28"/>
          <w:lang w:val="en-US"/>
        </w:rPr>
        <w:t xml:space="preserve"> “Ism merupakan esensi yang diiringi sifat-sifat tertentu  atau manifestasi khusus dari manifestasi-manifestasi  Ilahi.</w:t>
      </w:r>
      <w:r>
        <w:rPr>
          <w:rStyle w:val="FootnoteAnchor"/>
        </w:rPr>
        <w:footnoteReference w:id="168"/>
      </w:r>
      <w:r>
        <w:rPr>
          <w:rFonts w:eastAsia="Times New Roman" w:cs="Times New Roman" w:ascii="Times New Roman" w:hAnsi="Times New Roman"/>
          <w:color w:val="111111"/>
          <w:sz w:val="28"/>
          <w:szCs w:val="28"/>
          <w:lang w:val="en-US"/>
        </w:rPr>
        <w:t xml:space="preserve"> Mengingat manifestasi Ilahi merupakan sebab  kemunculan ism bagi Tuhan, dan seluruh penciptaan  merupakan manifestasi Ilahi, maka penetapan ism  bagi Tuhan, keluar dari lingkup huruf dan segala  eksistensi yang ada di luar pikiran. Masing-masing  merupakan nama (ism) Tuhan. Dalam pandangan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irfān, kemajemukan (takatstsur) pertama, adalah  kemajemukan asma yang tergolong dalam kemajukan  ‘ilmi dan syuhūdi. Manifestasi asma ini menyebabkan  terbukanya pintu eksistensi dan penebaran rahmat.</w:t>
      </w:r>
    </w:p>
    <w:p>
      <w:pPr>
        <w:pStyle w:val="BookText"/>
        <w:bidi w:val="0"/>
        <w:jc w:val="both"/>
        <w:rPr/>
      </w:pPr>
      <w:r>
        <w:rPr>
          <w:rFonts w:eastAsia="Times New Roman" w:cs="Times New Roman" w:ascii="Times New Roman" w:hAnsi="Times New Roman"/>
          <w:color w:val="111111"/>
          <w:sz w:val="28"/>
          <w:szCs w:val="28"/>
          <w:lang w:val="en-US"/>
        </w:rPr>
        <w:t>Setiap ism memliki tingkatan-tingkatan, mulai dari  maqam lafzhi hingga maqam maʼlūhiyyah dan  ulūhiyyah. Akan tetapi, semuanya memiliki hubungan  dengan satu maqam yang disebut tahapan gaib. Ism  yang paling besar dan memiliki keagungan, serta paling  penting dari semuanya disebut dengan ism aʻzham.</w:t>
      </w:r>
    </w:p>
    <w:p>
      <w:pPr>
        <w:pStyle w:val="BookText"/>
        <w:bidi w:val="0"/>
        <w:jc w:val="both"/>
        <w:rPr/>
      </w:pPr>
      <w:r>
        <w:rPr>
          <w:rFonts w:eastAsia="Times New Roman" w:cs="Times New Roman" w:ascii="Times New Roman" w:hAnsi="Times New Roman"/>
          <w:color w:val="111111"/>
          <w:sz w:val="28"/>
          <w:szCs w:val="28"/>
          <w:lang w:val="en-US"/>
        </w:rPr>
        <w:t>Ism aʻzham, memiliki satu hakikat yang sesuai dengan  maqam ulūhiyyah, satu hakikat yang sesuai dengan  maqam ma'lūhiyyah, hakikat lain yang sesuai dengan  maqam lafzhi (literal), dan 'ibārah (ekspresi). Akan  tetapi, ism aʼzham yang berdasarkan hakikat gaib yang  hanya diketahui oleh Allah .... Itu merupakan huruf ke-  73 yang berada di alam gaib dan termasuk huruf yang  berpengaruh (musta'tsir)."</w:t>
      </w:r>
      <w:r>
        <w:rPr>
          <w:rStyle w:val="FootnoteAnchor"/>
        </w:rPr>
        <w:footnoteReference w:id="169"/>
      </w:r>
      <w:r>
        <w:rPr>
          <w:rFonts w:eastAsia="Times New Roman" w:cs="Times New Roman" w:ascii="Times New Roman" w:hAnsi="Times New Roman"/>
          <w:color w:val="111111"/>
          <w:sz w:val="28"/>
          <w:szCs w:val="28"/>
          <w:lang w:val="en-US"/>
        </w:rPr>
        <w:t xml:space="preserve"> Hakikat ism aʻzham tidak bermanifestasi pada seorang  pun dari jenis manusia, kecuali hanya pada hakikat Muhammad  dan wali-walinya, tempat Tuhan telah mengecualikan mereka  dengan memberi mereka ilmu gaib. Hakikat lafaz ism aʼzham  hanya bisa diketahui oleh wali-wali Ilahi dan disembunyikan  dari manusia biasa. </w:t>
      </w:r>
      <w:r>
        <w:rPr>
          <w:rStyle w:val="FootnoteAnchor"/>
        </w:rPr>
        <w:footnoteReference w:id="170"/>
      </w:r>
      <w:r>
        <w:rPr>
          <w:rFonts w:eastAsia="Times New Roman" w:cs="Times New Roman" w:ascii="Times New Roman" w:hAnsi="Times New Roman"/>
          <w:color w:val="111111"/>
          <w:sz w:val="28"/>
          <w:szCs w:val="28"/>
          <w:lang w:val="en-US"/>
        </w:rPr>
        <w:t>Ungkapan dan penyampaian yang lebih  dalam adalah sebagai berikut: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Ism aʻzham adalah hakikat Muhammad, di mana asma  Ilahi merupakan manifestasi dari hakikat ism aʻzham  ini .... Hakikat Muhammad bermanifestasi ke dalam  seluruh alam, mulai dari alam akal hingga alam materi  pertama (hayūlā) dan alam dunia, di mana semuanya  merupakan manifestasi hakikat tersebut. Setiap titik dari  tingkatan eksistensi merupakan perincian dari bentuk  ini. Pada hakikat luarnya, ism aʻzham merupakan  penampakan kehendak tanpa entifikasi, dan setiap  hakikat yang memiliki entifikasi atau determinan </w:t>
      </w:r>
      <w:bookmarkStart w:id="104" w:name="pg5928_44280"/>
    </w:p>
    <w:p>
      <w:pPr>
        <w:pStyle w:val="BookText"/>
        <w:bidi w:val="0"/>
        <w:rPr/>
      </w:pPr>
      <w:bookmarkEnd w:id="104"/>
      <w:r>
        <w:rPr>
          <w:rFonts w:eastAsia="Times New Roman" w:cs="Times New Roman" w:ascii="Times New Roman" w:hAnsi="Times New Roman"/>
          <w:color w:val="111111"/>
          <w:sz w:val="28"/>
          <w:szCs w:val="28"/>
          <w:lang w:val="en-US"/>
        </w:rPr>
        <w:t>(mutaʻayyin) memiliki hubungan dengan hakikat  tersebut. Tuhan telah menciptakan segala sesuatu atas  kehendak (masyi'ah) dan Dia menciptakan masyi'ah  dengan hakikat. Hal inilah yang menjadi dasar mengapa  Muhammad bin Abdullah disebut Muhammad, di  mana ia turun dari alam Ilahi ke alam materi (mulk)  untuk membebaskan semua yang terpenjara di alam  materi."</w:t>
      </w:r>
      <w:r>
        <w:rPr>
          <w:rStyle w:val="FootnoteAnchor"/>
        </w:rPr>
        <w:footnoteReference w:id="171"/>
      </w:r>
    </w:p>
    <w:p>
      <w:pPr>
        <w:pStyle w:val="Heading3"/>
        <w:numPr>
          <w:ilvl w:val="2"/>
          <w:numId w:val="1"/>
        </w:numPr>
        <w:bidi w:val="0"/>
        <w:jc w:val="left"/>
        <w:rPr/>
      </w:pPr>
      <w:bookmarkStart w:id="105" w:name="__RefHeading___Toc5529756_581953129"/>
      <w:bookmarkStart w:id="106" w:name="_Toc35"/>
      <w:bookmarkEnd w:id="105"/>
      <w:r>
        <w:rPr/>
        <w:t>Amr Baina Amrain (Posisi di Antara Dua Posisi)</w:t>
      </w:r>
      <w:bookmarkEnd w:id="1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bukan kamu yang melempar ketika kamu  melempar, tetapi Allah-lah yang melempar. "</w:t>
      </w:r>
      <w:r>
        <w:rPr>
          <w:rStyle w:val="FootnoteAnchor"/>
        </w:rPr>
        <w:footnoteReference w:id="172"/>
      </w:r>
      <w:r>
        <w:rPr>
          <w:rFonts w:eastAsia="Times New Roman" w:cs="Times New Roman" w:ascii="Times New Roman" w:hAnsi="Times New Roman"/>
          <w:color w:val="111111"/>
          <w:sz w:val="28"/>
          <w:szCs w:val="28"/>
          <w:lang w:val="en-US"/>
        </w:rPr>
        <w:t xml:space="preserve"> "Allah memegang jiwa (orang ketika matinya. "</w:t>
      </w:r>
      <w:r>
        <w:rPr>
          <w:rStyle w:val="FootnoteAnchor"/>
        </w:rPr>
        <w:footnoteReference w:id="173"/>
      </w:r>
      <w:r>
        <w:rPr>
          <w:rFonts w:eastAsia="Times New Roman" w:cs="Times New Roman" w:ascii="Times New Roman" w:hAnsi="Times New Roman"/>
          <w:color w:val="111111"/>
          <w:sz w:val="28"/>
          <w:szCs w:val="28"/>
          <w:lang w:val="en-US"/>
        </w:rPr>
        <w:t xml:space="preserve"> “Katakanlah, Malaikat maut yang diserahi untuk  (mencabut nyawa)-mu akan mematikan kamu; kemudian  hanya kepada Tuhanmulah kamu akan dikembalikan. </w:t>
      </w:r>
      <w:r>
        <w:rPr>
          <w:rStyle w:val="FootnoteAnchor"/>
        </w:rPr>
        <w:footnoteReference w:id="174"/>
      </w:r>
      <w:r>
        <w:rPr>
          <w:rFonts w:eastAsia="Times New Roman" w:cs="Times New Roman" w:ascii="Times New Roman" w:hAnsi="Times New Roman"/>
          <w:color w:val="111111"/>
          <w:sz w:val="28"/>
          <w:szCs w:val="28"/>
          <w:lang w:val="en-US"/>
        </w:rPr>
        <w:t xml:space="preserve"> Tidak diragukan bahwa penguasaan terhadap prinsip-  prinsip filsafat untuk menafsirkan teks-teks seperti ini sangat  penting. Hal itu karena, tanpa penguasaan terhadap hal  tersebut manusia akan terjerumus ke dalam jebakan keyakinan  kaum Jabr atau Tafwidh.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"Jika seseorang telah bisa memahami prinsip-prinsip  dan pendahuluan-pendahuluan, dan dia telah bisa  merasakan manisnya keimanan dengan mendalami  karya-karya ‘irfān yang tinggi dan karya-karya Mulla  Sadra, para filsuf, para hakim terkemuka ... bisa  menyerapnya sehingga dalam tahapan ‘irfāni. Dia akan  sampai pada kesimpulan bahwa hubungan-hubungan  yang ada adalah benar dan sama sekali tidak bersifat  nisbi dan majazi....</w:t>
      </w:r>
      <w:r>
        <w:rPr>
          <w:rStyle w:val="FootnoteAnchor"/>
        </w:rPr>
        <w:footnoteReference w:id="175"/>
      </w:r>
      <w:r>
        <w:rPr>
          <w:rFonts w:eastAsia="Times New Roman" w:cs="Times New Roman" w:ascii="Times New Roman" w:hAnsi="Times New Roman"/>
          <w:color w:val="111111"/>
          <w:sz w:val="28"/>
          <w:szCs w:val="28"/>
          <w:lang w:val="en-US"/>
        </w:rPr>
        <w:t xml:space="preserve"> Posisi di antara dua posisi (amr baina amrain) telah  ditetapkan dalam metode ahli makrifat dan dalam  Filsafat Luhur (hikmah ‘āliyah). Akan tetapi, yang  menjadi perbedaan di kalangan ulama adalah dalam </w:t>
      </w:r>
    </w:p>
    <w:p>
      <w:pPr>
        <w:pStyle w:val="BookText"/>
        <w:bidi w:val="0"/>
        <w:rPr/>
      </w:pPr>
      <w:r>
        <w:rPr>
          <w:rFonts w:eastAsia="Times New Roman" w:cs="Times New Roman" w:ascii="Times New Roman" w:hAnsi="Times New Roman"/>
          <w:color w:val="111111"/>
          <w:sz w:val="28"/>
          <w:szCs w:val="28"/>
          <w:lang w:val="en-US"/>
        </w:rPr>
        <w:t>memberikan pemaknaan padanya. Hal yang paling  diyakini, paling bisa diterima, dan paling selaras dengan  jalan tauhid dalam berbagai mazhab adalah cita rasa  (masyrab) urafa besar dan para pemilik hati (ashhāb al-  qulüb). Namun, dalam setiap pengetahuan Ilahiah ada  hal-hal yang tidak mungkin diselesaikan dengan cara  kajian biasa dan argumen. Tanpa dibarengi dengan  ketakwaan hati dan taufik llahi, siapa pun tidak akan  bisa memahaminya."</w:t>
      </w:r>
      <w:r>
        <w:rPr>
          <w:rStyle w:val="FootnoteAnchor"/>
        </w:rPr>
        <w:footnoteReference w:id="176"/>
      </w:r>
      <w:r>
        <w:rPr>
          <w:rFonts w:eastAsia="Times New Roman" w:cs="Times New Roman" w:ascii="Times New Roman" w:hAnsi="Times New Roman"/>
          <w:color w:val="111111"/>
          <w:sz w:val="28"/>
          <w:szCs w:val="28"/>
          <w:lang w:val="en-US"/>
        </w:rPr>
        <w:t xml:space="preserve"> Kajian ini dengan segala kerumitan dan kesulitannya  dijelaskan menurut cita rasa dan secara filosofis. Jika kita ingin  mengikuti kajian yang dilakukan oleh para ahli, kajian ini akan  menjadi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Penafian tafwidh artinya menafikan kemandirian mutlak  setiap makhluk dalam pengaruhnya terhadap perbuatan.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Penafian jabr artinya berbeda dengan kaum Jabr, yaitu  dengan meyakini bahwa makhluk memiliki pengaruh  dalam perbuatannya.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Afirmasi sebab dari makhluk (ta'tsir) dan penafian  kebebasan mutlak, yang dengan kata lain manzilah baina  manzilatain (posisi di antara dua posisi).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Posisi ījād (pengadaan) adalah seperti eksistensi  dan sifat-sifatnya. Sebagaimana semua makhluk ada  dan tidak mandiri dalam keberadaannya, serta sifat-  sifat baginya sudah ditetapkan dan tidak memiliki  kemandirian dalam hal itu, telah ditetapkan juga pada  mereka perbuatan-perbuatan yang memang bersumber  dari mereka. Akan tetapi, mereka tidak mandiri dalam  eksistensinya, dan terdapat juga perbuatan-perbuatan  yang tidak mandiri dalam fā'iliyyah (subyek) dan ijad  (aktivitas)."</w:t>
      </w:r>
      <w:r>
        <w:rPr>
          <w:rStyle w:val="FootnoteAnchor"/>
        </w:rPr>
        <w:footnoteReference w:id="177"/>
      </w:r>
      <w:bookmarkStart w:id="107" w:name="pg5928_44282"/>
    </w:p>
    <w:p>
      <w:pPr>
        <w:pStyle w:val="BookText"/>
        <w:bidi w:val="0"/>
        <w:rPr/>
      </w:pPr>
      <w:bookmarkEnd w:id="107"/>
      <w:r>
        <w:rPr>
          <w:rFonts w:eastAsia="Times New Roman" w:cs="Times New Roman" w:ascii="Times New Roman" w:hAnsi="Times New Roman"/>
          <w:color w:val="111111"/>
          <w:sz w:val="28"/>
          <w:szCs w:val="28"/>
          <w:lang w:val="en-US"/>
        </w:rPr>
        <w:t>Penjelasan yang sarat dengan dzauq‘irfāni dalam  menafsirkan teks di atas adalah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Penegasan dan penafian ini mengisyaratkan maqam  amr baina amrain. Artinya, kamu melakukan pelemparan  pada saat kamu tidak melakukan pelemparan  dengan keakuan dan kemandirianmu, tetapi dengan  penampakan kekuatan Al-Haqq dalam perbuatanmu  serta terjadinya andil dan memberi pengaruh pada  kekuatan-Nya dalam alam materi dan alam spiritual  pelemparanmu ... dengan satu pandangan .... Semua  alam realitas dalam hubungannya dengan malak  yang mutlak dan kehendak Al-Haqq Swt., semuanya  merupakan manifestasi dan penampakan kekuatan  dan kehendak Al-Haqq Swt.. Pandangan tentang  keragaman dan sebab akibat yang ada, pada tempatnya  dianggap benar. Aturan sempurna adalah aturan yang  berdasarkan pada hukum kausalitas."</w:t>
      </w:r>
      <w:r>
        <w:rPr>
          <w:rStyle w:val="FootnoteAnchor"/>
        </w:rPr>
        <w:footnoteReference w:id="178"/>
      </w:r>
    </w:p>
    <w:p>
      <w:pPr>
        <w:pStyle w:val="Heading3"/>
        <w:numPr>
          <w:ilvl w:val="2"/>
          <w:numId w:val="1"/>
        </w:numPr>
        <w:bidi w:val="0"/>
        <w:jc w:val="left"/>
        <w:rPr/>
      </w:pPr>
      <w:bookmarkStart w:id="108" w:name="__RefHeading___Toc5529758_581953129"/>
      <w:bookmarkStart w:id="109" w:name="_Toc36"/>
      <w:bookmarkEnd w:id="108"/>
      <w:r>
        <w:rPr/>
        <w:t>Tafwīdh</w:t>
      </w:r>
      <w:bookmarkEnd w:id="109"/>
    </w:p>
    <w:p>
      <w:pPr>
        <w:pStyle w:val="BookText"/>
        <w:bidi w:val="0"/>
        <w:jc w:val="both"/>
        <w:rPr/>
      </w:pPr>
      <w:r>
        <w:rPr>
          <w:rFonts w:eastAsia="Times New Roman" w:cs="Times New Roman" w:ascii="Times New Roman" w:hAnsi="Times New Roman"/>
          <w:color w:val="111111"/>
          <w:sz w:val="28"/>
          <w:szCs w:val="28"/>
          <w:lang w:val="en-US"/>
        </w:rPr>
        <w:t>Dalam kamus Islam, tafwidh memiliki beberapa  pengertian. Sebagian pengertian tersebut diterima dan sejalan  dengan sistem makrifat dan akidah Islam, sedangkan sebagian  yang lain ditolak.</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Tafwidh Negatif  Pengertian tafwidh yang ditolak dalam Islam berkenaan  dengan kajian jabr dan ikhtiyār. Tafwidh memiliki pengertian  yang berlawanan dengan jabr yang keduanya sama-sama  tertolak. Tafwidh dalam pengertian ini adalah pilihan bebas  (ikhtiyar) mutlak semua makhluk dan kemandirian dalam  mencipta. Hal ini sangat tidak selaras dengan pandangan dunia  Islam.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Al-Haqq Swt. dalam setiap perkara, mulai dari tujuan  tertinggi (ghāyah al-qushwā) penciptaan alam-alam  gaib sampai akhir tujuan alam penciptaan dan takwin-  mengundurkan dirinya dari memengaruhi secara  esensial dan menyerahkan semuanya kepada makhluk-  Nya, baik yang sempurna yang memiliki ruh, pilihan  bebas (ikhtiyār) dan kehendak, atau kepada makhluk  yang tidak memiliki kesadaran (syu‘ūr) dan keinginan.</w:t>
      </w:r>
    </w:p>
    <w:p>
      <w:pPr>
        <w:pStyle w:val="BookText"/>
        <w:bidi w:val="0"/>
        <w:jc w:val="both"/>
        <w:rPr/>
      </w:pPr>
      <w:r>
        <w:rPr>
          <w:rFonts w:eastAsia="Times New Roman" w:cs="Times New Roman" w:ascii="Times New Roman" w:hAnsi="Times New Roman"/>
          <w:color w:val="111111"/>
          <w:sz w:val="28"/>
          <w:szCs w:val="28"/>
          <w:lang w:val="en-US"/>
        </w:rPr>
        <w:t>Semua makhluk dalam hal ini memiliki pilihan bebas  mutlak dan berdiri sendiri. Tafwidh dengan pengertian  ini, baik dalam perkara penciptaan (takwin) maupun  dalam perkara hukum (tasyrī“) tidak bisa dibenarkan  untuk dimiliki oleh satu makhluk pun."</w:t>
      </w:r>
      <w:r>
        <w:rPr>
          <w:rStyle w:val="FootnoteAnchor"/>
        </w:rPr>
        <w:footnoteReference w:id="179"/>
      </w:r>
      <w:r>
        <w:rPr>
          <w:rFonts w:eastAsia="Times New Roman" w:cs="Times New Roman" w:ascii="Times New Roman" w:hAnsi="Times New Roman"/>
          <w:color w:val="111111"/>
          <w:sz w:val="28"/>
          <w:szCs w:val="28"/>
          <w:lang w:val="en-US"/>
        </w:rPr>
        <w:t xml:space="preserve"> Alasan ketidakbenaran tafwidh dengan pengertian ini  dalam bahasa filsafat, adalah “karena akan menyebabkan  kekurangan, ke-imkān-an wājib al-wujūd, dan menafikan  kekurangan dan ke-imkān-an makhluk"</w:t>
      </w:r>
      <w:r>
        <w:rPr>
          <w:rStyle w:val="FootnoteAnchor"/>
        </w:rPr>
        <w:footnoteReference w:id="180"/>
      </w:r>
      <w:r>
        <w:rPr>
          <w:rFonts w:eastAsia="Times New Roman" w:cs="Times New Roman" w:ascii="Times New Roman" w:hAnsi="Times New Roman"/>
          <w:color w:val="111111"/>
          <w:sz w:val="28"/>
          <w:szCs w:val="28"/>
          <w:lang w:val="en-US"/>
        </w:rPr>
        <w:t>. Hal ini juga  bisa menyebabkan terbelenggunya tangan Tuhan dan bisa  menegaskan kekuatan dan kehendak yang berdiri sendiri pada  hamba. Filsafat Islam dengan pandangan dunianya yang  bersumber dari teks-teks agama- sangat menentang tafwidh  dengan pengertian demikian. Prinsip-prinsip rasional Filsafat  Islam sama sekali tidak akan menerima paham semacam ini.</w:t>
      </w:r>
    </w:p>
    <w:p>
      <w:pPr>
        <w:pStyle w:val="BookText"/>
        <w:bidi w:val="0"/>
        <w:jc w:val="both"/>
        <w:rPr/>
      </w:pPr>
      <w:r>
        <w:rPr>
          <w:rFonts w:eastAsia="Times New Roman" w:cs="Times New Roman" w:ascii="Times New Roman" w:hAnsi="Times New Roman"/>
          <w:color w:val="111111"/>
          <w:sz w:val="28"/>
          <w:szCs w:val="28"/>
          <w:lang w:val="en-US"/>
        </w:rPr>
        <w:t>Sebagian argumentasi yang dikemukakan berkenaan  dengan kemustahilan tafwīdh adalah sebagai berikut:</w:t>
      </w:r>
    </w:p>
    <w:p>
      <w:pPr>
        <w:pStyle w:val="BookText"/>
        <w:bidi w:val="0"/>
        <w:jc w:val="both"/>
        <w:rPr/>
      </w:pPr>
      <w:r>
        <w:rPr>
          <w:rFonts w:eastAsia="Times New Roman" w:cs="Times New Roman" w:ascii="Times New Roman" w:hAnsi="Times New Roman"/>
          <w:color w:val="111111"/>
          <w:sz w:val="28"/>
          <w:szCs w:val="28"/>
          <w:lang w:val="en-US"/>
        </w:rPr>
        <w:t>Pertama, berdasarkan kaidah “sesuatu yang belum sampai  ke tahap wajib tidak bisa menjadi ada".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Kemandirian suatu maujud dalam suatu perbuatan  adalah sesuatu yang tidak mungkin, kecuali sebuah  subjek (fāʻil) dan pengada (mūjid) menghalangi segala  ketiadaan ('adam) yang berpotensi untuk menjadi  ada dari suatu sebab. Kemandirian dalam sebab  akibat terwujud ketika sebuah sebab menghalangi </w:t>
      </w:r>
    </w:p>
    <w:p>
      <w:pPr>
        <w:pStyle w:val="BookText"/>
        <w:bidi w:val="0"/>
        <w:rPr/>
      </w:pPr>
      <w:r>
        <w:rPr>
          <w:rFonts w:eastAsia="Times New Roman" w:cs="Times New Roman" w:ascii="Times New Roman" w:hAnsi="Times New Roman"/>
          <w:color w:val="111111"/>
          <w:sz w:val="28"/>
          <w:szCs w:val="28"/>
          <w:lang w:val="en-US"/>
        </w:rPr>
        <w:t>semua ketiadaan yang mumkin dari sebab itu  dan mengantarkan sebab tersebut ke batas wujūb  (kemestian) dan menjadikannya ada .... Segenap wujud  mumkin ... tidak memiliki sifat dan kedudukan seperti  ini, karena ketiadaan (“adam) yang bisa menjadi akibat,  ketiadaannya disebabkan oleh tidak adanya sebab  kesubjekan (fā'ilī). Dalam rangkaian wujūd mumkin  tidak ada satu eksistensi pun yang bisa menghalangi  ketiadaan akibat dalam hal ini. Itu karena, hal ini akan  menyebabkan perubahan ke-mumkin-an esensial  (imkān dzātī) menjadi kemestian esensial (wujūb  dzāti).... "</w:t>
      </w:r>
      <w:r>
        <w:rPr>
          <w:rStyle w:val="FootnoteAnchor"/>
        </w:rPr>
        <w:footnoteReference w:id="181"/>
      </w:r>
      <w:r>
        <w:rPr>
          <w:rFonts w:eastAsia="Times New Roman" w:cs="Times New Roman" w:ascii="Times New Roman" w:hAnsi="Times New Roman"/>
          <w:color w:val="111111"/>
          <w:sz w:val="28"/>
          <w:szCs w:val="28"/>
          <w:lang w:val="en-US"/>
        </w:rPr>
        <w:t xml:space="preserve"> Kedua, ringkasan dari argumen kedua adalah sebagai  berikut: “kemandirian dalam menjadi ada adalah akibat dari  kemandirian dalam eksistensi, dan hal ini tidak mungkin terjadi  pada wujūd mumkin". </w:t>
      </w:r>
      <w:r>
        <w:rPr>
          <w:rStyle w:val="FootnoteAnchor"/>
        </w:rPr>
        <w:footnoteReference w:id="182"/>
      </w:r>
      <w:r>
        <w:rPr>
          <w:rFonts w:eastAsia="Times New Roman" w:cs="Times New Roman" w:ascii="Times New Roman" w:hAnsi="Times New Roman"/>
          <w:color w:val="111111"/>
          <w:sz w:val="28"/>
          <w:szCs w:val="28"/>
          <w:lang w:val="en-US"/>
        </w:rPr>
        <w:t xml:space="preserve">Dari sini akan berkembang pada  "tafwidh yang mengada berupa bentuk apa pun dalam mengada  tidak mungkin terwujud pada semua wujūd mumkin". </w:t>
      </w:r>
      <w:r>
        <w:rPr>
          <w:rStyle w:val="FootnoteAnchor"/>
        </w:rPr>
        <w:footnoteReference w:id="183"/>
      </w:r>
      <w:r>
        <w:rPr>
          <w:rFonts w:eastAsia="Times New Roman" w:cs="Times New Roman" w:ascii="Times New Roman" w:hAnsi="Times New Roman"/>
          <w:color w:val="111111"/>
          <w:sz w:val="28"/>
          <w:szCs w:val="28"/>
          <w:lang w:val="en-US"/>
        </w:rPr>
        <w:t xml:space="preserve"> 2. Tafwidh Positif  Pengertian lain dari kata tafwidh yang bisa diterima dan  ditekankan dalam mazhab kaum Imamiyyah sangat berbeda  dengan pengertian sebelumnya. Terdapat banyak hadits yang  menisbatkan tafwidh dengan pengertian ini kepada para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Tafwidh merupakan masalah penghambaan dan  ruhani yang sempurna, di mana kehendaknya telah fana  dalam kehendak Al-Haqq Swt.. Kehendaknya berada di  bawah bayang-bayang kehendak Al-Haqq Swt.. Ia tidak  berkehendak (pada sesuatu), kecuali Al-Haqq Swt.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menghendakinya dan tidak bergerak, kecuali sejalan  dengan sistem yang paling maslahat, baik dalam  masalah penciptaan maupun dalam pensyariatan dan </w:t>
      </w:r>
      <w:bookmarkStart w:id="110" w:name="pg5928_44285"/>
    </w:p>
    <w:p>
      <w:pPr>
        <w:pStyle w:val="BookText"/>
        <w:bidi w:val="0"/>
        <w:rPr/>
      </w:pPr>
      <w:bookmarkEnd w:id="110"/>
      <w:r>
        <w:rPr>
          <w:rFonts w:eastAsia="Times New Roman" w:cs="Times New Roman" w:ascii="Times New Roman" w:hAnsi="Times New Roman"/>
          <w:color w:val="111111"/>
          <w:sz w:val="28"/>
          <w:szCs w:val="28"/>
          <w:lang w:val="en-US"/>
        </w:rPr>
        <w:t>pendidikan jiwa. Tidak ada penghalang selain Al-Haqq  Swt., dan pada hakikatnya, ini bukan tafwidh (dalam  pengertian pertama)."'</w:t>
      </w:r>
      <w:r>
        <w:rPr>
          <w:rStyle w:val="FootnoteAnchor"/>
        </w:rPr>
        <w:footnoteReference w:id="184"/>
      </w:r>
      <w:r>
        <w:rPr>
          <w:rFonts w:eastAsia="Times New Roman" w:cs="Times New Roman" w:ascii="Times New Roman" w:hAnsi="Times New Roman"/>
          <w:color w:val="111111"/>
          <w:sz w:val="28"/>
          <w:szCs w:val="28"/>
          <w:lang w:val="en-US"/>
        </w:rPr>
        <w:t xml:space="preserve"> Hadits berikut merupakan salah satu contoh mengenai  hal ini. Seorang perawi berkata, "Saya bersama Imam Al-  Jawad a.s. dan saya menyampaikan masalah perbedaan di  kalangan Syi'ah." Imam a.s. berkata, “Tuhan Yang Mahatinggi  dalam keesaan-Nya selalu satu. Kemudian, Dia menciptakan  Muhammad, Ali, dan Fathimah. Mereka hidup selama seribu  masa (dahr), lalu Tuhan menciptakan segala sesuatu, dan  mereka (Muhammad, Ali, dan Fathimah) menjadi saksi atas  penciptaan ini. Tuhan telah mewajibkan kepada semua makhluk  untuk menaati mereka dan menyerahkan (tafwidh) perkara  penciptaan kepada mereka. Apa pun yang mereka kehendaki  adalah halal dan mereka tidak menghendaki sesuatu, kecuali  yang dikehendaki oleh Tuhan."</w:t>
      </w:r>
      <w:r>
        <w:rPr>
          <w:rStyle w:val="FootnoteAnchor"/>
        </w:rPr>
        <w:footnoteReference w:id="185"/>
      </w:r>
      <w:r>
        <w:rPr>
          <w:rFonts w:eastAsia="Times New Roman" w:cs="Times New Roman" w:ascii="Times New Roman" w:hAnsi="Times New Roman"/>
          <w:color w:val="111111"/>
          <w:sz w:val="28"/>
          <w:szCs w:val="28"/>
          <w:lang w:val="en-US"/>
        </w:rPr>
        <w:t xml:space="preserve"> Kesimpulan dari butir ini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Tafwidh dengan pengertian pertama, adalah  pandangan yang tertolak dan bertentangan dengan  argumentasi-argumentasi yang kuat. Sementara itu,  tafwidh dengan pengertian kedua, adalah sesuatu yang  diterima. Bahkan, sistem alam semesta tidak akan  berjalan, kecuali dengan hukum kausalitas. "</w:t>
      </w:r>
      <w:r>
        <w:rPr>
          <w:rStyle w:val="FootnoteAnchor"/>
        </w:rPr>
        <w:footnoteReference w:id="186"/>
      </w:r>
    </w:p>
    <w:p>
      <w:pPr>
        <w:pStyle w:val="Heading3"/>
        <w:numPr>
          <w:ilvl w:val="2"/>
          <w:numId w:val="1"/>
        </w:numPr>
        <w:bidi w:val="0"/>
        <w:jc w:val="left"/>
        <w:rPr/>
      </w:pPr>
      <w:bookmarkStart w:id="111" w:name="__RefHeading___Toc5529760_581953129"/>
      <w:bookmarkStart w:id="112" w:name="_Toc37"/>
      <w:bookmarkEnd w:id="111"/>
      <w:r>
        <w:rPr/>
        <w:t>Jabr (Determinisme)</w:t>
      </w:r>
      <w:bookmarkEnd w:id="1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Jabr merupakan konsep yang berlawanan dengan tafwidh  dalam pengertian negatif yang merupakan sisi lain dari dua  mata uang kenegatifan. Jabr memiliki pengertian, menafikan  peran khusus tingkatan eksistensi, menafikan sebab akibat </w:t>
      </w:r>
    </w:p>
    <w:p>
      <w:pPr>
        <w:pStyle w:val="BookText"/>
        <w:bidi w:val="0"/>
        <w:rPr/>
      </w:pPr>
      <w:r>
        <w:rPr>
          <w:rFonts w:eastAsia="Times New Roman" w:cs="Times New Roman" w:ascii="Times New Roman" w:hAnsi="Times New Roman"/>
          <w:color w:val="111111"/>
          <w:sz w:val="28"/>
          <w:szCs w:val="28"/>
          <w:lang w:val="en-US"/>
        </w:rPr>
        <w:t>secara keseluruhan, dan mengingkari eksistensi perantara  sepenuhnya.</w:t>
      </w:r>
      <w:r>
        <w:rPr>
          <w:rStyle w:val="FootnoteAnchor"/>
        </w:rPr>
        <w:footnoteReference w:id="187"/>
      </w:r>
      <w:r>
        <w:rPr>
          <w:rFonts w:eastAsia="Times New Roman" w:cs="Times New Roman" w:ascii="Times New Roman" w:hAnsi="Times New Roman"/>
          <w:color w:val="111111"/>
          <w:sz w:val="28"/>
          <w:szCs w:val="28"/>
          <w:lang w:val="en-US"/>
        </w:rPr>
        <w:t xml:space="preserve">Berdasarkan pengertian ini, para penganut  paham jabr meyakini “Al-Haqq Swt. tanpa perantara apa pun,  hanya dengan esensi suci-Nya dan secara langsung melakukan  semua perbuatan mukallaf dan semua makhluk". </w:t>
      </w:r>
      <w:r>
        <w:rPr>
          <w:rStyle w:val="FootnoteAnchor"/>
        </w:rPr>
        <w:footnoteReference w:id="188"/>
      </w:r>
      <w:r>
        <w:rPr>
          <w:rFonts w:eastAsia="Times New Roman" w:cs="Times New Roman" w:ascii="Times New Roman" w:hAnsi="Times New Roman"/>
          <w:color w:val="111111"/>
          <w:sz w:val="28"/>
          <w:szCs w:val="28"/>
          <w:lang w:val="en-US"/>
        </w:rPr>
        <w:t xml:space="preserve">Dalam  pandangan filsafat, jabr dalam pengertian ini adalah “mutlak  jelas salah dan bertentangan dengan argumen-argumen yang  kuat”. </w:t>
      </w:r>
      <w:r>
        <w:rPr>
          <w:rStyle w:val="FootnoteAnchor"/>
        </w:rPr>
        <w:footnoteReference w:id="189"/>
      </w:r>
      <w:r>
        <w:rPr>
          <w:rFonts w:eastAsia="Times New Roman" w:cs="Times New Roman" w:ascii="Times New Roman" w:hAnsi="Times New Roman"/>
          <w:color w:val="111111"/>
          <w:sz w:val="28"/>
          <w:szCs w:val="28"/>
          <w:lang w:val="en-US"/>
        </w:rPr>
        <w:t>Salah satu argumentasi yang membuktikan kesalahan  paham jabr adalah yang dikemukakan Imam Khomeini.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Seperti diketahui bahwa esensi-esensi pada dasarnya  tidak memengaruhi (ta'tsir), dipengaruhi (ta'atstsur),  dan tidak memiliki sifat mengada secara esensial.</w:t>
      </w:r>
    </w:p>
    <w:p>
      <w:pPr>
        <w:pStyle w:val="BookText"/>
        <w:bidi w:val="0"/>
        <w:jc w:val="both"/>
        <w:rPr/>
      </w:pPr>
      <w:r>
        <w:rPr>
          <w:rFonts w:eastAsia="Times New Roman" w:cs="Times New Roman" w:ascii="Times New Roman" w:hAnsi="Times New Roman"/>
          <w:color w:val="111111"/>
          <w:sz w:val="28"/>
          <w:szCs w:val="28"/>
          <w:lang w:val="en-US"/>
        </w:rPr>
        <w:t>Sebaliknya, hakikat eksistensi secara esensial  merupakan sumber dari ta'tsir, di mana ketika ta'stir  dinafikan maka akan menyebabkan perubahan esensial.</w:t>
      </w:r>
    </w:p>
    <w:p>
      <w:pPr>
        <w:pStyle w:val="BookText"/>
        <w:bidi w:val="0"/>
        <w:jc w:val="both"/>
        <w:rPr/>
      </w:pPr>
      <w:r>
        <w:rPr>
          <w:rFonts w:eastAsia="Times New Roman" w:cs="Times New Roman" w:ascii="Times New Roman" w:hAnsi="Times New Roman"/>
          <w:color w:val="111111"/>
          <w:sz w:val="28"/>
          <w:szCs w:val="28"/>
          <w:lang w:val="en-US"/>
        </w:rPr>
        <w:t>Oleh karena itu, tidak mungkin kita mengklaim bahwa  seluruh tingkatan eksistensi tidak memiliki peran  secara mutlak karena akan mengakibatkan dinafikannya  sesuatu dari hakikat dirinya."</w:t>
      </w:r>
      <w:r>
        <w:rPr>
          <w:rStyle w:val="FootnoteAnchor"/>
        </w:rPr>
        <w:footnoteReference w:id="190"/>
      </w:r>
      <w:r>
        <w:rPr>
          <w:rFonts w:eastAsia="Times New Roman" w:cs="Times New Roman" w:ascii="Times New Roman" w:hAnsi="Times New Roman"/>
          <w:color w:val="111111"/>
          <w:sz w:val="28"/>
          <w:szCs w:val="28"/>
          <w:lang w:val="en-US"/>
        </w:rPr>
        <w:t xml:space="preserve"> Argumen lain adalah berdasarkan tahapan tingkatan  eksistensi dengan segala kelebihan dan kekurangannya. Selain  eksistensi yang Mahasempurna, semua makhluk memiliki  bentuk kekurangan eksistensial. Kekurangan tersebut tidak  berhubungan dengan pelaku Pencipta (fā'il ijādi), tetapi  berhubungan dengan dirinya sebagai akibat. Sesuatu yang  mampu menjadi akibat langsung dari hakikat Mahasuci Al-  Haqq Swt., ia adalah eksistensi mutlak dan eksistensi yang  nyata, sedangkan eksistensi-eksistensi lain menerima emanasi  (faidh) Al-Haqq Swt. melalui perantara eksistensi tersebut.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setiap makhluk bertingkat dalam menerima </w:t>
      </w:r>
      <w:bookmarkStart w:id="113" w:name="pg5928_44287"/>
    </w:p>
    <w:p>
      <w:pPr>
        <w:pStyle w:val="BookText"/>
        <w:bidi w:val="0"/>
        <w:rPr/>
      </w:pPr>
      <w:bookmarkEnd w:id="113"/>
      <w:r>
        <w:rPr>
          <w:rFonts w:eastAsia="Times New Roman" w:cs="Times New Roman" w:ascii="Times New Roman" w:hAnsi="Times New Roman"/>
          <w:color w:val="111111"/>
          <w:sz w:val="28"/>
          <w:szCs w:val="28"/>
          <w:lang w:val="en-US"/>
        </w:rPr>
        <w:t xml:space="preserve">eksistensinya, sebagian makhluk secara langsung menerima  eksistensi dan sebagian lain melalui perantara. Dengan  demikian, konsep jabr dan penafian perantara dalam rangkaian  eksistensi tidak bisa dibenarkan. </w:t>
      </w:r>
      <w:r>
        <w:rPr>
          <w:rStyle w:val="FootnoteAnchor"/>
        </w:rPr>
        <w:footnoteReference w:id="191"/>
      </w:r>
    </w:p>
    <w:p>
      <w:pPr>
        <w:pStyle w:val="Heading3"/>
        <w:numPr>
          <w:ilvl w:val="2"/>
          <w:numId w:val="1"/>
        </w:numPr>
        <w:bidi w:val="0"/>
        <w:jc w:val="left"/>
        <w:rPr/>
      </w:pPr>
      <w:bookmarkStart w:id="114" w:name="__RefHeading___Toc5529762_581953129"/>
      <w:bookmarkStart w:id="115" w:name="_Toc38"/>
      <w:bookmarkEnd w:id="114"/>
      <w:r>
        <w:rPr/>
        <w:t>Tahlil</w:t>
      </w:r>
      <w:bookmarkEnd w:id="115"/>
    </w:p>
    <w:p>
      <w:pPr>
        <w:pStyle w:val="BookText"/>
        <w:bidi w:val="0"/>
        <w:jc w:val="both"/>
        <w:rPr/>
      </w:pPr>
      <w:r>
        <w:rPr>
          <w:rFonts w:eastAsia="Times New Roman" w:cs="Times New Roman" w:ascii="Times New Roman" w:hAnsi="Times New Roman"/>
          <w:color w:val="111111"/>
          <w:sz w:val="28"/>
          <w:szCs w:val="28"/>
          <w:lang w:val="en-US"/>
        </w:rPr>
        <w:t>Langkah awal dakwah risalah Nabi Muhammad Saw.</w:t>
      </w:r>
    </w:p>
    <w:p>
      <w:pPr>
        <w:pStyle w:val="BookText"/>
        <w:bidi w:val="0"/>
        <w:jc w:val="both"/>
        <w:rPr/>
      </w:pPr>
      <w:r>
        <w:rPr>
          <w:rFonts w:eastAsia="Times New Roman" w:cs="Times New Roman" w:ascii="Times New Roman" w:hAnsi="Times New Roman"/>
          <w:color w:val="111111"/>
          <w:sz w:val="28"/>
          <w:szCs w:val="28"/>
          <w:lang w:val="en-US"/>
        </w:rPr>
        <w:t>adalah dengan syiar lā ilāha illallāh. Sejak awal, Nabi menyatakan  bahwa kebahagiaan seseorang disyaratkan dengan penyataan  kalimat la ilaha illallāh. Inti dakwah beliau dan semua ajaran  yang mengantarkan kebahagiaan manusia tersembunyi dalam  syiar ini. Pada hakikatnya, tauhid merupakan ruh dari segenap  keyakinan dan amal, dan ruh tauhid adalah wilāyah. Dengan  kata lain, ungkapan suci lā ilāha illallāh merupakan rangkuman  dari keseluruhan Islam, sedangkan perincian dalam agama  merupakan bentuk taklif lahiriah, amal perbuatan, dan akidah.</w:t>
      </w:r>
    </w:p>
    <w:p>
      <w:pPr>
        <w:pStyle w:val="BookText"/>
        <w:bidi w:val="0"/>
        <w:jc w:val="both"/>
        <w:rPr/>
      </w:pPr>
      <w:r>
        <w:rPr>
          <w:rFonts w:eastAsia="Times New Roman" w:cs="Times New Roman" w:ascii="Times New Roman" w:hAnsi="Times New Roman"/>
          <w:color w:val="111111"/>
          <w:sz w:val="28"/>
          <w:szCs w:val="28"/>
          <w:lang w:val="en-US"/>
        </w:rPr>
        <w:t>Penjelasan dan perluasan masalah ini membutuhkan kajian  luas karena selain para pemilik ilmu Nabawi, tidak seorang pun  bisa memahaminya.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pesan yang terkandung dari tahlil bagi para  penganut agama adalah tauhid perbuatan (keesaan dalam  tindakan). Seseorang dalam tataran ilmu bisa menggambarkan  dengan baik tahapan eksistensi dan hubungan suatu tingkat  dengan tingkat yang lain. Begitu juga gambaran tentang  kedudukan seluruh wujud mumkin sebagai perantara terhadap  wujud Yang Mahatinggi, dan ketidakmandiriannya dalam  keberadaan dan pengadaan seluruh prinsip filsafat sangat  memperhatikan masalah ini. </w:t>
      </w:r>
      <w:bookmarkStart w:id="116" w:name="pg5928_44288"/>
    </w:p>
    <w:p>
      <w:pPr>
        <w:pStyle w:val="BookText"/>
        <w:bidi w:val="0"/>
        <w:rPr/>
      </w:pPr>
      <w:bookmarkEnd w:id="11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Tahlil memiliki tingkatan-tingkatan. Salah satunya  adalah tingkatan penafian ulūhiyyah fi'liyyah atau tidak  ada yang berperan dalam eksistensi, kecuali Allah...'.</w:t>
      </w:r>
    </w:p>
    <w:p>
      <w:pPr>
        <w:pStyle w:val="BookText"/>
        <w:bidi w:val="0"/>
        <w:jc w:val="both"/>
        <w:rPr/>
      </w:pPr>
      <w:r>
        <w:rPr>
          <w:rFonts w:eastAsia="Times New Roman" w:cs="Times New Roman" w:ascii="Times New Roman" w:hAnsi="Times New Roman"/>
          <w:color w:val="111111"/>
          <w:sz w:val="28"/>
          <w:szCs w:val="28"/>
          <w:lang w:val="en-US"/>
        </w:rPr>
        <w:t>Seluruh tingkatan wujūd mumkin adalah bayangan  dari hakikat wujud Al-Haqq Swt. dan murni sebagai  penghubung, dan dari sisi mana pun, mereka tidak  memiliki kemandirian mutlak dan tidak bisa berdiri  sendiri. Dari aspek ini, ta'tsīt ījādi (peran penciptaan)  tidak bisa dinisbatkan kepada mereka, karena sebuah  peran membutuhkan kemandirian mengada, dan  kemandirian mengada menuntut kemandirian dalam  eksistensi."</w:t>
      </w:r>
      <w:r>
        <w:rPr>
          <w:rStyle w:val="FootnoteAnchor"/>
        </w:rPr>
        <w:footnoteReference w:id="192"/>
      </w:r>
      <w:r>
        <w:rPr>
          <w:rFonts w:eastAsia="Times New Roman" w:cs="Times New Roman" w:ascii="Times New Roman" w:hAnsi="Times New Roman"/>
          <w:color w:val="111111"/>
          <w:sz w:val="28"/>
          <w:szCs w:val="28"/>
          <w:lang w:val="en-US"/>
        </w:rPr>
        <w:t xml:space="preserve"> Ketika seseorang telah betul-betul memahami gambaran  tentang hal ini dan telah mampu menangkap dengan benar  prinsip-prinsip tersebut, ia akan meyakini hakikat makna lā  ilāha illallāh adalah penyaksian perbuatan dan kekuatan Al-  Haqq Swt. dalam mencipta dan menafikan entifikasi-entifikasi  penciptaan, juga penafian maqam kesubjekan dan perannya di  hadapan Al-Haqq Swt.. </w:t>
      </w:r>
      <w:r>
        <w:rPr>
          <w:rStyle w:val="FootnoteAnchor"/>
        </w:rPr>
        <w:footnoteReference w:id="193"/>
      </w:r>
    </w:p>
    <w:p>
      <w:pPr>
        <w:pStyle w:val="Heading3"/>
        <w:numPr>
          <w:ilvl w:val="2"/>
          <w:numId w:val="1"/>
        </w:numPr>
        <w:bidi w:val="0"/>
        <w:jc w:val="left"/>
        <w:rPr/>
      </w:pPr>
      <w:bookmarkStart w:id="117" w:name="__RefHeading___Toc5529764_581953129"/>
      <w:bookmarkStart w:id="118" w:name="_Toc39"/>
      <w:bookmarkEnd w:id="117"/>
      <w:r>
        <w:rPr/>
        <w:t>Tasbih</w:t>
      </w:r>
      <w:bookmarkEnd w:id="1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tak ada suatu pun melainkan bertasbih dengan  memuji-Nya, tetapi kamu sekalian tidak mengerti tasbih  mereka. "</w:t>
      </w:r>
      <w:r>
        <w:rPr>
          <w:rStyle w:val="FootnoteAnchor"/>
        </w:rPr>
        <w:footnoteReference w:id="194"/>
      </w:r>
      <w:r>
        <w:rPr>
          <w:rFonts w:eastAsia="Times New Roman" w:cs="Times New Roman" w:ascii="Times New Roman" w:hAnsi="Times New Roman"/>
          <w:color w:val="111111"/>
          <w:sz w:val="28"/>
          <w:szCs w:val="28"/>
          <w:lang w:val="en-US"/>
        </w:rPr>
        <w:t xml:space="preserve"> Pemahaman hakikat tasbih bagi makhluk yang tidak  memiliki akal membutuhkan kajian-kajian dan prinsip-prinsip  filsafat.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Tasbih seluruh makhluk yang telah dinyatakan dalam  Al-Quran dan hadits-hadits merupakan bukti bahwa  mereka memiliki ilmu, kesadaran, dan kehidupan.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kehidupan mereka merupakan bukti adanya  hubungan khusus antara Khalik dan makhluk .... Ini  merupakan salah satu muatan yang terkandung dalam </w:t>
      </w:r>
    </w:p>
    <w:p>
      <w:pPr>
        <w:pStyle w:val="BookText"/>
        <w:bidi w:val="0"/>
        <w:rPr/>
      </w:pPr>
      <w:r>
        <w:rPr>
          <w:rFonts w:eastAsia="Times New Roman" w:cs="Times New Roman" w:ascii="Times New Roman" w:hAnsi="Times New Roman"/>
          <w:color w:val="111111"/>
          <w:sz w:val="28"/>
          <w:szCs w:val="28"/>
          <w:lang w:val="en-US"/>
        </w:rPr>
        <w:t>Al-Quran dan hadits-hadits dari para Maksum a.s. yang  sejalan dengan argumen-argumen para filsuf Iluminasi  (isyrāq) dan cita rasa (dzauq) para ahli 'irfān, dan juga  merupakan penyaksian (musyāhadah) para tokoh sulūk  dan riyādhah.</w:t>
      </w:r>
      <w:r>
        <w:rPr>
          <w:rStyle w:val="FootnoteAnchor"/>
        </w:rPr>
        <w:footnoteReference w:id="195"/>
      </w:r>
      <w:r>
        <w:rPr>
          <w:rFonts w:eastAsia="Times New Roman" w:cs="Times New Roman" w:ascii="Times New Roman" w:hAnsi="Times New Roman"/>
          <w:color w:val="111111"/>
          <w:sz w:val="28"/>
          <w:szCs w:val="28"/>
          <w:lang w:val="en-US"/>
        </w:rPr>
        <w:t xml:space="preserve"> Aliran kehidupan dan tasbih yang penuh kesadaran dan  pengetahuan tentang sesuatu patut dihitung sebagai  perkara dasar Filsafat Luhur dan kepastian para tokoh  syariat dan urafa."</w:t>
      </w:r>
      <w:r>
        <w:rPr>
          <w:rStyle w:val="FootnoteAnchor"/>
        </w:rPr>
        <w:footnoteReference w:id="196"/>
      </w:r>
      <w:r>
        <w:rPr>
          <w:rFonts w:eastAsia="Times New Roman" w:cs="Times New Roman" w:ascii="Times New Roman" w:hAnsi="Times New Roman"/>
          <w:color w:val="111111"/>
          <w:sz w:val="28"/>
          <w:szCs w:val="28"/>
          <w:lang w:val="en-US"/>
        </w:rPr>
        <w:t xml:space="preserve"> Sebagian kelompok meyakini bahwa tasbih makhluk  ditafsirkan sebagai tasbih takwini dan fithri. Namun, hal  tersebut tidak sejalan dengan teks-teks yang ada.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Mentakwilkan tasbih dengan tasbih takwini dan  fithri merupakan takwil yang salah, yang tidak sejalan  dengan teks ayat dan riwayat, selain juga bertentangan  dengan argumen-argumen yang kuat dan mendalam  dari para filsuf dan para ahli “irfān."</w:t>
      </w:r>
      <w:r>
        <w:rPr>
          <w:rStyle w:val="FootnoteAnchor"/>
        </w:rPr>
        <w:footnoteReference w:id="197"/>
      </w:r>
      <w:r>
        <w:rPr>
          <w:rFonts w:eastAsia="Times New Roman" w:cs="Times New Roman" w:ascii="Times New Roman" w:hAnsi="Times New Roman"/>
          <w:color w:val="111111"/>
          <w:sz w:val="28"/>
          <w:szCs w:val="28"/>
          <w:lang w:val="en-US"/>
        </w:rPr>
        <w:t xml:space="preserve"> Apakah seseorang mampu memahami takwil teks ini  dan ayat yang menjelaskan perkataan seekor semut kepada  bangsanya agar lari dari jalan yang akan dilalui oleh Nabi  Sulaiman dan bala tentaranya, yang menganggap tindakan  semut tersebut sebagai tindakan yang tidak didasari kesadaran.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Bagaimana mereka mentakwilkan?  “Berkatalah seekor semut, ‘Hai semut-semut, masuklah  ke dalam sarang-sarangmu agar kamu tidak diinjak  oleh Sulaiman dan tentaranya, sedangkan mereka tidak  menyadari.</w:t>
      </w:r>
      <w:r>
        <w:rPr>
          <w:rStyle w:val="FootnoteAnchor"/>
        </w:rPr>
        <w:footnoteReference w:id="198"/>
      </w:r>
      <w:r>
        <w:rPr>
          <w:rFonts w:eastAsia="Times New Roman" w:cs="Times New Roman" w:ascii="Times New Roman" w:hAnsi="Times New Roman"/>
          <w:color w:val="111111"/>
          <w:sz w:val="28"/>
          <w:szCs w:val="28"/>
          <w:lang w:val="en-US"/>
        </w:rPr>
        <w:t xml:space="preserve"> Begitu juga dengan kejadian seekor burung yang  membawa kabar dari Negeri Saba', bagaimana hal itu bisa  ditakwilkan? Bagaimana seseorang bisa meyakini adanya  kehidupan yang mengalir pada seluruh makhluk bahkan benda </w:t>
      </w:r>
      <w:bookmarkStart w:id="119" w:name="pg5928_44290"/>
    </w:p>
    <w:p>
      <w:pPr>
        <w:pStyle w:val="BookText"/>
        <w:bidi w:val="0"/>
        <w:rPr/>
      </w:pPr>
      <w:bookmarkEnd w:id="119"/>
      <w:r>
        <w:rPr>
          <w:rFonts w:eastAsia="Times New Roman" w:cs="Times New Roman" w:ascii="Times New Roman" w:hAnsi="Times New Roman"/>
          <w:color w:val="111111"/>
          <w:sz w:val="28"/>
          <w:szCs w:val="28"/>
          <w:lang w:val="en-US"/>
        </w:rPr>
        <w:t xml:space="preserve">mati sekalipun? Apakah selain meyakini sebuah prinsip bahwa  eksistensi sama dengan kehidupan, dan kehidupan sebagai  eksistensi juga memiliki tahapan, ada yang mengalahkan  prinsip yang tinggi ini?  "Setiap orang dengan dzauq ‘irfānī memahami hakikat  keautentikan eksistensi kesatuan makna. Maka, ia akan  bisa memahami menurut dzauq dan ilmiah, kehidupan  yang mengalir pada semua makhluk dengan segala  yang berkaitan dengannya, seperti ilmu, keinginan, dan  bicara. </w:t>
      </w:r>
      <w:r>
        <w:rPr>
          <w:rStyle w:val="FootnoteAnchor"/>
        </w:rPr>
        <w:footnoteReference w:id="199"/>
      </w:r>
      <w:r>
        <w:rPr>
          <w:rFonts w:eastAsia="Times New Roman" w:cs="Times New Roman" w:ascii="Times New Roman" w:hAnsi="Times New Roman"/>
          <w:color w:val="111111"/>
          <w:sz w:val="28"/>
          <w:szCs w:val="28"/>
          <w:lang w:val="en-US"/>
        </w:rPr>
        <w:t xml:space="preserve"> Dalam ilmu-ilmu tinggi (mā qabla thabi'ah)  telah dibuktikan bahwa eksistensi sama dengan  kesempurnaan, asma, dan sifat. Dalam setiap tingkatan  ada manifestasi dan dalam setiap cerminan ada  penampakan segala hal dan kesempurnaan, seperti  kehidupan, ilmu, dan tujuh sifat induk (ummahāt  sab'ah) yang akan tampak."</w:t>
      </w:r>
      <w:r>
        <w:rPr>
          <w:rStyle w:val="FootnoteAnchor"/>
        </w:rPr>
        <w:footnoteReference w:id="200"/>
      </w:r>
    </w:p>
    <w:p>
      <w:pPr>
        <w:pStyle w:val="Heading3"/>
        <w:numPr>
          <w:ilvl w:val="2"/>
          <w:numId w:val="1"/>
        </w:numPr>
        <w:bidi w:val="0"/>
        <w:jc w:val="left"/>
        <w:rPr/>
      </w:pPr>
      <w:bookmarkStart w:id="120" w:name="__RefHeading___Toc5529766_581953129"/>
      <w:bookmarkStart w:id="121" w:name="_Toc40"/>
      <w:bookmarkEnd w:id="120"/>
      <w:r>
        <w:rPr/>
        <w:t>Bahā</w:t>
      </w:r>
      <w:bookmarkEnd w:id="1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Allah, sungguh aku memohon pada-Mu segenap  keindahan dari keindahan-Mu, dan setiap keindahan-  Mu adalah indah. Ya Allah, sungguh aku memohon  pada-Mu seluruh keindahan-Mu."</w:t>
      </w:r>
      <w:r>
        <w:rPr>
          <w:rStyle w:val="FootnoteAnchor"/>
        </w:rPr>
        <w:footnoteReference w:id="201"/>
      </w:r>
      <w:r>
        <w:rPr>
          <w:rFonts w:eastAsia="Times New Roman" w:cs="Times New Roman" w:ascii="Times New Roman" w:hAnsi="Times New Roman"/>
          <w:color w:val="111111"/>
          <w:sz w:val="28"/>
          <w:szCs w:val="28"/>
          <w:lang w:val="en-US"/>
        </w:rPr>
        <w:t xml:space="preserve"> Telah diriwayatkan dalam Al-Kāfī bahwa keindahan adalah  keindahan Allah dan keagungan adalah keagungan Allah.</w:t>
      </w:r>
      <w:r>
        <w:rPr>
          <w:rStyle w:val="FootnoteAnchor"/>
        </w:rPr>
        <w:footnoteReference w:id="202"/>
      </w:r>
      <w:r>
        <w:rPr>
          <w:rFonts w:eastAsia="Times New Roman" w:cs="Times New Roman" w:ascii="Times New Roman" w:hAnsi="Times New Roman"/>
          <w:color w:val="111111"/>
          <w:sz w:val="28"/>
          <w:szCs w:val="28"/>
          <w:lang w:val="en-US"/>
        </w:rPr>
        <w:t xml:space="preserve"> Bahā ditafsirkan sebagai kebaikan dan keindahan,  tetapi kebaikan dan keindahan yang tampak dalam hal ini  memperkuat teori tentang keautentikan eksistensi (ashālah  wujūd) dan prinsip-prinsipnya. Eksistensi yang sama dengan  kebaikan dan keindahan adalah sesuatu yang pasti, dengan  sedikit saja pemikiran, perkara ini akan bisa diyakini. Pada </w:t>
      </w:r>
    </w:p>
    <w:p>
      <w:pPr>
        <w:pStyle w:val="BookText"/>
        <w:bidi w:val="0"/>
        <w:rPr/>
      </w:pPr>
      <w:r>
        <w:rPr>
          <w:rFonts w:eastAsia="Times New Roman" w:cs="Times New Roman" w:ascii="Times New Roman" w:hAnsi="Times New Roman"/>
          <w:color w:val="111111"/>
          <w:sz w:val="28"/>
          <w:szCs w:val="28"/>
          <w:lang w:val="en-US"/>
        </w:rPr>
        <w:t>gambaran ini, eksistensi merupakan sebuah rangkaian dari  segenap kebaikan, keindahan, cahaya, serta kebenderangan.</w:t>
      </w:r>
    </w:p>
    <w:p>
      <w:pPr>
        <w:pStyle w:val="BookText"/>
        <w:bidi w:val="0"/>
        <w:jc w:val="both"/>
        <w:rPr/>
      </w:pPr>
      <w:r>
        <w:rPr>
          <w:rFonts w:eastAsia="Times New Roman" w:cs="Times New Roman" w:ascii="Times New Roman" w:hAnsi="Times New Roman"/>
          <w:color w:val="111111"/>
          <w:sz w:val="28"/>
          <w:szCs w:val="28"/>
          <w:lang w:val="en-US"/>
        </w:rPr>
        <w:t>Semakin kuat eksistensinya, semakin sempurna keindahannya.</w:t>
      </w:r>
    </w:p>
    <w:p>
      <w:pPr>
        <w:pStyle w:val="BookText"/>
        <w:bidi w:val="0"/>
        <w:jc w:val="both"/>
        <w:rPr/>
      </w:pPr>
      <w:r>
        <w:rPr>
          <w:rFonts w:eastAsia="Times New Roman" w:cs="Times New Roman" w:ascii="Times New Roman" w:hAnsi="Times New Roman"/>
          <w:color w:val="111111"/>
          <w:sz w:val="28"/>
          <w:szCs w:val="28"/>
          <w:lang w:val="en-US"/>
        </w:rPr>
        <w:t>Dalam rangkaian eksistensi materi pertama (hayūlā), karena  kerendahan eksistensial dan kekurangan aktualisasinya,  ia merupakan tempat ketidakindahan, kegelapan, sentral  dari semua keburukan, dan sumber segala kerendahan.</w:t>
      </w:r>
    </w:p>
    <w:p>
      <w:pPr>
        <w:pStyle w:val="BookText"/>
        <w:bidi w:val="0"/>
        <w:jc w:val="both"/>
        <w:rPr/>
      </w:pPr>
      <w:r>
        <w:rPr>
          <w:rFonts w:eastAsia="Times New Roman" w:cs="Times New Roman" w:ascii="Times New Roman" w:hAnsi="Times New Roman"/>
          <w:color w:val="111111"/>
          <w:sz w:val="28"/>
          <w:szCs w:val="28"/>
          <w:lang w:val="en-US"/>
        </w:rPr>
        <w:t>Sebagaimana eksistensi, keindahan juga memiliki tingkatan  dan tahapan dalam tingkatan-tingkatannya. Dalam sudut  pandang umum, tingkatan Bahā adalah alam ideal (mitsāl)  lebih indah daripada alam materi, alam orang-orang yang dekat  (muqarrabīn) lebih indah daripada alam nonmateri (mujarrad),  dan alam ketuhanan (rubūbi) lebih indah daripada semua alam  yang lain karena alam rubūbi, di samping tidak memiliki sisi  ketiadaan, hal itu terlepas dari bentuk esensi. Berikut ini adalah  ungkapan yang disampaikan oleh Mir Damad, salah seorang  filsuf besar Islam, seluruh butir di atas terkandung di dalamnya,  “Dia Yang Mahatinggi adalah keseluruhan eksistensi, seluruh  wujud, seluruh keindahan dan kesempurnaan, serta seluruhnya  adalah indah dan sempurna"</w:t>
      </w:r>
      <w:r>
        <w:rPr>
          <w:rStyle w:val="FootnoteAnchor"/>
        </w:rPr>
        <w:footnoteReference w:id="203"/>
      </w:r>
      <w:r>
        <w:rPr>
          <w:rFonts w:eastAsia="Times New Roman" w:cs="Times New Roman" w:ascii="Times New Roman" w:hAnsi="Times New Roman"/>
          <w:color w:val="111111"/>
          <w:sz w:val="28"/>
          <w:szCs w:val="28"/>
          <w:lang w:val="en-US"/>
        </w:rPr>
        <w:t>Seluruh makhluk memiliki  kesempurnaan sesuai tingkatan eksistensinya.</w:t>
      </w:r>
    </w:p>
    <w:p>
      <w:pPr>
        <w:pStyle w:val="BookText"/>
        <w:bidi w:val="0"/>
        <w:jc w:val="both"/>
        <w:rPr/>
      </w:pPr>
      <w:r>
        <w:rPr>
          <w:rFonts w:eastAsia="Times New Roman" w:cs="Times New Roman" w:ascii="Times New Roman" w:hAnsi="Times New Roman"/>
          <w:color w:val="111111"/>
          <w:sz w:val="28"/>
          <w:szCs w:val="28"/>
          <w:lang w:val="en-US"/>
        </w:rPr>
        <w:t>Menurut arti bahasa, bahā bermakna jamal dengan sedikit  perbedaan. Sebenarnya, pembagian sifat Tuhan menjadi sifat  jalāl (kagungan) dan jamāl (keindahan) dinilai kurang tepat  karena dalam eksistensi yang sederhana dan simpel, sifat-sifat  yang berlawanan masing-masing menyatu. Setiap sifat jamál  selalu diiringi dengan sifat jalāl, dan begitu juga sebaliknya.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jelasnya, setiap jamal adalah jalāl dan setiap jalāl adalah  jamāl. Namun, ada beberapa sifat yang bisa digolongkan ke </w:t>
      </w:r>
      <w:bookmarkStart w:id="122" w:name="pg5928_44292"/>
    </w:p>
    <w:p>
      <w:pPr>
        <w:pStyle w:val="BookText"/>
        <w:bidi w:val="0"/>
        <w:rPr/>
      </w:pPr>
      <w:bookmarkEnd w:id="122"/>
      <w:r>
        <w:rPr>
          <w:rFonts w:eastAsia="Times New Roman" w:cs="Times New Roman" w:ascii="Times New Roman" w:hAnsi="Times New Roman"/>
          <w:color w:val="111111"/>
          <w:sz w:val="28"/>
          <w:szCs w:val="28"/>
          <w:lang w:val="en-US"/>
        </w:rPr>
        <w:t xml:space="preserve">dalam manifestasi sifat jalāl, dan sebagian yang lain merupakan  manifestasi sifat jamāl. Atas dasar ini, sifat bahā adalah sebuah  cahaya yang diiringi dengan kebesaran dan kekerasan, dan  merupakan kumpulan dari sifat jamál dan jalāl. Namun,  kebesaran dan ketegasan ini memiliki aspek lahir dan aspek  batin atau cahaya. Oleh karena itu, pengertian bahā adalah  manifestasi sifat jamāl Tuhan yang di dalamnya tersembunyi  sifat jalāl. </w:t>
      </w:r>
      <w:r>
        <w:rPr>
          <w:rStyle w:val="FootnoteAnchor"/>
        </w:rPr>
        <w:footnoteReference w:id="204"/>
      </w:r>
      <w:r>
        <w:rPr>
          <w:rFonts w:eastAsia="Times New Roman" w:cs="Times New Roman" w:ascii="Times New Roman" w:hAnsi="Times New Roman"/>
          <w:color w:val="111111"/>
          <w:sz w:val="28"/>
          <w:szCs w:val="28"/>
          <w:lang w:val="en-US"/>
        </w:rPr>
        <w:t xml:space="preserve"> Hal yang mesti diperhatikan adalah sifat bahā berbeda  dengan sifat jamāl. Sifat bahā adalah pancaran cahaya yang  merupakan sebuah manifestasi dan penampakan, sedangkan  sifat jamāl tidak seperti itu. Hubungan antara jamāl dan bahā  adalah lebih umum (a'amm) dan lebih khusus (akhashsh).</w:t>
      </w:r>
    </w:p>
    <w:p>
      <w:pPr>
        <w:pStyle w:val="BookText"/>
        <w:bidi w:val="0"/>
        <w:jc w:val="both"/>
        <w:rPr/>
      </w:pPr>
      <w:r>
        <w:rPr>
          <w:rFonts w:eastAsia="Times New Roman" w:cs="Times New Roman" w:ascii="Times New Roman" w:hAnsi="Times New Roman"/>
          <w:color w:val="111111"/>
          <w:sz w:val="28"/>
          <w:szCs w:val="28"/>
          <w:lang w:val="en-US"/>
        </w:rPr>
        <w:t>Jamál lebih umum daripada bahā; setiap bah) adalah jamál,  tetapi tidak setiap jamāl adalah bahā, karena dalam bahā  terdapat syarat manifestasi dan penampakan.</w:t>
      </w:r>
    </w:p>
    <w:p>
      <w:pPr>
        <w:pStyle w:val="Heading3"/>
        <w:numPr>
          <w:ilvl w:val="2"/>
          <w:numId w:val="1"/>
        </w:numPr>
        <w:bidi w:val="0"/>
        <w:jc w:val="left"/>
        <w:rPr/>
      </w:pPr>
      <w:bookmarkStart w:id="123" w:name="__RefHeading___Toc5529768_581953129"/>
      <w:bookmarkStart w:id="124" w:name="_Toc41"/>
      <w:bookmarkEnd w:id="123"/>
      <w:r>
        <w:rPr/>
        <w:t>Jamāl (Keindahan) dan Jalāl (Keagungan)</w:t>
      </w:r>
      <w:bookmarkEnd w:id="1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Allah, sungguh aku memohon pada-Mu yang paling  indah dari keindahan-Mu, dan seluruh keindahan-Mu  adalah indah. Ya Allah, sungguh aku memohon pada-  Mu yang paling agung dari keagungan-Mu, dan seluruh  keagungan-Mu adalah agung. "</w:t>
      </w:r>
      <w:r>
        <w:rPr>
          <w:rStyle w:val="FootnoteAnchor"/>
        </w:rPr>
        <w:footnoteReference w:id="205"/>
      </w:r>
      <w:r>
        <w:rPr>
          <w:rFonts w:eastAsia="Times New Roman" w:cs="Times New Roman" w:ascii="Times New Roman" w:hAnsi="Times New Roman"/>
          <w:color w:val="111111"/>
          <w:sz w:val="28"/>
          <w:szCs w:val="28"/>
          <w:lang w:val="en-US"/>
        </w:rPr>
        <w:t xml:space="preserve"> Dalam teks-teks agama istilah jamāl dan jalāl sering  digunakan untuk menjelaskan sifat Tuhan. Pembagian sifat  Ilahi menjadi sifat jalāl dan jamál membutuhkan penjelasan,  seperti yang dikemukakan dalam kajian teologi. Standar  pembagiannya, bahwa setiap sifat yang berhubungan dengan  kelembutan tergolong ke dalam sifat jamāl, dan setiap sifat </w:t>
      </w:r>
    </w:p>
    <w:p>
      <w:pPr>
        <w:pStyle w:val="BookText"/>
        <w:bidi w:val="0"/>
        <w:rPr/>
      </w:pPr>
      <w:r>
        <w:rPr>
          <w:rFonts w:eastAsia="Times New Roman" w:cs="Times New Roman" w:ascii="Times New Roman" w:hAnsi="Times New Roman"/>
          <w:color w:val="111111"/>
          <w:sz w:val="28"/>
          <w:szCs w:val="28"/>
          <w:lang w:val="en-US"/>
        </w:rPr>
        <w:t>yang berhubungan dengan ketegasan termasuk ke dalam sifat  jalāl. Suatu hal yang jelas sebagai sifat makhluk mumkin dan  tersusun dari bagian-bagian, tidak mungkin memiliki dua sifat  yang berlawanan dilihat dari aspek mana pun. Apalagi Wājib  al-Wujud yang merupakan eksistensi sederhana (basīth) secara  mutlak, ketika aspek dan sudut pandang yang berbeda-beda  adalah mustahil bagi-Nya. Ketika kita menjelaskan sifat wujūd  wājib dengan sebuah sifat dari satu sisi, Dia pun bisa memiliki  sifati sifat lain yang berlawan dari sisi yang lain.</w:t>
      </w:r>
    </w:p>
    <w:p>
      <w:pPr>
        <w:pStyle w:val="BookText"/>
        <w:bidi w:val="0"/>
        <w:jc w:val="both"/>
        <w:rPr/>
      </w:pPr>
      <w:r>
        <w:rPr>
          <w:rFonts w:eastAsia="Times New Roman" w:cs="Times New Roman" w:ascii="Times New Roman" w:hAnsi="Times New Roman"/>
          <w:color w:val="111111"/>
          <w:sz w:val="28"/>
          <w:szCs w:val="28"/>
          <w:lang w:val="en-US"/>
        </w:rPr>
        <w:t>"Semakin sederhana suatu eksistensi, semakin ia dekat  kepada keesaan, ketercakupan atas kemajemukan,  dan sifat-sifat yang berlawanan sehingga ia semakin  sempurna. Perkara-perkara yang tercerai-berai di  alam yang terpengaruh waktu (zamani), semuanya  menyatu di alam dahr. Hal-hal yang berlawanan di  dunia luar akan menjadi keselarasan di alam pikiran,  dan keragaman dalam penciptaan dunia akan menjadi  seragam di alam akhirat. Semua ini diakibatkan oleh  keluasan wadah dan kedekatannya pada alam kesatuan  (wahdah) dan kesederhanaan (bisāthah).... Maka,  sifat-sifat yang bertentangan dalam wahdah terwujud  dalam bentuk eksistensi tunggal yang tersucikan dari  kemajemukan entitas dan ilmiah. Oleh karena itu,  Tuhan dalam penampakan-Nya adalah tersembunyi  dan dalam ketersembunyian-Nya adalah tampak.</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kemurahan-Nya terdapat murka, dan dalam  kemurkaan-Nya terdapat kemurahan.... Tuhan di dalam  Ilahiah-Nya merupakan tempat berkumpulnya sifat-  sifat yang berlawanan, seperti kemurahan (rahmah) dan  kemurkaan (ghadhab).... Setiap sifat yang berhubungan  dengan kelembutan tergolong ke dalam sifat jamāl,  sedangkan sifat yang berhubungan dengan ketegasan  tergolong ke dalam sifat jalāl. Maka, manifestasi alam,  cahaya, bahā, serta keindahan bersumber dari jamál  Ilahi, sedangkan hilangnya pancaran cahaya-Nya dari </w:t>
      </w:r>
      <w:bookmarkStart w:id="125" w:name="pg5928_44294"/>
    </w:p>
    <w:p>
      <w:pPr>
        <w:pStyle w:val="BookText"/>
        <w:bidi w:val="0"/>
        <w:rPr/>
      </w:pPr>
      <w:bookmarkEnd w:id="125"/>
      <w:r>
        <w:rPr>
          <w:rFonts w:eastAsia="Times New Roman" w:cs="Times New Roman" w:ascii="Times New Roman" w:hAnsi="Times New Roman"/>
          <w:color w:val="111111"/>
          <w:sz w:val="28"/>
          <w:szCs w:val="28"/>
          <w:lang w:val="en-US"/>
        </w:rPr>
        <w:t>alam dan kekuasaan agung-Nya termasuk ke dalam  jalal-Nya. Manifestasi jalāl adalah dengan jamāl, dan  redupnya jamāl adalah karena jalāl."</w:t>
      </w:r>
      <w:r>
        <w:rPr>
          <w:rStyle w:val="FootnoteAnchor"/>
        </w:rPr>
        <w:footnoteReference w:id="206"/>
      </w:r>
    </w:p>
    <w:p>
      <w:pPr>
        <w:pStyle w:val="Heading3"/>
        <w:numPr>
          <w:ilvl w:val="2"/>
          <w:numId w:val="1"/>
        </w:numPr>
        <w:bidi w:val="0"/>
        <w:jc w:val="left"/>
        <w:rPr/>
      </w:pPr>
      <w:bookmarkStart w:id="126" w:name="__RefHeading___Toc5529770_581953129"/>
      <w:bookmarkStart w:id="127" w:name="_Toc42"/>
      <w:bookmarkEnd w:id="126"/>
      <w:r>
        <w:rPr/>
        <w:t>Khair (Kebaikan) dan Syar (Keburukan)</w:t>
      </w:r>
      <w:bookmarkEnd w:id="1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Al-Shadiq a.s. berkata,  “Sesungguhnya di antara yang telah diwahyukan oleh  Allah kepada Musa a.s. dan yang tercantum dalam  Taurat adalah 'Sesungguhnya Aku adalah Allah, tidak  ada Tuhan selain Aku; Kuciptakan makhluk dan  Kuciptakan kebaikan.... Dan Aku adalah Allah, tidak ada  Tuhan selain Aku; Kuciptakan makhluk dan Kuciptakan  keburukan...</w:t>
      </w:r>
      <w:r>
        <w:rPr>
          <w:rStyle w:val="FootnoteAnchor"/>
        </w:rPr>
        <w:footnoteReference w:id="207"/>
      </w:r>
      <w:r>
        <w:rPr>
          <w:rFonts w:eastAsia="Times New Roman" w:cs="Times New Roman" w:ascii="Times New Roman" w:hAnsi="Times New Roman"/>
          <w:color w:val="111111"/>
          <w:sz w:val="28"/>
          <w:szCs w:val="28"/>
          <w:lang w:val="en-US"/>
        </w:rPr>
        <w:t xml:space="preserve"> Penciptaan suatu eksistensi bukan merupakan sebuah  persoalan. Namun, jika penciptaan itu berkenaan dengan  keburukan dan hal-hal yang negatif dari sudut pandang  ontolologis, hal itu adalah sesuatu yang perlu mendapat  perhatian dan kajian. Sementara itu, sebagian teks menguatkan  perkara-perkara ketiadaan. Hadits di atas, adalah salah satu  contoh teks yang menyatakan penciptaan kebaikan dan  keburukan. Selain memiliki sisi ontologis, hadits ini juga  memiliki kaitan dengan kajian jabr dan ikhtiyār, dan penafsiran  teks-teks seperti ini tidak bisa dilakukan tanpa menggunakan  renungan rasional. Dari sisi pembahasan jabr dan ikhtiyār,  hadits ini perlu dikaji lagi. Kajian jabr dan ikhtiyār tergolong  ke dalam pembahasan yang paling mendalam dan paling sulit  yang membutuhkan perenungan yang mendalam. Namun,  kami hanya akan mengkajinya dari segi ontologi. </w:t>
      </w:r>
    </w:p>
    <w:p>
      <w:pPr>
        <w:pStyle w:val="BookText"/>
        <w:bidi w:val="0"/>
        <w:rPr/>
      </w:pPr>
      <w:r>
        <w:rPr>
          <w:rFonts w:eastAsia="Times New Roman" w:cs="Times New Roman" w:ascii="Times New Roman" w:hAnsi="Times New Roman"/>
          <w:color w:val="111111"/>
          <w:sz w:val="28"/>
          <w:szCs w:val="28"/>
          <w:lang w:val="en-US"/>
        </w:rPr>
        <w:t>Prinsip-prinsip filosofis Hikmah Muta’āliyah, kajian  tentang Ashalah Al-wujūd (keautentikan eksistensi),  keautentikan penciptaan eksistensi, keberadaan kebaikan,  kesamaan antara eksistensi, kebaikan dan ketiadaan keburukan,  pembagian ketiadaan menjadi ketiadaan mutlak dan ketiadaan  bersyarat, penciptaan autentik dan penciptaan tidak autentik,  persamaan eksistensi dengan kesempurnaan, dikembalikannya  kekurangan pada batasan-batasan kemungkinan (imkānī),  serta ikatan esensial; juga sering ditemukan dalam ucapan-  ucapan Imam Khomeini. Maka, teks-teks semacam ini memiliki  penafsiran dan penjelasan yang rasional dan tepat.</w:t>
      </w:r>
    </w:p>
    <w:p>
      <w:pPr>
        <w:pStyle w:val="BookText"/>
        <w:bidi w:val="0"/>
        <w:jc w:val="both"/>
        <w:rPr/>
      </w:pPr>
      <w:r>
        <w:rPr>
          <w:rFonts w:eastAsia="Times New Roman" w:cs="Times New Roman" w:ascii="Times New Roman" w:hAnsi="Times New Roman"/>
          <w:color w:val="111111"/>
          <w:sz w:val="28"/>
          <w:szCs w:val="28"/>
          <w:lang w:val="en-US"/>
        </w:rPr>
        <w:t>Inti kesempurnaan, keindahan, dan kebaikan tidak keluar  dari pokok hakikat eksistensi: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Seluruh kebaikan secara esensial hendaklah  dikembalikan pada hakikat eksistensi, dan sesuatu yang  lain dengan memperhatikan jenis eksistensinya. Begitu  pula, keburukan secara esensial adalah ketiadaan  eksistensi atau ketiadaan kesempurnaan eksistensi .... </w:t>
      </w:r>
      <w:r>
        <w:rPr>
          <w:rStyle w:val="FootnoteAnchor"/>
        </w:rPr>
        <w:footnoteReference w:id="208"/>
      </w:r>
      <w:r>
        <w:rPr>
          <w:rFonts w:eastAsia="Times New Roman" w:cs="Times New Roman" w:ascii="Times New Roman" w:hAnsi="Times New Roman"/>
          <w:color w:val="111111"/>
          <w:sz w:val="28"/>
          <w:szCs w:val="28"/>
          <w:lang w:val="en-US"/>
        </w:rPr>
        <w:t xml:space="preserve"> Seluruh keburukan bersumber dari ketidakserasian  dan pertentangan antara di makhluk-makhluk yang  ada, bukan pada aspek keeksistensiannya, tetapi  pada perantara kekurangan dalam penciptaan.... Ini  semua kembali kepada keterbatasan dan kekurangan  yang secara keseluruhan keluar dari lingkup cahaya  pengadaan. Pada hakikatnya, terdapat dua pengadaan,  tetapi yang satu bersifat aksidental."</w:t>
      </w:r>
      <w:r>
        <w:rPr>
          <w:rStyle w:val="FootnoteAnchor"/>
        </w:rPr>
        <w:footnoteReference w:id="209"/>
      </w:r>
      <w:r>
        <w:rPr>
          <w:rFonts w:eastAsia="Times New Roman" w:cs="Times New Roman" w:ascii="Times New Roman" w:hAnsi="Times New Roman"/>
          <w:color w:val="111111"/>
          <w:sz w:val="28"/>
          <w:szCs w:val="28"/>
          <w:lang w:val="en-US"/>
        </w:rPr>
        <w:t xml:space="preserve"> Ketika dalam sebuah teks terdapat sebuah kata kerja yang  disandarkan kepada berbagai subjek dan bagaimana hal ini  bisa dijelaskan dan ditafsirkan? Jika kebaikan bersumber dari  Tuhan dan keburukan bersumber dari jiwa manusia, mengapa  selanjutnya Tuhan dianggap sebagai sumber semua itu?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dan jika mereka memperoleh kebaikan, mereka  mengatakan, “Ini adalah dari sisi Allah, dan kalau mereka  ditimpa sesuatu keburukan, mereka mengatakan, "Ini  (datangnya) dari sisi kamu (Muhammad).' Katakanlah,  'Semuanya (datang dari sisi Allah.' Apa saja kebaikan  yang kamu peroleh adalah dari Allah, dan apa saja  keburukan yang menimpamu, maka dari (kesalahan)  dirimu.''</w:t>
      </w:r>
      <w:r>
        <w:rPr>
          <w:rStyle w:val="FootnoteAnchor"/>
        </w:rPr>
        <w:footnoteReference w:id="210"/>
      </w:r>
      <w:r>
        <w:rPr>
          <w:rFonts w:eastAsia="Times New Roman" w:cs="Times New Roman" w:ascii="Times New Roman" w:hAnsi="Times New Roman"/>
          <w:color w:val="111111"/>
          <w:sz w:val="28"/>
          <w:szCs w:val="28"/>
          <w:lang w:val="en-US"/>
        </w:rPr>
        <w:t xml:space="preserve"> Tentang hal ini Imam Khomeini berkata:</w:t>
      </w:r>
    </w:p>
    <w:p>
      <w:pPr>
        <w:pStyle w:val="BookText"/>
        <w:bidi w:val="0"/>
        <w:jc w:val="both"/>
        <w:rPr/>
      </w:pPr>
      <w:r>
        <w:rPr>
          <w:rFonts w:eastAsia="Times New Roman" w:cs="Times New Roman" w:ascii="Times New Roman" w:hAnsi="Times New Roman"/>
          <w:color w:val="111111"/>
          <w:sz w:val="28"/>
          <w:szCs w:val="28"/>
          <w:lang w:val="en-US"/>
        </w:rPr>
        <w:t>"Yang esensial dalam objek penciptaan Ilahi adalah  kebaikan dan kesempurnaan, sedangkan kerancuan,  keburukan, dan ketidakmaslahatan dalam qadha  Ilahi adalah sesuatu yang aksidental. Butir pertama,  diisyaratkan dalam ayat: 'Apa saja kebaikan yang kamu  peroleh adalah dari Allah, dan apa saja keburukan yang  menimpamu, maka dari (kesalahan) dirimu,' sedangkan  butir kedua, diisyaratkan dalam ayat: ‘Katakanlah,  "Semuanya (datang dari sisi Allah. Banyak ayat dan  hadits-hadits dari para Imam a.s. yang menyinggung  masalah ini. Salah satunya adalah hadits: Kebaikan dan  keburukan keduanya adalah sesuatu yang diadakan dan  diciptakan.''</w:t>
      </w:r>
      <w:r>
        <w:rPr>
          <w:rStyle w:val="FootnoteAnchor"/>
        </w:rPr>
        <w:footnoteReference w:id="211"/>
      </w:r>
      <w:r>
        <w:rPr>
          <w:rFonts w:eastAsia="Times New Roman" w:cs="Times New Roman" w:ascii="Times New Roman" w:hAnsi="Times New Roman"/>
          <w:color w:val="111111"/>
          <w:sz w:val="28"/>
          <w:szCs w:val="28"/>
          <w:lang w:val="en-US"/>
        </w:rPr>
        <w:t xml:space="preserve"> Dengan pandangannya yang tajam dan berkenaan dengan  panafsiran teks-teks seperti ini, beliau memberikan catatan  kaki pada buku Al-Majlisi r.a. tentang sebuah hadits, sebagai  berikut: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Kelompok Asy'ari meyakini bahwa semua ini adalah  perbuatan Tuhan, sedangkan kelompok Mu'tazilah  dan Imamiyah berkenaan dengan perbuatan hamba,  bertentangan dengan pendapat mereka. Kedua  kelompok ini memberikan penakwilan bahwa  penciptaan kebaikan dan keburukan oleh Tuhan </w:t>
      </w:r>
      <w:bookmarkStart w:id="128" w:name="pg5928_44297"/>
    </w:p>
    <w:p>
      <w:pPr>
        <w:pStyle w:val="BookText"/>
        <w:bidi w:val="0"/>
        <w:rPr/>
      </w:pPr>
      <w:bookmarkEnd w:id="128"/>
      <w:r>
        <w:rPr>
          <w:rFonts w:eastAsia="Times New Roman" w:cs="Times New Roman" w:ascii="Times New Roman" w:hAnsi="Times New Roman"/>
          <w:color w:val="111111"/>
          <w:sz w:val="28"/>
          <w:szCs w:val="28"/>
          <w:lang w:val="en-US"/>
        </w:rPr>
        <w:t>memiliki makna yang berbeda secara keseluruhan  dengan perbuatan manusia .... Akan tetapi, kebanyakan  filsuf menyatakan, “Tidak ada yang berperan, kecuali  Allah,' sedangkan kehendak hamba merupakan  mu'idd (penyedia) ketika Tuhan hendak menciptakan  perbuatan dengan tangan-Nya. Hal ini sejalan dengan  mazhab para filsuf dan Asy'ariyyah, dan hadits ini  kemungkinan dikemukakan dalam rangka taqiyah  (menjaga diri). "</w:t>
      </w:r>
      <w:r>
        <w:rPr>
          <w:rStyle w:val="FootnoteAnchor"/>
        </w:rPr>
        <w:footnoteReference w:id="212"/>
      </w:r>
      <w:r>
        <w:rPr>
          <w:rFonts w:eastAsia="Times New Roman" w:cs="Times New Roman" w:ascii="Times New Roman" w:hAnsi="Times New Roman"/>
          <w:color w:val="111111"/>
          <w:sz w:val="28"/>
          <w:szCs w:val="28"/>
          <w:lang w:val="en-US"/>
        </w:rPr>
        <w:t xml:space="preserve"> Dalam masalah ini, Imam Khomeini telah mengutarakan  kajian yang kuat dan menyampaikan kritikan berkenaan dengan  hal di atas dari berbagai aspek.</w:t>
      </w:r>
      <w:r>
        <w:rPr>
          <w:rStyle w:val="FootnoteAnchor"/>
        </w:rPr>
        <w:footnoteReference w:id="213"/>
      </w:r>
    </w:p>
    <w:p>
      <w:pPr>
        <w:pStyle w:val="Heading3"/>
        <w:numPr>
          <w:ilvl w:val="2"/>
          <w:numId w:val="1"/>
        </w:numPr>
        <w:bidi w:val="0"/>
        <w:jc w:val="left"/>
        <w:rPr/>
      </w:pPr>
      <w:bookmarkStart w:id="129" w:name="__RefHeading___Toc5529772_581953129"/>
      <w:bookmarkStart w:id="130" w:name="_Toc43"/>
      <w:bookmarkEnd w:id="129"/>
      <w:r>
        <w:rPr/>
        <w:t>Rahmah (Rahmat)</w:t>
      </w:r>
      <w:bookmarkEnd w:id="1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Dengan menyebut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Wahai Yang Maha Pengasih di dunia dan Yang Maha  Penyayang di akhirat.</w:t>
      </w:r>
    </w:p>
    <w:p>
      <w:pPr>
        <w:pStyle w:val="BookText"/>
        <w:bidi w:val="0"/>
        <w:jc w:val="both"/>
        <w:rPr/>
      </w:pPr>
      <w:r>
        <w:rPr>
          <w:rFonts w:eastAsia="Times New Roman" w:cs="Times New Roman" w:ascii="Times New Roman" w:hAnsi="Times New Roman"/>
          <w:color w:val="111111"/>
          <w:sz w:val="28"/>
          <w:szCs w:val="28"/>
          <w:lang w:val="en-US"/>
        </w:rPr>
        <w:t xml:space="preserve">Ya Allah, sungguh aku memohon pada-Mu dengan  rahmat-Mu yang meliputi segala sesuatu. </w:t>
      </w:r>
      <w:r>
        <w:rPr>
          <w:rStyle w:val="FootnoteAnchor"/>
        </w:rPr>
        <w:footnoteReference w:id="214"/>
      </w:r>
      <w:r>
        <w:rPr>
          <w:rFonts w:eastAsia="Times New Roman" w:cs="Times New Roman" w:ascii="Times New Roman" w:hAnsi="Times New Roman"/>
          <w:color w:val="111111"/>
          <w:sz w:val="28"/>
          <w:szCs w:val="28"/>
          <w:lang w:val="en-US"/>
        </w:rPr>
        <w:t xml:space="preserve"> Ya Allah, sungguh aku memohon pada-Mu dari rahmat-  Mu segala keluasannya dan seluruh rahmat-Mu adalah  luas. Ya Allah, sungguh aku memohon pada-Mu dengan  seluruh rahmat-Mu."</w:t>
      </w:r>
      <w:r>
        <w:rPr>
          <w:rStyle w:val="FootnoteAnchor"/>
        </w:rPr>
        <w:footnoteReference w:id="215"/>
      </w:r>
      <w:r>
        <w:rPr>
          <w:rFonts w:eastAsia="Times New Roman" w:cs="Times New Roman" w:ascii="Times New Roman" w:hAnsi="Times New Roman"/>
          <w:color w:val="111111"/>
          <w:sz w:val="28"/>
          <w:szCs w:val="28"/>
          <w:lang w:val="en-US"/>
        </w:rPr>
        <w:t xml:space="preserve"> Rahmah merupakan kata yang paling banyak dinisbatkan  kepada Tuhan. Kata-kata serapannya juga merupakan  manifestasi aktivitas Ilahi yang juga sering digunakan. Tentang  dua istilah Tuhan: rahmān dan rahim, terdapat beberapa  pendapat yang diajukan oleh para filsuf Islam dengan istilah-  istilah yang berbeda-beda.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Rahmat rahmānī merupakan maqam kesederhanaan  eksistensi dan rahmat rahimi adalah maqam </w:t>
      </w:r>
    </w:p>
    <w:p>
      <w:pPr>
        <w:pStyle w:val="BookText"/>
        <w:bidi w:val="0"/>
        <w:rPr/>
      </w:pPr>
      <w:r>
        <w:rPr>
          <w:rFonts w:eastAsia="Times New Roman" w:cs="Times New Roman" w:ascii="Times New Roman" w:hAnsi="Times New Roman"/>
          <w:color w:val="111111"/>
          <w:sz w:val="28"/>
          <w:szCs w:val="28"/>
          <w:lang w:val="en-US"/>
        </w:rPr>
        <w:t>kesempurnaan eksistensi. Dengan rahmat rahmāni  terjelmalah eksistensi, dan dengan rahmat rahimi  semua makhluk sampai ke kesempurnaan spiritual dan  hidayah batin."</w:t>
      </w:r>
      <w:r>
        <w:rPr>
          <w:rStyle w:val="FootnoteAnchor"/>
        </w:rPr>
        <w:footnoteReference w:id="216"/>
      </w:r>
      <w:r>
        <w:rPr>
          <w:rFonts w:eastAsia="Times New Roman" w:cs="Times New Roman" w:ascii="Times New Roman" w:hAnsi="Times New Roman"/>
          <w:color w:val="111111"/>
          <w:sz w:val="28"/>
          <w:szCs w:val="28"/>
          <w:lang w:val="en-US"/>
        </w:rPr>
        <w:t xml:space="preserve"> Salah satu tempat yang di dalamnya terdapat dua kata  ini, yang disebutkan bergandengan adalah basmallah pada  setiap surah. Dalam pandangan Imam Khomeini, basmallah  bagi setiap surah adalah khusus dan tidak terulang. Dalam  menafsirkan kata rahmān dan rahīm, banyak istilah dan  kata-kata filosofis yang digunakan. Penafsiran kedua kata ini  memiliki dua kemungkinan, dan pengulangan kata rahmān dan  rahim dalam Surah Al-Fātihah pun memiliki dua kemungkinan.</w:t>
      </w:r>
    </w:p>
    <w:p>
      <w:pPr>
        <w:pStyle w:val="BookText"/>
        <w:bidi w:val="0"/>
        <w:jc w:val="both"/>
        <w:rPr/>
      </w:pPr>
      <w:r>
        <w:rPr>
          <w:rFonts w:eastAsia="Times New Roman" w:cs="Times New Roman" w:ascii="Times New Roman" w:hAnsi="Times New Roman"/>
          <w:color w:val="111111"/>
          <w:sz w:val="28"/>
          <w:szCs w:val="28"/>
          <w:lang w:val="en-US"/>
        </w:rPr>
        <w:t>Pertama, ketika rahmān dan rahim dalam basmallah  adalah sifat bagi Lafaz Al- jalālah (Allāh), itu memberi isyarat  kepada rahmāniyyah dan rahimiyyah yang esensial, sedangkan  rahmān dan rahim berikutnya, mengisyaratkan rahmān dan  rahim yang berkaitan dengan perbuatan (fi'li).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ketika rahmān dan rahim merupakan sifat bagi  nama (ism), sebaliknya adalah kehendak bagi Allah. Sementara  itu, rahmān dan rahim yang terkait dengan perbuatan  mengandung arti kehendak, sedangkan kata Allāh dalam  alhamdulillāh merujuk pada Dzat Ilahi, dan rahmān dan rahim  termasuk ke dalam sifat esensial (dzāti).</w:t>
      </w:r>
      <w:r>
        <w:rPr>
          <w:rStyle w:val="FootnoteAnchor"/>
        </w:rPr>
        <w:footnoteReference w:id="217"/>
      </w:r>
      <w:r>
        <w:rPr>
          <w:rFonts w:eastAsia="Times New Roman" w:cs="Times New Roman" w:ascii="Times New Roman" w:hAnsi="Times New Roman"/>
          <w:color w:val="111111"/>
          <w:sz w:val="28"/>
          <w:szCs w:val="28"/>
          <w:lang w:val="en-US"/>
        </w:rPr>
        <w:t xml:space="preserve"> "Yang paling tepat adalah tingkatan nama rahmān, yaitu  tingkatan kesederhanaan eksistensi bagi seluruh alam,  baik yang universal maupun yang partikular, sedangkan  tingkatan nama rahīm adalah tingkatan kesederhanaan  dan kesempurnaan. Sebenarnya, rahmat rahmānī dan  rahmat rahimi mencakup segala sesuatu dan meliputi  semua alam. Keduanya, merupakan entifikasi kehendak  akal dan jiwa."</w:t>
      </w:r>
      <w:r>
        <w:rPr>
          <w:rStyle w:val="FootnoteAnchor"/>
        </w:rPr>
        <w:footnoteReference w:id="218"/>
      </w:r>
      <w:bookmarkStart w:id="131" w:name="pg5928_44299"/>
    </w:p>
    <w:p>
      <w:pPr>
        <w:pStyle w:val="BookText"/>
        <w:bidi w:val="0"/>
        <w:rPr/>
      </w:pPr>
      <w:bookmarkEnd w:id="131"/>
      <w:r>
        <w:rPr>
          <w:rFonts w:eastAsia="Times New Roman" w:cs="Times New Roman" w:ascii="Times New Roman" w:hAnsi="Times New Roman"/>
          <w:color w:val="111111"/>
          <w:sz w:val="28"/>
          <w:szCs w:val="28"/>
          <w:lang w:val="en-US"/>
        </w:rPr>
        <w:t xml:space="preserve">Dengan gambaran ini, semua makhluk di luar merupakan  manifestasi rahmat Ilahi, dan rahmat Ilahi mencapai  penampakannya dalam semua itu. Makhluk-makhluk ini,  menurut pandangan yang lebih dalam, memiliki dua sisi: yaitu  </w:t>
      </w:r>
      <w:r>
        <w:rPr>
          <w:rStyle w:val="FootnoteAnchor"/>
        </w:rPr>
        <w:footnoteReference w:id="219"/>
      </w:r>
      <w:r>
        <w:rPr>
          <w:rFonts w:eastAsia="Times New Roman" w:cs="Times New Roman" w:ascii="Times New Roman" w:hAnsi="Times New Roman"/>
          <w:color w:val="111111"/>
          <w:sz w:val="28"/>
          <w:szCs w:val="28"/>
          <w:lang w:val="en-US"/>
        </w:rPr>
        <w:t xml:space="preserve">sisi Al-Haqq dan sisi makhluk, sisi yang condong ke alam  gaib dan cahaya; dan </w:t>
      </w:r>
      <w:r>
        <w:rPr>
          <w:rStyle w:val="FootnoteAnchor"/>
        </w:rPr>
        <w:footnoteReference w:id="220"/>
      </w:r>
      <w:r>
        <w:rPr>
          <w:rFonts w:eastAsia="Times New Roman" w:cs="Times New Roman" w:ascii="Times New Roman" w:hAnsi="Times New Roman"/>
          <w:color w:val="111111"/>
          <w:sz w:val="28"/>
          <w:szCs w:val="28"/>
          <w:lang w:val="en-US"/>
        </w:rPr>
        <w:t>sisi yang condong ke alam kegelapan  dan cengkraman esensi. Dari sisi cahaya yang condong ke alam  rahmat Ilahiah, ia termasuk ke dalam rahmat Ilahi, sedangkan  dari sisi cahaya yang condong ke dirinya, ia disebut 'yang  dirahmati' (marhūm).</w:t>
      </w:r>
    </w:p>
    <w:p>
      <w:pPr>
        <w:pStyle w:val="BookText"/>
        <w:bidi w:val="0"/>
        <w:jc w:val="both"/>
        <w:rPr/>
      </w:pPr>
      <w:r>
        <w:rPr>
          <w:rFonts w:eastAsia="Times New Roman" w:cs="Times New Roman" w:ascii="Times New Roman" w:hAnsi="Times New Roman"/>
          <w:color w:val="111111"/>
          <w:sz w:val="28"/>
          <w:szCs w:val="28"/>
          <w:lang w:val="en-US"/>
        </w:rPr>
        <w:t>Di sisi lain, sifat rahmat beserta keluasannya memerlukan  penjelasan filosofis. Dalam pandangan filosofis, was'iyyah  (keluasan) berhubungan dengan kemajemukan vertikal (thūli)  dan horizontal (ʻaradhi), serta esensi dan aksiden. Dengan  penjelasan seperti ini, marhūm memiliki kemajemukan  aksiden dengan esensi, dan kemajemukan panjang dengan  lebar, sedangkan rahmah memiliki kemajemukan aksidental  dengan aksiden, dan kemajemukan vertikal dengan esensi.</w:t>
      </w:r>
    </w:p>
    <w:p>
      <w:pPr>
        <w:pStyle w:val="BookText"/>
        <w:bidi w:val="0"/>
        <w:jc w:val="both"/>
        <w:rPr/>
      </w:pPr>
      <w:r>
        <w:rPr>
          <w:rFonts w:eastAsia="Times New Roman" w:cs="Times New Roman" w:ascii="Times New Roman" w:hAnsi="Times New Roman"/>
          <w:color w:val="111111"/>
          <w:sz w:val="28"/>
          <w:szCs w:val="28"/>
          <w:lang w:val="en-US"/>
        </w:rPr>
        <w:t>Untuk memahami hal ini hendaklah merujuk pada Hikmah  Mutaʻāliyah</w:t>
      </w:r>
      <w:r>
        <w:rPr>
          <w:rStyle w:val="FootnoteAnchor"/>
        </w:rPr>
        <w:footnoteReference w:id="22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32" w:name="__RefHeading___Toc5529774_581953129"/>
      <w:bookmarkStart w:id="133" w:name="_Toc44"/>
      <w:bookmarkEnd w:id="132"/>
      <w:r>
        <w:rPr/>
        <w:t>Su' al (Permohonan)</w:t>
      </w:r>
      <w:bookmarkEnd w:id="133"/>
    </w:p>
    <w:p>
      <w:pPr>
        <w:pStyle w:val="BookText"/>
        <w:bidi w:val="0"/>
        <w:jc w:val="both"/>
        <w:rPr/>
      </w:pPr>
      <w:r>
        <w:rPr>
          <w:rFonts w:eastAsia="Times New Roman" w:cs="Times New Roman" w:ascii="Times New Roman" w:hAnsi="Times New Roman"/>
          <w:color w:val="111111"/>
          <w:sz w:val="28"/>
          <w:szCs w:val="28"/>
          <w:lang w:val="en-US"/>
        </w:rPr>
        <w:t>"Semua yang ada di langit dan bumi selalu memohon  kepada-Nya."</w:t>
      </w:r>
      <w:r>
        <w:rPr>
          <w:rStyle w:val="FootnoteAnchor"/>
        </w:rPr>
        <w:footnoteReference w:id="222"/>
      </w:r>
      <w:r>
        <w:rPr>
          <w:rFonts w:eastAsia="Times New Roman" w:cs="Times New Roman" w:ascii="Times New Roman" w:hAnsi="Times New Roman"/>
          <w:color w:val="111111"/>
          <w:sz w:val="28"/>
          <w:szCs w:val="28"/>
          <w:lang w:val="en-US"/>
        </w:rPr>
        <w:t xml:space="preserve"> "Ya Allah, sungguh aku memohon pada-Mu yang paling  dicintai-Nya dari permohonan-permohonan pada-  Mu, dan setiap permohonan pada-Mu adalah dicintai.</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 Allah, sungguh aku memohon pada-Mu seluruh  permohonan pada-Mu."</w:t>
      </w:r>
      <w:r>
        <w:rPr>
          <w:rStyle w:val="FootnoteAnchor"/>
        </w:rPr>
        <w:footnoteReference w:id="223"/>
      </w:r>
    </w:p>
    <w:p>
      <w:pPr>
        <w:pStyle w:val="BookText"/>
        <w:bidi w:val="0"/>
        <w:rPr/>
      </w:pPr>
      <w:r>
        <w:rPr>
          <w:rFonts w:eastAsia="Times New Roman" w:cs="Times New Roman" w:ascii="Times New Roman" w:hAnsi="Times New Roman"/>
          <w:color w:val="111111"/>
          <w:sz w:val="28"/>
          <w:szCs w:val="28"/>
          <w:lang w:val="en-US"/>
        </w:rPr>
        <w:t>Permohonan adalah sebuah fenomena yang mencakup  hakikat seluruh makhluk. Permohonan dan harapan memiliki  dua bentuk: yang dimohonkan dengan bahasa lisan; dan  yang dimohonkan dengan bahasa potensi dan kelayakan.</w:t>
      </w:r>
    </w:p>
    <w:p>
      <w:pPr>
        <w:pStyle w:val="BookText"/>
        <w:bidi w:val="0"/>
        <w:jc w:val="both"/>
        <w:rPr/>
      </w:pPr>
      <w:r>
        <w:rPr>
          <w:rFonts w:eastAsia="Times New Roman" w:cs="Times New Roman" w:ascii="Times New Roman" w:hAnsi="Times New Roman"/>
          <w:color w:val="111111"/>
          <w:sz w:val="28"/>
          <w:szCs w:val="28"/>
          <w:lang w:val="en-US"/>
        </w:rPr>
        <w:t>Permohonan dari seorang pemohon membutuhkan dasar  keberadaan dan kesempurnaannya, yang berfungsi sebagai alat  dan objek permohonan. Oleh karena itu, dalam permohonan  terdapat sejenis perhatian dan kecenderungan kepada sumber  eksistensi dan pemberi emanasi.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Permohonan adalah permintaan pemohon kepada  yang dimohon agar mengabulkan kebutuhan-  kebutuhan eksistensial atau kesempurnaan-  kesempurnaan eksistensial dengan perhatian kepada-  Nya. Perhatian kepada-Nya ada yang esensial (dzāti)  dan ada yang kondisional (hāli), yang berbentuk  lahiriah dan yang batiniah, dengan bahasa potensial  atau bahasa kondisial atau bahasa lisan .... Rangkaian  maujud dan entitas-entitas mumkin ... berdasarkan  kefakiran dan kekurangan esensial, dan atributnya  menuju kepada Sang Pemberi wujud muthlaq (qayyūm  muthlaq) ... atau dengan bahasa potensial, pemohon  eksistensi dan kesempurnaan dari kehadiran Al-Haqq  Swt.."</w:t>
      </w:r>
      <w:r>
        <w:rPr>
          <w:rStyle w:val="FootnoteAnchor"/>
        </w:rPr>
        <w:footnoteReference w:id="224"/>
      </w:r>
      <w:r>
        <w:rPr>
          <w:rFonts w:eastAsia="Times New Roman" w:cs="Times New Roman" w:ascii="Times New Roman" w:hAnsi="Times New Roman"/>
          <w:color w:val="111111"/>
          <w:sz w:val="28"/>
          <w:szCs w:val="28"/>
          <w:lang w:val="en-US"/>
        </w:rPr>
        <w:t xml:space="preserve"> Dengan gambaran seperti ini, kemunculan seluruh  penciptaan karena adanya permohonan. Rangkaian eksistensi  berdiri berdasarkan tahapan dan tingkatan, mulai dari yang  paling sempurna yang menuntut eksistensi dan kesempurnaan,  hingga semua eksistensi yang menuntut kesempurnaan dan  sumber emanasi.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"Permohonan dan tuntutan pertama, yang muncul  dalam ruang eksistensi adalah tuntutan asma dan  sifat Ilahi, di mana dengan bahasa yang sesuai dengan </w:t>
      </w:r>
      <w:bookmarkStart w:id="134" w:name="pg5928_44301"/>
    </w:p>
    <w:p>
      <w:pPr>
        <w:pStyle w:val="BookText"/>
        <w:bidi w:val="0"/>
        <w:rPr/>
      </w:pPr>
      <w:bookmarkEnd w:id="134"/>
      <w:r>
        <w:rPr>
          <w:rFonts w:eastAsia="Times New Roman" w:cs="Times New Roman" w:ascii="Times New Roman" w:hAnsi="Times New Roman"/>
          <w:color w:val="111111"/>
          <w:sz w:val="28"/>
          <w:szCs w:val="28"/>
          <w:lang w:val="en-US"/>
        </w:rPr>
        <w:t>maqam masing-masing menuntut manifestasi pada  maqam kehadiran (hadhrah) ahadiyyah dari kehadiran  gaib (hadhrah ghaib) mutlak, dan Tuhan pun menjawab  tuntutan mereka dengan pemberian limpahan kepada  emanasi yang paling suci (faidh al-aqdas).... Asma dan  sifat pun terjelma. Di antara asma yang muncul pertama,  adalah nama universal (ism jāmi') yang merupakan  pemilik insan universal yang mencakup asma dan sifat  Ilahi ... setelah permohonan ini, kemudian ada tahapan  entitas-entitas yang tetap (a'yān tsabitah) dan bentuk-  bentuk (shuwar) asma Ilahi di mana di antara semua  ini, yang pertama, adalah bentuk (shūrah) universal dan  entitas tetap insani, seluruh entitas yang lain melalui  entitas tetap manusia.... Maka, dari entitas-entitas  tetap mumkin yaitu Asma Ilahi dalam hadhrah 'ilmiyyah  ada yang menuntut penjelmaan dalam bentuk entitas  dan syahādah. Tuhan pun mengabulkannya dalam  bentuk emanasi suci (faidh muqaddas) dan bayangan  yang meluas (zhill munbasith) ... semua tuntutan dan  permohonan ini dikabulkan dan tidak ada yang ditolak,  karena doa dan permohonan itu disampaikan dalam  bahasa esensial dan potensial yang bisa diterima. "</w:t>
      </w:r>
      <w:r>
        <w:rPr>
          <w:rStyle w:val="FootnoteAnchor"/>
        </w:rPr>
        <w:footnoteReference w:id="225"/>
      </w:r>
    </w:p>
    <w:p>
      <w:pPr>
        <w:pStyle w:val="Heading3"/>
        <w:numPr>
          <w:ilvl w:val="2"/>
          <w:numId w:val="1"/>
        </w:numPr>
        <w:bidi w:val="0"/>
        <w:jc w:val="left"/>
        <w:rPr/>
      </w:pPr>
      <w:bookmarkStart w:id="135" w:name="__RefHeading___Toc5529776_581953129"/>
      <w:bookmarkStart w:id="136" w:name="_Toc45"/>
      <w:bookmarkEnd w:id="135"/>
      <w:r>
        <w:rPr/>
        <w:t>Syarāf (Kemuliaan)</w:t>
      </w:r>
      <w:bookmarkEnd w:id="1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 Allah, sungguh aku memohon pada-Mu kemuliaan-  Mu yang paling mulia, dan seluruh kemuliaan-Mu  adalah mulia. Ya Allah, sungguh aku memohon pada-  Mu seluruh kemuliaan-Mu."</w:t>
      </w:r>
      <w:r>
        <w:rPr>
          <w:rStyle w:val="FootnoteAnchor"/>
        </w:rPr>
        <w:footnoteReference w:id="226"/>
      </w:r>
      <w:r>
        <w:rPr>
          <w:rFonts w:eastAsia="Times New Roman" w:cs="Times New Roman" w:ascii="Times New Roman" w:hAnsi="Times New Roman"/>
          <w:color w:val="111111"/>
          <w:sz w:val="28"/>
          <w:szCs w:val="28"/>
          <w:lang w:val="en-US"/>
        </w:rPr>
        <w:t xml:space="preserve"> Penerapan sifat kemuliaan (syarāfah) kepada Tuhan Yang  Mahatinggi adalah karena Tuhan merupakan eksistensi murni,  tidak terbatas, dan merupakan eksistensi mutlak. Maka kata  syarāfah merupakan istilah lain dari eksistensinya, karena  tidak ada sisi lain selain Tuhan sehingga sisi itu dinamakan </w:t>
      </w:r>
    </w:p>
    <w:p>
      <w:pPr>
        <w:pStyle w:val="BookText"/>
        <w:bidi w:val="0"/>
        <w:rPr/>
      </w:pPr>
      <w:r>
        <w:rPr>
          <w:rFonts w:eastAsia="Times New Roman" w:cs="Times New Roman" w:ascii="Times New Roman" w:hAnsi="Times New Roman"/>
          <w:color w:val="111111"/>
          <w:sz w:val="28"/>
          <w:szCs w:val="28"/>
          <w:lang w:val="en-US"/>
        </w:rPr>
        <w:t>sisi kemuliaan. Dia merupakan wujud hakiki dari kemuliaan  eksistensi.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merupakan eksistensi: kebaikan, kemuliaan,  keindahan, serta kemuliaan; dan ketiadaan: keburukan,  kehinaan, kegelapan, serta kegulitaan."</w:t>
      </w:r>
      <w:r>
        <w:rPr>
          <w:rStyle w:val="FootnoteAnchor"/>
        </w:rPr>
        <w:footnoteReference w:id="227"/>
      </w:r>
      <w:r>
        <w:rPr>
          <w:rFonts w:eastAsia="Times New Roman" w:cs="Times New Roman" w:ascii="Times New Roman" w:hAnsi="Times New Roman"/>
          <w:color w:val="111111"/>
          <w:sz w:val="28"/>
          <w:szCs w:val="28"/>
          <w:lang w:val="en-US"/>
        </w:rPr>
        <w:t xml:space="preserve"> Istilah-istilah ini terdapat dalam ucapan-ucapan Imam  Khomeini yang muncul dari sumber yang sangat kaya dan  melimpah. Menurut dia, eksistensi itu adalah sumber segala  kebaikan, kemuliaan, hakikat, dan cahaya. Ia adalah akar  yang permanen dan pohon yang mulia (syajārah thayyibah),  di mana cabang-cabangnya meliputi langit, bumi, ruh  (arwāh), serta bayangannya (asybāh). Kebalikannya, segala  keburukan, kehinaan, kebatilan, serta kegelapan berhubungan  dengan ketiadaan. Semakin kuat esksistensi, semakin besar  kemuliaannya. Rangkaian eksistensi dan tingkatan tahapannya  akan berakhir pada sebuah eksistensi yang tidak memiliki sisi  ketiadaan, dan kemuliaan yang tidak memiliki sisi kekurangan.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Semakin kuat eksistensinya, ia semakin sempurna,  semakin baik, dan semakin mulia hingga akhirnya  sampai ke satu eksistensi yang tidak memiliki warna  ketiadaan dan sampai ke kesempurnaan yang tidak  memiliki kekurangan. Eksistensi tersebut adalah  kemuliaan, di mana tidak ada sedikit pun kehinaan  dan kebaikan yang sama sekali tidak ada keburukan  di dalamnya. Dan seluruh kebaikan dan kemuliaan  merupakan pancaran dan manifestasi dari-Nya.</w:t>
      </w:r>
      <w:r>
        <w:rPr>
          <w:rStyle w:val="FootnoteAnchor"/>
        </w:rPr>
        <w:footnoteReference w:id="228"/>
      </w:r>
      <w:r>
        <w:rPr>
          <w:rFonts w:eastAsia="Times New Roman" w:cs="Times New Roman" w:ascii="Times New Roman" w:hAnsi="Times New Roman"/>
          <w:color w:val="111111"/>
          <w:sz w:val="28"/>
          <w:szCs w:val="28"/>
          <w:lang w:val="en-US"/>
        </w:rPr>
        <w:t xml:space="preserve"> Dan buku-buku ulama, terutama buku-buku para filsuf  Persia Shadr Al-Hukamā' Al-Muta'allihin, secara jelas  dan argumentatif memuat masalah-masalah ini dan  menjadi fondasi bagi banyak kajian teologi, pokok-  pokok keyakina,n dan rahasia-rahasia...."</w:t>
      </w:r>
      <w:r>
        <w:rPr>
          <w:rStyle w:val="FootnoteAnchor"/>
        </w:rPr>
        <w:footnoteReference w:id="229"/>
      </w:r>
      <w:bookmarkStart w:id="137" w:name="pg5928_44303"/>
    </w:p>
    <w:p>
      <w:pPr>
        <w:pStyle w:val="Heading3"/>
        <w:numPr>
          <w:ilvl w:val="2"/>
          <w:numId w:val="1"/>
        </w:numPr>
        <w:bidi w:val="0"/>
        <w:jc w:val="left"/>
        <w:rPr/>
      </w:pPr>
      <w:bookmarkStart w:id="138" w:name="__RefHeading___Toc5529778_581953129"/>
      <w:bookmarkStart w:id="139" w:name="_Toc46"/>
      <w:bookmarkEnd w:id="137"/>
      <w:bookmarkEnd w:id="138"/>
      <w:r>
        <w:rPr/>
        <w:t>'Azīz</w:t>
      </w:r>
      <w:bookmarkEnd w:id="139"/>
    </w:p>
    <w:p>
      <w:pPr>
        <w:pStyle w:val="BookText"/>
        <w:bidi w:val="0"/>
        <w:jc w:val="both"/>
        <w:rPr/>
      </w:pPr>
      <w:r>
        <w:rPr>
          <w:rFonts w:eastAsia="Times New Roman" w:cs="Times New Roman" w:ascii="Times New Roman" w:hAnsi="Times New Roman"/>
          <w:color w:val="111111"/>
          <w:sz w:val="28"/>
          <w:szCs w:val="28"/>
          <w:lang w:val="en-US"/>
        </w:rPr>
        <w:t>"Ya Allah, sungguh aku memohon pada-Mu yang paling  mulia dari kemuliaan-Mu, dan seluruh kemuliaan-Mu  adalah mulia. Ya Allah, sungguh aku memohon pada-  Mu seluruh kemuliaan-Mu."</w:t>
      </w:r>
      <w:r>
        <w:rPr>
          <w:rStyle w:val="FootnoteAnchor"/>
        </w:rPr>
        <w:footnoteReference w:id="230"/>
      </w:r>
      <w:r>
        <w:rPr>
          <w:rFonts w:eastAsia="Times New Roman" w:cs="Times New Roman" w:ascii="Times New Roman" w:hAnsi="Times New Roman"/>
          <w:color w:val="111111"/>
          <w:sz w:val="28"/>
          <w:szCs w:val="28"/>
          <w:lang w:val="en-US"/>
        </w:rPr>
        <w:t xml:space="preserve"> Kata ini merupakan sebuah sifat yang sering digunakan  bagi Tuhan Yang Mahatinggi. Dari segi bahasa, kata ini memiliki  tiga makna: yang Unggul (Ghalib); Kekuatan (Qowiy); dan Esa  (Fard). Untuk memahami maknanya yang lebih mendalam,  membutuhkan prinsip-prinsip dan istilah-istilah filosofis.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'Aziz yang berarti unggul.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adalah Yang Mahaunggul (ghālib) atas segala  sesuatu, dan seluruh rangkaian eksistensi ada di  bawah aturan-Nya. Tidak ada satu gerak pun, kecuali  Dia yang mengaturnya. Dia memiliki kekuasaan  mutlak, kepemilikan sempurna, dan kemenangan atas  segala perkara makhluk, segala gerak berada di bawah  kekuasaan-Nya, dan segala perbuatan diatur dengan  aturan-Nya.</w:t>
      </w:r>
      <w:r>
        <w:rPr>
          <w:rStyle w:val="FootnoteAnchor"/>
        </w:rPr>
        <w:footnoteReference w:id="231"/>
      </w:r>
      <w:r>
        <w:rPr>
          <w:rFonts w:eastAsia="Times New Roman" w:cs="Times New Roman" w:ascii="Times New Roman" w:hAnsi="Times New Roman"/>
          <w:color w:val="111111"/>
          <w:sz w:val="28"/>
          <w:szCs w:val="28"/>
          <w:lang w:val="en-US"/>
        </w:rPr>
        <w:t xml:space="preserve"> 2. ‘Aziz yang berarti kekuatan (qowiy).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Kekuatan sebagai lawan dari kelemahan  “Sesungguhnya Wajib Al-Wujūd di atas segala apa  yang tidak terbatas dengan apa yang tidak terbatas,  Mahakuat, dan kekuatan segala yang memiliki kekuatan  adalah bayangan dari kekuatan-Nya serta bagian dari  derajat kekuatan-Nya."</w:t>
      </w:r>
      <w:r>
        <w:rPr>
          <w:rStyle w:val="FootnoteAnchor"/>
        </w:rPr>
        <w:footnoteReference w:id="232"/>
      </w:r>
      <w:r>
        <w:rPr>
          <w:rFonts w:eastAsia="Times New Roman" w:cs="Times New Roman" w:ascii="Times New Roman" w:hAnsi="Times New Roman"/>
          <w:color w:val="111111"/>
          <w:sz w:val="28"/>
          <w:szCs w:val="28"/>
          <w:lang w:val="en-US"/>
        </w:rPr>
        <w:t xml:space="preserve"> Tahapan tingkatan eksistensi dalam kekuatan dan  kelemahan terlihat jelas pada ungkapan di atas. Kekuatan  dan kegagahan dalam rangkaian tingkatan akan berakhir </w:t>
      </w:r>
    </w:p>
    <w:p>
      <w:pPr>
        <w:pStyle w:val="BookText"/>
        <w:bidi w:val="0"/>
        <w:rPr/>
      </w:pPr>
      <w:r>
        <w:rPr>
          <w:rFonts w:eastAsia="Times New Roman" w:cs="Times New Roman" w:ascii="Times New Roman" w:hAnsi="Times New Roman"/>
          <w:color w:val="111111"/>
          <w:sz w:val="28"/>
          <w:szCs w:val="28"/>
          <w:lang w:val="en-US"/>
        </w:rPr>
        <w:t>pada sesuatu yang tidak memiliki sisi lain, kecuali kekuatan  dan kegagahan. Kekuatan maujud yang lain tidak memiliki  keautentikan (ashālah), kemandirian, dan berasal dari sumber  eksistensi. Dengan melihat dua sisi yaitu: sisi-makhluk (yali al-  khalq) dan sisi-Tuhan (yali al-rabb), bagi segenap makhluk akan  membuat masalah ini semakin jelas. Segenap makhluk dari sisi  kefanaan dalam Al-Haqq Swt. dan sisi yali al-rabb, menjadi  kuat, sedangkan dari sisi-sisi lain yang sesuai dengannya dan  yali al-khalq, menjadi lemah.</w:t>
      </w:r>
    </w:p>
    <w:p>
      <w:pPr>
        <w:pStyle w:val="BookText"/>
        <w:bidi w:val="0"/>
        <w:jc w:val="both"/>
        <w:rPr/>
      </w:pPr>
      <w:r>
        <w:rPr>
          <w:rFonts w:eastAsia="Times New Roman" w:cs="Times New Roman" w:ascii="Times New Roman" w:hAnsi="Times New Roman"/>
          <w:color w:val="111111"/>
          <w:sz w:val="28"/>
          <w:szCs w:val="28"/>
          <w:lang w:val="en-US"/>
        </w:rPr>
        <w:t>b. Kekuatan yang berarti sumber ciptaan.</w:t>
      </w:r>
    </w:p>
    <w:p>
      <w:pPr>
        <w:pStyle w:val="BookText"/>
        <w:bidi w:val="0"/>
        <w:jc w:val="both"/>
        <w:rPr/>
      </w:pPr>
      <w:r>
        <w:rPr>
          <w:rFonts w:eastAsia="Times New Roman" w:cs="Times New Roman" w:ascii="Times New Roman" w:hAnsi="Times New Roman"/>
          <w:color w:val="111111"/>
          <w:sz w:val="28"/>
          <w:szCs w:val="28"/>
          <w:lang w:val="en-US"/>
        </w:rPr>
        <w:t>Tuhan adalah Sumber Segala Penciptaan yang tidak  terbatas. Dalam ruang eksistensi, tidak ada seorang pun selain  Dia. Begitu pun, sifat-sifat dan ciptaan-ciptaan-Nya. “Tidak ada  yang berperan, kecuali Allah". Setiap yang berperan tergolong  ke dalam jelmaan-jelmaan penciptaan.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 ini merupakan hakikat amr baina amrain yang  telah dikaji oleh ulama salaf saleh di antara para  pemuka hikmah, dan menjadi sumber telaah, seperti  filsuf Shadr al-Hukamā' wa al-Muta'allihin dan pengikut  lain dari kalangan filsuf."</w:t>
      </w:r>
      <w:r>
        <w:rPr>
          <w:rStyle w:val="FootnoteAnchor"/>
        </w:rPr>
        <w:footnoteReference w:id="233"/>
      </w:r>
      <w:r>
        <w:rPr>
          <w:rFonts w:eastAsia="Times New Roman" w:cs="Times New Roman" w:ascii="Times New Roman" w:hAnsi="Times New Roman"/>
          <w:color w:val="111111"/>
          <w:sz w:val="28"/>
          <w:szCs w:val="28"/>
          <w:lang w:val="en-US"/>
        </w:rPr>
        <w:t xml:space="preserve"> 3. ‘Azīz yang berarti Esa.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Hikmah Mutaʻāliyah, pokok ini sudah dikukuhkan  bahwa Al-wajib adalah eksistensi yang murni; eksistensi murni  tidak mungkin menjadi dua dan tidak mungkin mengalami  perulangan. Dalam hal ini, setiap kali diasumsikan ada yang  kedua maka itu adalah la, tidak ada yang lain selain Dia. </w:t>
      </w:r>
      <w:bookmarkStart w:id="140" w:name="pg5928_44305"/>
    </w:p>
    <w:p>
      <w:pPr>
        <w:pStyle w:val="BookText"/>
        <w:bidi w:val="0"/>
        <w:rPr/>
      </w:pPr>
      <w:bookmarkEnd w:id="1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kemurnian (shirf), tidak akan menjadi dua dan  terulang, dan setiap kali diasumsikan ada yang kedua  maka itu adalah la."</w:t>
      </w:r>
      <w:r>
        <w:rPr>
          <w:rStyle w:val="FootnoteAnchor"/>
        </w:rPr>
        <w:footnoteReference w:id="234"/>
      </w:r>
    </w:p>
    <w:p>
      <w:pPr>
        <w:pStyle w:val="Heading3"/>
        <w:numPr>
          <w:ilvl w:val="2"/>
          <w:numId w:val="1"/>
        </w:numPr>
        <w:bidi w:val="0"/>
        <w:jc w:val="left"/>
        <w:rPr/>
      </w:pPr>
      <w:bookmarkStart w:id="141" w:name="__RefHeading___Toc5529780_581953129"/>
      <w:bookmarkStart w:id="142" w:name="_Toc47"/>
      <w:bookmarkEnd w:id="141"/>
      <w:r>
        <w:rPr/>
        <w:t>'Ilm (Ilmu)</w:t>
      </w:r>
      <w:bookmarkEnd w:id="142"/>
    </w:p>
    <w:p>
      <w:pPr>
        <w:pStyle w:val="BookText"/>
        <w:bidi w:val="0"/>
        <w:jc w:val="both"/>
        <w:rPr/>
      </w:pPr>
      <w:r>
        <w:rPr>
          <w:rFonts w:eastAsia="Times New Roman" w:cs="Times New Roman" w:ascii="Times New Roman" w:hAnsi="Times New Roman"/>
          <w:color w:val="111111"/>
          <w:sz w:val="28"/>
          <w:szCs w:val="28"/>
          <w:lang w:val="en-US"/>
        </w:rPr>
        <w:t>Kata ini, pada Dzat Paling Suci Tuhan lebih sering  digunakan daripada kata yang lain. Ilm (Maha Mengetahui)  yang merupakan salah satu sifat Dzat Tuhan Yang Mahatinggi  sering ditemukan dalam teks-teks agama. Kata ini, dari  berbagai aspek menjadi topik perdebatan pemikiran di antara  para pemikir Ilahiah, seperti tentang makna dan konsepsi ‘ilm,  ilmu wājib dan mumkin, ilmu dzāt terhadap dzāt, ilmu wājib  terhadap yang lain, ilmu sebelum muncul kemajemukan, serta  pengadaan dan lain-lain. Semuanya membentuk berbagai  topik pemikiran yang beraneka ragam, ketika para pemikir,  sesuai dengan kadar pengetahuan mereka, mencoba memberi  gambaran kualitas pada butir ini.</w:t>
      </w:r>
    </w:p>
    <w:p>
      <w:pPr>
        <w:pStyle w:val="BookText"/>
        <w:bidi w:val="0"/>
        <w:jc w:val="both"/>
        <w:rPr/>
      </w:pPr>
      <w:r>
        <w:rPr>
          <w:rFonts w:eastAsia="Times New Roman" w:cs="Times New Roman" w:ascii="Times New Roman" w:hAnsi="Times New Roman"/>
          <w:color w:val="111111"/>
          <w:sz w:val="28"/>
          <w:szCs w:val="28"/>
          <w:lang w:val="en-US"/>
        </w:rPr>
        <w:t>Para filsuf Islam, disebabkan kecenderungan mereka pada  kajian-kajian tentang Ketuhanan, mereka memiliki perhatian  yang mendalam pada masalah ini. Seluruh ulama llāhiyyūn  meyakini Tuhan memiliki ilmu terhadap diri-Nya dan juga pada  hal-hal yang lain. Yang menjadi polemik adalah tentang kualitas  dan kuantitas pengetahuan Ilahi tersebut. Terdapat beberapa  pendapat yang menjelaskan bentuk ilmu Tuhan dan terutama  ilmu Tuhan sebelum penciptaan (qabla ijad).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ilmu sebelum penciptaan terhadap akibat-akibatnya  (maʻlūl), pada zaman asali merupakan objek perbedaan  yang seru. Ilmu itu diteliti bentuknya, apakah itu  ilmu tentang hal yang umum ataukah tentang yang  partikular; apakah merupakan sifat tambahan bagi </w:t>
      </w:r>
      <w:bookmarkStart w:id="143" w:name="pg5928_44306"/>
    </w:p>
    <w:p>
      <w:pPr>
        <w:pStyle w:val="BookText"/>
        <w:bidi w:val="0"/>
        <w:rPr/>
      </w:pPr>
      <w:bookmarkEnd w:id="143"/>
      <w:r>
        <w:rPr>
          <w:rFonts w:eastAsia="Times New Roman" w:cs="Times New Roman" w:ascii="Times New Roman" w:hAnsi="Times New Roman"/>
          <w:color w:val="111111"/>
          <w:sz w:val="28"/>
          <w:szCs w:val="28"/>
          <w:lang w:val="en-US"/>
        </w:rPr>
        <w:t>Dzāt atau Dzāt itu; apakah sebelum mengada atau  berbarengan dengan mengada...?"</w:t>
      </w:r>
      <w:r>
        <w:rPr>
          <w:rStyle w:val="FootnoteAnchor"/>
        </w:rPr>
        <w:footnoteReference w:id="235"/>
      </w:r>
      <w:r>
        <w:rPr>
          <w:rFonts w:eastAsia="Times New Roman" w:cs="Times New Roman" w:ascii="Times New Roman" w:hAnsi="Times New Roman"/>
          <w:color w:val="111111"/>
          <w:sz w:val="28"/>
          <w:szCs w:val="28"/>
          <w:lang w:val="en-US"/>
        </w:rPr>
        <w:t xml:space="preserve"> “Permasalahan semakin meluas ketika ilmu yang  merupakan sifat esensial, pada saat yang sama juga diterapkan  pada makhluk-makhluk yang berpermulaan,” (Hādits).</w:t>
      </w:r>
    </w:p>
    <w:p>
      <w:pPr>
        <w:pStyle w:val="BookText"/>
        <w:bidi w:val="0"/>
        <w:jc w:val="both"/>
        <w:rPr/>
      </w:pPr>
      <w:r>
        <w:rPr>
          <w:rFonts w:eastAsia="Times New Roman" w:cs="Times New Roman" w:ascii="Times New Roman" w:hAnsi="Times New Roman"/>
          <w:color w:val="111111"/>
          <w:sz w:val="28"/>
          <w:szCs w:val="28"/>
          <w:lang w:val="en-US"/>
        </w:rPr>
        <w:t>Beberapa aspek kajian yang dikemukakan dalam teks-teks  agama adalah sebagai berikut.</w:t>
      </w:r>
    </w:p>
    <w:p>
      <w:pPr>
        <w:pStyle w:val="Heading3"/>
        <w:numPr>
          <w:ilvl w:val="2"/>
          <w:numId w:val="1"/>
        </w:numPr>
        <w:bidi w:val="0"/>
        <w:jc w:val="left"/>
        <w:rPr/>
      </w:pPr>
      <w:bookmarkStart w:id="144" w:name="__RefHeading___Toc5529782_581953129"/>
      <w:bookmarkStart w:id="145" w:name="_Toc48"/>
      <w:bookmarkEnd w:id="144"/>
      <w:r>
        <w:rPr/>
        <w:t>'Ainiyyah (Kesatuan) Ilmu dengan Dzat</w:t>
      </w:r>
      <w:bookmarkEnd w:id="145"/>
    </w:p>
    <w:p>
      <w:pPr>
        <w:pStyle w:val="BookText"/>
        <w:bidi w:val="0"/>
        <w:jc w:val="both"/>
        <w:rPr/>
      </w:pPr>
      <w:r>
        <w:rPr>
          <w:rFonts w:eastAsia="Times New Roman" w:cs="Times New Roman" w:ascii="Times New Roman" w:hAnsi="Times New Roman"/>
          <w:color w:val="111111"/>
          <w:sz w:val="28"/>
          <w:szCs w:val="28"/>
          <w:lang w:val="en-US"/>
        </w:rPr>
        <w:t>"Allah selamanya adalah Tuhan kita, ilmu-Nya  adalah Dzat-Nya itu, dan la bukanlah maʼlum (yang  diketahui).... maka, ketika Dia menciptakan makhluk  dan menjadi maʻlül, terwujudlah ilmu atas ma‘lül...."</w:t>
      </w:r>
      <w:r>
        <w:rPr>
          <w:rStyle w:val="FootnoteAnchor"/>
        </w:rPr>
        <w:footnoteReference w:id="236"/>
      </w:r>
      <w:r>
        <w:rPr>
          <w:rFonts w:eastAsia="Times New Roman" w:cs="Times New Roman" w:ascii="Times New Roman" w:hAnsi="Times New Roman"/>
          <w:color w:val="111111"/>
          <w:sz w:val="28"/>
          <w:szCs w:val="28"/>
          <w:lang w:val="en-US"/>
        </w:rPr>
        <w:t xml:space="preserve"> Hadits ini menyatakan kesatuan sifat-sifat kesempurnaan  hakiki. Penjelasannya sangat membutuhkan prinsip-prinsip  logika yang kuat.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 yang akan diisyaratkan tentang kelompok yang  benar sesuai dengan argumen yang kuat dari para filsuf  dan metode ahli makrifat."</w:t>
      </w:r>
      <w:r>
        <w:rPr>
          <w:rStyle w:val="FootnoteAnchor"/>
        </w:rPr>
        <w:footnoteReference w:id="237"/>
      </w:r>
      <w:r>
        <w:rPr>
          <w:rFonts w:eastAsia="Times New Roman" w:cs="Times New Roman" w:ascii="Times New Roman" w:hAnsi="Times New Roman"/>
          <w:color w:val="111111"/>
          <w:sz w:val="28"/>
          <w:szCs w:val="28"/>
          <w:lang w:val="en-US"/>
        </w:rPr>
        <w:t xml:space="preserve"> Prinsip-prinsip yang dibutuhkan dalam kajian ini adalah  keautentikan eksistensi, kesederhanaan eksistensi, dan segala  masalah yang bisa dikemukakan dengan diterimanya prinsip  Ashālah Al-wujūd. Urutan penjelasannya adalah sebagai beikut  1. Ashālah Al-wujūd.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"Segala bentuk kesempurnaan, jenis keindahan, dan  kelengkapan kembali ke Wujūd dan dasar hakikat  eksistensi. Di alam nyata tidak ada yang lain, kecuali  Wujud Yang Mulia yang merupakan sumber dari </w:t>
      </w:r>
    </w:p>
    <w:p>
      <w:pPr>
        <w:pStyle w:val="BookText"/>
        <w:bidi w:val="0"/>
        <w:rPr/>
      </w:pPr>
      <w:r>
        <w:rPr>
          <w:rFonts w:eastAsia="Times New Roman" w:cs="Times New Roman" w:ascii="Times New Roman" w:hAnsi="Times New Roman"/>
          <w:color w:val="111111"/>
          <w:sz w:val="28"/>
          <w:szCs w:val="28"/>
          <w:lang w:val="en-US"/>
        </w:rPr>
        <w:t>segenap kesempurnaan dan permulaan dari seluruh  kebaikan, dan itu adalah hakikat eksistensi."</w:t>
      </w:r>
      <w:r>
        <w:rPr>
          <w:rStyle w:val="FootnoteAnchor"/>
        </w:rPr>
        <w:footnoteReference w:id="238"/>
      </w:r>
      <w:r>
        <w:rPr>
          <w:rFonts w:eastAsia="Times New Roman" w:cs="Times New Roman" w:ascii="Times New Roman" w:hAnsi="Times New Roman"/>
          <w:color w:val="111111"/>
          <w:sz w:val="28"/>
          <w:szCs w:val="28"/>
          <w:lang w:val="en-US"/>
        </w:rPr>
        <w:t xml:space="preserve"> dikembalikan ke  Atas dasar ini, seluruh kebaikan  eksistensi dan akan menjadi bercabang.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Setiap kesempurnaan dari aspek konsep dan esensi  bukanlah kesempurnaan, melainkan melalui perantara  perwujudan-Nya dalam inti entitas, dan itulah  kesempurnaan."</w:t>
      </w:r>
      <w:r>
        <w:rPr>
          <w:rStyle w:val="FootnoteAnchor"/>
        </w:rPr>
        <w:footnoteReference w:id="239"/>
      </w:r>
      <w:r>
        <w:rPr>
          <w:rFonts w:eastAsia="Times New Roman" w:cs="Times New Roman" w:ascii="Times New Roman" w:hAnsi="Times New Roman"/>
          <w:color w:val="111111"/>
          <w:sz w:val="28"/>
          <w:szCs w:val="28"/>
          <w:lang w:val="en-US"/>
        </w:rPr>
        <w:t xml:space="preserve"> 2. Kesederhanaan eksistensi.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Hakikat eksistensi sederhana dari segala sisi ... dan  jika hakikatnya adalah menurun (tanazzul), maka ia  disifati dengan ketersusunan logis dan luaran sesuai  dengan tingkatan dan kedudukannya."  3. Kesederhanaan hakikat adalah kesempurnaan total.</w:t>
      </w:r>
    </w:p>
    <w:p>
      <w:pPr>
        <w:pStyle w:val="BookText"/>
        <w:bidi w:val="0"/>
        <w:jc w:val="both"/>
        <w:rPr/>
      </w:pPr>
      <w:r>
        <w:rPr>
          <w:rFonts w:eastAsia="Times New Roman" w:cs="Times New Roman" w:ascii="Times New Roman" w:hAnsi="Times New Roman"/>
          <w:color w:val="111111"/>
          <w:sz w:val="28"/>
          <w:szCs w:val="28"/>
          <w:lang w:val="en-US"/>
        </w:rPr>
        <w:t>Butir ini adalah cabang dari kesempurnaan eksistensi.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Kesederhanaan dari segala sisi adalah seluruh  kesempurnaan yang kembali pada aspek yang satu dan  esa. Dari aspek ini, yang merupakan maujud adalah  ‘Alim (Yang Mengetahui), Qādir (Yang Kuasa), Hayy  (Yang Hidup) dan Murid (Yang Berkehendak).... Dan  'Alim adalah dari sisi Qadir, dan Qadir adalah dari sisi  'Alim."</w:t>
      </w:r>
      <w:r>
        <w:rPr>
          <w:rStyle w:val="FootnoteAnchor"/>
        </w:rPr>
        <w:footnoteReference w:id="240"/>
      </w:r>
      <w:r>
        <w:rPr>
          <w:rFonts w:eastAsia="Times New Roman" w:cs="Times New Roman" w:ascii="Times New Roman" w:hAnsi="Times New Roman"/>
          <w:color w:val="111111"/>
          <w:sz w:val="28"/>
          <w:szCs w:val="28"/>
          <w:lang w:val="en-US"/>
        </w:rPr>
        <w:t xml:space="preserve"> 4. Konklusi  Konklusi dari pokok ini, yang secara argumentatif  dibahas secara detail dalam Hikmah Mutaʻāliyah- adalah  sebagai berikut: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Al-Haqq Swt. karena kesederhanaan yang sempurna,  maka la tidak memiliki ketersusunan. Dia sempurna  dari segala sisi serta memiliki segala asma dan sifat. </w:t>
      </w:r>
      <w:bookmarkStart w:id="146" w:name="pg5928_44308"/>
    </w:p>
    <w:p>
      <w:pPr>
        <w:pStyle w:val="BookText"/>
        <w:bidi w:val="0"/>
        <w:rPr/>
      </w:pPr>
      <w:bookmarkEnd w:id="146"/>
      <w:r>
        <w:rPr>
          <w:rFonts w:eastAsia="Times New Roman" w:cs="Times New Roman" w:ascii="Times New Roman" w:hAnsi="Times New Roman"/>
          <w:color w:val="111111"/>
          <w:sz w:val="28"/>
          <w:szCs w:val="28"/>
          <w:lang w:val="en-US"/>
        </w:rPr>
        <w:t>Dia merupakan pokok hakikat dan inti essesni  eksistensi .... Maka Dia adalah kemurnian wujud ...</w:t>
      </w:r>
    </w:p>
    <w:p>
      <w:pPr>
        <w:pStyle w:val="BookText"/>
        <w:bidi w:val="0"/>
        <w:jc w:val="both"/>
        <w:rPr/>
      </w:pPr>
      <w:r>
        <w:rPr>
          <w:rFonts w:eastAsia="Times New Roman" w:cs="Times New Roman" w:ascii="Times New Roman" w:hAnsi="Times New Roman"/>
          <w:color w:val="111111"/>
          <w:sz w:val="28"/>
          <w:szCs w:val="28"/>
          <w:lang w:val="en-US"/>
        </w:rPr>
        <w:t>inti ilmu, inti kehidupan, inti kekuatan, inti penglihatan  dan pendengaran, serta segala kesempurnaan. Oleh  karena itu, benar apa yang telah dikatakan oleh Imam  Shadiq a.s., Ilmu-Nya adalah (identik) dengan Dzat-  Nya.'"</w:t>
      </w:r>
      <w:r>
        <w:rPr>
          <w:rStyle w:val="FootnoteAnchor"/>
        </w:rPr>
        <w:footnoteReference w:id="241"/>
      </w:r>
    </w:p>
    <w:p>
      <w:pPr>
        <w:pStyle w:val="Heading3"/>
        <w:numPr>
          <w:ilvl w:val="2"/>
          <w:numId w:val="1"/>
        </w:numPr>
        <w:bidi w:val="0"/>
        <w:jc w:val="left"/>
        <w:rPr/>
      </w:pPr>
      <w:bookmarkStart w:id="147" w:name="__RefHeading___Toc5529784_581953129"/>
      <w:bookmarkStart w:id="148" w:name="_Toc49"/>
      <w:bookmarkEnd w:id="147"/>
      <w:r>
        <w:rPr/>
        <w:t>Pengetahuan Tuhan terhadap yang Selain-Nya</w:t>
      </w:r>
      <w:bookmarkEnd w:id="148"/>
    </w:p>
    <w:p>
      <w:pPr>
        <w:pStyle w:val="BookText"/>
        <w:bidi w:val="0"/>
        <w:jc w:val="both"/>
        <w:rPr/>
      </w:pPr>
      <w:r>
        <w:rPr>
          <w:rFonts w:eastAsia="Times New Roman" w:cs="Times New Roman" w:ascii="Times New Roman" w:hAnsi="Times New Roman"/>
          <w:color w:val="111111"/>
          <w:sz w:val="28"/>
          <w:szCs w:val="28"/>
          <w:lang w:val="en-US"/>
        </w:rPr>
        <w:t>Dalam hadits yang telah dikutip, dijelaskan satu hal yang  penting, yaitu pembuktian adanya pengetahuan bagi Dzat Al-  Haqq Swt. sebelum penciptaan.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Hadis ini mengisyaratkan satu hal, yaitu la memiliki  pengetahuan terhadap yang diketahui (maʼlūm)  sebelum diciptakan di alam azali. Pengetahuan adalah  Dzat Tuhan itu sendiri, juga ilmu-Nya adalah identik  dengan ilmu partikular. Beliau berkata, 'Dia Maha  Melihat (bashir) tetapi yang dilihat itu belum ada... dan  juga mengisyaratkan pengetahuan terperinci dengan  ucapannya, “Maka jika Dia mencipta sesuatu dan itu  merupakan maʼlūm, maka terwujudlah ilmu dari-Nya  atas ma'lum tersebut.'</w:t>
      </w:r>
      <w:r>
        <w:rPr>
          <w:rStyle w:val="FootnoteAnchor"/>
        </w:rPr>
        <w:footnoteReference w:id="242"/>
      </w:r>
      <w:r>
        <w:rPr>
          <w:rFonts w:eastAsia="Times New Roman" w:cs="Times New Roman" w:ascii="Times New Roman" w:hAnsi="Times New Roman"/>
          <w:color w:val="111111"/>
          <w:sz w:val="28"/>
          <w:szCs w:val="28"/>
          <w:lang w:val="en-US"/>
        </w:rPr>
        <w:t xml:space="preserve"> Imam Khomeini menjelaskan masalah ini dengan  menggunakan dua metode: argumen filosofis dan dzauq ‘irfāni.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Argumen Filosofis.</w:t>
      </w:r>
    </w:p>
    <w:p>
      <w:pPr>
        <w:pStyle w:val="BookText"/>
        <w:bidi w:val="0"/>
        <w:jc w:val="both"/>
        <w:rPr/>
      </w:pPr>
      <w:r>
        <w:rPr>
          <w:rFonts w:eastAsia="Times New Roman" w:cs="Times New Roman" w:ascii="Times New Roman" w:hAnsi="Times New Roman"/>
          <w:color w:val="111111"/>
          <w:sz w:val="28"/>
          <w:szCs w:val="28"/>
          <w:lang w:val="en-US"/>
        </w:rPr>
        <w:t>Penjelasan masalah yang dikemukakan oleh para pengkaji  filsafat bisa dikemukakan melalui beberapa cara: pertama,  penjelasan dari sisi Hikmah Mutaʻāliyah dengan pendahuluan.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Al-Haqq Swt. adalah inti eksistensi dan inti kesempurnaan. Inti  eksistensi dengan kesederhanaannya adalah kumpulan dari  semua kesempurnaan eksistensi. Apa saja yang ada di luar  lingkaran eksistensi-Nya adalah ketiadaan dan kekurangan. </w:t>
      </w:r>
    </w:p>
    <w:p>
      <w:pPr>
        <w:pStyle w:val="BookText"/>
        <w:bidi w:val="0"/>
        <w:rPr/>
      </w:pPr>
      <w:r>
        <w:rPr>
          <w:rFonts w:eastAsia="Times New Roman" w:cs="Times New Roman" w:ascii="Times New Roman" w:hAnsi="Times New Roman"/>
          <w:color w:val="111111"/>
          <w:sz w:val="28"/>
          <w:szCs w:val="28"/>
          <w:lang w:val="en-US"/>
        </w:rPr>
        <w:t>Hubungan lain antara tingkatan eksistensi dan dzāt Muqaddas  adalah hubungan antara kekurangan dan kesempurnaan.</w:t>
      </w:r>
    </w:p>
    <w:p>
      <w:pPr>
        <w:pStyle w:val="BookText"/>
        <w:bidi w:val="0"/>
        <w:jc w:val="both"/>
        <w:rPr/>
      </w:pPr>
      <w:r>
        <w:rPr>
          <w:rFonts w:eastAsia="Times New Roman" w:cs="Times New Roman" w:ascii="Times New Roman" w:hAnsi="Times New Roman"/>
          <w:color w:val="111111"/>
          <w:sz w:val="28"/>
          <w:szCs w:val="28"/>
          <w:lang w:val="en-US"/>
        </w:rPr>
        <w:t>Kesimpulan dari uraian pokok ini adalah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dengan kesempurnaan mutlak adalah ilmu  dengan kemutlakan kesempurnaan tanpa ada  kekurangan dan cacat, dan ini adalah ‘Ain kasyf tafshili  kull basith.</w:t>
      </w:r>
      <w:r>
        <w:rPr>
          <w:rStyle w:val="FootnoteAnchor"/>
        </w:rPr>
        <w:footnoteReference w:id="243"/>
      </w:r>
      <w:r>
        <w:rPr>
          <w:rFonts w:eastAsia="Times New Roman" w:cs="Times New Roman" w:ascii="Times New Roman" w:hAnsi="Times New Roman"/>
          <w:color w:val="111111"/>
          <w:sz w:val="28"/>
          <w:szCs w:val="28"/>
          <w:lang w:val="en-US"/>
        </w:rPr>
        <w:t xml:space="preserve"> Al-Haqq Swt. dengan pengetahuan murni-esensial  (film basīth dzātī) dan pengetahuan azali. Seluruh  maujud dengan posisinya sebagai maujud dan  sisi-sisi eksistensialitas kesempurnaan dari sisi  kesempurnaannya merupakan Maʻlūm (Diketahui)  oleh Dzat Yang Mahasuci. Pengetahuan ini adalah  kesederhanaan itu, keesaan yang sempurna, dan juga  terperinci .... Ilmu dan penyingkapan (kasyf) ini ada  di alam asali dan pada Dzat Yang Mahasuci itu. Dan  maʻlūmāt (yang diketahui) itu adalah dengan entifikasi  dan batasan yang kembali kepada ketiadaan dan  kekurangan. Maka dari penciptaan, ia terwujud secara  aksidental dan disifati dengan ilmu secara aksidental  pula. Pemberian sifat secara aksidental ini terjadi  setelah penciptaan."</w:t>
      </w:r>
      <w:r>
        <w:rPr>
          <w:rStyle w:val="FootnoteAnchor"/>
        </w:rPr>
        <w:footnoteReference w:id="244"/>
      </w:r>
      <w:r>
        <w:rPr>
          <w:rFonts w:eastAsia="Times New Roman" w:cs="Times New Roman" w:ascii="Times New Roman" w:hAnsi="Times New Roman"/>
          <w:color w:val="111111"/>
          <w:sz w:val="28"/>
          <w:szCs w:val="28"/>
          <w:lang w:val="en-US"/>
        </w:rPr>
        <w:t xml:space="preserve"> Yang disepakati dari semua pendapat adalah sebagai  berikut: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Allah Swt. atas segala sesuatu adalah  penyingkapan terperinci dalam ilmu itu yang sederhana  dan umum.</w:t>
      </w:r>
      <w:r>
        <w:rPr>
          <w:rStyle w:val="FootnoteAnchor"/>
        </w:rPr>
        <w:footnoteReference w:id="245"/>
      </w:r>
      <w:r>
        <w:rPr>
          <w:rFonts w:eastAsia="Times New Roman" w:cs="Times New Roman" w:ascii="Times New Roman" w:hAnsi="Times New Roman"/>
          <w:color w:val="111111"/>
          <w:sz w:val="28"/>
          <w:szCs w:val="28"/>
          <w:lang w:val="en-US"/>
        </w:rPr>
        <w:t xml:space="preserve"> Kedua, penjelasan tentang masalah ini mengarah pada  bagaimana kesubjekan (fāʻiliyyah) Ilahi. Subjek (fā'il) memiliki  ilmu yang sempurna atas perbuatannya, tetapi subjek llahi  bukan subjek materi. </w:t>
      </w:r>
    </w:p>
    <w:p>
      <w:pPr>
        <w:pStyle w:val="BookText"/>
        <w:bidi w:val="0"/>
        <w:rPr/>
      </w:pPr>
      <w:r>
        <w:rPr>
          <w:rFonts w:eastAsia="Times New Roman" w:cs="Times New Roman" w:ascii="Times New Roman" w:hAnsi="Times New Roman"/>
          <w:color w:val="111111"/>
          <w:sz w:val="28"/>
          <w:szCs w:val="28"/>
          <w:lang w:val="en-US"/>
        </w:rPr>
        <w:t>" ...Ilahi menjadikan sesuatu ada atas kehendak-  Nya tanpa didahului sesuatu ... alam nyata berada  dalam cakupan ilmu-Nya, dan dengan penampakan,  ia berubah dari alam gaib menjadi identitas lahiriah:</w:t>
      </w:r>
    </w:p>
    <w:p>
      <w:pPr>
        <w:pStyle w:val="BookText"/>
        <w:bidi w:val="0"/>
        <w:jc w:val="both"/>
        <w:rPr/>
      </w:pPr>
      <w:r>
        <w:rPr>
          <w:rFonts w:eastAsia="Times New Roman" w:cs="Times New Roman" w:ascii="Times New Roman" w:hAnsi="Times New Roman"/>
          <w:color w:val="111111"/>
          <w:sz w:val="28"/>
          <w:szCs w:val="28"/>
          <w:lang w:val="en-US"/>
        </w:rPr>
        <w:t>'Dan di sisi-Nya kunci-kunci alam gaib; tidak ada yang  mengetahuinya, kecuali Dia.'</w:t>
      </w:r>
      <w:r>
        <w:rPr>
          <w:rStyle w:val="FootnoteAnchor"/>
        </w:rPr>
        <w:footnoteReference w:id="246"/>
      </w:r>
      <w:r>
        <w:rPr>
          <w:rFonts w:eastAsia="Times New Roman" w:cs="Times New Roman" w:ascii="Times New Roman" w:hAnsi="Times New Roman"/>
          <w:color w:val="111111"/>
          <w:sz w:val="28"/>
          <w:szCs w:val="28"/>
          <w:lang w:val="en-US"/>
        </w:rPr>
        <w:t xml:space="preserve"> Dikatakan bahwa hubungan lembaran entitas-entitas  (a'yān) dengan dzāt Muqaddas Al-Haqq Swt. ibarat  hubungan mental (dzihn) dengan nafs insani, di  mana dengan nafs itu la menciptakan kehendak dan  menampakkan apa yang ada dalam identitas gaib  (ghaib huwiyyah). Maka, seluruh cakupan keberadaan  berada dalam cakupan ilmu; darinya la menjelma dan  kepada-Nya ia kembali."</w:t>
      </w:r>
      <w:r>
        <w:rPr>
          <w:rStyle w:val="FootnoteAnchor"/>
        </w:rPr>
        <w:footnoteReference w:id="247"/>
      </w:r>
      <w:r>
        <w:rPr>
          <w:rFonts w:eastAsia="Times New Roman" w:cs="Times New Roman" w:ascii="Times New Roman" w:hAnsi="Times New Roman"/>
          <w:color w:val="111111"/>
          <w:sz w:val="28"/>
          <w:szCs w:val="28"/>
          <w:lang w:val="en-US"/>
        </w:rPr>
        <w:t xml:space="preserve"> Ketiga, bentuk lain dari penekanan terhadap kausalitas  subjek penyebab (fā'il sababī) dengan pendahuluan, bahwa  ilmu tentang sebab sempurna ('illah tāmmah) sesuatu  menyebabkan adanya pengetahuan atas sesuatu tersebut.</w:t>
      </w:r>
    </w:p>
    <w:p>
      <w:pPr>
        <w:pStyle w:val="BookText"/>
        <w:bidi w:val="0"/>
        <w:jc w:val="both"/>
        <w:rPr/>
      </w:pPr>
      <w:r>
        <w:rPr>
          <w:rFonts w:eastAsia="Times New Roman" w:cs="Times New Roman" w:ascii="Times New Roman" w:hAnsi="Times New Roman"/>
          <w:color w:val="111111"/>
          <w:sz w:val="28"/>
          <w:szCs w:val="28"/>
          <w:lang w:val="en-US"/>
        </w:rPr>
        <w:t>"Karena seluruh sebab berakhir pada dzāt Muqaddas,  sumber dari segala sumber, dan pengetahuan Al-Haqq  Swt. atas dzāt-Nya merupakan sebab bagi seluruh  makhluk. Karena Dia adalah sebab maka Dia pun  memiliki pengetahuan atas akibat-akibatnya."</w:t>
      </w:r>
      <w:r>
        <w:rPr>
          <w:rStyle w:val="FootnoteAnchor"/>
        </w:rPr>
        <w:footnoteReference w:id="248"/>
      </w:r>
      <w:r>
        <w:rPr>
          <w:rFonts w:eastAsia="Times New Roman" w:cs="Times New Roman" w:ascii="Times New Roman" w:hAnsi="Times New Roman"/>
          <w:color w:val="111111"/>
          <w:sz w:val="28"/>
          <w:szCs w:val="28"/>
          <w:lang w:val="en-US"/>
        </w:rPr>
        <w:t xml:space="preserve"> 2. Dzauq 'Irfāni  Masalah yang menjadi perhatian seluruh filsuf, bahwa  potensi yang ada dalam pemahaman tentang unsur-unsur  tinggi filosofis sangat berpengaruh. Namun, tidak semua  masalah bisa dijelaskan dengan media ini.</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"Pemahaman hakikat-hakikat ini tidak bisa diraih  melalui argumen-argumen peripatetis, silogisme  filosofis dan argumen-argumen teologis .... Ilmu ini </w:t>
      </w:r>
    </w:p>
    <w:p>
      <w:pPr>
        <w:pStyle w:val="BookText"/>
        <w:bidi w:val="0"/>
        <w:rPr/>
      </w:pPr>
      <w:r>
        <w:rPr>
          <w:rFonts w:eastAsia="Times New Roman" w:cs="Times New Roman" w:ascii="Times New Roman" w:hAnsi="Times New Roman"/>
          <w:color w:val="111111"/>
          <w:sz w:val="28"/>
          <w:szCs w:val="28"/>
          <w:lang w:val="en-US"/>
        </w:rPr>
        <w:t>khusus dimiliki oleh para pemilik hati (ashhāb al-  qulüb) dari para guru yang telah mendapat pancaran  pelita kenabian dan cahaya Wilayah melalui olah batin  dan mujāhadah."</w:t>
      </w:r>
      <w:r>
        <w:rPr>
          <w:rStyle w:val="FootnoteAnchor"/>
        </w:rPr>
        <w:footnoteReference w:id="249"/>
      </w:r>
      <w:r>
        <w:rPr>
          <w:rFonts w:eastAsia="Times New Roman" w:cs="Times New Roman" w:ascii="Times New Roman" w:hAnsi="Times New Roman"/>
          <w:color w:val="111111"/>
          <w:sz w:val="28"/>
          <w:szCs w:val="28"/>
          <w:lang w:val="en-US"/>
        </w:rPr>
        <w:t xml:space="preserve"> Manusia biasa jangan terlalu berharap bahwa masalah-  masalah filosofis dan ‘irfāni yang mendalam ini bisa diturunkan  ke dalam pemahaman mereka yang rendah. Namun, mereka  harus berusaha meraih tingkatan ini dengan melewati tahapan-  tahapan ilmu Hushūlī dan tahapan-tahapan pembentukan diri,  dan olah spiritual yang selanjutnya akan mencapai tahapan  intuisi (syuhūd).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Amatlah jauh! Kita dan orang-orang seperti kita  tidak mengetahui ilmu, kecuali konsep sesuatu .... Itu  karena, kita terikat dengan ilmu materi dan kita hanya  membatasi diri pada hal-hal tersebut ... Mustahil  bagi kita bisa menyaksikan cahaya-cahaya ilmu Ilahi,  manifestasi-manifestasi esensial (tajalliyyāt al-dzāti),  sifat dan asma, serta pernyataan-pernyataan tentang  hal itu dengan mata kita yang buta dan lidah kita yang  kelu. Karena itu, ketika seseorang tidak menjadikan  Tuhan sebagai cahaya bagi dirinya maka ia tidak akan  memiliki cahaya dan tidak memahami cahaya selain  sebagai cahaya, dan tidak memahami alam selain  sebagai alam... </w:t>
      </w:r>
      <w:r>
        <w:rPr>
          <w:rStyle w:val="FootnoteAnchor"/>
        </w:rPr>
        <w:footnoteReference w:id="250"/>
      </w:r>
      <w:r>
        <w:rPr>
          <w:rFonts w:eastAsia="Times New Roman" w:cs="Times New Roman" w:ascii="Times New Roman" w:hAnsi="Times New Roman"/>
          <w:color w:val="111111"/>
          <w:sz w:val="28"/>
          <w:szCs w:val="28"/>
          <w:lang w:val="en-US"/>
        </w:rPr>
        <w:t xml:space="preserve"> Di sini, pada akhirnya masalah tersebut sampai ke satu  titik bahwa "ia memiliki batasan di luar batasan akal"  yang mana dzauq ‘irfānī dan penjelasan-penjelasan lain  bersumber dari pandangan seperti ini, yang memiliki  peran yang tidak bisa tergantikan. Merenungi ayat-  ayat Al-Quran tentang ilmu Al-Wajib Swt. atas apa pun  selain diri-Nya adalah sebaik-baik petunjuk. Terdapat  ayat-ayat yang sangat dalam, seperti: 'Dan Kami lebih  dekat kepadanya daripada kalian;</w:t>
      </w:r>
      <w:r>
        <w:rPr>
          <w:rStyle w:val="FootnoteAnchor"/>
        </w:rPr>
        <w:footnoteReference w:id="251"/>
      </w:r>
      <w:r>
        <w:rPr>
          <w:rFonts w:eastAsia="Times New Roman" w:cs="Times New Roman" w:ascii="Times New Roman" w:hAnsi="Times New Roman"/>
          <w:color w:val="111111"/>
          <w:sz w:val="28"/>
          <w:szCs w:val="28"/>
          <w:lang w:val="en-US"/>
        </w:rPr>
        <w:t>'dan Kami lebih  dekat kepadanya daripada urat leher;'</w:t>
      </w:r>
      <w:r>
        <w:rPr>
          <w:rStyle w:val="FootnoteAnchor"/>
        </w:rPr>
        <w:footnoteReference w:id="252"/>
      </w:r>
      <w:r>
        <w:rPr>
          <w:rFonts w:eastAsia="Times New Roman" w:cs="Times New Roman" w:ascii="Times New Roman" w:hAnsi="Times New Roman"/>
          <w:color w:val="111111"/>
          <w:sz w:val="28"/>
          <w:szCs w:val="28"/>
          <w:lang w:val="en-US"/>
        </w:rPr>
        <w:t>'sesungguhnya  Dia menguasai segala sesuatu.</w:t>
      </w:r>
      <w:r>
        <w:rPr>
          <w:rStyle w:val="FootnoteAnchor"/>
        </w:rPr>
        <w:footnoteReference w:id="253"/>
      </w:r>
      <w:bookmarkStart w:id="149" w:name="pg5928_44312"/>
    </w:p>
    <w:p>
      <w:pPr>
        <w:pStyle w:val="BookText"/>
        <w:bidi w:val="0"/>
        <w:rPr/>
      </w:pPr>
      <w:bookmarkEnd w:id="149"/>
      <w:r>
        <w:rPr>
          <w:rFonts w:eastAsia="Times New Roman" w:cs="Times New Roman" w:ascii="Times New Roman" w:hAnsi="Times New Roman"/>
          <w:color w:val="111111"/>
          <w:sz w:val="28"/>
          <w:szCs w:val="28"/>
          <w:lang w:val="en-US"/>
        </w:rPr>
        <w:t>Asma, sifat, dan berbagai prasyaratnya yaitu entitas-  entitas tetap (a'yān tsābitah), berbagai prasyarat dari  entitas-entitas tetap tersebut, dan seterusnya hingga  akhir termasuk emanasi tersuci (faidh al-aqdas) dan  bayangan meluas (zhill munbasith) ... hadir pada  Al-Haqq Swt. dengan gambaran esensi (dzāt) dan  tampak dengan penyingkapan esensi tanpa adanya  kemajemukan dan entifikasi. Itu karena, nama (ism)  adalah juga yang dinamai (musammā) itu dan bentuk  dari ism yaitu entitas-entitas nama, sedangkan yang  dinamai (musammā) adalah bayangan meluas dari  entitas hakikat Ilahi dan melebur dalam hakikat  tersebut, dia tidak memiliki hukum dan kemandirian  sedikit pun."</w:t>
      </w:r>
      <w:r>
        <w:rPr>
          <w:rStyle w:val="FootnoteAnchor"/>
        </w:rPr>
        <w:footnoteReference w:id="254"/>
      </w:r>
    </w:p>
    <w:p>
      <w:pPr>
        <w:pStyle w:val="Heading3"/>
        <w:numPr>
          <w:ilvl w:val="2"/>
          <w:numId w:val="1"/>
        </w:numPr>
        <w:bidi w:val="0"/>
        <w:jc w:val="left"/>
        <w:rPr/>
      </w:pPr>
      <w:bookmarkStart w:id="150" w:name="__RefHeading___Toc5529786_581953129"/>
      <w:bookmarkStart w:id="151" w:name="_Toc50"/>
      <w:bookmarkEnd w:id="150"/>
      <w:r>
        <w:rPr/>
        <w:t>Qadīm (Tidak Didahului Ketiadaan)</w:t>
      </w:r>
      <w:bookmarkEnd w:id="151"/>
    </w:p>
    <w:p>
      <w:pPr>
        <w:pStyle w:val="BookText"/>
        <w:bidi w:val="0"/>
        <w:jc w:val="both"/>
        <w:rPr/>
      </w:pPr>
      <w:r>
        <w:rPr>
          <w:rFonts w:eastAsia="Times New Roman" w:cs="Times New Roman" w:ascii="Times New Roman" w:hAnsi="Times New Roman"/>
          <w:color w:val="111111"/>
          <w:sz w:val="28"/>
          <w:szCs w:val="28"/>
          <w:lang w:val="en-US"/>
        </w:rPr>
        <w:t>"Ya Allah, sungguh aku memohon pada-Mu yang paling  Qadim dari pemberian-Mu, dan seluruh pemberian-Mu  adalah Qadim."</w:t>
      </w:r>
      <w:r>
        <w:rPr>
          <w:rStyle w:val="FootnoteAnchor"/>
        </w:rPr>
        <w:footnoteReference w:id="255"/>
      </w:r>
      <w:r>
        <w:rPr>
          <w:rFonts w:eastAsia="Times New Roman" w:cs="Times New Roman" w:ascii="Times New Roman" w:hAnsi="Times New Roman"/>
          <w:color w:val="111111"/>
          <w:sz w:val="28"/>
          <w:szCs w:val="28"/>
          <w:lang w:val="en-US"/>
        </w:rPr>
        <w:t xml:space="preserve"> Cakupan pemahaman kata ini, berbagai bagian dan  keselarasannya dengan eksistensi dalam realita membutuhkan  kajian-kajian yang cukup panjang. Masalah ini dibahas secara  detail dalam buku-buku filsafat. Eksistensi dibagi menjadi  qadīm dan hādits sebagai esensi, serta aksiden. Kajian ini  berkembang hingga pada tataran teologi dengan makna yang  lebih khusus. Sumber eksistensi disifati dengan salah satu dari  dua sifat ini dan sebaliknya, eksistensi yang lain pun disifati  dengan sifat-sifat ini. Mengenai salah satu dari kedua sifat  eksistensi (wājib dan mumkin) dan penjelasannya dibutuhkan  prinsip-prinsip yang lebih mendalam.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Perdebatan dan perbedaan pandangan juga terjadi dalam  aspek lain, apakah emanasi Tuhan itu qadim seperti diri-Nya </w:t>
      </w:r>
    </w:p>
    <w:p>
      <w:pPr>
        <w:pStyle w:val="BookText"/>
        <w:bidi w:val="0"/>
        <w:rPr/>
      </w:pPr>
      <w:r>
        <w:rPr>
          <w:rFonts w:eastAsia="Times New Roman" w:cs="Times New Roman" w:ascii="Times New Roman" w:hAnsi="Times New Roman"/>
          <w:color w:val="111111"/>
          <w:sz w:val="28"/>
          <w:szCs w:val="28"/>
          <w:lang w:val="en-US"/>
        </w:rPr>
        <w:t>ataukah hādits? Para filsuf meyakini ke-qadim-an emanasi Ilahi  dan membela pendapat ini dengan membantah kerancuan  yang dikemukakan oleh para teolog. Sebagian teolog  Asy'ariyah, terkait masalah ini, mengafirkan para filsuf dan  meyakini adanya huduts zamani (kebaruan temporal) emanasi  Ilahi sehingga mereka terjerembab ke dalam kesulitan yang  sulit dipecahkan. Berdasarkan uraian ini, mereka meyakini  ke-qadim-an esensial atau bahwa perkara tersebut memang  samar.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 filsuf Islam, berdasarkan jelas dan samarnya teks-  teks Islami – meyakini ke-qadim-an emanasi Ilahi. Frase “segala  yang datang dari-Mu adalah qadim" merupakan ungkapan  yang paling jelas tentang ke-qadim-an emanasi Ilahi yang  bersumber dari pusaka ilmu Ilahi. "Dan ini merupakan bukti  yang sangat jelas atas pandangan dalam Hikmah mutaʼĀliyah  dan Ashhab Al-qulüb dari kalangan ahli makrifat tentang ke-  qadim-an emanasi tersebut. "</w:t>
      </w:r>
      <w:r>
        <w:rPr>
          <w:rStyle w:val="FootnoteAnchor"/>
        </w:rPr>
        <w:footnoteReference w:id="256"/>
      </w:r>
      <w:r>
        <w:rPr>
          <w:rFonts w:eastAsia="Times New Roman" w:cs="Times New Roman" w:ascii="Times New Roman" w:hAnsi="Times New Roman"/>
          <w:color w:val="111111"/>
          <w:sz w:val="28"/>
          <w:szCs w:val="28"/>
          <w:lang w:val="en-US"/>
        </w:rPr>
        <w:t xml:space="preserve"> Menurut penjelasan ini, pemberian Tuhan kepada makhluk  tidak lain adalah eksistensi. Perluasan makna eksistensi  terhadap eksistensi yang tidak pasti (mumkināt) merupakan  pemberian yang tiada bandingannya dan tanpa ada permulaan  zaman. Eksistensi yang meluas dari sisi ini merupakan bayangan  (zhill) dari eksistensi yang qadīm, karena qadim-nya pemilik  bayangan (dzi al-zhill), ia pun menjadi qadim. Namun, secara  esensial ia tidak memiliki aturan tersebut walaupun dari sisi  makhluk (yali al-khalq) ia adalah hādits. Oleh karena itu, hudūts  (temporal), taghyīr (perubahan), zawāl (kehilangan), dan halāk  (kerusakan) merupakan ciri-ciri wujud mumkin. Sementara  itu, tsabāt (tetap), qidām (tak berawal), istiqlāl (berdiri sendiri), </w:t>
      </w:r>
      <w:bookmarkStart w:id="152" w:name="pg5928_44314"/>
    </w:p>
    <w:p>
      <w:pPr>
        <w:pStyle w:val="BookText"/>
        <w:bidi w:val="0"/>
        <w:rPr/>
      </w:pPr>
      <w:bookmarkEnd w:id="152"/>
      <w:r>
        <w:rPr>
          <w:rFonts w:eastAsia="Times New Roman" w:cs="Times New Roman" w:ascii="Times New Roman" w:hAnsi="Times New Roman"/>
          <w:color w:val="111111"/>
          <w:sz w:val="28"/>
          <w:szCs w:val="28"/>
          <w:lang w:val="en-US"/>
        </w:rPr>
        <w:t>ghinā (kaya), serta wujūb (kemestian) bersumber dari alam  uluhiah. Qadim-nya makhluk juga bergantung pada tingkatan  eksistensinya, sedangkan standar tingkatan eksistensi adalah  kedekatan dan kekuatan hubungan dengan qadim dzāti yang  satu lebih qadim daripada yang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Ke-qadim-an pada tingkatan eksistensi didasarkan  pada kekuatan hubungan dengan qidām dzāti dan  kedekatan ke pintu-Nya. Semakin dekat suatu wujud  ke Sumber eksistensi, semakin kuat hukum qidām  menjelma dalam dirinya. Meskipun setiap eksistensi  sesuai dengan hubungan khusus dengan Tuhan, tetapi  semuanya adalah qadim. Oleh karena itu, beliau  bersabda, "Segala yang bersumber dari-Mu adalah  qadim."</w:t>
      </w:r>
      <w:r>
        <w:rPr>
          <w:rStyle w:val="FootnoteAnchor"/>
        </w:rPr>
        <w:footnoteReference w:id="257"/>
      </w:r>
      <w:r>
        <w:rPr>
          <w:rFonts w:eastAsia="Times New Roman" w:cs="Times New Roman" w:ascii="Times New Roman" w:hAnsi="Times New Roman"/>
          <w:color w:val="111111"/>
          <w:sz w:val="28"/>
          <w:szCs w:val="28"/>
          <w:lang w:val="en-US"/>
        </w:rPr>
        <w:t xml:space="preserve"> Pada bagian ini penting sekali ditekankan, bahwa  pemahaman tentang hakikat ini tidak bisa mencapai otak  karena dibutuhkan potensi yang kuat di dalamnya.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keimanan terhadap hakikat-hakikat ini tidak  bisa dipahami dengan metode teologis dan argumen  filosofis, tetapi dibutuhkan luthf (karunia) berlipat,  kebersihan hati, dan kesucian batin melalui olah batin  dan khalwat (menyendiri)."</w:t>
      </w:r>
      <w:r>
        <w:rPr>
          <w:rStyle w:val="FootnoteAnchor"/>
        </w:rPr>
        <w:footnoteReference w:id="258"/>
      </w:r>
    </w:p>
    <w:p>
      <w:pPr>
        <w:pStyle w:val="Heading3"/>
        <w:numPr>
          <w:ilvl w:val="2"/>
          <w:numId w:val="1"/>
        </w:numPr>
        <w:bidi w:val="0"/>
        <w:jc w:val="left"/>
        <w:rPr/>
      </w:pPr>
      <w:bookmarkStart w:id="153" w:name="__RefHeading___Toc5529788_581953129"/>
      <w:bookmarkStart w:id="154" w:name="_Toc51"/>
      <w:bookmarkEnd w:id="153"/>
      <w:r>
        <w:rPr/>
        <w:t>Kalimah (Kata)</w:t>
      </w:r>
      <w:bookmarkEnd w:id="1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sungguh aku memohon pada-Mu yang paling  sempurna dari kalimah-Mu, dan seluruh kalimah-Mu  adalah sempurna.... </w:t>
      </w:r>
      <w:r>
        <w:rPr>
          <w:rStyle w:val="FootnoteAnchor"/>
        </w:rPr>
        <w:footnoteReference w:id="259"/>
      </w:r>
      <w:r>
        <w:rPr>
          <w:rFonts w:eastAsia="Times New Roman" w:cs="Times New Roman" w:ascii="Times New Roman" w:hAnsi="Times New Roman"/>
          <w:color w:val="111111"/>
          <w:sz w:val="28"/>
          <w:szCs w:val="28"/>
          <w:lang w:val="en-US"/>
        </w:rPr>
        <w:t xml:space="preserve"> Sesungguhnya Dia berfirman ketika menghendaki  kejadiannya, “Jadilah!" sehingga jadilah ia, tidak dengan  suara yang memekik dan tidak dengan panggilan yang  terdengar, tetapi dengan perbuatan-Nya. </w:t>
      </w:r>
      <w:r>
        <w:rPr>
          <w:rStyle w:val="FootnoteAnchor"/>
        </w:rPr>
        <w:footnoteReference w:id="260"/>
      </w:r>
    </w:p>
    <w:p>
      <w:pPr>
        <w:pStyle w:val="BookText"/>
        <w:bidi w:val="0"/>
        <w:rPr/>
      </w:pPr>
      <w:r>
        <w:rPr>
          <w:rFonts w:eastAsia="Times New Roman" w:cs="Times New Roman" w:ascii="Times New Roman" w:hAnsi="Times New Roman"/>
          <w:color w:val="111111"/>
          <w:sz w:val="28"/>
          <w:szCs w:val="28"/>
          <w:lang w:val="en-US"/>
        </w:rPr>
        <w:t>Para teolog beranggapan bahwa disandarkannya sifat  Kalām kepada Tuhan adalah dengan cara menciptakan  suara pada sesuatu. Sementara itu, para filsuf Ilahi  memandang bahwa disandangkannya sifat ini kepada  Tuhan karena setiap alam eksistensi merupakan  kalimah Ilahi. Dengan demikian, Kalām merupakan  sifat yang disandangkan pada kesubjekan (fā'iliyah)  Al-Haqq Swt. dalam mencipta, dan seluruh alam  eksistensi adalah kitab Ilahi dan setiap makhluk adalah  kalimah-Nya. Alam dan ruang eksistensi mulai dari  alam gaib hingga alam nyata adalah kitab, ayat, kalam,  serta kalimah yang memiliki bab-bab, pasal-pasal dan  kunci-kunci."</w:t>
      </w:r>
      <w:r>
        <w:rPr>
          <w:rStyle w:val="FootnoteAnchor"/>
        </w:rPr>
        <w:footnoteReference w:id="261"/>
      </w:r>
      <w:r>
        <w:rPr>
          <w:rFonts w:eastAsia="Times New Roman" w:cs="Times New Roman" w:ascii="Times New Roman" w:hAnsi="Times New Roman"/>
          <w:color w:val="111111"/>
          <w:sz w:val="28"/>
          <w:szCs w:val="28"/>
          <w:lang w:val="en-US"/>
        </w:rPr>
        <w:t xml:space="preserve"> Jika antara Kitab Tadwin (tertulis) dan Kitab Takwin  (alam semesta) dibandingan, keduanya memiliki kesamaan-  kesamaan. Sebagaimana Kitab Tadwin memiliki Al-Fatihah,  Kitab Takwin pun memiliki Al-Fatihah yang dalam eksistensinya  paling sempurna terkumpul seluruh kitab eksistensi dengan  wujud Ilahi yang mencakup dan terhindar dari kemajemukan.</w:t>
      </w:r>
    </w:p>
    <w:p>
      <w:pPr>
        <w:pStyle w:val="BookText"/>
        <w:bidi w:val="0"/>
        <w:jc w:val="both"/>
        <w:rPr/>
      </w:pPr>
      <w:r>
        <w:rPr>
          <w:rFonts w:eastAsia="Times New Roman" w:cs="Times New Roman" w:ascii="Times New Roman" w:hAnsi="Times New Roman"/>
          <w:color w:val="111111"/>
          <w:sz w:val="28"/>
          <w:szCs w:val="28"/>
          <w:lang w:val="en-US"/>
        </w:rPr>
        <w:t>Al-Fatihah ini di satu sisi, merupakan alam akal murni ('uqūl  mujarradah) dan malaikat ruhani, sedangkan dari sisi lain, ia  adalah masyi'ah (kehendak) yang merupakan kunci eksistensi  gaib. Telah dikutip dalam doa Ziyārah Jāmi'ah, “Dengan  kalianlah kunci [menuju] Allah," karena eksistensi mulia ini  setingkat dengan masyi'ah.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penjelasan ini, jika eksistensi mutlak dengan  tingkatan-tingkatan dan maqam-maqamnya dipandang sebagai  sebuah kitab, setiap alam universal merupakan salah satu pintu  kitab tersebut, dan setiap alam partikular adalah surat dan  pasal-pasalnya. Setiap tingkatan alam atau setiap bagiannya  adalah ayat dan kalimah. Jika rangkaian eksistensi dipandang  sebagai kitab-kitab, setiap alam merupakan satu kitab yang </w:t>
      </w:r>
    </w:p>
    <w:p>
      <w:pPr>
        <w:pStyle w:val="BookText"/>
        <w:bidi w:val="0"/>
        <w:rPr/>
      </w:pPr>
      <w:r>
        <w:rPr>
          <w:rFonts w:eastAsia="Times New Roman" w:cs="Times New Roman" w:ascii="Times New Roman" w:hAnsi="Times New Roman"/>
          <w:color w:val="111111"/>
          <w:sz w:val="28"/>
          <w:szCs w:val="28"/>
          <w:lang w:val="en-US"/>
        </w:rPr>
        <w:t>terpisah dan memiliki bab-bab, ayat-ayat, dan kalimah-kalimah.</w:t>
      </w:r>
    </w:p>
    <w:p>
      <w:pPr>
        <w:pStyle w:val="BookText"/>
        <w:bidi w:val="0"/>
        <w:jc w:val="both"/>
        <w:rPr/>
      </w:pPr>
      <w:r>
        <w:rPr>
          <w:rFonts w:eastAsia="Times New Roman" w:cs="Times New Roman" w:ascii="Times New Roman" w:hAnsi="Times New Roman"/>
          <w:color w:val="111111"/>
          <w:sz w:val="28"/>
          <w:szCs w:val="28"/>
          <w:lang w:val="en-US"/>
        </w:rPr>
        <w:t>Eksistensi dengan sudut pandang ini memiliki tingkatan-  tingkatan, jenis-jenis, dan individu-individu. Jika kedua sudut  pandang ini disatukan akan menjadi satu eksistensi kitab  mutlak yang memiliki jilid-jilid yang setiap jilid terdiri dari bab-  bab, pasal-pasal, dan ayat-ayat yang jelas. Penafsiran atas satu  atau beberapa kalimah dikuatkan oleh sebuah analisis dari  pembicaraan (takallum) menjadi pengamalan.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Kalam adalah entifikasi Dia, keluarnya hal itu dari  dalam diri manusia dengan perjalanan menuju stasiun-  stasiun luar, dan melewati tahapan-tahapan perjalanan  sampai ke luar, serta menjelma: mulai dari alam gaib  hingga alam nyata yang menyingkap hati, rahasia, dan  maksud pembicara (mutakallim).... "</w:t>
      </w:r>
      <w:r>
        <w:rPr>
          <w:rStyle w:val="FootnoteAnchor"/>
        </w:rPr>
        <w:footnoteReference w:id="262"/>
      </w:r>
      <w:r>
        <w:rPr>
          <w:rFonts w:eastAsia="Times New Roman" w:cs="Times New Roman" w:ascii="Times New Roman" w:hAnsi="Times New Roman"/>
          <w:color w:val="111111"/>
          <w:sz w:val="28"/>
          <w:szCs w:val="28"/>
          <w:lang w:val="en-US"/>
        </w:rPr>
        <w:t xml:space="preserve"> Penyebab takallum adalah media-media kesempurnaan  batin dan penampakan malakah. Sebelum takallum dan  penyampaian kalimah, terdapat kesempurnaan-kesempurnaan  dalam tingkatan yang tersembunyi, dan ketika mutakallim  berkehendak, la menampakkan semua kesempurnaan dan  malakah-Nya, dan menciptakan kalimah-kalimah sehingga  kekuatan dan posisi-Nya bisa diketahui.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Ketahuilah bahwa kalam setiap mutakallim merupakan  manifestasi dari dzāt-Nya, sesuai dengan maqam  penampakan (zhuhūr) dan penampakan malakah  batiniahnya pada cermin lafaz sesuai dengan potensi  rangkaian lafaz.</w:t>
      </w:r>
      <w:r>
        <w:rPr>
          <w:rStyle w:val="FootnoteAnchor"/>
        </w:rPr>
        <w:footnoteReference w:id="263"/>
      </w:r>
      <w:r>
        <w:rPr>
          <w:rFonts w:eastAsia="Times New Roman" w:cs="Times New Roman" w:ascii="Times New Roman" w:hAnsi="Times New Roman"/>
          <w:color w:val="111111"/>
          <w:sz w:val="28"/>
          <w:szCs w:val="28"/>
          <w:lang w:val="en-US"/>
        </w:rPr>
        <w:t>Tingkatan eksistensi di alam gaib  dan alam nyata merupakan kalam Ilahi melalui hawa  yang merupakan tingkatan kebutaan ('amā) keluar dari  tingkatan identitas nyata (-ainī) dan turun dari langit  Ilahi, karena adanya cinta diri untuk menampakkan  kesempurnaan dan bermanifestasi ke dalam asma dan  sifat sehingga kedudukannya diketahui."'</w:t>
      </w:r>
      <w:r>
        <w:rPr>
          <w:rStyle w:val="FootnoteAnchor"/>
        </w:rPr>
        <w:footnoteReference w:id="264"/>
      </w:r>
      <w:bookmarkStart w:id="155" w:name="pg5928_44317"/>
    </w:p>
    <w:p>
      <w:pPr>
        <w:pStyle w:val="BookText"/>
        <w:bidi w:val="0"/>
        <w:rPr/>
      </w:pPr>
      <w:bookmarkEnd w:id="155"/>
      <w:r>
        <w:rPr>
          <w:rFonts w:eastAsia="Times New Roman" w:cs="Times New Roman" w:ascii="Times New Roman" w:hAnsi="Times New Roman"/>
          <w:color w:val="111111"/>
          <w:sz w:val="28"/>
          <w:szCs w:val="28"/>
          <w:lang w:val="en-US"/>
        </w:rPr>
        <w:t>Penjelasan tentang kalam ini, yang berdiri di atas prinsip-  prinsip apologi filosofis – juga sesuai dengan hadits-hadits dari  para Imam Maksum a.s.. Di antaranya adalah hadits: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Sungguh Dia telah bermanifestasi kepada hamba-Nya  dalam kalam-Nya, tetapi mereka tidak melihat."</w:t>
      </w:r>
      <w:r>
        <w:rPr>
          <w:rStyle w:val="FootnoteAnchor"/>
        </w:rPr>
        <w:footnoteReference w:id="265"/>
      </w:r>
    </w:p>
    <w:p>
      <w:pPr>
        <w:pStyle w:val="Heading3"/>
        <w:numPr>
          <w:ilvl w:val="2"/>
          <w:numId w:val="1"/>
        </w:numPr>
        <w:bidi w:val="0"/>
        <w:jc w:val="left"/>
        <w:rPr/>
      </w:pPr>
      <w:bookmarkStart w:id="156" w:name="__RefHeading___Toc5529790_581953129"/>
      <w:bookmarkStart w:id="157" w:name="_Toc52"/>
      <w:bookmarkEnd w:id="156"/>
      <w:r>
        <w:rPr/>
        <w:t>Mālik (Penguasa)</w:t>
      </w:r>
      <w:bookmarkEnd w:id="1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Raja pada hari kiamat."</w:t>
      </w:r>
      <w:r>
        <w:rPr>
          <w:rStyle w:val="FootnoteAnchor"/>
        </w:rPr>
        <w:footnoteReference w:id="266"/>
      </w:r>
      <w:r>
        <w:rPr>
          <w:rFonts w:eastAsia="Times New Roman" w:cs="Times New Roman" w:ascii="Times New Roman" w:hAnsi="Times New Roman"/>
          <w:color w:val="111111"/>
          <w:sz w:val="28"/>
          <w:szCs w:val="28"/>
          <w:lang w:val="en-US"/>
        </w:rPr>
        <w:t xml:space="preserve"> Semua jenis mālikiyyah (kekuasaan dan kepemilikan)  yang terbayangkan tentang fenomena-fenomena dunia ini  antara yang satu dengan yang lain tidak bisa disandangkan  dan disamakan dengan Mālikiyyah Tuhan terhadap makhluk-  Nya. Jenis-jenis mālikiyyah, seperti mālikiyyah para penguasa  atas negaranya, mālikiyyah manusia atas anggota badannya  bahkan terhadap unsur-unsur lahir dan batin, atau mālikiyyah  jiwa atas perbuatan-perbuatan dirinya, serta mālikiyyah alam  akal atas alam-alam yang lain. Walaupun memiliki kemampuan  mengadakan atau meniadakan, tidak ada satu pun dari jenis di  atas yang bisa diterapkan pada pemberian emanasi (ifādhah)  Al-Haqq Swt. kepada alam semesta. Semua mālikiyyah pada  satu titik tertentu memiliki kesamaan, yaitu memiliki hubungan  kontradiksi (tabāyun) asali dengan yang dikuasai-Nya dan tidak  memiliki kekuasaan substansial (qayyūmī) atas kerajaan-Nya.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Seluruh ruang nyata imkāni yang di dalamnya ada  bayangan ketergantungan dibatasi oleh suatu batasan  dan ditentukan oleh suatu ketentuan, termasuk  batasan esensi (māhiyah). Meskipun dibatasi oleh  suatu batasan, tetapi ia tetap sesuai dengan kadar  keterbatasannya yang memiliki keterpisahan asali </w:t>
      </w:r>
      <w:bookmarkStart w:id="158" w:name="pg5928_44318"/>
    </w:p>
    <w:p>
      <w:pPr>
        <w:pStyle w:val="BookText"/>
        <w:bidi w:val="0"/>
        <w:rPr/>
      </w:pPr>
      <w:bookmarkEnd w:id="158"/>
      <w:r>
        <w:rPr>
          <w:rFonts w:eastAsia="Times New Roman" w:cs="Times New Roman" w:ascii="Times New Roman" w:hAnsi="Times New Roman"/>
          <w:color w:val="111111"/>
          <w:sz w:val="28"/>
          <w:szCs w:val="28"/>
          <w:lang w:val="en-US"/>
        </w:rPr>
        <w:t>dengan perbuatannya dan tidak memiliki kekuasaan  untuk memberikan ekstensi."</w:t>
      </w:r>
      <w:r>
        <w:rPr>
          <w:rStyle w:val="FootnoteAnchor"/>
        </w:rPr>
        <w:footnoteReference w:id="267"/>
      </w:r>
      <w:r>
        <w:rPr>
          <w:rFonts w:eastAsia="Times New Roman" w:cs="Times New Roman" w:ascii="Times New Roman" w:hAnsi="Times New Roman"/>
          <w:color w:val="111111"/>
          <w:sz w:val="28"/>
          <w:szCs w:val="28"/>
          <w:lang w:val="en-US"/>
        </w:rPr>
        <w:t xml:space="preserve"> Berdasarkan perbedaan-perbedaan ini, Mālikiyyah Tuhan  memiliki bentuk lain, dan para filsuf Ilahi memberinya istilah  ifadhah isyrāqiyyah (relasi lluminatif).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Mālikiyyah Al-Haqq Swt. dengan ifādhah isyrāqiyyah  (limpahan pancaran) dan ihāthah qayyūmiyyah  (pengetahuan substansif) merupakan mālikiyyah  esensial, hakiki, dan nyata; tidak ada kontradiksi asali  sama sekali dalam Dzāt dan sifat-Nya dengan satu  makhluk pun di antara makhluk-makhluk-Nya."</w:t>
      </w:r>
      <w:r>
        <w:rPr>
          <w:rStyle w:val="FootnoteAnchor"/>
        </w:rPr>
        <w:footnoteReference w:id="268"/>
      </w:r>
      <w:r>
        <w:rPr>
          <w:rFonts w:eastAsia="Times New Roman" w:cs="Times New Roman" w:ascii="Times New Roman" w:hAnsi="Times New Roman"/>
          <w:color w:val="111111"/>
          <w:sz w:val="28"/>
          <w:szCs w:val="28"/>
          <w:lang w:val="en-US"/>
        </w:rPr>
        <w:t xml:space="preserve"> Hal-hal yang termuat dalam teks-teks agama adalah teks-  teks yang menyinggung masalah kedekatan mendalam dan  kekuasaan esensial Al-Haqq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lebih dekat kepadanya daripada kalian."</w:t>
      </w:r>
      <w:r>
        <w:rPr>
          <w:rStyle w:val="FootnoteAnchor"/>
        </w:rPr>
        <w:footnoteReference w:id="269"/>
      </w:r>
      <w:r>
        <w:rPr>
          <w:rFonts w:eastAsia="Times New Roman" w:cs="Times New Roman" w:ascii="Times New Roman" w:hAnsi="Times New Roman"/>
          <w:color w:val="111111"/>
          <w:sz w:val="28"/>
          <w:szCs w:val="28"/>
          <w:lang w:val="en-US"/>
        </w:rPr>
        <w:t xml:space="preserve"> “Dan Kami lebih dekat kepadanya daripada urat  leher."</w:t>
      </w:r>
      <w:r>
        <w:rPr>
          <w:rStyle w:val="FootnoteAnchor"/>
        </w:rPr>
        <w:footnoteReference w:id="270"/>
      </w:r>
      <w:r>
        <w:rPr>
          <w:rFonts w:eastAsia="Times New Roman" w:cs="Times New Roman" w:ascii="Times New Roman" w:hAnsi="Times New Roman"/>
          <w:color w:val="111111"/>
          <w:sz w:val="28"/>
          <w:szCs w:val="28"/>
          <w:lang w:val="en-US"/>
        </w:rPr>
        <w:t xml:space="preserve"> “Milik-Nya kerajaan langit dan bumi."'</w:t>
      </w:r>
      <w:r>
        <w:rPr>
          <w:rStyle w:val="FootnoteAnchor"/>
        </w:rPr>
        <w:footnoteReference w:id="271"/>
      </w:r>
    </w:p>
    <w:p>
      <w:pPr>
        <w:pStyle w:val="Heading3"/>
        <w:numPr>
          <w:ilvl w:val="2"/>
          <w:numId w:val="1"/>
        </w:numPr>
        <w:bidi w:val="0"/>
        <w:jc w:val="left"/>
        <w:rPr/>
      </w:pPr>
      <w:bookmarkStart w:id="159" w:name="__RefHeading___Toc5529792_581953129"/>
      <w:bookmarkStart w:id="160" w:name="_Toc53"/>
      <w:bookmarkEnd w:id="159"/>
      <w:r>
        <w:rPr/>
        <w:t>Masyi'ah (Kehendak)</w:t>
      </w:r>
      <w:bookmarkEnd w:id="1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Ya Allah, sungguh aku memohon pada-Mu yang paling  dahulu dari kehendak-Mu, dan seluruh kehendak-Mu  adalah dahulu.... </w:t>
      </w:r>
      <w:r>
        <w:rPr>
          <w:rStyle w:val="FootnoteAnchor"/>
        </w:rPr>
        <w:footnoteReference w:id="272"/>
      </w:r>
      <w:r>
        <w:rPr>
          <w:rFonts w:eastAsia="Times New Roman" w:cs="Times New Roman" w:ascii="Times New Roman" w:hAnsi="Times New Roman"/>
          <w:color w:val="111111"/>
          <w:sz w:val="28"/>
          <w:szCs w:val="28"/>
          <w:lang w:val="en-US"/>
        </w:rPr>
        <w:t xml:space="preserve"> Allah telah menciptakan masyi'ah (kehendak) dan  menciptakan segala sesuatu dengan masyi'ah-Nya  tersebut."</w:t>
      </w:r>
      <w:r>
        <w:rPr>
          <w:rStyle w:val="FootnoteAnchor"/>
        </w:rPr>
        <w:footnoteReference w:id="273"/>
      </w:r>
      <w:r>
        <w:rPr>
          <w:rFonts w:eastAsia="Times New Roman" w:cs="Times New Roman" w:ascii="Times New Roman" w:hAnsi="Times New Roman"/>
          <w:color w:val="111111"/>
          <w:sz w:val="28"/>
          <w:szCs w:val="28"/>
          <w:lang w:val="en-US"/>
        </w:rPr>
        <w:t xml:space="preserve"> Dalam pandangan para Arif Islam, masyi'ah merupakan  sumber pertama. Tingkatan lain eksistensi yang tercipta melalui  masyi'ah dan rangkaian eksistensi (alam gaib dan alam nyata) </w:t>
      </w:r>
    </w:p>
    <w:p>
      <w:pPr>
        <w:pStyle w:val="BookText"/>
        <w:bidi w:val="0"/>
        <w:rPr/>
      </w:pPr>
      <w:r>
        <w:rPr>
          <w:rFonts w:eastAsia="Times New Roman" w:cs="Times New Roman" w:ascii="Times New Roman" w:hAnsi="Times New Roman"/>
          <w:color w:val="111111"/>
          <w:sz w:val="28"/>
          <w:szCs w:val="28"/>
          <w:lang w:val="en-US"/>
        </w:rPr>
        <w:t>tergolong ke dalam manifestasi-manifestasi dan entifikasi-  entifikasi dari masyi'ah.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Dengan masyi'ah, muncul eksistensi dan merupakan  nama Allah Yang Agung."</w:t>
      </w:r>
      <w:r>
        <w:rPr>
          <w:rStyle w:val="FootnoteAnchor"/>
        </w:rPr>
        <w:footnoteReference w:id="274"/>
      </w:r>
      <w:r>
        <w:rPr>
          <w:rFonts w:eastAsia="Times New Roman" w:cs="Times New Roman" w:ascii="Times New Roman" w:hAnsi="Times New Roman"/>
          <w:color w:val="111111"/>
          <w:sz w:val="28"/>
          <w:szCs w:val="28"/>
          <w:lang w:val="en-US"/>
        </w:rPr>
        <w:t xml:space="preserve"> Masyi'ah Ilahi mutlak ada secara esensial dan murni dari  entifikasi ketergantungan dan memiliki bayangan kesatuan Al-  Haqq yang hakiki (zhill wahdah haqqah haqiqiyyah). Sementara  itu, entifikasi-entifikasi tidak mencium bau eksistensi, tetapi  seperti fatamorgana dan orang-orang yang haus akan  melihatnya, seperti air.</w:t>
      </w:r>
    </w:p>
    <w:p>
      <w:pPr>
        <w:pStyle w:val="BookText"/>
        <w:bidi w:val="0"/>
        <w:jc w:val="both"/>
        <w:rPr/>
      </w:pPr>
      <w:r>
        <w:rPr>
          <w:rFonts w:eastAsia="Times New Roman" w:cs="Times New Roman" w:ascii="Times New Roman" w:hAnsi="Times New Roman"/>
          <w:color w:val="111111"/>
          <w:sz w:val="28"/>
          <w:szCs w:val="28"/>
          <w:lang w:val="en-US"/>
        </w:rPr>
        <w:t>"Tiap-tiap sesuatu pasti binasa, kecuali wajah-Nya."</w:t>
      </w:r>
      <w:r>
        <w:rPr>
          <w:rStyle w:val="FootnoteAnchor"/>
        </w:rPr>
        <w:footnoteReference w:id="275"/>
      </w:r>
      <w:r>
        <w:rPr>
          <w:rFonts w:eastAsia="Times New Roman" w:cs="Times New Roman" w:ascii="Times New Roman" w:hAnsi="Times New Roman"/>
          <w:color w:val="111111"/>
          <w:sz w:val="28"/>
          <w:szCs w:val="28"/>
          <w:lang w:val="en-US"/>
        </w:rPr>
        <w:t xml:space="preserve"> "Itu tidak lain hanyalah nama-nama yang kamu dan  bapak-bapak kamu mengada-adakannya."</w:t>
      </w:r>
      <w:r>
        <w:rPr>
          <w:rStyle w:val="FootnoteAnchor"/>
        </w:rPr>
        <w:footnoteReference w:id="276"/>
      </w:r>
      <w:r>
        <w:rPr>
          <w:rFonts w:eastAsia="Times New Roman" w:cs="Times New Roman" w:ascii="Times New Roman" w:hAnsi="Times New Roman"/>
          <w:color w:val="111111"/>
          <w:sz w:val="28"/>
          <w:szCs w:val="28"/>
          <w:lang w:val="en-US"/>
        </w:rPr>
        <w:t xml:space="preserve"> Sisi lain dari masyi'ah adalah memiliki sifat umum dan  aliran. Keluasan rahmat dan maqam uluhiah adalah keumuman  dan aliran masyi'ah. Misalnya, pena, kertas, tangan, kekuatan,  serta kehendak penulis. Seluruhnya merupakan jelmaan dari  kehendak Ilahi, entifikasi semu, dan khayali.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Masyi'ah (kehendak) adalah maqam penampakan  hakikat eksistensi, kemutlakan dan alirannya, serta  keluasan cahaya dan rahmat. Masyi'ah adalah irādah-  Nya dalam maqam penampakan dan manifestasi.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ini terwujud ketika tingkatan entifikasi mulai  dari akal suci ('uqūl muqaddas) dan malaikat muqarrab  sampai dimensi-dimensi alami dan malaikat pengatur  bumi, semuanya termasuk tingkatan masyi'ah dan  batasan-batasan irādah (kehendak) dalam magam  manifestasi dan perbuatan. Hal ini tidak bertentangan  dengan fakta bahwa Tuhan memiliki kehendak yang  merupakan dzāt suci-Nya dan merupakan sifat yang  qadim. Kehendak dalam maqam fi'li dari aspek </w:t>
      </w:r>
      <w:bookmarkStart w:id="161" w:name="pg5928_44320"/>
    </w:p>
    <w:p>
      <w:pPr>
        <w:pStyle w:val="BookText"/>
        <w:bidi w:val="0"/>
        <w:rPr/>
      </w:pPr>
      <w:bookmarkEnd w:id="161"/>
      <w:r>
        <w:rPr>
          <w:rFonts w:eastAsia="Times New Roman" w:cs="Times New Roman" w:ascii="Times New Roman" w:hAnsi="Times New Roman"/>
          <w:color w:val="111111"/>
          <w:sz w:val="28"/>
          <w:szCs w:val="28"/>
          <w:lang w:val="en-US"/>
        </w:rPr>
        <w:t>entifikasi adalah hādits (makhluk) dan akan musnah  walaupun dari aspek maqam, kemutlakan juga qadim  karena yang tampak dan manifestasi bersatu."</w:t>
      </w:r>
      <w:r>
        <w:rPr>
          <w:rStyle w:val="FootnoteAnchor"/>
        </w:rPr>
        <w:footnoteReference w:id="277"/>
      </w:r>
    </w:p>
    <w:p>
      <w:pPr>
        <w:pStyle w:val="Heading3"/>
        <w:numPr>
          <w:ilvl w:val="2"/>
          <w:numId w:val="1"/>
        </w:numPr>
        <w:bidi w:val="0"/>
        <w:jc w:val="left"/>
        <w:rPr/>
      </w:pPr>
      <w:bookmarkStart w:id="162" w:name="__RefHeading___Toc5529794_581953129"/>
      <w:bookmarkStart w:id="163" w:name="_Toc54"/>
      <w:bookmarkEnd w:id="162"/>
      <w:r>
        <w:rPr/>
        <w:t>Nur (Cahaya)</w:t>
      </w:r>
      <w:bookmarkEnd w:id="1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adalah cahaya langit dan bumi."</w:t>
      </w:r>
      <w:r>
        <w:rPr>
          <w:rStyle w:val="FootnoteAnchor"/>
        </w:rPr>
        <w:footnoteReference w:id="278"/>
      </w:r>
      <w:r>
        <w:rPr>
          <w:rFonts w:eastAsia="Times New Roman" w:cs="Times New Roman" w:ascii="Times New Roman" w:hAnsi="Times New Roman"/>
          <w:color w:val="111111"/>
          <w:sz w:val="28"/>
          <w:szCs w:val="28"/>
          <w:lang w:val="en-US"/>
        </w:rPr>
        <w:t xml:space="preserve"> “Dan dengan cahaya wajah-Mu yang menyinari segala  sesuatu. </w:t>
      </w:r>
      <w:r>
        <w:rPr>
          <w:rStyle w:val="FootnoteAnchor"/>
        </w:rPr>
        <w:footnoteReference w:id="279"/>
      </w:r>
      <w:r>
        <w:rPr>
          <w:rFonts w:eastAsia="Times New Roman" w:cs="Times New Roman" w:ascii="Times New Roman" w:hAnsi="Times New Roman"/>
          <w:color w:val="111111"/>
          <w:sz w:val="28"/>
          <w:szCs w:val="28"/>
          <w:lang w:val="en-US"/>
        </w:rPr>
        <w:t xml:space="preserve"> Dan dengan cahaya wajah-Mu yang menjelma bagi  gunung dan menjadiknnya rata. </w:t>
      </w:r>
      <w:r>
        <w:rPr>
          <w:rStyle w:val="FootnoteAnchor"/>
        </w:rPr>
        <w:footnoteReference w:id="280"/>
      </w:r>
      <w:r>
        <w:rPr>
          <w:rFonts w:eastAsia="Times New Roman" w:cs="Times New Roman" w:ascii="Times New Roman" w:hAnsi="Times New Roman"/>
          <w:color w:val="111111"/>
          <w:sz w:val="28"/>
          <w:szCs w:val="28"/>
          <w:lang w:val="en-US"/>
        </w:rPr>
        <w:t>Ya Allah, sungguh  aku memohon pada-Mu yang paling terang dari cahaya-  Mu, dan seluruh cahaya-Mu adalah terang.... "</w:t>
      </w:r>
      <w:r>
        <w:rPr>
          <w:rStyle w:val="FootnoteAnchor"/>
        </w:rPr>
        <w:footnoteReference w:id="281"/>
      </w:r>
      <w:r>
        <w:rPr>
          <w:rFonts w:eastAsia="Times New Roman" w:cs="Times New Roman" w:ascii="Times New Roman" w:hAnsi="Times New Roman"/>
          <w:color w:val="111111"/>
          <w:sz w:val="28"/>
          <w:szCs w:val="28"/>
          <w:lang w:val="en-US"/>
        </w:rPr>
        <w:t xml:space="preserve"> Imam Al-Shadiq a.s. berkata,  “Sesungguhnya Allah telah ada (kāna), sebelum segala  sesuatu ada (kāna), maka Dia menciptakan kāna dan  makān (tempat), Dia menciptakan cahaya-cahaya, dan  menciptakan cahaya setiap cahaya yang memancar  dari cahaya-cahaya .... Dia adalah cahaya yang darinya  tercipta Muhammad dan Ali. Maka tetaplah dua cahaya  awal itu, di mana tidak tercipta satu pun sebelumya.</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Keduanya terus mengalir dalam keadaan suci dan  menyucikan di dalam sulbi-sulbi yang suci hingga  keduanya terpisah di tempat yang kesuciannya paling  suci dalam diri Abdullah dan Abu Thalib a.s. ...."</w:t>
      </w:r>
      <w:r>
        <w:rPr>
          <w:rStyle w:val="FootnoteAnchor"/>
        </w:rPr>
        <w:footnoteReference w:id="282"/>
      </w:r>
      <w:r>
        <w:rPr>
          <w:rFonts w:eastAsia="Times New Roman" w:cs="Times New Roman" w:ascii="Times New Roman" w:hAnsi="Times New Roman"/>
          <w:color w:val="111111"/>
          <w:sz w:val="28"/>
          <w:szCs w:val="28"/>
          <w:lang w:val="en-US"/>
        </w:rPr>
        <w:t xml:space="preserve"> Teks-teks hadits memuat banyak kata cahaya. Dalam  Filsafat Islam, cahaya diterapkan pada tingkatan eksistensi  sehingga dalam Hikmah Muta’āliyah, eksistensi adalah sama  dengan cahaya. Penerapan cahaya pada eksistensi merupakan  perkara yang jelas dan tidak membutuhkan pembuktian  terutama dengan keyakinan pada Ashālah Al-wujud. Oleh  karena itu, masalah ini menjadi sangat tegas. </w:t>
      </w:r>
    </w:p>
    <w:p>
      <w:pPr>
        <w:pStyle w:val="BookText"/>
        <w:bidi w:val="0"/>
        <w:rPr/>
      </w:pPr>
      <w:r>
        <w:rPr>
          <w:rFonts w:eastAsia="Times New Roman" w:cs="Times New Roman" w:ascii="Times New Roman" w:hAnsi="Times New Roman"/>
          <w:color w:val="111111"/>
          <w:sz w:val="28"/>
          <w:szCs w:val="28"/>
          <w:lang w:val="en-US"/>
        </w:rPr>
        <w:t xml:space="preserve">"Cahaya adalah eksistensi. Dalam ruang eksistensi,  selain Dia tidak ada cahaya dan manifestasi  Kecerahan cahaya urf (alami) dan 'ulūm (ilmu)  bergantung pada tingkatan eksistensinya karena esensi  mereka adalah kegelapan. Sebagian memiliki cahaya  yang lebih tinggi daripada yang lain...." </w:t>
      </w:r>
      <w:r>
        <w:rPr>
          <w:rStyle w:val="FootnoteAnchor"/>
        </w:rPr>
        <w:footnoteReference w:id="283"/>
      </w:r>
      <w:r>
        <w:rPr>
          <w:rFonts w:eastAsia="Times New Roman" w:cs="Times New Roman" w:ascii="Times New Roman" w:hAnsi="Times New Roman"/>
          <w:color w:val="111111"/>
          <w:sz w:val="28"/>
          <w:szCs w:val="28"/>
          <w:lang w:val="en-US"/>
        </w:rPr>
        <w:t xml:space="preserve"> Dalam gambaran ini, penerapan cahaya pada Tuhan  berkaitan dengan hakikat tempat cahaya. Cahaya adalah sesuatu  yang tampak dengan sendirinya dan juga menampakkan yang  lainnya. Sifat ini bisa diterapkan pada Wājib Al-Wujūd. Oleh  karena itu, Tuhan adalah cahaya langit dan bumi. Penerapan  cahaya pada Tuhan akan lebih jelas ketika berperan sebagai  sifat fi'li. Penerapan cahaya pada Tuhan sebagai sifat fi'li lebih  jelas ketimbang sifat dzāti, karena dalam konsep ini terdapat  sisi ketampakan bagi yang lain. </w:t>
      </w:r>
      <w:r>
        <w:rPr>
          <w:rStyle w:val="FootnoteAnchor"/>
        </w:rPr>
        <w:footnoteReference w:id="284"/>
      </w:r>
      <w:r>
        <w:rPr>
          <w:rFonts w:eastAsia="Times New Roman" w:cs="Times New Roman" w:ascii="Times New Roman" w:hAnsi="Times New Roman"/>
          <w:color w:val="111111"/>
          <w:sz w:val="28"/>
          <w:szCs w:val="28"/>
          <w:lang w:val="en-US"/>
        </w:rPr>
        <w:t xml:space="preserve"> Kata cahaya dalam teks-teks agama juga bisa diterapkan  pada hakikat ilmu dan keimanan. “Hakikat ilmu dan iman  yang berdasarkan ilmu adalah cahaya". </w:t>
      </w:r>
      <w:r>
        <w:rPr>
          <w:rStyle w:val="FootnoteAnchor"/>
        </w:rPr>
        <w:footnoteReference w:id="285"/>
      </w:r>
      <w:r>
        <w:rPr>
          <w:rFonts w:eastAsia="Times New Roman" w:cs="Times New Roman" w:ascii="Times New Roman" w:hAnsi="Times New Roman"/>
          <w:color w:val="111111"/>
          <w:sz w:val="28"/>
          <w:szCs w:val="28"/>
          <w:lang w:val="en-US"/>
        </w:rPr>
        <w:t>Hal ini merupakan  penerapan hakiki dan dengan makna yang jelas bahwa ada  keselarasan cahaya dengan ilmu dan iman. Cahaya lahir  dengan sendirinya dan melahirkan yang lain. Begitu pun ciri  yang dimiliki oleh ilmu.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Hakikat ilmu adalah eksistensi secara esensial  dan dalam konsep yang berbeda dengannya, tetapi  dalam inti hakikat, inti entitas sejalan, dan bersatu  dengannya. "</w:t>
      </w:r>
      <w:r>
        <w:rPr>
          <w:rStyle w:val="FootnoteAnchor"/>
        </w:rPr>
        <w:footnoteReference w:id="286"/>
      </w:r>
      <w:r>
        <w:rPr>
          <w:rFonts w:eastAsia="Times New Roman" w:cs="Times New Roman" w:ascii="Times New Roman" w:hAnsi="Times New Roman"/>
          <w:color w:val="111111"/>
          <w:sz w:val="28"/>
          <w:szCs w:val="28"/>
          <w:lang w:val="en-US"/>
        </w:rPr>
        <w:t xml:space="preserve"> Dari sisi lain, hakikat eksistensi adalah cahaya dan ilmu.</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Al-Quran, banyak ayat yang menggunakan kata cahaya  untuk menunjukkan ilmu.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barang siapa yang tiada diberi cahaya (petunjuk)  oleh Allah tiadalah dia mempunyai cahaya sedikit  pun."</w:t>
      </w:r>
      <w:r>
        <w:rPr>
          <w:rStyle w:val="FootnoteAnchor"/>
        </w:rPr>
        <w:footnoteReference w:id="287"/>
      </w:r>
      <w:r>
        <w:rPr>
          <w:rFonts w:eastAsia="Times New Roman" w:cs="Times New Roman" w:ascii="Times New Roman" w:hAnsi="Times New Roman"/>
          <w:color w:val="111111"/>
          <w:sz w:val="28"/>
          <w:szCs w:val="28"/>
          <w:lang w:val="en-US"/>
        </w:rPr>
        <w:t xml:space="preserve"> Dalam tafsir Ahlulbait a.s., cahaya dalam ayat ini adalah  ilmu. Dalam hadits-hadits juga banyak yang menggunakan  kata cahaya untuk maksud ilmu, seperti: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adalah cahaya, Allah akan menghembuskannya  kepada orang yang dikehendakinya. "</w:t>
      </w:r>
      <w:r>
        <w:rPr>
          <w:rStyle w:val="FootnoteAnchor"/>
        </w:rPr>
        <w:footnoteReference w:id="288"/>
      </w:r>
      <w:r>
        <w:rPr>
          <w:rFonts w:eastAsia="Times New Roman" w:cs="Times New Roman" w:ascii="Times New Roman" w:hAnsi="Times New Roman"/>
          <w:color w:val="111111"/>
          <w:sz w:val="28"/>
          <w:szCs w:val="28"/>
          <w:lang w:val="en-US"/>
        </w:rPr>
        <w:t xml:space="preserve"> Wa akhiru da'wāna al-hamdu lillāhi rabbil 'alamin. </w:t>
      </w:r>
      <w:bookmarkStart w:id="164" w:name="pg5928_44323"/>
    </w:p>
    <w:p>
      <w:pPr>
        <w:pStyle w:val="Heading3"/>
        <w:numPr>
          <w:ilvl w:val="2"/>
          <w:numId w:val="1"/>
        </w:numPr>
        <w:bidi w:val="0"/>
        <w:jc w:val="left"/>
        <w:rPr/>
      </w:pPr>
      <w:bookmarkStart w:id="165" w:name="__RefHeading___Toc5529796_581953129"/>
      <w:bookmarkStart w:id="166" w:name="_Toc55"/>
      <w:bookmarkEnd w:id="164"/>
      <w:bookmarkEnd w:id="165"/>
      <w:r>
        <w:rPr/>
        <w:t>Catatan III:</w:t>
      </w:r>
      <w:bookmarkEnd w:id="166"/>
    </w:p>
    <w:p>
      <w:pPr>
        <w:pStyle w:val="BookText"/>
        <w:bidi w:val="0"/>
        <w:jc w:val="both"/>
        <w:rPr/>
      </w:pPr>
      <w:r>
        <w:rPr>
          <w:rFonts w:eastAsia="Times New Roman" w:cs="Times New Roman" w:ascii="Times New Roman" w:hAnsi="Times New Roman"/>
          <w:color w:val="111111"/>
          <w:sz w:val="28"/>
          <w:szCs w:val="28"/>
          <w:lang w:val="en-US"/>
        </w:rPr>
        <w:t>1 Du'a' Al-Sahr.</w:t>
      </w:r>
    </w:p>
    <w:p>
      <w:pPr>
        <w:pStyle w:val="BookText"/>
        <w:bidi w:val="0"/>
        <w:jc w:val="both"/>
        <w:rPr/>
      </w:pPr>
      <w:r>
        <w:rPr>
          <w:rFonts w:eastAsia="Times New Roman" w:cs="Times New Roman" w:ascii="Times New Roman" w:hAnsi="Times New Roman"/>
          <w:color w:val="111111"/>
          <w:sz w:val="28"/>
          <w:szCs w:val="28"/>
          <w:lang w:val="en-US"/>
        </w:rPr>
        <w:t>2 QS Fushshilat: 53.</w:t>
      </w:r>
    </w:p>
    <w:p>
      <w:pPr>
        <w:pStyle w:val="BookText"/>
        <w:bidi w:val="0"/>
        <w:jc w:val="both"/>
        <w:rPr/>
      </w:pPr>
      <w:r>
        <w:rPr>
          <w:rFonts w:eastAsia="Times New Roman" w:cs="Times New Roman" w:ascii="Times New Roman" w:hAnsi="Times New Roman"/>
          <w:color w:val="111111"/>
          <w:sz w:val="28"/>
          <w:szCs w:val="28"/>
          <w:lang w:val="en-US"/>
        </w:rPr>
        <w:t>3 QS Al-Isra': 14.</w:t>
      </w:r>
    </w:p>
    <w:p>
      <w:pPr>
        <w:pStyle w:val="BookText"/>
        <w:bidi w:val="0"/>
        <w:jc w:val="both"/>
        <w:rPr/>
      </w:pPr>
      <w:r>
        <w:rPr>
          <w:rFonts w:eastAsia="Times New Roman" w:cs="Times New Roman" w:ascii="Times New Roman" w:hAnsi="Times New Roman"/>
          <w:color w:val="111111"/>
          <w:sz w:val="28"/>
          <w:szCs w:val="28"/>
          <w:lang w:val="en-US"/>
        </w:rPr>
        <w:t>4 Imam Khomeini, Syarh Du´ā' Al-Sahr, hlm. 264.</w:t>
      </w:r>
    </w:p>
    <w:p>
      <w:pPr>
        <w:pStyle w:val="BookText"/>
        <w:bidi w:val="0"/>
        <w:jc w:val="both"/>
        <w:rPr/>
      </w:pPr>
      <w:r>
        <w:rPr>
          <w:rFonts w:eastAsia="Times New Roman" w:cs="Times New Roman" w:ascii="Times New Roman" w:hAnsi="Times New Roman"/>
          <w:color w:val="111111"/>
          <w:sz w:val="28"/>
          <w:szCs w:val="28"/>
          <w:lang w:val="en-US"/>
        </w:rPr>
        <w:t>5 Imam Khomeini, Syarh Du'a' Al-Sahr, hlm. 265.</w:t>
      </w:r>
    </w:p>
    <w:p>
      <w:pPr>
        <w:pStyle w:val="BookText"/>
        <w:bidi w:val="0"/>
        <w:jc w:val="both"/>
        <w:rPr/>
      </w:pPr>
      <w:r>
        <w:rPr>
          <w:rFonts w:eastAsia="Times New Roman" w:cs="Times New Roman" w:ascii="Times New Roman" w:hAnsi="Times New Roman"/>
          <w:color w:val="111111"/>
          <w:sz w:val="28"/>
          <w:szCs w:val="28"/>
          <w:lang w:val="en-US"/>
        </w:rPr>
        <w:t>6 Imam Khomeini, Syarh Du'a' Al-Sahr, hlm. 266.</w:t>
      </w:r>
    </w:p>
    <w:p>
      <w:pPr>
        <w:pStyle w:val="BookText"/>
        <w:bidi w:val="0"/>
        <w:jc w:val="both"/>
        <w:rPr/>
      </w:pPr>
      <w:r>
        <w:rPr>
          <w:rFonts w:eastAsia="Times New Roman" w:cs="Times New Roman" w:ascii="Times New Roman" w:hAnsi="Times New Roman"/>
          <w:color w:val="111111"/>
          <w:sz w:val="28"/>
          <w:szCs w:val="28"/>
          <w:lang w:val="en-US"/>
        </w:rPr>
        <w:t>7 Imam Khomeini, Syarh Du'ā' Al-Sahr, hlm. 265.</w:t>
      </w:r>
    </w:p>
    <w:p>
      <w:pPr>
        <w:pStyle w:val="BookText"/>
        <w:bidi w:val="0"/>
        <w:jc w:val="both"/>
        <w:rPr/>
      </w:pPr>
      <w:r>
        <w:rPr>
          <w:rFonts w:eastAsia="Times New Roman" w:cs="Times New Roman" w:ascii="Times New Roman" w:hAnsi="Times New Roman"/>
          <w:color w:val="111111"/>
          <w:sz w:val="28"/>
          <w:szCs w:val="28"/>
          <w:lang w:val="en-US"/>
        </w:rPr>
        <w:t>8 Imam Khomeini, Cehel Hadits, hlm, 635.</w:t>
      </w:r>
    </w:p>
    <w:p>
      <w:pPr>
        <w:pStyle w:val="BookText"/>
        <w:bidi w:val="0"/>
        <w:jc w:val="both"/>
        <w:rPr/>
      </w:pPr>
      <w:r>
        <w:rPr>
          <w:rFonts w:eastAsia="Times New Roman" w:cs="Times New Roman" w:ascii="Times New Roman" w:hAnsi="Times New Roman"/>
          <w:color w:val="111111"/>
          <w:sz w:val="28"/>
          <w:szCs w:val="28"/>
          <w:lang w:val="en-US"/>
        </w:rPr>
        <w:t>9 Imam Khomeini, Cehel Hadits, hlm, 635.</w:t>
      </w:r>
    </w:p>
    <w:p>
      <w:pPr>
        <w:pStyle w:val="BookText"/>
        <w:bidi w:val="0"/>
        <w:jc w:val="both"/>
        <w:rPr/>
      </w:pPr>
      <w:r>
        <w:rPr>
          <w:rFonts w:eastAsia="Times New Roman" w:cs="Times New Roman" w:ascii="Times New Roman" w:hAnsi="Times New Roman"/>
          <w:color w:val="111111"/>
          <w:sz w:val="28"/>
          <w:szCs w:val="28"/>
          <w:lang w:val="en-US"/>
        </w:rPr>
        <w:t>10 QS Al-Qashash: 88.</w:t>
      </w:r>
    </w:p>
    <w:p>
      <w:pPr>
        <w:pStyle w:val="BookText"/>
        <w:bidi w:val="0"/>
        <w:jc w:val="both"/>
        <w:rPr/>
      </w:pPr>
      <w:r>
        <w:rPr>
          <w:rFonts w:eastAsia="Times New Roman" w:cs="Times New Roman" w:ascii="Times New Roman" w:hAnsi="Times New Roman"/>
          <w:color w:val="111111"/>
          <w:sz w:val="28"/>
          <w:szCs w:val="28"/>
          <w:lang w:val="en-US"/>
        </w:rPr>
        <w:t>11 Imam Khomeini, Cehel Hadits, hlm. 635.</w:t>
      </w:r>
    </w:p>
    <w:p>
      <w:pPr>
        <w:pStyle w:val="BookText"/>
        <w:bidi w:val="0"/>
        <w:jc w:val="both"/>
        <w:rPr/>
      </w:pPr>
      <w:r>
        <w:rPr>
          <w:rFonts w:eastAsia="Times New Roman" w:cs="Times New Roman" w:ascii="Times New Roman" w:hAnsi="Times New Roman"/>
          <w:color w:val="111111"/>
          <w:sz w:val="28"/>
          <w:szCs w:val="28"/>
          <w:lang w:val="en-US"/>
        </w:rPr>
        <w:t>12 QS Al-A'rāf: 180.</w:t>
      </w:r>
    </w:p>
    <w:p>
      <w:pPr>
        <w:pStyle w:val="BookText"/>
        <w:bidi w:val="0"/>
        <w:jc w:val="both"/>
        <w:rPr/>
      </w:pPr>
      <w:r>
        <w:rPr>
          <w:rFonts w:eastAsia="Times New Roman" w:cs="Times New Roman" w:ascii="Times New Roman" w:hAnsi="Times New Roman"/>
          <w:color w:val="111111"/>
          <w:sz w:val="28"/>
          <w:szCs w:val="28"/>
          <w:lang w:val="en-US"/>
        </w:rPr>
        <w:t>13 Imam Khomeini, Cehel Hadits, hlm. 636.</w:t>
      </w:r>
    </w:p>
    <w:p>
      <w:pPr>
        <w:pStyle w:val="BookText"/>
        <w:bidi w:val="0"/>
        <w:jc w:val="both"/>
        <w:rPr/>
      </w:pPr>
      <w:r>
        <w:rPr>
          <w:rFonts w:eastAsia="Times New Roman" w:cs="Times New Roman" w:ascii="Times New Roman" w:hAnsi="Times New Roman"/>
          <w:color w:val="111111"/>
          <w:sz w:val="28"/>
          <w:szCs w:val="28"/>
          <w:lang w:val="en-US"/>
        </w:rPr>
        <w:t>14 Imam Khomeini, Syarh Du'a' Al-Sahr, hlm. 121.</w:t>
      </w:r>
    </w:p>
    <w:p>
      <w:pPr>
        <w:pStyle w:val="BookText"/>
        <w:bidi w:val="0"/>
        <w:jc w:val="both"/>
        <w:rPr/>
      </w:pPr>
      <w:r>
        <w:rPr>
          <w:rFonts w:eastAsia="Times New Roman" w:cs="Times New Roman" w:ascii="Times New Roman" w:hAnsi="Times New Roman"/>
          <w:color w:val="111111"/>
          <w:sz w:val="28"/>
          <w:szCs w:val="28"/>
          <w:lang w:val="en-US"/>
        </w:rPr>
        <w:t>15 Imam Khomeini, Syarh Du'a' Al-Sahr, hlm. 123.</w:t>
      </w:r>
    </w:p>
    <w:p>
      <w:pPr>
        <w:pStyle w:val="BookText"/>
        <w:bidi w:val="0"/>
        <w:jc w:val="both"/>
        <w:rPr/>
      </w:pPr>
      <w:r>
        <w:rPr>
          <w:rFonts w:eastAsia="Times New Roman" w:cs="Times New Roman" w:ascii="Times New Roman" w:hAnsi="Times New Roman"/>
          <w:color w:val="111111"/>
          <w:sz w:val="28"/>
          <w:szCs w:val="28"/>
          <w:lang w:val="en-US"/>
        </w:rPr>
        <w:t>16 Imam Khomeini, Syarh Du'a' Al-Sahr, hlm. 131.</w:t>
      </w:r>
    </w:p>
    <w:p>
      <w:pPr>
        <w:pStyle w:val="BookText"/>
        <w:bidi w:val="0"/>
        <w:jc w:val="both"/>
        <w:rPr/>
      </w:pPr>
      <w:r>
        <w:rPr>
          <w:rFonts w:eastAsia="Times New Roman" w:cs="Times New Roman" w:ascii="Times New Roman" w:hAnsi="Times New Roman"/>
          <w:color w:val="111111"/>
          <w:sz w:val="28"/>
          <w:szCs w:val="28"/>
          <w:lang w:val="en-US"/>
        </w:rPr>
        <w:t>17 Imam Khomeini, Syarh Du'ā' Al-Sahr, hlm. 125.</w:t>
      </w:r>
    </w:p>
    <w:p>
      <w:pPr>
        <w:pStyle w:val="BookText"/>
        <w:bidi w:val="0"/>
        <w:jc w:val="both"/>
        <w:rPr/>
      </w:pPr>
      <w:r>
        <w:rPr>
          <w:rFonts w:eastAsia="Times New Roman" w:cs="Times New Roman" w:ascii="Times New Roman" w:hAnsi="Times New Roman"/>
          <w:color w:val="111111"/>
          <w:sz w:val="28"/>
          <w:szCs w:val="28"/>
          <w:lang w:val="en-US"/>
        </w:rPr>
        <w:t>18 QS Al-Anfāl: 17.</w:t>
      </w:r>
    </w:p>
    <w:p>
      <w:pPr>
        <w:pStyle w:val="BookText"/>
        <w:bidi w:val="0"/>
        <w:jc w:val="both"/>
        <w:rPr/>
      </w:pPr>
      <w:r>
        <w:rPr>
          <w:rFonts w:eastAsia="Times New Roman" w:cs="Times New Roman" w:ascii="Times New Roman" w:hAnsi="Times New Roman"/>
          <w:color w:val="111111"/>
          <w:sz w:val="28"/>
          <w:szCs w:val="28"/>
          <w:lang w:val="en-US"/>
        </w:rPr>
        <w:t>19 QS Az-Zumar: 42.</w:t>
      </w:r>
    </w:p>
    <w:p>
      <w:pPr>
        <w:pStyle w:val="BookText"/>
        <w:bidi w:val="0"/>
        <w:jc w:val="both"/>
        <w:rPr/>
      </w:pPr>
      <w:r>
        <w:rPr>
          <w:rFonts w:eastAsia="Times New Roman" w:cs="Times New Roman" w:ascii="Times New Roman" w:hAnsi="Times New Roman"/>
          <w:color w:val="111111"/>
          <w:sz w:val="28"/>
          <w:szCs w:val="28"/>
          <w:lang w:val="en-US"/>
        </w:rPr>
        <w:t>20 QS As-Sajdah: 11.</w:t>
      </w:r>
    </w:p>
    <w:p>
      <w:pPr>
        <w:pStyle w:val="BookText"/>
        <w:bidi w:val="0"/>
        <w:jc w:val="both"/>
        <w:rPr/>
      </w:pPr>
      <w:r>
        <w:rPr>
          <w:rFonts w:eastAsia="Times New Roman" w:cs="Times New Roman" w:ascii="Times New Roman" w:hAnsi="Times New Roman"/>
          <w:color w:val="111111"/>
          <w:sz w:val="28"/>
          <w:szCs w:val="28"/>
          <w:lang w:val="en-US"/>
        </w:rPr>
        <w:t>21 Imam Khomeini, Cehel Hadits, hlm. 587.</w:t>
      </w:r>
    </w:p>
    <w:p>
      <w:pPr>
        <w:pStyle w:val="BookText"/>
        <w:bidi w:val="0"/>
        <w:jc w:val="both"/>
        <w:rPr/>
      </w:pPr>
      <w:r>
        <w:rPr>
          <w:rFonts w:eastAsia="Times New Roman" w:cs="Times New Roman" w:ascii="Times New Roman" w:hAnsi="Times New Roman"/>
          <w:color w:val="111111"/>
          <w:sz w:val="28"/>
          <w:szCs w:val="28"/>
          <w:lang w:val="en-US"/>
        </w:rPr>
        <w:t>22 Imam Khomeini, Cehel Hadīts, hlm. 646.</w:t>
      </w:r>
    </w:p>
    <w:p>
      <w:pPr>
        <w:pStyle w:val="BookText"/>
        <w:bidi w:val="0"/>
        <w:jc w:val="both"/>
        <w:rPr/>
      </w:pPr>
      <w:r>
        <w:rPr>
          <w:rFonts w:eastAsia="Times New Roman" w:cs="Times New Roman" w:ascii="Times New Roman" w:hAnsi="Times New Roman"/>
          <w:color w:val="111111"/>
          <w:sz w:val="28"/>
          <w:szCs w:val="28"/>
          <w:lang w:val="en-US"/>
        </w:rPr>
        <w:t>23 Imam Khomeini, Cehel Hadits, hlm. 647.</w:t>
      </w:r>
    </w:p>
    <w:p>
      <w:pPr>
        <w:pStyle w:val="BookText"/>
        <w:bidi w:val="0"/>
        <w:jc w:val="both"/>
        <w:rPr/>
      </w:pPr>
      <w:r>
        <w:rPr>
          <w:rFonts w:eastAsia="Times New Roman" w:cs="Times New Roman" w:ascii="Times New Roman" w:hAnsi="Times New Roman"/>
          <w:color w:val="111111"/>
          <w:sz w:val="28"/>
          <w:szCs w:val="28"/>
          <w:lang w:val="en-US"/>
        </w:rPr>
        <w:t>24 Imam Khomeini, Cehel Hadits, hlm. 586.</w:t>
      </w:r>
    </w:p>
    <w:p>
      <w:pPr>
        <w:pStyle w:val="BookText"/>
        <w:bidi w:val="0"/>
        <w:jc w:val="both"/>
        <w:rPr/>
      </w:pPr>
      <w:r>
        <w:rPr>
          <w:rFonts w:eastAsia="Times New Roman" w:cs="Times New Roman" w:ascii="Times New Roman" w:hAnsi="Times New Roman"/>
          <w:color w:val="111111"/>
          <w:sz w:val="28"/>
          <w:szCs w:val="28"/>
          <w:lang w:val="en-US"/>
        </w:rPr>
        <w:t>25 Imam Khomeini, Cehel Hadits, hlm. 548.</w:t>
      </w:r>
    </w:p>
    <w:p>
      <w:pPr>
        <w:pStyle w:val="BookText"/>
        <w:bidi w:val="0"/>
        <w:jc w:val="both"/>
        <w:rPr/>
      </w:pPr>
      <w:r>
        <w:rPr>
          <w:rFonts w:eastAsia="Times New Roman" w:cs="Times New Roman" w:ascii="Times New Roman" w:hAnsi="Times New Roman"/>
          <w:color w:val="111111"/>
          <w:sz w:val="28"/>
          <w:szCs w:val="28"/>
          <w:lang w:val="en-US"/>
        </w:rPr>
        <w:t>26 Imam Khomeini, Cehel Hadits, hlm. 548.</w:t>
      </w:r>
    </w:p>
    <w:p>
      <w:pPr>
        <w:pStyle w:val="BookText"/>
        <w:bidi w:val="0"/>
        <w:jc w:val="both"/>
        <w:rPr/>
      </w:pPr>
      <w:r>
        <w:rPr>
          <w:rFonts w:eastAsia="Times New Roman" w:cs="Times New Roman" w:ascii="Times New Roman" w:hAnsi="Times New Roman"/>
          <w:color w:val="111111"/>
          <w:sz w:val="28"/>
          <w:szCs w:val="28"/>
          <w:lang w:val="en-US"/>
        </w:rPr>
        <w:t>27 Imam Khomeini, Cehel Hadits, hlm. 544-545.</w:t>
      </w:r>
    </w:p>
    <w:p>
      <w:pPr>
        <w:pStyle w:val="BookText"/>
        <w:bidi w:val="0"/>
        <w:jc w:val="both"/>
        <w:rPr/>
      </w:pPr>
      <w:r>
        <w:rPr>
          <w:rFonts w:eastAsia="Times New Roman" w:cs="Times New Roman" w:ascii="Times New Roman" w:hAnsi="Times New Roman"/>
          <w:color w:val="111111"/>
          <w:sz w:val="28"/>
          <w:szCs w:val="28"/>
          <w:lang w:val="en-US"/>
        </w:rPr>
        <w:t>28 Imam Khomeini, Cehel Hadits, hlm. 544-545.</w:t>
      </w:r>
    </w:p>
    <w:p>
      <w:pPr>
        <w:pStyle w:val="BookText"/>
        <w:bidi w:val="0"/>
        <w:jc w:val="both"/>
        <w:rPr/>
      </w:pPr>
      <w:r>
        <w:rPr>
          <w:rFonts w:eastAsia="Times New Roman" w:cs="Times New Roman" w:ascii="Times New Roman" w:hAnsi="Times New Roman"/>
          <w:color w:val="111111"/>
          <w:sz w:val="28"/>
          <w:szCs w:val="28"/>
          <w:lang w:val="en-US"/>
        </w:rPr>
        <w:t>29 Imam Khomeini, Cehel Hadits, hlm. 544-545.</w:t>
      </w:r>
    </w:p>
    <w:p>
      <w:pPr>
        <w:pStyle w:val="BookText"/>
        <w:bidi w:val="0"/>
        <w:jc w:val="both"/>
        <w:rPr/>
      </w:pPr>
      <w:r>
        <w:rPr>
          <w:rFonts w:eastAsia="Times New Roman" w:cs="Times New Roman" w:ascii="Times New Roman" w:hAnsi="Times New Roman"/>
          <w:color w:val="111111"/>
          <w:sz w:val="28"/>
          <w:szCs w:val="28"/>
          <w:lang w:val="en-US"/>
        </w:rPr>
        <w:t>30 Imam Khomeini, Cehel Hadits, hlm. 550.</w:t>
      </w:r>
    </w:p>
    <w:p>
      <w:pPr>
        <w:pStyle w:val="BookText"/>
        <w:bidi w:val="0"/>
        <w:jc w:val="both"/>
        <w:rPr/>
      </w:pPr>
      <w:r>
        <w:rPr>
          <w:rFonts w:eastAsia="Times New Roman" w:cs="Times New Roman" w:ascii="Times New Roman" w:hAnsi="Times New Roman"/>
          <w:color w:val="111111"/>
          <w:sz w:val="28"/>
          <w:szCs w:val="28"/>
          <w:lang w:val="en-US"/>
        </w:rPr>
        <w:t>31 Imam Khomeini, Cehel Hadīts, hlm. 551.</w:t>
      </w:r>
    </w:p>
    <w:p>
      <w:pPr>
        <w:pStyle w:val="BookText"/>
        <w:bidi w:val="0"/>
        <w:jc w:val="both"/>
        <w:rPr/>
      </w:pPr>
      <w:r>
        <w:rPr>
          <w:rFonts w:eastAsia="Times New Roman" w:cs="Times New Roman" w:ascii="Times New Roman" w:hAnsi="Times New Roman"/>
          <w:color w:val="111111"/>
          <w:sz w:val="28"/>
          <w:szCs w:val="28"/>
          <w:lang w:val="en-US"/>
        </w:rPr>
        <w:t>32 Imam Khomeini, Cehel Hadits, hlm. 551.</w:t>
      </w:r>
    </w:p>
    <w:p>
      <w:pPr>
        <w:pStyle w:val="BookText"/>
        <w:bidi w:val="0"/>
        <w:jc w:val="both"/>
        <w:rPr/>
      </w:pPr>
      <w:r>
        <w:rPr>
          <w:rFonts w:eastAsia="Times New Roman" w:cs="Times New Roman" w:ascii="Times New Roman" w:hAnsi="Times New Roman"/>
          <w:color w:val="111111"/>
          <w:sz w:val="28"/>
          <w:szCs w:val="28"/>
          <w:lang w:val="en-US"/>
        </w:rPr>
        <w:t>33 Imam Khomeini, Cehel Hadits, hlm. 548.</w:t>
      </w:r>
    </w:p>
    <w:p>
      <w:pPr>
        <w:pStyle w:val="BookText"/>
        <w:bidi w:val="0"/>
        <w:jc w:val="both"/>
        <w:rPr/>
      </w:pPr>
      <w:r>
        <w:rPr>
          <w:rFonts w:eastAsia="Times New Roman" w:cs="Times New Roman" w:ascii="Times New Roman" w:hAnsi="Times New Roman"/>
          <w:color w:val="111111"/>
          <w:sz w:val="28"/>
          <w:szCs w:val="28"/>
          <w:lang w:val="en-US"/>
        </w:rPr>
        <w:t>34 Imam Khomeini, Cehel Hadits, hlm. 645.</w:t>
      </w:r>
    </w:p>
    <w:p>
      <w:pPr>
        <w:pStyle w:val="BookText"/>
        <w:bidi w:val="0"/>
        <w:jc w:val="both"/>
        <w:rPr/>
      </w:pPr>
      <w:r>
        <w:rPr>
          <w:rFonts w:eastAsia="Times New Roman" w:cs="Times New Roman" w:ascii="Times New Roman" w:hAnsi="Times New Roman"/>
          <w:color w:val="111111"/>
          <w:sz w:val="28"/>
          <w:szCs w:val="28"/>
          <w:lang w:val="en-US"/>
        </w:rPr>
        <w:t>35 Imam Khomeini, Cehel Hadits, hlm. 548.</w:t>
      </w:r>
    </w:p>
    <w:p>
      <w:pPr>
        <w:pStyle w:val="BookText"/>
        <w:bidi w:val="0"/>
        <w:jc w:val="both"/>
        <w:rPr/>
      </w:pPr>
      <w:r>
        <w:rPr>
          <w:rFonts w:eastAsia="Times New Roman" w:cs="Times New Roman" w:ascii="Times New Roman" w:hAnsi="Times New Roman"/>
          <w:color w:val="111111"/>
          <w:sz w:val="28"/>
          <w:szCs w:val="28"/>
          <w:lang w:val="en-US"/>
        </w:rPr>
        <w:t>36 Imam Khomeini, Cehel Hadits, hlm. 546.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 Imam Khomeini, Cehel Hadīts, hlm. 664. </w:t>
      </w:r>
    </w:p>
    <w:p>
      <w:pPr>
        <w:pStyle w:val="BookText"/>
        <w:bidi w:val="0"/>
        <w:rPr/>
      </w:pPr>
      <w:r>
        <w:rPr>
          <w:rFonts w:eastAsia="Times New Roman" w:cs="Times New Roman" w:ascii="Times New Roman" w:hAnsi="Times New Roman"/>
          <w:color w:val="111111"/>
          <w:sz w:val="28"/>
          <w:szCs w:val="28"/>
          <w:lang w:val="en-US"/>
        </w:rPr>
        <w:t>38 Imam Khomeini, Ādāb Al-Shalāh, hlm. 372.</w:t>
      </w:r>
    </w:p>
    <w:p>
      <w:pPr>
        <w:pStyle w:val="BookText"/>
        <w:bidi w:val="0"/>
        <w:jc w:val="both"/>
        <w:rPr/>
      </w:pPr>
      <w:r>
        <w:rPr>
          <w:rFonts w:eastAsia="Times New Roman" w:cs="Times New Roman" w:ascii="Times New Roman" w:hAnsi="Times New Roman"/>
          <w:color w:val="111111"/>
          <w:sz w:val="28"/>
          <w:szCs w:val="28"/>
          <w:lang w:val="en-US"/>
        </w:rPr>
        <w:t>39 Imam Khomeini, Ādāb Al-Shalāh, hlm. 372.</w:t>
      </w:r>
    </w:p>
    <w:p>
      <w:pPr>
        <w:pStyle w:val="BookText"/>
        <w:bidi w:val="0"/>
        <w:jc w:val="both"/>
        <w:rPr/>
      </w:pPr>
      <w:r>
        <w:rPr>
          <w:rFonts w:eastAsia="Times New Roman" w:cs="Times New Roman" w:ascii="Times New Roman" w:hAnsi="Times New Roman"/>
          <w:color w:val="111111"/>
          <w:sz w:val="28"/>
          <w:szCs w:val="28"/>
          <w:lang w:val="en-US"/>
        </w:rPr>
        <w:t>40 QS Al-Isra': 44.</w:t>
      </w:r>
    </w:p>
    <w:p>
      <w:pPr>
        <w:pStyle w:val="BookText"/>
        <w:bidi w:val="0"/>
        <w:jc w:val="both"/>
        <w:rPr/>
      </w:pPr>
      <w:r>
        <w:rPr>
          <w:rFonts w:eastAsia="Times New Roman" w:cs="Times New Roman" w:ascii="Times New Roman" w:hAnsi="Times New Roman"/>
          <w:color w:val="111111"/>
          <w:sz w:val="28"/>
          <w:szCs w:val="28"/>
          <w:lang w:val="en-US"/>
        </w:rPr>
        <w:t>41 Imam Khomeini, Cehel Hadits, hlm. 283.</w:t>
      </w:r>
    </w:p>
    <w:p>
      <w:pPr>
        <w:pStyle w:val="BookText"/>
        <w:bidi w:val="0"/>
        <w:jc w:val="both"/>
        <w:rPr/>
      </w:pPr>
      <w:r>
        <w:rPr>
          <w:rFonts w:eastAsia="Times New Roman" w:cs="Times New Roman" w:ascii="Times New Roman" w:hAnsi="Times New Roman"/>
          <w:color w:val="111111"/>
          <w:sz w:val="28"/>
          <w:szCs w:val="28"/>
          <w:lang w:val="en-US"/>
        </w:rPr>
        <w:t>42 Imam Khomeini, Cehel Hadīts, hlm. 655.</w:t>
      </w:r>
    </w:p>
    <w:p>
      <w:pPr>
        <w:pStyle w:val="BookText"/>
        <w:bidi w:val="0"/>
        <w:jc w:val="both"/>
        <w:rPr/>
      </w:pPr>
      <w:r>
        <w:rPr>
          <w:rFonts w:eastAsia="Times New Roman" w:cs="Times New Roman" w:ascii="Times New Roman" w:hAnsi="Times New Roman"/>
          <w:color w:val="111111"/>
          <w:sz w:val="28"/>
          <w:szCs w:val="28"/>
          <w:lang w:val="en-US"/>
        </w:rPr>
        <w:t>43 Imam Khomeini, Cehel Hadīts, hlm. 654.</w:t>
      </w:r>
    </w:p>
    <w:p>
      <w:pPr>
        <w:pStyle w:val="BookText"/>
        <w:bidi w:val="0"/>
        <w:jc w:val="both"/>
        <w:rPr/>
      </w:pPr>
      <w:r>
        <w:rPr>
          <w:rFonts w:eastAsia="Times New Roman" w:cs="Times New Roman" w:ascii="Times New Roman" w:hAnsi="Times New Roman"/>
          <w:color w:val="111111"/>
          <w:sz w:val="28"/>
          <w:szCs w:val="28"/>
          <w:lang w:val="en-US"/>
        </w:rPr>
        <w:t>44 QS An-Naml: 18.</w:t>
      </w:r>
    </w:p>
    <w:p>
      <w:pPr>
        <w:pStyle w:val="BookText"/>
        <w:bidi w:val="0"/>
        <w:jc w:val="both"/>
        <w:rPr/>
      </w:pPr>
      <w:r>
        <w:rPr>
          <w:rFonts w:eastAsia="Times New Roman" w:cs="Times New Roman" w:ascii="Times New Roman" w:hAnsi="Times New Roman"/>
          <w:color w:val="111111"/>
          <w:sz w:val="28"/>
          <w:szCs w:val="28"/>
          <w:lang w:val="en-US"/>
        </w:rPr>
        <w:t>45 Imam Khomeini, Cehel Hadits, hlm. 655.</w:t>
      </w:r>
    </w:p>
    <w:p>
      <w:pPr>
        <w:pStyle w:val="BookText"/>
        <w:bidi w:val="0"/>
        <w:jc w:val="both"/>
        <w:rPr/>
      </w:pPr>
      <w:r>
        <w:rPr>
          <w:rFonts w:eastAsia="Times New Roman" w:cs="Times New Roman" w:ascii="Times New Roman" w:hAnsi="Times New Roman"/>
          <w:color w:val="111111"/>
          <w:sz w:val="28"/>
          <w:szCs w:val="28"/>
          <w:lang w:val="en-US"/>
        </w:rPr>
        <w:t>46 Imam Khomeini, Cehel Hadits, hlm. 283 dan 416.</w:t>
      </w:r>
    </w:p>
    <w:p>
      <w:pPr>
        <w:pStyle w:val="BookText"/>
        <w:bidi w:val="0"/>
        <w:jc w:val="both"/>
        <w:rPr/>
      </w:pPr>
      <w:r>
        <w:rPr>
          <w:rFonts w:eastAsia="Times New Roman" w:cs="Times New Roman" w:ascii="Times New Roman" w:hAnsi="Times New Roman"/>
          <w:color w:val="111111"/>
          <w:sz w:val="28"/>
          <w:szCs w:val="28"/>
          <w:lang w:val="en-US"/>
        </w:rPr>
        <w:t>47 Doa Sahr.</w:t>
      </w:r>
    </w:p>
    <w:p>
      <w:pPr>
        <w:pStyle w:val="BookText"/>
        <w:bidi w:val="0"/>
        <w:jc w:val="both"/>
        <w:rPr/>
      </w:pPr>
      <w:r>
        <w:rPr>
          <w:rFonts w:eastAsia="Times New Roman" w:cs="Times New Roman" w:ascii="Times New Roman" w:hAnsi="Times New Roman"/>
          <w:color w:val="111111"/>
          <w:sz w:val="28"/>
          <w:szCs w:val="28"/>
          <w:lang w:val="en-US"/>
        </w:rPr>
        <w:t>48 Imam Khomeini, Syarh Duſā' Al-Sahr, hlm 22.</w:t>
      </w:r>
    </w:p>
    <w:p>
      <w:pPr>
        <w:pStyle w:val="BookText"/>
        <w:bidi w:val="0"/>
        <w:jc w:val="both"/>
        <w:rPr/>
      </w:pPr>
      <w:r>
        <w:rPr>
          <w:rFonts w:eastAsia="Times New Roman" w:cs="Times New Roman" w:ascii="Times New Roman" w:hAnsi="Times New Roman"/>
          <w:color w:val="111111"/>
          <w:sz w:val="28"/>
          <w:szCs w:val="28"/>
          <w:lang w:val="en-US"/>
        </w:rPr>
        <w:t>49 Imam Khomeini, Syarh Duſā' Al-Sahr, hlm 22.</w:t>
      </w:r>
    </w:p>
    <w:p>
      <w:pPr>
        <w:pStyle w:val="BookText"/>
        <w:bidi w:val="0"/>
        <w:jc w:val="both"/>
        <w:rPr/>
      </w:pPr>
      <w:r>
        <w:rPr>
          <w:rFonts w:eastAsia="Times New Roman" w:cs="Times New Roman" w:ascii="Times New Roman" w:hAnsi="Times New Roman"/>
          <w:color w:val="111111"/>
          <w:sz w:val="28"/>
          <w:szCs w:val="28"/>
          <w:lang w:val="en-US"/>
        </w:rPr>
        <w:t>50 Imam Khomeini, Syarh Du'ā' Al-Sahr, hlm. 29.</w:t>
      </w:r>
    </w:p>
    <w:p>
      <w:pPr>
        <w:pStyle w:val="BookText"/>
        <w:bidi w:val="0"/>
        <w:jc w:val="both"/>
        <w:rPr/>
      </w:pPr>
      <w:r>
        <w:rPr>
          <w:rFonts w:eastAsia="Times New Roman" w:cs="Times New Roman" w:ascii="Times New Roman" w:hAnsi="Times New Roman"/>
          <w:color w:val="111111"/>
          <w:sz w:val="28"/>
          <w:szCs w:val="28"/>
          <w:lang w:val="en-US"/>
        </w:rPr>
        <w:t>51 Doa Sahr.</w:t>
      </w:r>
    </w:p>
    <w:p>
      <w:pPr>
        <w:pStyle w:val="BookText"/>
        <w:bidi w:val="0"/>
        <w:jc w:val="both"/>
        <w:rPr/>
      </w:pPr>
      <w:r>
        <w:rPr>
          <w:rFonts w:eastAsia="Times New Roman" w:cs="Times New Roman" w:ascii="Times New Roman" w:hAnsi="Times New Roman"/>
          <w:color w:val="111111"/>
          <w:sz w:val="28"/>
          <w:szCs w:val="28"/>
          <w:lang w:val="en-US"/>
        </w:rPr>
        <w:t>52 Imam Khomeini, Syarh Du'a' Al-Sahr, hlm. 44-45.</w:t>
      </w:r>
    </w:p>
    <w:p>
      <w:pPr>
        <w:pStyle w:val="BookText"/>
        <w:bidi w:val="0"/>
        <w:jc w:val="both"/>
        <w:rPr/>
      </w:pPr>
      <w:r>
        <w:rPr>
          <w:rFonts w:eastAsia="Times New Roman" w:cs="Times New Roman" w:ascii="Times New Roman" w:hAnsi="Times New Roman"/>
          <w:color w:val="111111"/>
          <w:sz w:val="28"/>
          <w:szCs w:val="28"/>
          <w:lang w:val="en-US"/>
        </w:rPr>
        <w:t>53 Imam Khomeini, Cehel Hadits, hlm. 639.</w:t>
      </w:r>
    </w:p>
    <w:p>
      <w:pPr>
        <w:pStyle w:val="BookText"/>
        <w:bidi w:val="0"/>
        <w:jc w:val="both"/>
        <w:rPr/>
      </w:pPr>
      <w:r>
        <w:rPr>
          <w:rFonts w:eastAsia="Times New Roman" w:cs="Times New Roman" w:ascii="Times New Roman" w:hAnsi="Times New Roman"/>
          <w:color w:val="111111"/>
          <w:sz w:val="28"/>
          <w:szCs w:val="28"/>
          <w:lang w:val="en-US"/>
        </w:rPr>
        <w:t>54 Imam Khomeini, Cehel Hadits, hlm. 440.</w:t>
      </w:r>
    </w:p>
    <w:p>
      <w:pPr>
        <w:pStyle w:val="BookText"/>
        <w:bidi w:val="0"/>
        <w:jc w:val="both"/>
        <w:rPr/>
      </w:pPr>
      <w:r>
        <w:rPr>
          <w:rFonts w:eastAsia="Times New Roman" w:cs="Times New Roman" w:ascii="Times New Roman" w:hAnsi="Times New Roman"/>
          <w:color w:val="111111"/>
          <w:sz w:val="28"/>
          <w:szCs w:val="28"/>
          <w:lang w:val="en-US"/>
        </w:rPr>
        <w:t>55 Imam Khomeini, Cehel Hadits, hlm. 640 dan 643.</w:t>
      </w:r>
    </w:p>
    <w:p>
      <w:pPr>
        <w:pStyle w:val="BookText"/>
        <w:bidi w:val="0"/>
        <w:jc w:val="both"/>
        <w:rPr/>
      </w:pPr>
      <w:r>
        <w:rPr>
          <w:rFonts w:eastAsia="Times New Roman" w:cs="Times New Roman" w:ascii="Times New Roman" w:hAnsi="Times New Roman"/>
          <w:color w:val="111111"/>
          <w:sz w:val="28"/>
          <w:szCs w:val="28"/>
          <w:lang w:val="en-US"/>
        </w:rPr>
        <w:t>56 QS An-Nisā': 78–79.</w:t>
      </w:r>
    </w:p>
    <w:p>
      <w:pPr>
        <w:pStyle w:val="BookText"/>
        <w:bidi w:val="0"/>
        <w:jc w:val="both"/>
        <w:rPr/>
      </w:pPr>
      <w:r>
        <w:rPr>
          <w:rFonts w:eastAsia="Times New Roman" w:cs="Times New Roman" w:ascii="Times New Roman" w:hAnsi="Times New Roman"/>
          <w:color w:val="111111"/>
          <w:sz w:val="28"/>
          <w:szCs w:val="28"/>
          <w:lang w:val="en-US"/>
        </w:rPr>
        <w:t>57 Imam Khomeini, Cehel Hadits, hlm. 644.</w:t>
      </w:r>
    </w:p>
    <w:p>
      <w:pPr>
        <w:pStyle w:val="BookText"/>
        <w:bidi w:val="0"/>
        <w:jc w:val="both"/>
        <w:rPr/>
      </w:pPr>
      <w:r>
        <w:rPr>
          <w:rFonts w:eastAsia="Times New Roman" w:cs="Times New Roman" w:ascii="Times New Roman" w:hAnsi="Times New Roman"/>
          <w:color w:val="111111"/>
          <w:sz w:val="28"/>
          <w:szCs w:val="28"/>
          <w:lang w:val="en-US"/>
        </w:rPr>
        <w:t>58 Imam Khomeini, Cehel Hadits, hlm. 640.</w:t>
      </w:r>
    </w:p>
    <w:p>
      <w:pPr>
        <w:pStyle w:val="BookText"/>
        <w:bidi w:val="0"/>
        <w:jc w:val="both"/>
        <w:rPr/>
      </w:pPr>
      <w:r>
        <w:rPr>
          <w:rFonts w:eastAsia="Times New Roman" w:cs="Times New Roman" w:ascii="Times New Roman" w:hAnsi="Times New Roman"/>
          <w:color w:val="111111"/>
          <w:sz w:val="28"/>
          <w:szCs w:val="28"/>
          <w:lang w:val="en-US"/>
        </w:rPr>
        <w:t>59 Imam Khomeini, Cehel Hadits, hlm. 442 dan 644.</w:t>
      </w:r>
    </w:p>
    <w:p>
      <w:pPr>
        <w:pStyle w:val="BookText"/>
        <w:bidi w:val="0"/>
        <w:jc w:val="both"/>
        <w:rPr/>
      </w:pPr>
      <w:r>
        <w:rPr>
          <w:rFonts w:eastAsia="Times New Roman" w:cs="Times New Roman" w:ascii="Times New Roman" w:hAnsi="Times New Roman"/>
          <w:color w:val="111111"/>
          <w:sz w:val="28"/>
          <w:szCs w:val="28"/>
          <w:lang w:val="en-US"/>
        </w:rPr>
        <w:t>60 Doa Kumail.</w:t>
      </w:r>
    </w:p>
    <w:p>
      <w:pPr>
        <w:pStyle w:val="BookText"/>
        <w:bidi w:val="0"/>
        <w:jc w:val="both"/>
        <w:rPr/>
      </w:pPr>
      <w:r>
        <w:rPr>
          <w:rFonts w:eastAsia="Times New Roman" w:cs="Times New Roman" w:ascii="Times New Roman" w:hAnsi="Times New Roman"/>
          <w:color w:val="111111"/>
          <w:sz w:val="28"/>
          <w:szCs w:val="28"/>
          <w:lang w:val="en-US"/>
        </w:rPr>
        <w:t>61 Doa Sahr.</w:t>
      </w:r>
    </w:p>
    <w:p>
      <w:pPr>
        <w:pStyle w:val="BookText"/>
        <w:bidi w:val="0"/>
        <w:jc w:val="both"/>
        <w:rPr/>
      </w:pPr>
      <w:r>
        <w:rPr>
          <w:rFonts w:eastAsia="Times New Roman" w:cs="Times New Roman" w:ascii="Times New Roman" w:hAnsi="Times New Roman"/>
          <w:color w:val="111111"/>
          <w:sz w:val="28"/>
          <w:szCs w:val="28"/>
          <w:lang w:val="en-US"/>
        </w:rPr>
        <w:t>62 Imam Khomeini, Syarh Du'ā' Al-Sahr, hlm. 74.</w:t>
      </w:r>
    </w:p>
    <w:p>
      <w:pPr>
        <w:pStyle w:val="BookText"/>
        <w:bidi w:val="0"/>
        <w:jc w:val="both"/>
        <w:rPr/>
      </w:pPr>
      <w:r>
        <w:rPr>
          <w:rFonts w:eastAsia="Times New Roman" w:cs="Times New Roman" w:ascii="Times New Roman" w:hAnsi="Times New Roman"/>
          <w:color w:val="111111"/>
          <w:sz w:val="28"/>
          <w:szCs w:val="28"/>
          <w:lang w:val="en-US"/>
        </w:rPr>
        <w:t>63 Imam Khomeini, Syarh Duſā' Al-Sahr, hlm. 75-76.</w:t>
      </w:r>
    </w:p>
    <w:p>
      <w:pPr>
        <w:pStyle w:val="BookText"/>
        <w:bidi w:val="0"/>
        <w:jc w:val="both"/>
        <w:rPr/>
      </w:pPr>
      <w:r>
        <w:rPr>
          <w:rFonts w:eastAsia="Times New Roman" w:cs="Times New Roman" w:ascii="Times New Roman" w:hAnsi="Times New Roman"/>
          <w:color w:val="111111"/>
          <w:sz w:val="28"/>
          <w:szCs w:val="28"/>
          <w:lang w:val="en-US"/>
        </w:rPr>
        <w:t>64 Imam Khomeini, Syarh Du'ā' Al-Sahr, hlm. 76.</w:t>
      </w:r>
    </w:p>
    <w:p>
      <w:pPr>
        <w:pStyle w:val="BookText"/>
        <w:bidi w:val="0"/>
        <w:jc w:val="both"/>
        <w:rPr/>
      </w:pPr>
      <w:r>
        <w:rPr>
          <w:rFonts w:eastAsia="Times New Roman" w:cs="Times New Roman" w:ascii="Times New Roman" w:hAnsi="Times New Roman"/>
          <w:color w:val="111111"/>
          <w:sz w:val="28"/>
          <w:szCs w:val="28"/>
          <w:lang w:val="en-US"/>
        </w:rPr>
        <w:t>65 Imam Khomeini, Syarh Du´ā' Al-Sahr, hlm. 78.</w:t>
      </w:r>
    </w:p>
    <w:p>
      <w:pPr>
        <w:pStyle w:val="BookText"/>
        <w:bidi w:val="0"/>
        <w:jc w:val="both"/>
        <w:rPr/>
      </w:pPr>
      <w:r>
        <w:rPr>
          <w:rFonts w:eastAsia="Times New Roman" w:cs="Times New Roman" w:ascii="Times New Roman" w:hAnsi="Times New Roman"/>
          <w:color w:val="111111"/>
          <w:sz w:val="28"/>
          <w:szCs w:val="28"/>
          <w:lang w:val="en-US"/>
        </w:rPr>
        <w:t>66 QS Al-Rahmān: 29.</w:t>
      </w:r>
    </w:p>
    <w:p>
      <w:pPr>
        <w:pStyle w:val="BookText"/>
        <w:bidi w:val="0"/>
        <w:jc w:val="both"/>
        <w:rPr/>
      </w:pPr>
      <w:r>
        <w:rPr>
          <w:rFonts w:eastAsia="Times New Roman" w:cs="Times New Roman" w:ascii="Times New Roman" w:hAnsi="Times New Roman"/>
          <w:color w:val="111111"/>
          <w:sz w:val="28"/>
          <w:szCs w:val="28"/>
          <w:lang w:val="en-US"/>
        </w:rPr>
        <w:t>67 Doa Sahr.</w:t>
      </w:r>
    </w:p>
    <w:p>
      <w:pPr>
        <w:pStyle w:val="BookText"/>
        <w:bidi w:val="0"/>
        <w:jc w:val="both"/>
        <w:rPr/>
      </w:pPr>
      <w:r>
        <w:rPr>
          <w:rFonts w:eastAsia="Times New Roman" w:cs="Times New Roman" w:ascii="Times New Roman" w:hAnsi="Times New Roman"/>
          <w:color w:val="111111"/>
          <w:sz w:val="28"/>
          <w:szCs w:val="28"/>
          <w:lang w:val="en-US"/>
        </w:rPr>
        <w:t>68 Imam Khomeini, Syarh Du'ā' Al-Sahr, hlm. 232.</w:t>
      </w:r>
    </w:p>
    <w:p>
      <w:pPr>
        <w:pStyle w:val="BookText"/>
        <w:bidi w:val="0"/>
        <w:jc w:val="both"/>
        <w:rPr/>
      </w:pPr>
      <w:r>
        <w:rPr>
          <w:rFonts w:eastAsia="Times New Roman" w:cs="Times New Roman" w:ascii="Times New Roman" w:hAnsi="Times New Roman"/>
          <w:color w:val="111111"/>
          <w:sz w:val="28"/>
          <w:szCs w:val="28"/>
          <w:lang w:val="en-US"/>
        </w:rPr>
        <w:t>69 Imam Khomeini, Syarh Du'a' Al-Sahr, hlm. 232-233.</w:t>
      </w:r>
    </w:p>
    <w:p>
      <w:pPr>
        <w:pStyle w:val="BookText"/>
        <w:bidi w:val="0"/>
        <w:jc w:val="both"/>
        <w:rPr/>
      </w:pPr>
      <w:r>
        <w:rPr>
          <w:rFonts w:eastAsia="Times New Roman" w:cs="Times New Roman" w:ascii="Times New Roman" w:hAnsi="Times New Roman"/>
          <w:color w:val="111111"/>
          <w:sz w:val="28"/>
          <w:szCs w:val="28"/>
          <w:lang w:val="en-US"/>
        </w:rPr>
        <w:t>70 Doa Sahr.</w:t>
      </w:r>
    </w:p>
    <w:p>
      <w:pPr>
        <w:pStyle w:val="BookText"/>
        <w:bidi w:val="0"/>
        <w:jc w:val="both"/>
        <w:rPr/>
      </w:pPr>
      <w:r>
        <w:rPr>
          <w:rFonts w:eastAsia="Times New Roman" w:cs="Times New Roman" w:ascii="Times New Roman" w:hAnsi="Times New Roman"/>
          <w:color w:val="111111"/>
          <w:sz w:val="28"/>
          <w:szCs w:val="28"/>
          <w:lang w:val="en-US"/>
        </w:rPr>
        <w:t>71 Imam Khomeini, Syarh Du´ā' Al-Sahr, hlm. 242.</w:t>
      </w:r>
    </w:p>
    <w:p>
      <w:pPr>
        <w:pStyle w:val="BookText"/>
        <w:bidi w:val="0"/>
        <w:jc w:val="both"/>
        <w:rPr/>
      </w:pPr>
      <w:r>
        <w:rPr>
          <w:rFonts w:eastAsia="Times New Roman" w:cs="Times New Roman" w:ascii="Times New Roman" w:hAnsi="Times New Roman"/>
          <w:color w:val="111111"/>
          <w:sz w:val="28"/>
          <w:szCs w:val="28"/>
          <w:lang w:val="en-US"/>
        </w:rPr>
        <w:t>72 Imam Khomeini, Syarh Du’ā' Al-Sahr, hlm. 243.</w:t>
      </w:r>
    </w:p>
    <w:p>
      <w:pPr>
        <w:pStyle w:val="BookText"/>
        <w:bidi w:val="0"/>
        <w:jc w:val="both"/>
        <w:rPr/>
      </w:pPr>
      <w:r>
        <w:rPr>
          <w:rFonts w:eastAsia="Times New Roman" w:cs="Times New Roman" w:ascii="Times New Roman" w:hAnsi="Times New Roman"/>
          <w:color w:val="111111"/>
          <w:sz w:val="28"/>
          <w:szCs w:val="28"/>
          <w:lang w:val="en-US"/>
        </w:rPr>
        <w:t>73 Imam Khomeini, Syarh Du'a' Al-Sahr, hlm. 244.</w:t>
      </w:r>
    </w:p>
    <w:p>
      <w:pPr>
        <w:pStyle w:val="BookText"/>
        <w:bidi w:val="0"/>
        <w:jc w:val="both"/>
        <w:rPr/>
      </w:pPr>
      <w:r>
        <w:rPr>
          <w:rFonts w:eastAsia="Times New Roman" w:cs="Times New Roman" w:ascii="Times New Roman" w:hAnsi="Times New Roman"/>
          <w:color w:val="111111"/>
          <w:sz w:val="28"/>
          <w:szCs w:val="28"/>
          <w:lang w:val="en-US"/>
        </w:rPr>
        <w:t>74 Doa Sahr.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75 Imam Khomeini, Syarh Du´a' Al-Sahr, hlm. 166. </w:t>
      </w:r>
    </w:p>
    <w:p>
      <w:pPr>
        <w:pStyle w:val="BookText"/>
        <w:bidi w:val="0"/>
        <w:rPr/>
      </w:pPr>
      <w:r>
        <w:rPr>
          <w:rFonts w:eastAsia="Times New Roman" w:cs="Times New Roman" w:ascii="Times New Roman" w:hAnsi="Times New Roman"/>
          <w:color w:val="111111"/>
          <w:sz w:val="28"/>
          <w:szCs w:val="28"/>
          <w:lang w:val="en-US"/>
        </w:rPr>
        <w:t>76 Imam Khomeini, Syarh Duſā' Al-Sahr, hlm. 166.</w:t>
      </w:r>
    </w:p>
    <w:p>
      <w:pPr>
        <w:pStyle w:val="BookText"/>
        <w:bidi w:val="0"/>
        <w:jc w:val="both"/>
        <w:rPr/>
      </w:pPr>
      <w:r>
        <w:rPr>
          <w:rFonts w:eastAsia="Times New Roman" w:cs="Times New Roman" w:ascii="Times New Roman" w:hAnsi="Times New Roman"/>
          <w:color w:val="111111"/>
          <w:sz w:val="28"/>
          <w:szCs w:val="28"/>
          <w:lang w:val="en-US"/>
        </w:rPr>
        <w:t>77 Imam Khomeini, Syarh Du´ā' Al-Sahr., hlm. 167.</w:t>
      </w:r>
    </w:p>
    <w:p>
      <w:pPr>
        <w:pStyle w:val="BookText"/>
        <w:bidi w:val="0"/>
        <w:jc w:val="both"/>
        <w:rPr/>
      </w:pPr>
      <w:r>
        <w:rPr>
          <w:rFonts w:eastAsia="Times New Roman" w:cs="Times New Roman" w:ascii="Times New Roman" w:hAnsi="Times New Roman"/>
          <w:color w:val="111111"/>
          <w:sz w:val="28"/>
          <w:szCs w:val="28"/>
          <w:lang w:val="en-US"/>
        </w:rPr>
        <w:t>78 Imam Khomeini, Syarh Du'a' Al-Sahr., hlm. 167.</w:t>
      </w:r>
    </w:p>
    <w:p>
      <w:pPr>
        <w:pStyle w:val="BookText"/>
        <w:bidi w:val="0"/>
        <w:jc w:val="both"/>
        <w:rPr/>
      </w:pPr>
      <w:r>
        <w:rPr>
          <w:rFonts w:eastAsia="Times New Roman" w:cs="Times New Roman" w:ascii="Times New Roman" w:hAnsi="Times New Roman"/>
          <w:color w:val="111111"/>
          <w:sz w:val="28"/>
          <w:szCs w:val="28"/>
          <w:lang w:val="en-US"/>
        </w:rPr>
        <w:t>79 Imam Khomeini, Cehel Hadits, hlm. 610.</w:t>
      </w:r>
    </w:p>
    <w:p>
      <w:pPr>
        <w:pStyle w:val="BookText"/>
        <w:bidi w:val="0"/>
        <w:jc w:val="both"/>
        <w:rPr/>
      </w:pPr>
      <w:r>
        <w:rPr>
          <w:rFonts w:eastAsia="Times New Roman" w:cs="Times New Roman" w:ascii="Times New Roman" w:hAnsi="Times New Roman"/>
          <w:color w:val="111111"/>
          <w:sz w:val="28"/>
          <w:szCs w:val="28"/>
          <w:lang w:val="en-US"/>
        </w:rPr>
        <w:t>80 Imam Khomeini, Cehel Hadīts, hlm. 605.</w:t>
      </w:r>
    </w:p>
    <w:p>
      <w:pPr>
        <w:pStyle w:val="BookText"/>
        <w:bidi w:val="0"/>
        <w:jc w:val="both"/>
        <w:rPr/>
      </w:pPr>
      <w:r>
        <w:rPr>
          <w:rFonts w:eastAsia="Times New Roman" w:cs="Times New Roman" w:ascii="Times New Roman" w:hAnsi="Times New Roman"/>
          <w:color w:val="111111"/>
          <w:sz w:val="28"/>
          <w:szCs w:val="28"/>
          <w:lang w:val="en-US"/>
        </w:rPr>
        <w:t>81 Imam Khomeini, Cehel Hadits, hlm. 606.</w:t>
      </w:r>
    </w:p>
    <w:p>
      <w:pPr>
        <w:pStyle w:val="BookText"/>
        <w:bidi w:val="0"/>
        <w:jc w:val="both"/>
        <w:rPr/>
      </w:pPr>
      <w:r>
        <w:rPr>
          <w:rFonts w:eastAsia="Times New Roman" w:cs="Times New Roman" w:ascii="Times New Roman" w:hAnsi="Times New Roman"/>
          <w:color w:val="111111"/>
          <w:sz w:val="28"/>
          <w:szCs w:val="28"/>
          <w:lang w:val="en-US"/>
        </w:rPr>
        <w:t>82 Imam Khomeini, Cehel Hadīts, hlm. 607.</w:t>
      </w:r>
    </w:p>
    <w:p>
      <w:pPr>
        <w:pStyle w:val="BookText"/>
        <w:bidi w:val="0"/>
        <w:jc w:val="both"/>
        <w:rPr/>
      </w:pPr>
      <w:r>
        <w:rPr>
          <w:rFonts w:eastAsia="Times New Roman" w:cs="Times New Roman" w:ascii="Times New Roman" w:hAnsi="Times New Roman"/>
          <w:color w:val="111111"/>
          <w:sz w:val="28"/>
          <w:szCs w:val="28"/>
          <w:lang w:val="en-US"/>
        </w:rPr>
        <w:t>83 Imam Khomeini, Cehel Hadīts, hlm. 607.</w:t>
      </w:r>
    </w:p>
    <w:p>
      <w:pPr>
        <w:pStyle w:val="BookText"/>
        <w:bidi w:val="0"/>
        <w:jc w:val="both"/>
        <w:rPr/>
      </w:pPr>
      <w:r>
        <w:rPr>
          <w:rFonts w:eastAsia="Times New Roman" w:cs="Times New Roman" w:ascii="Times New Roman" w:hAnsi="Times New Roman"/>
          <w:color w:val="111111"/>
          <w:sz w:val="28"/>
          <w:szCs w:val="28"/>
          <w:lang w:val="en-US"/>
        </w:rPr>
        <w:t>84 Imam Khomeini, Cehel Hadits, hlm. 607.</w:t>
      </w:r>
    </w:p>
    <w:p>
      <w:pPr>
        <w:pStyle w:val="BookText"/>
        <w:bidi w:val="0"/>
        <w:jc w:val="both"/>
        <w:rPr/>
      </w:pPr>
      <w:r>
        <w:rPr>
          <w:rFonts w:eastAsia="Times New Roman" w:cs="Times New Roman" w:ascii="Times New Roman" w:hAnsi="Times New Roman"/>
          <w:color w:val="111111"/>
          <w:sz w:val="28"/>
          <w:szCs w:val="28"/>
          <w:lang w:val="en-US"/>
        </w:rPr>
        <w:t>85 Imam Khomeini, Cehel Hadits, hlm. 607.</w:t>
      </w:r>
    </w:p>
    <w:p>
      <w:pPr>
        <w:pStyle w:val="BookText"/>
        <w:bidi w:val="0"/>
        <w:jc w:val="both"/>
        <w:rPr/>
      </w:pPr>
      <w:r>
        <w:rPr>
          <w:rFonts w:eastAsia="Times New Roman" w:cs="Times New Roman" w:ascii="Times New Roman" w:hAnsi="Times New Roman"/>
          <w:color w:val="111111"/>
          <w:sz w:val="28"/>
          <w:szCs w:val="28"/>
          <w:lang w:val="en-US"/>
        </w:rPr>
        <w:t>86 Imam Khomeini, Cehel Hadits, hlm. 610.</w:t>
      </w:r>
    </w:p>
    <w:p>
      <w:pPr>
        <w:pStyle w:val="BookText"/>
        <w:bidi w:val="0"/>
        <w:jc w:val="both"/>
        <w:rPr/>
      </w:pPr>
      <w:r>
        <w:rPr>
          <w:rFonts w:eastAsia="Times New Roman" w:cs="Times New Roman" w:ascii="Times New Roman" w:hAnsi="Times New Roman"/>
          <w:color w:val="111111"/>
          <w:sz w:val="28"/>
          <w:szCs w:val="28"/>
          <w:lang w:val="en-US"/>
        </w:rPr>
        <w:t>87 Imam Khomeini, Cehel Hadits, hlm. 611.</w:t>
      </w:r>
    </w:p>
    <w:p>
      <w:pPr>
        <w:pStyle w:val="BookText"/>
        <w:bidi w:val="0"/>
        <w:jc w:val="both"/>
        <w:rPr/>
      </w:pPr>
      <w:r>
        <w:rPr>
          <w:rFonts w:eastAsia="Times New Roman" w:cs="Times New Roman" w:ascii="Times New Roman" w:hAnsi="Times New Roman"/>
          <w:color w:val="111111"/>
          <w:sz w:val="28"/>
          <w:szCs w:val="28"/>
          <w:lang w:val="en-US"/>
        </w:rPr>
        <w:t>88 Imam Khomeini, Cehel Hadits, hlm. 615.</w:t>
      </w:r>
    </w:p>
    <w:p>
      <w:pPr>
        <w:pStyle w:val="BookText"/>
        <w:bidi w:val="0"/>
        <w:jc w:val="both"/>
        <w:rPr/>
      </w:pPr>
      <w:r>
        <w:rPr>
          <w:rFonts w:eastAsia="Times New Roman" w:cs="Times New Roman" w:ascii="Times New Roman" w:hAnsi="Times New Roman"/>
          <w:color w:val="111111"/>
          <w:sz w:val="28"/>
          <w:szCs w:val="28"/>
          <w:lang w:val="en-US"/>
        </w:rPr>
        <w:t>89 Imam Khomeini, Syarh Du’ā' Al-Sahr, hlm. 211.</w:t>
      </w:r>
    </w:p>
    <w:p>
      <w:pPr>
        <w:pStyle w:val="BookText"/>
        <w:bidi w:val="0"/>
        <w:jc w:val="both"/>
        <w:rPr/>
      </w:pPr>
      <w:r>
        <w:rPr>
          <w:rFonts w:eastAsia="Times New Roman" w:cs="Times New Roman" w:ascii="Times New Roman" w:hAnsi="Times New Roman"/>
          <w:color w:val="111111"/>
          <w:sz w:val="28"/>
          <w:szCs w:val="28"/>
          <w:lang w:val="en-US"/>
        </w:rPr>
        <w:t>90 QS Al-An'am: 59.</w:t>
      </w:r>
    </w:p>
    <w:p>
      <w:pPr>
        <w:pStyle w:val="BookText"/>
        <w:bidi w:val="0"/>
        <w:jc w:val="both"/>
        <w:rPr/>
      </w:pPr>
      <w:r>
        <w:rPr>
          <w:rFonts w:eastAsia="Times New Roman" w:cs="Times New Roman" w:ascii="Times New Roman" w:hAnsi="Times New Roman"/>
          <w:color w:val="111111"/>
          <w:sz w:val="28"/>
          <w:szCs w:val="28"/>
          <w:lang w:val="en-US"/>
        </w:rPr>
        <w:t>91 Imam Khomeini, Cehel Hadīts, hlm. 611.</w:t>
      </w:r>
    </w:p>
    <w:p>
      <w:pPr>
        <w:pStyle w:val="BookText"/>
        <w:bidi w:val="0"/>
        <w:jc w:val="both"/>
        <w:rPr/>
      </w:pPr>
      <w:r>
        <w:rPr>
          <w:rFonts w:eastAsia="Times New Roman" w:cs="Times New Roman" w:ascii="Times New Roman" w:hAnsi="Times New Roman"/>
          <w:color w:val="111111"/>
          <w:sz w:val="28"/>
          <w:szCs w:val="28"/>
          <w:lang w:val="en-US"/>
        </w:rPr>
        <w:t>92 Imam Khomeini, Cehel Hadits, hlm. 612.</w:t>
      </w:r>
    </w:p>
    <w:p>
      <w:pPr>
        <w:pStyle w:val="BookText"/>
        <w:bidi w:val="0"/>
        <w:jc w:val="both"/>
        <w:rPr/>
      </w:pPr>
      <w:r>
        <w:rPr>
          <w:rFonts w:eastAsia="Times New Roman" w:cs="Times New Roman" w:ascii="Times New Roman" w:hAnsi="Times New Roman"/>
          <w:color w:val="111111"/>
          <w:sz w:val="28"/>
          <w:szCs w:val="28"/>
          <w:lang w:val="en-US"/>
        </w:rPr>
        <w:t>93 Imam Khomeini, Syarh Du'a' Al-Sahr, hlm. 212-213.</w:t>
      </w:r>
    </w:p>
    <w:p>
      <w:pPr>
        <w:pStyle w:val="BookText"/>
        <w:bidi w:val="0"/>
        <w:jc w:val="both"/>
        <w:rPr/>
      </w:pPr>
      <w:r>
        <w:rPr>
          <w:rFonts w:eastAsia="Times New Roman" w:cs="Times New Roman" w:ascii="Times New Roman" w:hAnsi="Times New Roman"/>
          <w:color w:val="111111"/>
          <w:sz w:val="28"/>
          <w:szCs w:val="28"/>
          <w:lang w:val="en-US"/>
        </w:rPr>
        <w:t>94 Imam Khomeini, Syarh Duſā' Al-Sahr, hlm 213.</w:t>
      </w:r>
    </w:p>
    <w:p>
      <w:pPr>
        <w:pStyle w:val="BookText"/>
        <w:bidi w:val="0"/>
        <w:jc w:val="both"/>
        <w:rPr/>
      </w:pPr>
      <w:r>
        <w:rPr>
          <w:rFonts w:eastAsia="Times New Roman" w:cs="Times New Roman" w:ascii="Times New Roman" w:hAnsi="Times New Roman"/>
          <w:color w:val="111111"/>
          <w:sz w:val="28"/>
          <w:szCs w:val="28"/>
          <w:lang w:val="en-US"/>
        </w:rPr>
        <w:t>95 QS Al-Wāqi'ah: 85.</w:t>
      </w:r>
    </w:p>
    <w:p>
      <w:pPr>
        <w:pStyle w:val="BookText"/>
        <w:bidi w:val="0"/>
        <w:jc w:val="both"/>
        <w:rPr/>
      </w:pPr>
      <w:r>
        <w:rPr>
          <w:rFonts w:eastAsia="Times New Roman" w:cs="Times New Roman" w:ascii="Times New Roman" w:hAnsi="Times New Roman"/>
          <w:color w:val="111111"/>
          <w:sz w:val="28"/>
          <w:szCs w:val="28"/>
          <w:lang w:val="en-US"/>
        </w:rPr>
        <w:t>96 QS Qāf: 16.</w:t>
      </w:r>
    </w:p>
    <w:p>
      <w:pPr>
        <w:pStyle w:val="BookText"/>
        <w:bidi w:val="0"/>
        <w:jc w:val="both"/>
        <w:rPr/>
      </w:pPr>
      <w:r>
        <w:rPr>
          <w:rFonts w:eastAsia="Times New Roman" w:cs="Times New Roman" w:ascii="Times New Roman" w:hAnsi="Times New Roman"/>
          <w:color w:val="111111"/>
          <w:sz w:val="28"/>
          <w:szCs w:val="28"/>
          <w:lang w:val="en-US"/>
        </w:rPr>
        <w:t>97 QS Fushshilat: 54.</w:t>
      </w:r>
    </w:p>
    <w:p>
      <w:pPr>
        <w:pStyle w:val="BookText"/>
        <w:bidi w:val="0"/>
        <w:jc w:val="both"/>
        <w:rPr/>
      </w:pPr>
      <w:r>
        <w:rPr>
          <w:rFonts w:eastAsia="Times New Roman" w:cs="Times New Roman" w:ascii="Times New Roman" w:hAnsi="Times New Roman"/>
          <w:color w:val="111111"/>
          <w:sz w:val="28"/>
          <w:szCs w:val="28"/>
          <w:lang w:val="en-US"/>
        </w:rPr>
        <w:t>98 Imam Khomeini, Syarh Du'a' Al-Sahr, hlm. 212.</w:t>
      </w:r>
    </w:p>
    <w:p>
      <w:pPr>
        <w:pStyle w:val="BookText"/>
        <w:bidi w:val="0"/>
        <w:jc w:val="both"/>
        <w:rPr/>
      </w:pPr>
      <w:r>
        <w:rPr>
          <w:rFonts w:eastAsia="Times New Roman" w:cs="Times New Roman" w:ascii="Times New Roman" w:hAnsi="Times New Roman"/>
          <w:color w:val="111111"/>
          <w:sz w:val="28"/>
          <w:szCs w:val="28"/>
          <w:lang w:val="en-US"/>
        </w:rPr>
        <w:t>99 Doa Sahr.</w:t>
      </w:r>
    </w:p>
    <w:p>
      <w:pPr>
        <w:pStyle w:val="BookText"/>
        <w:bidi w:val="0"/>
        <w:jc w:val="both"/>
        <w:rPr/>
      </w:pPr>
      <w:r>
        <w:rPr>
          <w:rFonts w:eastAsia="Times New Roman" w:cs="Times New Roman" w:ascii="Times New Roman" w:hAnsi="Times New Roman"/>
          <w:color w:val="111111"/>
          <w:sz w:val="28"/>
          <w:szCs w:val="28"/>
          <w:lang w:val="en-US"/>
        </w:rPr>
        <w:t>100 Imam Khomeini, Syarh Du'a' Al-Sahr, hlm. 260.</w:t>
      </w:r>
    </w:p>
    <w:p>
      <w:pPr>
        <w:pStyle w:val="BookText"/>
        <w:bidi w:val="0"/>
        <w:jc w:val="both"/>
        <w:rPr/>
      </w:pPr>
      <w:r>
        <w:rPr>
          <w:rFonts w:eastAsia="Times New Roman" w:cs="Times New Roman" w:ascii="Times New Roman" w:hAnsi="Times New Roman"/>
          <w:color w:val="111111"/>
          <w:sz w:val="28"/>
          <w:szCs w:val="28"/>
          <w:lang w:val="en-US"/>
        </w:rPr>
        <w:t>101 Imam Khomeini, Syarh Du'ā' Al-Sahr, hlm. 260.</w:t>
      </w:r>
    </w:p>
    <w:p>
      <w:pPr>
        <w:pStyle w:val="BookText"/>
        <w:bidi w:val="0"/>
        <w:jc w:val="both"/>
        <w:rPr/>
      </w:pPr>
      <w:r>
        <w:rPr>
          <w:rFonts w:eastAsia="Times New Roman" w:cs="Times New Roman" w:ascii="Times New Roman" w:hAnsi="Times New Roman"/>
          <w:color w:val="111111"/>
          <w:sz w:val="28"/>
          <w:szCs w:val="28"/>
          <w:lang w:val="en-US"/>
        </w:rPr>
        <w:t>102 Imam Khomeini, Syarh Du'a' Al-Sahr, hlm. 260.</w:t>
      </w:r>
    </w:p>
    <w:p>
      <w:pPr>
        <w:pStyle w:val="BookText"/>
        <w:bidi w:val="0"/>
        <w:jc w:val="both"/>
        <w:rPr/>
      </w:pPr>
      <w:r>
        <w:rPr>
          <w:rFonts w:eastAsia="Times New Roman" w:cs="Times New Roman" w:ascii="Times New Roman" w:hAnsi="Times New Roman"/>
          <w:color w:val="111111"/>
          <w:sz w:val="28"/>
          <w:szCs w:val="28"/>
          <w:lang w:val="en-US"/>
        </w:rPr>
        <w:t>103 Doa Sahr.</w:t>
      </w:r>
    </w:p>
    <w:p>
      <w:pPr>
        <w:pStyle w:val="BookText"/>
        <w:bidi w:val="0"/>
        <w:jc w:val="both"/>
        <w:rPr/>
      </w:pPr>
      <w:r>
        <w:rPr>
          <w:rFonts w:eastAsia="Times New Roman" w:cs="Times New Roman" w:ascii="Times New Roman" w:hAnsi="Times New Roman"/>
          <w:color w:val="111111"/>
          <w:sz w:val="28"/>
          <w:szCs w:val="28"/>
          <w:lang w:val="en-US"/>
        </w:rPr>
        <w:t>104 Imam Khomeini, Syarh Du´ā' Al-Sahr, hlm. 92.</w:t>
      </w:r>
    </w:p>
    <w:p>
      <w:pPr>
        <w:pStyle w:val="BookText"/>
        <w:bidi w:val="0"/>
        <w:jc w:val="both"/>
        <w:rPr/>
      </w:pPr>
      <w:r>
        <w:rPr>
          <w:rFonts w:eastAsia="Times New Roman" w:cs="Times New Roman" w:ascii="Times New Roman" w:hAnsi="Times New Roman"/>
          <w:color w:val="111111"/>
          <w:sz w:val="28"/>
          <w:szCs w:val="28"/>
          <w:lang w:val="en-US"/>
        </w:rPr>
        <w:t>105 Imam Khomeini, Syarh Du'a' Al-Sahr, hlm. 88.</w:t>
      </w:r>
    </w:p>
    <w:p>
      <w:pPr>
        <w:pStyle w:val="BookText"/>
        <w:bidi w:val="0"/>
        <w:jc w:val="both"/>
        <w:rPr/>
      </w:pPr>
      <w:r>
        <w:rPr>
          <w:rFonts w:eastAsia="Times New Roman" w:cs="Times New Roman" w:ascii="Times New Roman" w:hAnsi="Times New Roman"/>
          <w:color w:val="111111"/>
          <w:sz w:val="28"/>
          <w:szCs w:val="28"/>
          <w:lang w:val="en-US"/>
        </w:rPr>
        <w:t>106 Imam Khomeini, Syarh Du'a' Al-Sahr, hlm. 92.</w:t>
      </w:r>
    </w:p>
    <w:p>
      <w:pPr>
        <w:pStyle w:val="BookText"/>
        <w:bidi w:val="0"/>
        <w:jc w:val="both"/>
        <w:rPr/>
      </w:pPr>
      <w:r>
        <w:rPr>
          <w:rFonts w:eastAsia="Times New Roman" w:cs="Times New Roman" w:ascii="Times New Roman" w:hAnsi="Times New Roman"/>
          <w:color w:val="111111"/>
          <w:sz w:val="28"/>
          <w:szCs w:val="28"/>
          <w:lang w:val="en-US"/>
        </w:rPr>
        <w:t>107 Imam Khomeini, Ādāb Al-Shalāh, hlm. 308.</w:t>
      </w:r>
    </w:p>
    <w:p>
      <w:pPr>
        <w:pStyle w:val="BookText"/>
        <w:bidi w:val="0"/>
        <w:jc w:val="both"/>
        <w:rPr/>
      </w:pPr>
      <w:r>
        <w:rPr>
          <w:rFonts w:eastAsia="Times New Roman" w:cs="Times New Roman" w:ascii="Times New Roman" w:hAnsi="Times New Roman"/>
          <w:color w:val="111111"/>
          <w:sz w:val="28"/>
          <w:szCs w:val="28"/>
          <w:lang w:val="en-US"/>
        </w:rPr>
        <w:t>108 Imam Khomeini, Syarh Du'a' Al-Sahr, hlm. 92.</w:t>
      </w:r>
    </w:p>
    <w:p>
      <w:pPr>
        <w:pStyle w:val="BookText"/>
        <w:bidi w:val="0"/>
        <w:jc w:val="both"/>
        <w:rPr/>
      </w:pPr>
      <w:r>
        <w:rPr>
          <w:rFonts w:eastAsia="Times New Roman" w:cs="Times New Roman" w:ascii="Times New Roman" w:hAnsi="Times New Roman"/>
          <w:color w:val="111111"/>
          <w:sz w:val="28"/>
          <w:szCs w:val="28"/>
          <w:lang w:val="en-US"/>
        </w:rPr>
        <w:t>109 Imam Khomeini, Syarh Du’ā' Al-Sahr, hlm. 92.</w:t>
      </w:r>
    </w:p>
    <w:p>
      <w:pPr>
        <w:pStyle w:val="BookText"/>
        <w:bidi w:val="0"/>
        <w:jc w:val="both"/>
        <w:rPr/>
      </w:pPr>
      <w:r>
        <w:rPr>
          <w:rFonts w:eastAsia="Times New Roman" w:cs="Times New Roman" w:ascii="Times New Roman" w:hAnsi="Times New Roman"/>
          <w:color w:val="111111"/>
          <w:sz w:val="28"/>
          <w:szCs w:val="28"/>
          <w:lang w:val="en-US"/>
        </w:rPr>
        <w:t>110 QS Al-Fātihah: 4.</w:t>
      </w:r>
    </w:p>
    <w:p>
      <w:pPr>
        <w:pStyle w:val="BookText"/>
        <w:bidi w:val="0"/>
        <w:jc w:val="both"/>
        <w:rPr/>
      </w:pPr>
      <w:r>
        <w:rPr>
          <w:rFonts w:eastAsia="Times New Roman" w:cs="Times New Roman" w:ascii="Times New Roman" w:hAnsi="Times New Roman"/>
          <w:color w:val="111111"/>
          <w:sz w:val="28"/>
          <w:szCs w:val="28"/>
          <w:lang w:val="en-US"/>
        </w:rPr>
        <w:t>111 Imam Khomeini, Ādab Al-Shalāh, hlm. 270.</w:t>
      </w:r>
    </w:p>
    <w:p>
      <w:pPr>
        <w:pStyle w:val="BookText"/>
        <w:bidi w:val="0"/>
        <w:jc w:val="both"/>
        <w:rPr/>
      </w:pPr>
      <w:r>
        <w:rPr>
          <w:rFonts w:eastAsia="Times New Roman" w:cs="Times New Roman" w:ascii="Times New Roman" w:hAnsi="Times New Roman"/>
          <w:color w:val="111111"/>
          <w:sz w:val="28"/>
          <w:szCs w:val="28"/>
          <w:lang w:val="en-US"/>
        </w:rPr>
        <w:t>112 Imam Khomeini, Adab Al-Shalāh, hlm. 270.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113 QS Al-Waqi'ah: 85. </w:t>
      </w:r>
    </w:p>
    <w:p>
      <w:pPr>
        <w:pStyle w:val="BookText"/>
        <w:bidi w:val="0"/>
        <w:rPr/>
      </w:pPr>
      <w:r>
        <w:rPr>
          <w:rFonts w:eastAsia="Times New Roman" w:cs="Times New Roman" w:ascii="Times New Roman" w:hAnsi="Times New Roman"/>
          <w:color w:val="111111"/>
          <w:sz w:val="28"/>
          <w:szCs w:val="28"/>
          <w:lang w:val="en-US"/>
        </w:rPr>
        <w:t>114 QS Qāf: 16.</w:t>
      </w:r>
    </w:p>
    <w:p>
      <w:pPr>
        <w:pStyle w:val="BookText"/>
        <w:bidi w:val="0"/>
        <w:jc w:val="both"/>
        <w:rPr/>
      </w:pPr>
      <w:r>
        <w:rPr>
          <w:rFonts w:eastAsia="Times New Roman" w:cs="Times New Roman" w:ascii="Times New Roman" w:hAnsi="Times New Roman"/>
          <w:color w:val="111111"/>
          <w:sz w:val="28"/>
          <w:szCs w:val="28"/>
          <w:lang w:val="en-US"/>
        </w:rPr>
        <w:t>115 QS Al-Baqarah: 107.</w:t>
      </w:r>
    </w:p>
    <w:p>
      <w:pPr>
        <w:pStyle w:val="BookText"/>
        <w:bidi w:val="0"/>
        <w:jc w:val="both"/>
        <w:rPr/>
      </w:pPr>
      <w:r>
        <w:rPr>
          <w:rFonts w:eastAsia="Times New Roman" w:cs="Times New Roman" w:ascii="Times New Roman" w:hAnsi="Times New Roman"/>
          <w:color w:val="111111"/>
          <w:sz w:val="28"/>
          <w:szCs w:val="28"/>
          <w:lang w:val="en-US"/>
        </w:rPr>
        <w:t>116 Doa Sahr.</w:t>
      </w:r>
    </w:p>
    <w:p>
      <w:pPr>
        <w:pStyle w:val="BookText"/>
        <w:bidi w:val="0"/>
        <w:jc w:val="both"/>
        <w:rPr/>
      </w:pPr>
      <w:r>
        <w:rPr>
          <w:rFonts w:eastAsia="Times New Roman" w:cs="Times New Roman" w:ascii="Times New Roman" w:hAnsi="Times New Roman"/>
          <w:color w:val="111111"/>
          <w:sz w:val="28"/>
          <w:szCs w:val="28"/>
          <w:lang w:val="en-US"/>
        </w:rPr>
        <w:t>117 Imam Khomeini, Syarh Du'ā' Al-Sahr, hlm. 175.</w:t>
      </w:r>
    </w:p>
    <w:p>
      <w:pPr>
        <w:pStyle w:val="BookText"/>
        <w:bidi w:val="0"/>
        <w:jc w:val="both"/>
        <w:rPr/>
      </w:pPr>
      <w:r>
        <w:rPr>
          <w:rFonts w:eastAsia="Times New Roman" w:cs="Times New Roman" w:ascii="Times New Roman" w:hAnsi="Times New Roman"/>
          <w:color w:val="111111"/>
          <w:sz w:val="28"/>
          <w:szCs w:val="28"/>
          <w:lang w:val="en-US"/>
        </w:rPr>
        <w:t>118 Imam Khomeini, Syarh Du'a' Al-Sahr, hlm. 175-176.</w:t>
      </w:r>
    </w:p>
    <w:p>
      <w:pPr>
        <w:pStyle w:val="BookText"/>
        <w:bidi w:val="0"/>
        <w:jc w:val="both"/>
        <w:rPr/>
      </w:pPr>
      <w:r>
        <w:rPr>
          <w:rFonts w:eastAsia="Times New Roman" w:cs="Times New Roman" w:ascii="Times New Roman" w:hAnsi="Times New Roman"/>
          <w:color w:val="111111"/>
          <w:sz w:val="28"/>
          <w:szCs w:val="28"/>
          <w:lang w:val="en-US"/>
        </w:rPr>
        <w:t>119 QS Al-Qashash: 88.</w:t>
      </w:r>
    </w:p>
    <w:p>
      <w:pPr>
        <w:pStyle w:val="BookText"/>
        <w:bidi w:val="0"/>
        <w:jc w:val="both"/>
        <w:rPr/>
      </w:pPr>
      <w:r>
        <w:rPr>
          <w:rFonts w:eastAsia="Times New Roman" w:cs="Times New Roman" w:ascii="Times New Roman" w:hAnsi="Times New Roman"/>
          <w:color w:val="111111"/>
          <w:sz w:val="28"/>
          <w:szCs w:val="28"/>
          <w:lang w:val="en-US"/>
        </w:rPr>
        <w:t>120 QS An-Najm: 23.</w:t>
      </w:r>
    </w:p>
    <w:p>
      <w:pPr>
        <w:pStyle w:val="BookText"/>
        <w:bidi w:val="0"/>
        <w:jc w:val="both"/>
        <w:rPr/>
      </w:pPr>
      <w:r>
        <w:rPr>
          <w:rFonts w:eastAsia="Times New Roman" w:cs="Times New Roman" w:ascii="Times New Roman" w:hAnsi="Times New Roman"/>
          <w:color w:val="111111"/>
          <w:sz w:val="28"/>
          <w:szCs w:val="28"/>
          <w:lang w:val="en-US"/>
        </w:rPr>
        <w:t>121 Imam Khomeini, Syarh Duſā' Al-Sahr, hlm. 181.</w:t>
      </w:r>
    </w:p>
    <w:p>
      <w:pPr>
        <w:pStyle w:val="BookText"/>
        <w:bidi w:val="0"/>
        <w:jc w:val="both"/>
        <w:rPr/>
      </w:pPr>
      <w:r>
        <w:rPr>
          <w:rFonts w:eastAsia="Times New Roman" w:cs="Times New Roman" w:ascii="Times New Roman" w:hAnsi="Times New Roman"/>
          <w:color w:val="111111"/>
          <w:sz w:val="28"/>
          <w:szCs w:val="28"/>
          <w:lang w:val="en-US"/>
        </w:rPr>
        <w:t>122 QS An-Nür: 35.</w:t>
      </w:r>
    </w:p>
    <w:p>
      <w:pPr>
        <w:pStyle w:val="BookText"/>
        <w:bidi w:val="0"/>
        <w:jc w:val="both"/>
        <w:rPr/>
      </w:pPr>
      <w:r>
        <w:rPr>
          <w:rFonts w:eastAsia="Times New Roman" w:cs="Times New Roman" w:ascii="Times New Roman" w:hAnsi="Times New Roman"/>
          <w:color w:val="111111"/>
          <w:sz w:val="28"/>
          <w:szCs w:val="28"/>
          <w:lang w:val="en-US"/>
        </w:rPr>
        <w:t>123 Doa Kumail.</w:t>
      </w:r>
    </w:p>
    <w:p>
      <w:pPr>
        <w:pStyle w:val="BookText"/>
        <w:bidi w:val="0"/>
        <w:jc w:val="both"/>
        <w:rPr/>
      </w:pPr>
      <w:r>
        <w:rPr>
          <w:rFonts w:eastAsia="Times New Roman" w:cs="Times New Roman" w:ascii="Times New Roman" w:hAnsi="Times New Roman"/>
          <w:color w:val="111111"/>
          <w:sz w:val="28"/>
          <w:szCs w:val="28"/>
          <w:lang w:val="en-US"/>
        </w:rPr>
        <w:t>124 Doa al-Samāt</w:t>
      </w:r>
    </w:p>
    <w:p>
      <w:pPr>
        <w:pStyle w:val="BookText"/>
        <w:bidi w:val="0"/>
        <w:jc w:val="both"/>
        <w:rPr/>
      </w:pPr>
      <w:r>
        <w:rPr>
          <w:rFonts w:eastAsia="Times New Roman" w:cs="Times New Roman" w:ascii="Times New Roman" w:hAnsi="Times New Roman"/>
          <w:color w:val="111111"/>
          <w:sz w:val="28"/>
          <w:szCs w:val="28"/>
          <w:lang w:val="en-US"/>
        </w:rPr>
        <w:t>125 Doa al-Sahr.</w:t>
      </w:r>
    </w:p>
    <w:p>
      <w:pPr>
        <w:pStyle w:val="BookText"/>
        <w:bidi w:val="0"/>
        <w:jc w:val="both"/>
        <w:rPr/>
      </w:pPr>
      <w:r>
        <w:rPr>
          <w:rFonts w:eastAsia="Times New Roman" w:cs="Times New Roman" w:ascii="Times New Roman" w:hAnsi="Times New Roman"/>
          <w:color w:val="111111"/>
          <w:sz w:val="28"/>
          <w:szCs w:val="28"/>
          <w:lang w:val="en-US"/>
        </w:rPr>
        <w:t>126 Imam Khomeini, Syarh Du’ā' Al-Sahr, hlm. 64.</w:t>
      </w:r>
    </w:p>
    <w:p>
      <w:pPr>
        <w:pStyle w:val="BookText"/>
        <w:bidi w:val="0"/>
        <w:jc w:val="both"/>
        <w:rPr/>
      </w:pPr>
      <w:r>
        <w:rPr>
          <w:rFonts w:eastAsia="Times New Roman" w:cs="Times New Roman" w:ascii="Times New Roman" w:hAnsi="Times New Roman"/>
          <w:color w:val="111111"/>
          <w:sz w:val="28"/>
          <w:szCs w:val="28"/>
          <w:lang w:val="en-US"/>
        </w:rPr>
        <w:t>127 Imam Khomeini, Syarh Du'ā' Al-Sahr, hlm. 65.</w:t>
      </w:r>
    </w:p>
    <w:p>
      <w:pPr>
        <w:pStyle w:val="BookText"/>
        <w:bidi w:val="0"/>
        <w:jc w:val="both"/>
        <w:rPr/>
      </w:pPr>
      <w:r>
        <w:rPr>
          <w:rFonts w:eastAsia="Times New Roman" w:cs="Times New Roman" w:ascii="Times New Roman" w:hAnsi="Times New Roman"/>
          <w:color w:val="111111"/>
          <w:sz w:val="28"/>
          <w:szCs w:val="28"/>
          <w:lang w:val="en-US"/>
        </w:rPr>
        <w:t>128 Imam Khomeini, Syarh Du'ā' Al-Sahr, hlm. 67.</w:t>
      </w:r>
    </w:p>
    <w:p>
      <w:pPr>
        <w:pStyle w:val="BookText"/>
        <w:bidi w:val="0"/>
        <w:jc w:val="both"/>
        <w:rPr/>
      </w:pPr>
      <w:r>
        <w:rPr>
          <w:rFonts w:eastAsia="Times New Roman" w:cs="Times New Roman" w:ascii="Times New Roman" w:hAnsi="Times New Roman"/>
          <w:color w:val="111111"/>
          <w:sz w:val="28"/>
          <w:szCs w:val="28"/>
          <w:lang w:val="en-US"/>
        </w:rPr>
        <w:t>129 Imam Khomeini, Cehel Hadits, hlm. 418.</w:t>
      </w:r>
    </w:p>
    <w:p>
      <w:pPr>
        <w:pStyle w:val="BookText"/>
        <w:bidi w:val="0"/>
        <w:jc w:val="both"/>
        <w:rPr/>
      </w:pPr>
      <w:r>
        <w:rPr>
          <w:rFonts w:eastAsia="Times New Roman" w:cs="Times New Roman" w:ascii="Times New Roman" w:hAnsi="Times New Roman"/>
          <w:color w:val="111111"/>
          <w:sz w:val="28"/>
          <w:szCs w:val="28"/>
          <w:lang w:val="en-US"/>
        </w:rPr>
        <w:t>130 Imam Khomeini, Cehel Hadīts, hlm. 418.</w:t>
      </w:r>
    </w:p>
    <w:p>
      <w:pPr>
        <w:pStyle w:val="BookText"/>
        <w:bidi w:val="0"/>
        <w:jc w:val="both"/>
        <w:rPr/>
      </w:pPr>
      <w:r>
        <w:rPr>
          <w:rFonts w:eastAsia="Times New Roman" w:cs="Times New Roman" w:ascii="Times New Roman" w:hAnsi="Times New Roman"/>
          <w:color w:val="111111"/>
          <w:sz w:val="28"/>
          <w:szCs w:val="28"/>
          <w:lang w:val="en-US"/>
        </w:rPr>
        <w:t>131 QS An-Nür: 40.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132 Imam Khomeini, Cehel Hadits, hlm. 419. </w:t>
      </w:r>
      <w:bookmarkStart w:id="167" w:name="pg5928_44327"/>
    </w:p>
    <w:p>
      <w:pPr>
        <w:pStyle w:val="Heading2"/>
        <w:numPr>
          <w:ilvl w:val="1"/>
          <w:numId w:val="1"/>
        </w:numPr>
        <w:bidi w:val="0"/>
        <w:jc w:val="left"/>
        <w:rPr/>
      </w:pPr>
      <w:bookmarkStart w:id="168" w:name="__RefHeading___Toc5529798_581953129"/>
      <w:bookmarkStart w:id="169" w:name="_Toc56"/>
      <w:bookmarkEnd w:id="167"/>
      <w:bookmarkEnd w:id="168"/>
      <w:r>
        <w:rPr/>
        <w:t>Daftar Pustaka</w:t>
      </w:r>
      <w:bookmarkEnd w:id="169"/>
    </w:p>
    <w:p>
      <w:pPr>
        <w:pStyle w:val="BookText"/>
        <w:bidi w:val="0"/>
        <w:jc w:val="both"/>
        <w:rPr/>
      </w:pPr>
      <w:r>
        <w:rPr>
          <w:rFonts w:eastAsia="Times New Roman" w:cs="Times New Roman" w:ascii="Times New Roman" w:hAnsi="Times New Roman"/>
          <w:color w:val="111111"/>
          <w:sz w:val="28"/>
          <w:szCs w:val="28"/>
          <w:lang w:val="en-US"/>
        </w:rPr>
        <w:t>Imam Khomeini, Ruhullah, 1359 HS, Syarh-e Du’ā-e Sahr,</w:t>
      </w:r>
    </w:p>
    <w:p>
      <w:pPr>
        <w:pStyle w:val="BookText"/>
        <w:bidi w:val="0"/>
        <w:jc w:val="both"/>
        <w:rPr/>
      </w:pPr>
      <w:r>
        <w:rPr>
          <w:rFonts w:eastAsia="Times New Roman" w:cs="Times New Roman" w:ascii="Times New Roman" w:hAnsi="Times New Roman"/>
          <w:color w:val="111111"/>
          <w:sz w:val="28"/>
          <w:szCs w:val="28"/>
          <w:lang w:val="en-US"/>
        </w:rPr>
        <w:t>Teheran: Nehzat-e Zaban-e Musalman.</w:t>
      </w:r>
    </w:p>
    <w:p>
      <w:pPr>
        <w:pStyle w:val="BookText"/>
        <w:bidi w:val="0"/>
        <w:jc w:val="both"/>
        <w:rPr/>
      </w:pPr>
      <w:r>
        <w:rPr>
          <w:rFonts w:eastAsia="Times New Roman" w:cs="Times New Roman" w:ascii="Times New Roman" w:hAnsi="Times New Roman"/>
          <w:color w:val="111111"/>
          <w:sz w:val="28"/>
          <w:szCs w:val="28"/>
          <w:lang w:val="en-US"/>
        </w:rPr>
        <w:t>,,1360 HS, Sirr Ash-Shalāh, Payam-e Azady.</w:t>
      </w:r>
    </w:p>
    <w:p>
      <w:pPr>
        <w:pStyle w:val="BookText"/>
        <w:bidi w:val="0"/>
        <w:jc w:val="both"/>
        <w:rPr/>
      </w:pPr>
      <w:r>
        <w:rPr>
          <w:rFonts w:eastAsia="Times New Roman" w:cs="Times New Roman" w:ascii="Times New Roman" w:hAnsi="Times New Roman"/>
          <w:color w:val="111111"/>
          <w:sz w:val="28"/>
          <w:szCs w:val="28"/>
          <w:lang w:val="en-US"/>
        </w:rPr>
        <w:t>1370 HS. Ādab Al-Shalāh (Adab-e Namaz),</w:t>
      </w:r>
    </w:p>
    <w:p>
      <w:pPr>
        <w:pStyle w:val="BookText"/>
        <w:bidi w:val="0"/>
        <w:jc w:val="both"/>
        <w:rPr/>
      </w:pPr>
      <w:r>
        <w:rPr>
          <w:rFonts w:eastAsia="Times New Roman" w:cs="Times New Roman" w:ascii="Times New Roman" w:hAnsi="Times New Roman"/>
          <w:color w:val="111111"/>
          <w:sz w:val="28"/>
          <w:szCs w:val="28"/>
          <w:lang w:val="en-US"/>
        </w:rPr>
        <w:t>Cetakan Pertama. Teheran: Mu'asese-e Tanzhim wa</w:t>
      </w:r>
    </w:p>
    <w:p>
      <w:pPr>
        <w:pStyle w:val="BookText"/>
        <w:bidi w:val="0"/>
        <w:jc w:val="both"/>
        <w:rPr/>
      </w:pPr>
      <w:r>
        <w:rPr>
          <w:rFonts w:eastAsia="Times New Roman" w:cs="Times New Roman" w:ascii="Times New Roman" w:hAnsi="Times New Roman"/>
          <w:color w:val="111111"/>
          <w:sz w:val="28"/>
          <w:szCs w:val="28"/>
          <w:lang w:val="en-US"/>
        </w:rPr>
        <w:t>Nashr-e Atsar.</w:t>
      </w:r>
    </w:p>
    <w:p>
      <w:pPr>
        <w:pStyle w:val="BookText"/>
        <w:bidi w:val="0"/>
        <w:jc w:val="both"/>
        <w:rPr/>
      </w:pPr>
      <w:r>
        <w:rPr>
          <w:rFonts w:eastAsia="Times New Roman" w:cs="Times New Roman" w:ascii="Times New Roman" w:hAnsi="Times New Roman"/>
          <w:color w:val="111111"/>
          <w:sz w:val="28"/>
          <w:szCs w:val="28"/>
          <w:lang w:val="en-US"/>
        </w:rPr>
        <w:t>, 1378 HS, Cehel Hadits (Arbaʼūna Hadits), Cetakan</w:t>
      </w:r>
    </w:p>
    <w:p>
      <w:pPr>
        <w:pStyle w:val="BookText"/>
        <w:bidi w:val="0"/>
        <w:jc w:val="both"/>
        <w:rPr/>
      </w:pPr>
      <w:r>
        <w:rPr>
          <w:rFonts w:eastAsia="Times New Roman" w:cs="Times New Roman" w:ascii="Times New Roman" w:hAnsi="Times New Roman"/>
          <w:color w:val="111111"/>
          <w:sz w:val="28"/>
          <w:szCs w:val="28"/>
          <w:lang w:val="en-US"/>
        </w:rPr>
        <w:t>Kedua, Teheran: Muasese-e Tanzhim wa Nashr-e Atsar.</w:t>
      </w:r>
    </w:p>
    <w:p>
      <w:pPr>
        <w:pStyle w:val="BookText"/>
        <w:bidi w:val="0"/>
        <w:jc w:val="both"/>
        <w:rPr/>
      </w:pPr>
      <w:r>
        <w:rPr>
          <w:rFonts w:eastAsia="Times New Roman" w:cs="Times New Roman" w:ascii="Times New Roman" w:hAnsi="Times New Roman"/>
          <w:color w:val="111111"/>
          <w:sz w:val="28"/>
          <w:szCs w:val="28"/>
          <w:lang w:val="en-US"/>
        </w:rPr>
        <w:t>, 1378 HS, Tafsir-e Shūre-e Hamd, Cetakan Kelima,</w:t>
      </w:r>
    </w:p>
    <w:p>
      <w:pPr>
        <w:pStyle w:val="BookText"/>
        <w:bidi w:val="0"/>
        <w:jc w:val="both"/>
        <w:rPr/>
      </w:pPr>
      <w:r>
        <w:rPr>
          <w:rFonts w:eastAsia="Times New Roman" w:cs="Times New Roman" w:ascii="Times New Roman" w:hAnsi="Times New Roman"/>
          <w:color w:val="111111"/>
          <w:sz w:val="28"/>
          <w:szCs w:val="28"/>
          <w:lang w:val="en-US"/>
        </w:rPr>
        <w:t>Teheran: Muasese-e Tanzhim wa Nashr Atsar.</w:t>
      </w:r>
    </w:p>
    <w:p>
      <w:pPr>
        <w:pStyle w:val="BookText"/>
        <w:bidi w:val="0"/>
        <w:jc w:val="both"/>
        <w:rPr/>
      </w:pPr>
      <w:r>
        <w:rPr>
          <w:rFonts w:eastAsia="Times New Roman" w:cs="Times New Roman" w:ascii="Times New Roman" w:hAnsi="Times New Roman"/>
          <w:color w:val="111111"/>
          <w:sz w:val="28"/>
          <w:szCs w:val="28"/>
          <w:lang w:val="en-US"/>
        </w:rPr>
        <w:t>, 1378 HS, Qur'ān wa Hidāyat dar Didghah-e Imam</w:t>
      </w:r>
    </w:p>
    <w:p>
      <w:pPr>
        <w:pStyle w:val="BookText"/>
        <w:bidi w:val="0"/>
        <w:jc w:val="both"/>
        <w:rPr/>
      </w:pPr>
      <w:r>
        <w:rPr>
          <w:rFonts w:eastAsia="Times New Roman" w:cs="Times New Roman" w:ascii="Times New Roman" w:hAnsi="Times New Roman"/>
          <w:color w:val="111111"/>
          <w:sz w:val="28"/>
          <w:szCs w:val="28"/>
          <w:lang w:val="en-US"/>
        </w:rPr>
        <w:t>Khomaeni, Cetakan Kedua, Teheran: Muasese-e Tanzhim</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Nashr-e Atsar.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0" w:name="pg5928_44329"/>
      <w:bookmarkStart w:id="171" w:name="pg5928_44329"/>
      <w:bookmarkEnd w:id="171"/>
    </w:p>
    <w:p>
      <w:pPr>
        <w:pStyle w:val="Heading2"/>
        <w:numPr>
          <w:ilvl w:val="1"/>
          <w:numId w:val="1"/>
        </w:numPr>
        <w:bidi w:val="0"/>
        <w:jc w:val="left"/>
        <w:rPr/>
      </w:pPr>
      <w:bookmarkStart w:id="172" w:name="pg5928_44329"/>
      <w:bookmarkStart w:id="173" w:name="__RefHeading___Toc5529800_581953129"/>
      <w:bookmarkStart w:id="174" w:name="_Toc57"/>
      <w:bookmarkEnd w:id="172"/>
      <w:bookmarkEnd w:id="173"/>
      <w:r>
        <w:rPr/>
        <w:t>Indeks</w:t>
      </w:r>
      <w:bookmarkEnd w:id="174"/>
    </w:p>
    <w:p>
      <w:pPr>
        <w:pStyle w:val="BookText"/>
        <w:bidi w:val="0"/>
        <w:jc w:val="both"/>
        <w:rPr/>
      </w:pPr>
      <w:r>
        <w:rPr>
          <w:rFonts w:eastAsia="Times New Roman" w:cs="Times New Roman" w:ascii="Times New Roman" w:hAnsi="Times New Roman"/>
          <w:color w:val="111111"/>
          <w:sz w:val="28"/>
          <w:szCs w:val="28"/>
          <w:lang w:val="en-US"/>
        </w:rPr>
        <w:t>118, 133, 137, 138, 144</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dunia 12, 13, 17, 29, 30, 37,</w:t>
      </w:r>
    </w:p>
    <w:p>
      <w:pPr>
        <w:pStyle w:val="BookText"/>
        <w:bidi w:val="0"/>
        <w:jc w:val="both"/>
        <w:rPr/>
      </w:pPr>
      <w:r>
        <w:rPr>
          <w:rFonts w:eastAsia="Times New Roman" w:cs="Times New Roman" w:ascii="Times New Roman" w:hAnsi="Times New Roman"/>
          <w:color w:val="111111"/>
          <w:sz w:val="28"/>
          <w:szCs w:val="28"/>
          <w:lang w:val="en-US"/>
        </w:rPr>
        <w:t>55, 66, 67, 72, 82, 101,</w:t>
      </w:r>
    </w:p>
    <w:p>
      <w:pPr>
        <w:pStyle w:val="BookText"/>
        <w:bidi w:val="0"/>
        <w:jc w:val="both"/>
        <w:rPr/>
      </w:pPr>
      <w:r>
        <w:rPr>
          <w:rFonts w:eastAsia="Times New Roman" w:cs="Times New Roman" w:ascii="Times New Roman" w:hAnsi="Times New Roman"/>
          <w:color w:val="111111"/>
          <w:sz w:val="28"/>
          <w:szCs w:val="28"/>
          <w:lang w:val="en-US"/>
        </w:rPr>
        <w:t>104, 115, 119, 139</w:t>
      </w:r>
    </w:p>
    <w:p>
      <w:pPr>
        <w:pStyle w:val="BookText"/>
        <w:bidi w:val="0"/>
        <w:jc w:val="both"/>
        <w:rPr/>
      </w:pPr>
      <w:r>
        <w:rPr>
          <w:rFonts w:eastAsia="Times New Roman" w:cs="Times New Roman" w:ascii="Times New Roman" w:hAnsi="Times New Roman"/>
          <w:color w:val="111111"/>
          <w:sz w:val="28"/>
          <w:szCs w:val="28"/>
          <w:lang w:val="en-US"/>
        </w:rPr>
        <w:t>agama xi, xii, xiii, 3, 20, 21,</w:t>
      </w:r>
    </w:p>
    <w:p>
      <w:pPr>
        <w:pStyle w:val="BookText"/>
        <w:bidi w:val="0"/>
        <w:jc w:val="both"/>
        <w:rPr/>
      </w:pPr>
      <w:r>
        <w:rPr>
          <w:rFonts w:eastAsia="Times New Roman" w:cs="Times New Roman" w:ascii="Times New Roman" w:hAnsi="Times New Roman"/>
          <w:color w:val="111111"/>
          <w:sz w:val="28"/>
          <w:szCs w:val="28"/>
          <w:lang w:val="en-US"/>
        </w:rPr>
        <w:t>24, 28, 30, 31, 51, 52,</w:t>
      </w:r>
    </w:p>
    <w:p>
      <w:pPr>
        <w:pStyle w:val="BookText"/>
        <w:bidi w:val="0"/>
        <w:jc w:val="both"/>
        <w:rPr/>
      </w:pPr>
      <w:r>
        <w:rPr>
          <w:rFonts w:eastAsia="Times New Roman" w:cs="Times New Roman" w:ascii="Times New Roman" w:hAnsi="Times New Roman"/>
          <w:color w:val="111111"/>
          <w:sz w:val="28"/>
          <w:szCs w:val="28"/>
          <w:lang w:val="en-US"/>
        </w:rPr>
        <w:t>53, 66, 69, 72, 73, 79,</w:t>
      </w:r>
    </w:p>
    <w:p>
      <w:pPr>
        <w:pStyle w:val="BookText"/>
        <w:bidi w:val="0"/>
        <w:jc w:val="both"/>
        <w:rPr/>
      </w:pPr>
      <w:r>
        <w:rPr>
          <w:rFonts w:eastAsia="Times New Roman" w:cs="Times New Roman" w:ascii="Times New Roman" w:hAnsi="Times New Roman"/>
          <w:color w:val="111111"/>
          <w:sz w:val="28"/>
          <w:szCs w:val="28"/>
          <w:lang w:val="en-US"/>
        </w:rPr>
        <w:t>83, 86, 87, 88, 89, 95,</w:t>
      </w:r>
    </w:p>
    <w:p>
      <w:pPr>
        <w:pStyle w:val="BookText"/>
        <w:bidi w:val="0"/>
        <w:jc w:val="both"/>
        <w:rPr/>
      </w:pPr>
      <w:r>
        <w:rPr>
          <w:rFonts w:eastAsia="Times New Roman" w:cs="Times New Roman" w:ascii="Times New Roman" w:hAnsi="Times New Roman"/>
          <w:color w:val="111111"/>
          <w:sz w:val="28"/>
          <w:szCs w:val="28"/>
          <w:lang w:val="en-US"/>
        </w:rPr>
        <w:t>97, 98, 99, 100, 105,</w:t>
      </w:r>
    </w:p>
    <w:p>
      <w:pPr>
        <w:pStyle w:val="BookText"/>
        <w:bidi w:val="0"/>
        <w:jc w:val="both"/>
        <w:rPr/>
      </w:pPr>
      <w:r>
        <w:rPr>
          <w:rFonts w:eastAsia="Times New Roman" w:cs="Times New Roman" w:ascii="Times New Roman" w:hAnsi="Times New Roman"/>
          <w:color w:val="111111"/>
          <w:sz w:val="28"/>
          <w:szCs w:val="28"/>
          <w:lang w:val="en-US"/>
        </w:rPr>
        <w:t>109, 114, 127, 128,</w:t>
      </w:r>
    </w:p>
    <w:p>
      <w:pPr>
        <w:pStyle w:val="BookText"/>
        <w:bidi w:val="0"/>
        <w:jc w:val="both"/>
        <w:rPr/>
      </w:pPr>
      <w:r>
        <w:rPr>
          <w:rFonts w:eastAsia="Times New Roman" w:cs="Times New Roman" w:ascii="Times New Roman" w:hAnsi="Times New Roman"/>
          <w:color w:val="111111"/>
          <w:sz w:val="28"/>
          <w:szCs w:val="28"/>
          <w:lang w:val="en-US"/>
        </w:rPr>
        <w:t>140, 143</w:t>
      </w:r>
    </w:p>
    <w:p>
      <w:pPr>
        <w:pStyle w:val="BookText"/>
        <w:bidi w:val="0"/>
        <w:jc w:val="both"/>
        <w:rPr/>
      </w:pPr>
      <w:r>
        <w:rPr>
          <w:rFonts w:eastAsia="Times New Roman" w:cs="Times New Roman" w:ascii="Times New Roman" w:hAnsi="Times New Roman"/>
          <w:color w:val="111111"/>
          <w:sz w:val="28"/>
          <w:szCs w:val="28"/>
          <w:lang w:val="en-US"/>
        </w:rPr>
        <w:t>Al-Haqq 6, 7, 22, 23, 30, 31,</w:t>
      </w:r>
    </w:p>
    <w:p>
      <w:pPr>
        <w:pStyle w:val="BookText"/>
        <w:bidi w:val="0"/>
        <w:jc w:val="both"/>
        <w:rPr/>
      </w:pPr>
      <w:r>
        <w:rPr>
          <w:rFonts w:eastAsia="Times New Roman" w:cs="Times New Roman" w:ascii="Times New Roman" w:hAnsi="Times New Roman"/>
          <w:color w:val="111111"/>
          <w:sz w:val="28"/>
          <w:szCs w:val="28"/>
          <w:lang w:val="en-US"/>
        </w:rPr>
        <w:t>32, 35, 36, 41, 42, 45,</w:t>
      </w:r>
    </w:p>
    <w:p>
      <w:pPr>
        <w:pStyle w:val="BookText"/>
        <w:bidi w:val="0"/>
        <w:jc w:val="both"/>
        <w:rPr/>
      </w:pPr>
      <w:r>
        <w:rPr>
          <w:rFonts w:eastAsia="Times New Roman" w:cs="Times New Roman" w:ascii="Times New Roman" w:hAnsi="Times New Roman"/>
          <w:color w:val="111111"/>
          <w:sz w:val="28"/>
          <w:szCs w:val="28"/>
          <w:lang w:val="en-US"/>
        </w:rPr>
        <w:t>49, 52, 54, 62, 63, 64,</w:t>
      </w:r>
    </w:p>
    <w:p>
      <w:pPr>
        <w:pStyle w:val="BookText"/>
        <w:bidi w:val="0"/>
        <w:jc w:val="both"/>
        <w:rPr/>
      </w:pPr>
      <w:r>
        <w:rPr>
          <w:rFonts w:eastAsia="Times New Roman" w:cs="Times New Roman" w:ascii="Times New Roman" w:hAnsi="Times New Roman"/>
          <w:color w:val="111111"/>
          <w:sz w:val="28"/>
          <w:szCs w:val="28"/>
          <w:lang w:val="en-US"/>
        </w:rPr>
        <w:t>66, 67, 69, 70, 71, 72,</w:t>
      </w:r>
    </w:p>
    <w:p>
      <w:pPr>
        <w:pStyle w:val="BookText"/>
        <w:bidi w:val="0"/>
        <w:jc w:val="both"/>
        <w:rPr/>
      </w:pPr>
      <w:r>
        <w:rPr>
          <w:rFonts w:eastAsia="Times New Roman" w:cs="Times New Roman" w:ascii="Times New Roman" w:hAnsi="Times New Roman"/>
          <w:color w:val="111111"/>
          <w:sz w:val="28"/>
          <w:szCs w:val="28"/>
          <w:lang w:val="en-US"/>
        </w:rPr>
        <w:t>74, 75, 77, 82, 83, 86,</w:t>
      </w:r>
    </w:p>
    <w:p>
      <w:pPr>
        <w:pStyle w:val="BookText"/>
        <w:bidi w:val="0"/>
        <w:jc w:val="both"/>
        <w:rPr/>
      </w:pPr>
      <w:r>
        <w:rPr>
          <w:rFonts w:eastAsia="Times New Roman" w:cs="Times New Roman" w:ascii="Times New Roman" w:hAnsi="Times New Roman"/>
          <w:color w:val="111111"/>
          <w:sz w:val="28"/>
          <w:szCs w:val="28"/>
          <w:lang w:val="en-US"/>
        </w:rPr>
        <w:t>89, 90, 97, 98, 99, 100,</w:t>
      </w:r>
    </w:p>
    <w:p>
      <w:pPr>
        <w:pStyle w:val="BookText"/>
        <w:bidi w:val="0"/>
        <w:jc w:val="both"/>
        <w:rPr/>
      </w:pPr>
      <w:r>
        <w:rPr>
          <w:rFonts w:eastAsia="Times New Roman" w:cs="Times New Roman" w:ascii="Times New Roman" w:hAnsi="Times New Roman"/>
          <w:color w:val="111111"/>
          <w:sz w:val="28"/>
          <w:szCs w:val="28"/>
          <w:lang w:val="en-US"/>
        </w:rPr>
        <w:t>104, 105, 106, 107,</w:t>
      </w:r>
    </w:p>
    <w:p>
      <w:pPr>
        <w:pStyle w:val="BookText"/>
        <w:bidi w:val="0"/>
        <w:jc w:val="both"/>
        <w:rPr/>
      </w:pPr>
      <w:r>
        <w:rPr>
          <w:rFonts w:eastAsia="Times New Roman" w:cs="Times New Roman" w:ascii="Times New Roman" w:hAnsi="Times New Roman"/>
          <w:color w:val="111111"/>
          <w:sz w:val="28"/>
          <w:szCs w:val="28"/>
          <w:lang w:val="en-US"/>
        </w:rPr>
        <w:t>108, 110, 121, 122,</w:t>
      </w:r>
    </w:p>
    <w:p>
      <w:pPr>
        <w:pStyle w:val="BookText"/>
        <w:bidi w:val="0"/>
        <w:jc w:val="both"/>
        <w:rPr/>
      </w:pPr>
      <w:r>
        <w:rPr>
          <w:rFonts w:eastAsia="Times New Roman" w:cs="Times New Roman" w:ascii="Times New Roman" w:hAnsi="Times New Roman"/>
          <w:color w:val="111111"/>
          <w:sz w:val="28"/>
          <w:szCs w:val="28"/>
          <w:lang w:val="en-US"/>
        </w:rPr>
        <w:t>126, 129, 130, 131,</w:t>
      </w:r>
    </w:p>
    <w:p>
      <w:pPr>
        <w:pStyle w:val="BookText"/>
        <w:bidi w:val="0"/>
        <w:jc w:val="both"/>
        <w:rPr/>
      </w:pPr>
      <w:r>
        <w:rPr>
          <w:rFonts w:eastAsia="Times New Roman" w:cs="Times New Roman" w:ascii="Times New Roman" w:hAnsi="Times New Roman"/>
          <w:color w:val="111111"/>
          <w:sz w:val="28"/>
          <w:szCs w:val="28"/>
          <w:lang w:val="en-US"/>
        </w:rPr>
        <w:t>132, 134, 137, 139,</w:t>
      </w:r>
    </w:p>
    <w:p>
      <w:pPr>
        <w:pStyle w:val="BookText"/>
        <w:bidi w:val="0"/>
        <w:jc w:val="both"/>
        <w:rPr/>
      </w:pPr>
      <w:r>
        <w:rPr>
          <w:rFonts w:eastAsia="Times New Roman" w:cs="Times New Roman" w:ascii="Times New Roman" w:hAnsi="Times New Roman"/>
          <w:color w:val="111111"/>
          <w:sz w:val="28"/>
          <w:szCs w:val="28"/>
          <w:lang w:val="en-US"/>
        </w:rPr>
        <w:t>140, 141</w:t>
      </w:r>
    </w:p>
    <w:p>
      <w:pPr>
        <w:pStyle w:val="BookText"/>
        <w:bidi w:val="0"/>
        <w:jc w:val="both"/>
        <w:rPr/>
      </w:pPr>
      <w:r>
        <w:rPr>
          <w:rFonts w:eastAsia="Times New Roman" w:cs="Times New Roman" w:ascii="Times New Roman" w:hAnsi="Times New Roman"/>
          <w:color w:val="111111"/>
          <w:sz w:val="28"/>
          <w:szCs w:val="28"/>
          <w:lang w:val="en-US"/>
        </w:rPr>
        <w:t>Al-Quran xi, xii, 6, 10, 11, 12,</w:t>
      </w:r>
    </w:p>
    <w:p>
      <w:pPr>
        <w:pStyle w:val="BookText"/>
        <w:bidi w:val="0"/>
        <w:jc w:val="both"/>
        <w:rPr/>
      </w:pPr>
      <w:r>
        <w:rPr>
          <w:rFonts w:eastAsia="Times New Roman" w:cs="Times New Roman" w:ascii="Times New Roman" w:hAnsi="Times New Roman"/>
          <w:color w:val="111111"/>
          <w:sz w:val="28"/>
          <w:szCs w:val="28"/>
          <w:lang w:val="en-US"/>
        </w:rPr>
        <w:t>15, 16, 20, 21, 24, 26,</w:t>
      </w:r>
    </w:p>
    <w:p>
      <w:pPr>
        <w:pStyle w:val="BookText"/>
        <w:bidi w:val="0"/>
        <w:jc w:val="both"/>
        <w:rPr/>
      </w:pPr>
      <w:r>
        <w:rPr>
          <w:rFonts w:eastAsia="Times New Roman" w:cs="Times New Roman" w:ascii="Times New Roman" w:hAnsi="Times New Roman"/>
          <w:color w:val="111111"/>
          <w:sz w:val="28"/>
          <w:szCs w:val="28"/>
          <w:lang w:val="en-US"/>
        </w:rPr>
        <w:t>27, 28, 29, 30, 31, 32,</w:t>
      </w:r>
    </w:p>
    <w:p>
      <w:pPr>
        <w:pStyle w:val="BookText"/>
        <w:bidi w:val="0"/>
        <w:jc w:val="both"/>
        <w:rPr/>
      </w:pPr>
      <w:r>
        <w:rPr>
          <w:rFonts w:eastAsia="Times New Roman" w:cs="Times New Roman" w:ascii="Times New Roman" w:hAnsi="Times New Roman"/>
          <w:color w:val="111111"/>
          <w:sz w:val="28"/>
          <w:szCs w:val="28"/>
          <w:lang w:val="en-US"/>
        </w:rPr>
        <w:t>33, 34, 35, 36, 37, 38,</w:t>
      </w:r>
    </w:p>
    <w:p>
      <w:pPr>
        <w:pStyle w:val="BookText"/>
        <w:bidi w:val="0"/>
        <w:jc w:val="both"/>
        <w:rPr/>
      </w:pPr>
      <w:r>
        <w:rPr>
          <w:rFonts w:eastAsia="Times New Roman" w:cs="Times New Roman" w:ascii="Times New Roman" w:hAnsi="Times New Roman"/>
          <w:color w:val="111111"/>
          <w:sz w:val="28"/>
          <w:szCs w:val="28"/>
          <w:lang w:val="en-US"/>
        </w:rPr>
        <w:t>39, 40, 41, 42, 43, 44,</w:t>
      </w:r>
    </w:p>
    <w:p>
      <w:pPr>
        <w:pStyle w:val="BookText"/>
        <w:bidi w:val="0"/>
        <w:jc w:val="both"/>
        <w:rPr/>
      </w:pPr>
      <w:r>
        <w:rPr>
          <w:rFonts w:eastAsia="Times New Roman" w:cs="Times New Roman" w:ascii="Times New Roman" w:hAnsi="Times New Roman"/>
          <w:color w:val="111111"/>
          <w:sz w:val="28"/>
          <w:szCs w:val="28"/>
          <w:lang w:val="en-US"/>
        </w:rPr>
        <w:t>45, 48, 49, 50, 52, 54,</w:t>
      </w:r>
    </w:p>
    <w:p>
      <w:pPr>
        <w:pStyle w:val="BookText"/>
        <w:bidi w:val="0"/>
        <w:jc w:val="both"/>
        <w:rPr/>
      </w:pPr>
      <w:r>
        <w:rPr>
          <w:rFonts w:eastAsia="Times New Roman" w:cs="Times New Roman" w:ascii="Times New Roman" w:hAnsi="Times New Roman"/>
          <w:color w:val="111111"/>
          <w:sz w:val="28"/>
          <w:szCs w:val="28"/>
          <w:lang w:val="en-US"/>
        </w:rPr>
        <w:t>55, 61, 68, 76, 77, 78,</w:t>
      </w:r>
    </w:p>
    <w:p>
      <w:pPr>
        <w:pStyle w:val="BookText"/>
        <w:bidi w:val="0"/>
        <w:jc w:val="both"/>
        <w:rPr/>
      </w:pPr>
      <w:r>
        <w:rPr>
          <w:rFonts w:eastAsia="Times New Roman" w:cs="Times New Roman" w:ascii="Times New Roman" w:hAnsi="Times New Roman"/>
          <w:color w:val="111111"/>
          <w:sz w:val="28"/>
          <w:szCs w:val="28"/>
          <w:lang w:val="en-US"/>
        </w:rPr>
        <w:t>83, 86, 87, 95, 97, 110,</w:t>
      </w:r>
    </w:p>
    <w:p>
      <w:pPr>
        <w:pStyle w:val="BookText"/>
        <w:bidi w:val="0"/>
        <w:jc w:val="both"/>
        <w:rPr/>
      </w:pPr>
      <w:r>
        <w:rPr>
          <w:rFonts w:eastAsia="Times New Roman" w:cs="Times New Roman" w:ascii="Times New Roman" w:hAnsi="Times New Roman"/>
          <w:color w:val="111111"/>
          <w:sz w:val="28"/>
          <w:szCs w:val="28"/>
          <w:lang w:val="en-US"/>
        </w:rPr>
        <w:t>111, 133, 144</w:t>
      </w:r>
    </w:p>
    <w:p>
      <w:pPr>
        <w:pStyle w:val="BookText"/>
        <w:bidi w:val="0"/>
        <w:jc w:val="both"/>
        <w:rPr/>
      </w:pPr>
      <w:r>
        <w:rPr>
          <w:rFonts w:eastAsia="Times New Roman" w:cs="Times New Roman" w:ascii="Times New Roman" w:hAnsi="Times New Roman"/>
          <w:color w:val="111111"/>
          <w:sz w:val="28"/>
          <w:szCs w:val="28"/>
          <w:lang w:val="en-US"/>
        </w:rPr>
        <w:t>ayat xi, 19, 20, 21, 25, 26,</w:t>
      </w:r>
    </w:p>
    <w:p>
      <w:pPr>
        <w:pStyle w:val="BookText"/>
        <w:bidi w:val="0"/>
        <w:jc w:val="both"/>
        <w:rPr/>
      </w:pPr>
      <w:r>
        <w:rPr>
          <w:rFonts w:eastAsia="Times New Roman" w:cs="Times New Roman" w:ascii="Times New Roman" w:hAnsi="Times New Roman"/>
          <w:color w:val="111111"/>
          <w:sz w:val="28"/>
          <w:szCs w:val="28"/>
          <w:lang w:val="en-US"/>
        </w:rPr>
        <w:t>28, 29, 31, 32, 38, 41,</w:t>
      </w:r>
    </w:p>
    <w:p>
      <w:pPr>
        <w:pStyle w:val="BookText"/>
        <w:bidi w:val="0"/>
        <w:jc w:val="both"/>
        <w:rPr/>
      </w:pPr>
      <w:r>
        <w:rPr>
          <w:rFonts w:eastAsia="Times New Roman" w:cs="Times New Roman" w:ascii="Times New Roman" w:hAnsi="Times New Roman"/>
          <w:color w:val="111111"/>
          <w:sz w:val="28"/>
          <w:szCs w:val="28"/>
          <w:lang w:val="en-US"/>
        </w:rPr>
        <w:t>42, 43, 49, 50, 52, 66,</w:t>
      </w:r>
    </w:p>
    <w:p>
      <w:pPr>
        <w:pStyle w:val="BookText"/>
        <w:bidi w:val="0"/>
        <w:jc w:val="both"/>
        <w:rPr/>
      </w:pPr>
      <w:r>
        <w:rPr>
          <w:rFonts w:eastAsia="Times New Roman" w:cs="Times New Roman" w:ascii="Times New Roman" w:hAnsi="Times New Roman"/>
          <w:color w:val="111111"/>
          <w:sz w:val="28"/>
          <w:szCs w:val="28"/>
          <w:lang w:val="en-US"/>
        </w:rPr>
        <w:t>68, 69, 70, 71, 83, 89,</w:t>
      </w:r>
    </w:p>
    <w:p>
      <w:pPr>
        <w:pStyle w:val="BookText"/>
        <w:bidi w:val="0"/>
        <w:jc w:val="both"/>
        <w:rPr/>
      </w:pPr>
      <w:r>
        <w:rPr>
          <w:rFonts w:eastAsia="Times New Roman" w:cs="Times New Roman" w:ascii="Times New Roman" w:hAnsi="Times New Roman"/>
          <w:color w:val="111111"/>
          <w:sz w:val="28"/>
          <w:szCs w:val="28"/>
          <w:lang w:val="en-US"/>
        </w:rPr>
        <w:t>95, 96, 97, 98, 99, 111,</w:t>
      </w:r>
    </w:p>
    <w:p>
      <w:pPr>
        <w:pStyle w:val="BookText"/>
        <w:bidi w:val="0"/>
        <w:jc w:val="both"/>
        <w:rPr/>
      </w:pPr>
      <w:r>
        <w:rPr>
          <w:rFonts w:eastAsia="Times New Roman" w:cs="Times New Roman" w:ascii="Times New Roman" w:hAnsi="Times New Roman"/>
          <w:color w:val="111111"/>
          <w:sz w:val="28"/>
          <w:szCs w:val="28"/>
          <w:lang w:val="en-US"/>
        </w:rPr>
        <w:t>eksistensi 7, 18, 21, 23, 25,</w:t>
      </w:r>
    </w:p>
    <w:p>
      <w:pPr>
        <w:pStyle w:val="BookText"/>
        <w:bidi w:val="0"/>
        <w:jc w:val="both"/>
        <w:rPr/>
      </w:pPr>
      <w:r>
        <w:rPr>
          <w:rFonts w:eastAsia="Times New Roman" w:cs="Times New Roman" w:ascii="Times New Roman" w:hAnsi="Times New Roman"/>
          <w:color w:val="111111"/>
          <w:sz w:val="28"/>
          <w:szCs w:val="28"/>
          <w:lang w:val="en-US"/>
        </w:rPr>
        <w:t>26, 34, 35, 36, 40, 64,</w:t>
      </w:r>
    </w:p>
    <w:p>
      <w:pPr>
        <w:pStyle w:val="BookText"/>
        <w:bidi w:val="0"/>
        <w:jc w:val="both"/>
        <w:rPr/>
      </w:pPr>
      <w:r>
        <w:rPr>
          <w:rFonts w:eastAsia="Times New Roman" w:cs="Times New Roman" w:ascii="Times New Roman" w:hAnsi="Times New Roman"/>
          <w:color w:val="111111"/>
          <w:sz w:val="28"/>
          <w:szCs w:val="28"/>
          <w:lang w:val="en-US"/>
        </w:rPr>
        <w:t>65, 66, 67, 69, 70, 71,</w:t>
      </w:r>
    </w:p>
    <w:p>
      <w:pPr>
        <w:pStyle w:val="BookText"/>
        <w:bidi w:val="0"/>
        <w:jc w:val="both"/>
        <w:rPr/>
      </w:pPr>
      <w:r>
        <w:rPr>
          <w:rFonts w:eastAsia="Times New Roman" w:cs="Times New Roman" w:ascii="Times New Roman" w:hAnsi="Times New Roman"/>
          <w:color w:val="111111"/>
          <w:sz w:val="28"/>
          <w:szCs w:val="28"/>
          <w:lang w:val="en-US"/>
        </w:rPr>
        <w:t>72, 73, 76, 77, 82, 87,</w:t>
      </w:r>
    </w:p>
    <w:p>
      <w:pPr>
        <w:pStyle w:val="BookText"/>
        <w:bidi w:val="0"/>
        <w:jc w:val="both"/>
        <w:rPr/>
      </w:pPr>
      <w:r>
        <w:rPr>
          <w:rFonts w:eastAsia="Times New Roman" w:cs="Times New Roman" w:ascii="Times New Roman" w:hAnsi="Times New Roman"/>
          <w:color w:val="111111"/>
          <w:sz w:val="28"/>
          <w:szCs w:val="28"/>
          <w:lang w:val="en-US"/>
        </w:rPr>
        <w:t>88, 89, 90, 96, 98, 100,</w:t>
      </w:r>
    </w:p>
    <w:p>
      <w:pPr>
        <w:pStyle w:val="BookText"/>
        <w:bidi w:val="0"/>
        <w:jc w:val="both"/>
        <w:rPr/>
      </w:pPr>
      <w:r>
        <w:rPr>
          <w:rFonts w:eastAsia="Times New Roman" w:cs="Times New Roman" w:ascii="Times New Roman" w:hAnsi="Times New Roman"/>
          <w:color w:val="111111"/>
          <w:sz w:val="28"/>
          <w:szCs w:val="28"/>
          <w:lang w:val="en-US"/>
        </w:rPr>
        <w:t>101, 103, 106, 107,</w:t>
      </w:r>
    </w:p>
    <w:p>
      <w:pPr>
        <w:pStyle w:val="BookText"/>
        <w:bidi w:val="0"/>
        <w:jc w:val="both"/>
        <w:rPr/>
      </w:pPr>
      <w:r>
        <w:rPr>
          <w:rFonts w:eastAsia="Times New Roman" w:cs="Times New Roman" w:ascii="Times New Roman" w:hAnsi="Times New Roman"/>
          <w:color w:val="111111"/>
          <w:sz w:val="28"/>
          <w:szCs w:val="28"/>
          <w:lang w:val="en-US"/>
        </w:rPr>
        <w:t>108, 109, 110, 112,</w:t>
      </w:r>
    </w:p>
    <w:p>
      <w:pPr>
        <w:pStyle w:val="BookText"/>
        <w:bidi w:val="0"/>
        <w:jc w:val="both"/>
        <w:rPr/>
      </w:pPr>
      <w:r>
        <w:rPr>
          <w:rFonts w:eastAsia="Times New Roman" w:cs="Times New Roman" w:ascii="Times New Roman" w:hAnsi="Times New Roman"/>
          <w:color w:val="111111"/>
          <w:sz w:val="28"/>
          <w:szCs w:val="28"/>
          <w:lang w:val="en-US"/>
        </w:rPr>
        <w:t>113, 115, 116, 117,</w:t>
      </w:r>
    </w:p>
    <w:p>
      <w:pPr>
        <w:pStyle w:val="BookText"/>
        <w:bidi w:val="0"/>
        <w:jc w:val="both"/>
        <w:rPr/>
      </w:pPr>
      <w:r>
        <w:rPr>
          <w:rFonts w:eastAsia="Times New Roman" w:cs="Times New Roman" w:ascii="Times New Roman" w:hAnsi="Times New Roman"/>
          <w:color w:val="111111"/>
          <w:sz w:val="28"/>
          <w:szCs w:val="28"/>
          <w:lang w:val="en-US"/>
        </w:rPr>
        <w:t>119, 120, 122, 123,</w:t>
      </w:r>
    </w:p>
    <w:p>
      <w:pPr>
        <w:pStyle w:val="BookText"/>
        <w:bidi w:val="0"/>
        <w:jc w:val="both"/>
        <w:rPr/>
      </w:pPr>
      <w:r>
        <w:rPr>
          <w:rFonts w:eastAsia="Times New Roman" w:cs="Times New Roman" w:ascii="Times New Roman" w:hAnsi="Times New Roman"/>
          <w:color w:val="111111"/>
          <w:sz w:val="28"/>
          <w:szCs w:val="28"/>
          <w:lang w:val="en-US"/>
        </w:rPr>
        <w:t>124, 125, 126, 128,</w:t>
      </w:r>
    </w:p>
    <w:p>
      <w:pPr>
        <w:pStyle w:val="BookText"/>
        <w:bidi w:val="0"/>
        <w:jc w:val="both"/>
        <w:rPr/>
      </w:pPr>
      <w:r>
        <w:rPr>
          <w:rFonts w:eastAsia="Times New Roman" w:cs="Times New Roman" w:ascii="Times New Roman" w:hAnsi="Times New Roman"/>
          <w:color w:val="111111"/>
          <w:sz w:val="28"/>
          <w:szCs w:val="28"/>
          <w:lang w:val="en-US"/>
        </w:rPr>
        <w:t>129, 130, 131, 134,</w:t>
      </w:r>
    </w:p>
    <w:p>
      <w:pPr>
        <w:pStyle w:val="BookText"/>
        <w:bidi w:val="0"/>
        <w:jc w:val="both"/>
        <w:rPr/>
      </w:pPr>
      <w:r>
        <w:rPr>
          <w:rFonts w:eastAsia="Times New Roman" w:cs="Times New Roman" w:ascii="Times New Roman" w:hAnsi="Times New Roman"/>
          <w:color w:val="111111"/>
          <w:sz w:val="28"/>
          <w:szCs w:val="28"/>
          <w:lang w:val="en-US"/>
        </w:rPr>
        <w:t>135, 136, 137, 138,</w:t>
      </w:r>
    </w:p>
    <w:p>
      <w:pPr>
        <w:pStyle w:val="BookText"/>
        <w:bidi w:val="0"/>
        <w:jc w:val="both"/>
        <w:rPr/>
      </w:pPr>
      <w:r>
        <w:rPr>
          <w:rFonts w:eastAsia="Times New Roman" w:cs="Times New Roman" w:ascii="Times New Roman" w:hAnsi="Times New Roman"/>
          <w:color w:val="111111"/>
          <w:sz w:val="28"/>
          <w:szCs w:val="28"/>
          <w:lang w:val="en-US"/>
        </w:rPr>
        <w:t>140, 141, 142, 143, 144</w:t>
      </w:r>
    </w:p>
    <w:p>
      <w:pPr>
        <w:pStyle w:val="BookText"/>
        <w:bidi w:val="0"/>
        <w:jc w:val="both"/>
        <w:rPr/>
      </w:pPr>
      <w:r>
        <w:rPr>
          <w:rFonts w:eastAsia="Times New Roman" w:cs="Times New Roman" w:ascii="Times New Roman" w:hAnsi="Times New Roman"/>
          <w:color w:val="111111"/>
          <w:sz w:val="28"/>
          <w:szCs w:val="28"/>
          <w:lang w:val="en-US"/>
        </w:rPr>
        <w:t>emanasi 7, 23, 63, 64, 69,</w:t>
      </w:r>
    </w:p>
    <w:p>
      <w:pPr>
        <w:pStyle w:val="BookText"/>
        <w:bidi w:val="0"/>
        <w:jc w:val="both"/>
        <w:rPr/>
      </w:pPr>
      <w:r>
        <w:rPr>
          <w:rFonts w:eastAsia="Times New Roman" w:cs="Times New Roman" w:ascii="Times New Roman" w:hAnsi="Times New Roman"/>
          <w:color w:val="111111"/>
          <w:sz w:val="28"/>
          <w:szCs w:val="28"/>
          <w:lang w:val="en-US"/>
        </w:rPr>
        <w:t>81, 82, 88, 108, 122,</w:t>
      </w:r>
    </w:p>
    <w:p>
      <w:pPr>
        <w:pStyle w:val="BookText"/>
        <w:bidi w:val="0"/>
        <w:jc w:val="both"/>
        <w:rPr/>
      </w:pPr>
      <w:r>
        <w:rPr>
          <w:rFonts w:eastAsia="Times New Roman" w:cs="Times New Roman" w:ascii="Times New Roman" w:hAnsi="Times New Roman"/>
          <w:color w:val="111111"/>
          <w:sz w:val="28"/>
          <w:szCs w:val="28"/>
          <w:lang w:val="en-US"/>
        </w:rPr>
        <w:t>123, 134, 135, 139</w:t>
      </w:r>
    </w:p>
    <w:p>
      <w:pPr>
        <w:pStyle w:val="BookText"/>
        <w:bidi w:val="0"/>
        <w:jc w:val="both"/>
        <w:rPr/>
      </w:pPr>
      <w:r>
        <w:rPr>
          <w:rFonts w:eastAsia="Times New Roman" w:cs="Times New Roman" w:ascii="Times New Roman" w:hAnsi="Times New Roman"/>
          <w:color w:val="111111"/>
          <w:sz w:val="28"/>
          <w:szCs w:val="28"/>
          <w:lang w:val="en-US"/>
        </w:rPr>
        <w:t>entifikasi 5, 7, 64, 66, 67, 72,</w:t>
      </w:r>
    </w:p>
    <w:p>
      <w:pPr>
        <w:pStyle w:val="BookText"/>
        <w:bidi w:val="0"/>
        <w:jc w:val="both"/>
        <w:rPr/>
      </w:pPr>
      <w:r>
        <w:rPr>
          <w:rFonts w:eastAsia="Times New Roman" w:cs="Times New Roman" w:ascii="Times New Roman" w:hAnsi="Times New Roman"/>
          <w:color w:val="111111"/>
          <w:sz w:val="28"/>
          <w:szCs w:val="28"/>
          <w:lang w:val="en-US"/>
        </w:rPr>
        <w:t>77, 83, 88, 101, 110,</w:t>
      </w:r>
    </w:p>
    <w:p>
      <w:pPr>
        <w:pStyle w:val="BookText"/>
        <w:bidi w:val="0"/>
        <w:jc w:val="both"/>
        <w:rPr/>
      </w:pPr>
      <w:r>
        <w:rPr>
          <w:rFonts w:eastAsia="Times New Roman" w:cs="Times New Roman" w:ascii="Times New Roman" w:hAnsi="Times New Roman"/>
          <w:color w:val="111111"/>
          <w:sz w:val="28"/>
          <w:szCs w:val="28"/>
          <w:lang w:val="en-US"/>
        </w:rPr>
        <w:t>120, 131, 134, 138, 141</w:t>
      </w:r>
    </w:p>
    <w:p>
      <w:pPr>
        <w:pStyle w:val="BookText"/>
        <w:bidi w:val="0"/>
        <w:jc w:val="both"/>
        <w:rPr/>
      </w:pPr>
      <w:r>
        <w:rPr>
          <w:rFonts w:eastAsia="Times New Roman" w:cs="Times New Roman" w:ascii="Times New Roman" w:hAnsi="Times New Roman"/>
          <w:color w:val="111111"/>
          <w:sz w:val="28"/>
          <w:szCs w:val="28"/>
          <w:lang w:val="en-US"/>
        </w:rPr>
        <w:t>filosofis xi, xii, 3, 4, 6, 21, 24,</w:t>
      </w:r>
    </w:p>
    <w:p>
      <w:pPr>
        <w:pStyle w:val="BookText"/>
        <w:bidi w:val="0"/>
        <w:jc w:val="both"/>
        <w:rPr/>
      </w:pPr>
      <w:r>
        <w:rPr>
          <w:rFonts w:eastAsia="Times New Roman" w:cs="Times New Roman" w:ascii="Times New Roman" w:hAnsi="Times New Roman"/>
          <w:color w:val="111111"/>
          <w:sz w:val="28"/>
          <w:szCs w:val="28"/>
          <w:lang w:val="en-US"/>
        </w:rPr>
        <w:t>46, 68, 69, 71, 86, 87,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88, 95, 96, 103, 117, </w:t>
      </w:r>
    </w:p>
    <w:p>
      <w:pPr>
        <w:pStyle w:val="BookText"/>
        <w:bidi w:val="0"/>
        <w:rPr/>
      </w:pPr>
      <w:r>
        <w:rPr>
          <w:rFonts w:eastAsia="Times New Roman" w:cs="Times New Roman" w:ascii="Times New Roman" w:hAnsi="Times New Roman"/>
          <w:color w:val="111111"/>
          <w:sz w:val="28"/>
          <w:szCs w:val="28"/>
          <w:lang w:val="en-US"/>
        </w:rPr>
        <w:t>120, 121, 125, 130,</w:t>
      </w:r>
    </w:p>
    <w:p>
      <w:pPr>
        <w:pStyle w:val="BookText"/>
        <w:bidi w:val="0"/>
        <w:jc w:val="both"/>
        <w:rPr/>
      </w:pPr>
      <w:r>
        <w:rPr>
          <w:rFonts w:eastAsia="Times New Roman" w:cs="Times New Roman" w:ascii="Times New Roman" w:hAnsi="Times New Roman"/>
          <w:color w:val="111111"/>
          <w:sz w:val="28"/>
          <w:szCs w:val="28"/>
          <w:lang w:val="en-US"/>
        </w:rPr>
        <w:t>132, 133, 136, 139</w:t>
      </w:r>
    </w:p>
    <w:p>
      <w:pPr>
        <w:pStyle w:val="BookText"/>
        <w:bidi w:val="0"/>
        <w:jc w:val="both"/>
        <w:rPr/>
      </w:pPr>
      <w:r>
        <w:rPr>
          <w:rFonts w:eastAsia="Times New Roman" w:cs="Times New Roman" w:ascii="Times New Roman" w:hAnsi="Times New Roman"/>
          <w:color w:val="111111"/>
          <w:sz w:val="28"/>
          <w:szCs w:val="28"/>
          <w:lang w:val="en-US"/>
        </w:rPr>
        <w:t>filsuf xi, xii, 5, 18, 25, 26, 30,</w:t>
      </w:r>
    </w:p>
    <w:p>
      <w:pPr>
        <w:pStyle w:val="BookText"/>
        <w:bidi w:val="0"/>
        <w:jc w:val="both"/>
        <w:rPr/>
      </w:pPr>
      <w:r>
        <w:rPr>
          <w:rFonts w:eastAsia="Times New Roman" w:cs="Times New Roman" w:ascii="Times New Roman" w:hAnsi="Times New Roman"/>
          <w:color w:val="111111"/>
          <w:sz w:val="28"/>
          <w:szCs w:val="28"/>
          <w:lang w:val="en-US"/>
        </w:rPr>
        <w:t>31, 37, 39, 42, 48, 62,</w:t>
      </w:r>
    </w:p>
    <w:p>
      <w:pPr>
        <w:pStyle w:val="BookText"/>
        <w:bidi w:val="0"/>
        <w:jc w:val="both"/>
        <w:rPr/>
      </w:pPr>
      <w:r>
        <w:rPr>
          <w:rFonts w:eastAsia="Times New Roman" w:cs="Times New Roman" w:ascii="Times New Roman" w:hAnsi="Times New Roman"/>
          <w:color w:val="111111"/>
          <w:sz w:val="28"/>
          <w:szCs w:val="28"/>
          <w:lang w:val="en-US"/>
        </w:rPr>
        <w:t>65, 88, 99, 102, 111,</w:t>
      </w:r>
    </w:p>
    <w:p>
      <w:pPr>
        <w:pStyle w:val="BookText"/>
        <w:bidi w:val="0"/>
        <w:jc w:val="both"/>
        <w:rPr/>
      </w:pPr>
      <w:r>
        <w:rPr>
          <w:rFonts w:eastAsia="Times New Roman" w:cs="Times New Roman" w:ascii="Times New Roman" w:hAnsi="Times New Roman"/>
          <w:color w:val="111111"/>
          <w:sz w:val="28"/>
          <w:szCs w:val="28"/>
          <w:lang w:val="en-US"/>
        </w:rPr>
        <w:t>113, 119, 124, 126,</w:t>
      </w:r>
    </w:p>
    <w:p>
      <w:pPr>
        <w:pStyle w:val="BookText"/>
        <w:bidi w:val="0"/>
        <w:jc w:val="both"/>
        <w:rPr/>
      </w:pPr>
      <w:r>
        <w:rPr>
          <w:rFonts w:eastAsia="Times New Roman" w:cs="Times New Roman" w:ascii="Times New Roman" w:hAnsi="Times New Roman"/>
          <w:color w:val="111111"/>
          <w:sz w:val="28"/>
          <w:szCs w:val="28"/>
          <w:lang w:val="en-US"/>
        </w:rPr>
        <w:t>127, 128, 132, 135,</w:t>
      </w:r>
    </w:p>
    <w:p>
      <w:pPr>
        <w:pStyle w:val="BookText"/>
        <w:bidi w:val="0"/>
        <w:jc w:val="both"/>
        <w:rPr/>
      </w:pPr>
      <w:r>
        <w:rPr>
          <w:rFonts w:eastAsia="Times New Roman" w:cs="Times New Roman" w:ascii="Times New Roman" w:hAnsi="Times New Roman"/>
          <w:color w:val="111111"/>
          <w:sz w:val="28"/>
          <w:szCs w:val="28"/>
          <w:lang w:val="en-US"/>
        </w:rPr>
        <w:t>137, 140</w:t>
      </w:r>
    </w:p>
    <w:p>
      <w:pPr>
        <w:pStyle w:val="BookText"/>
        <w:bidi w:val="0"/>
        <w:jc w:val="both"/>
        <w:rPr/>
      </w:pPr>
      <w:r>
        <w:rPr>
          <w:rFonts w:eastAsia="Times New Roman" w:cs="Times New Roman" w:ascii="Times New Roman" w:hAnsi="Times New Roman"/>
          <w:color w:val="111111"/>
          <w:sz w:val="28"/>
          <w:szCs w:val="28"/>
          <w:lang w:val="en-US"/>
        </w:rPr>
        <w:t>Khomeini v, vi, xii, xiii, 3, 5,</w:t>
      </w:r>
    </w:p>
    <w:p>
      <w:pPr>
        <w:pStyle w:val="BookText"/>
        <w:bidi w:val="0"/>
        <w:jc w:val="both"/>
        <w:rPr/>
      </w:pPr>
      <w:r>
        <w:rPr>
          <w:rFonts w:eastAsia="Times New Roman" w:cs="Times New Roman" w:ascii="Times New Roman" w:hAnsi="Times New Roman"/>
          <w:color w:val="111111"/>
          <w:sz w:val="28"/>
          <w:szCs w:val="28"/>
          <w:lang w:val="en-US"/>
        </w:rPr>
        <w:t>6, 8, 9, 14, 18, 21, 22,</w:t>
      </w:r>
    </w:p>
    <w:p>
      <w:pPr>
        <w:pStyle w:val="BookText"/>
        <w:bidi w:val="0"/>
        <w:jc w:val="both"/>
        <w:rPr/>
      </w:pPr>
      <w:r>
        <w:rPr>
          <w:rFonts w:eastAsia="Times New Roman" w:cs="Times New Roman" w:ascii="Times New Roman" w:hAnsi="Times New Roman"/>
          <w:color w:val="111111"/>
          <w:sz w:val="28"/>
          <w:szCs w:val="28"/>
          <w:lang w:val="en-US"/>
        </w:rPr>
        <w:t>24, 25, 26, 27, 28, 35,</w:t>
      </w:r>
    </w:p>
    <w:p>
      <w:pPr>
        <w:pStyle w:val="BookText"/>
        <w:bidi w:val="0"/>
        <w:jc w:val="both"/>
        <w:rPr/>
      </w:pPr>
      <w:r>
        <w:rPr>
          <w:rFonts w:eastAsia="Times New Roman" w:cs="Times New Roman" w:ascii="Times New Roman" w:hAnsi="Times New Roman"/>
          <w:color w:val="111111"/>
          <w:sz w:val="28"/>
          <w:szCs w:val="28"/>
          <w:lang w:val="en-US"/>
        </w:rPr>
        <w:t>36, 39, 41, 42, 44, 45,</w:t>
      </w:r>
    </w:p>
    <w:p>
      <w:pPr>
        <w:pStyle w:val="BookText"/>
        <w:bidi w:val="0"/>
        <w:jc w:val="both"/>
        <w:rPr/>
      </w:pPr>
      <w:r>
        <w:rPr>
          <w:rFonts w:eastAsia="Times New Roman" w:cs="Times New Roman" w:ascii="Times New Roman" w:hAnsi="Times New Roman"/>
          <w:color w:val="111111"/>
          <w:sz w:val="28"/>
          <w:szCs w:val="28"/>
          <w:lang w:val="en-US"/>
        </w:rPr>
        <w:t>48, 50, 51, 53, 56, 57,</w:t>
      </w:r>
    </w:p>
    <w:p>
      <w:pPr>
        <w:pStyle w:val="BookText"/>
        <w:bidi w:val="0"/>
        <w:jc w:val="both"/>
        <w:rPr/>
      </w:pPr>
      <w:r>
        <w:rPr>
          <w:rFonts w:eastAsia="Times New Roman" w:cs="Times New Roman" w:ascii="Times New Roman" w:hAnsi="Times New Roman"/>
          <w:color w:val="111111"/>
          <w:sz w:val="28"/>
          <w:szCs w:val="28"/>
          <w:lang w:val="en-US"/>
        </w:rPr>
        <w:t>58, 61, 62, 63, 65, 66,</w:t>
      </w:r>
    </w:p>
    <w:p>
      <w:pPr>
        <w:pStyle w:val="BookText"/>
        <w:bidi w:val="0"/>
        <w:jc w:val="both"/>
        <w:rPr/>
      </w:pPr>
      <w:r>
        <w:rPr>
          <w:rFonts w:eastAsia="Times New Roman" w:cs="Times New Roman" w:ascii="Times New Roman" w:hAnsi="Times New Roman"/>
          <w:color w:val="111111"/>
          <w:sz w:val="28"/>
          <w:szCs w:val="28"/>
          <w:lang w:val="en-US"/>
        </w:rPr>
        <w:t>69, 71, 72, 73, 79, 87,</w:t>
      </w:r>
    </w:p>
    <w:p>
      <w:pPr>
        <w:pStyle w:val="BookText"/>
        <w:bidi w:val="0"/>
        <w:jc w:val="both"/>
        <w:rPr/>
      </w:pPr>
      <w:r>
        <w:rPr>
          <w:rFonts w:eastAsia="Times New Roman" w:cs="Times New Roman" w:ascii="Times New Roman" w:hAnsi="Times New Roman"/>
          <w:color w:val="111111"/>
          <w:sz w:val="28"/>
          <w:szCs w:val="28"/>
          <w:lang w:val="en-US"/>
        </w:rPr>
        <w:t>89, 91, 92, 95, 96, 108,</w:t>
      </w:r>
    </w:p>
    <w:p>
      <w:pPr>
        <w:pStyle w:val="BookText"/>
        <w:bidi w:val="0"/>
        <w:jc w:val="both"/>
        <w:rPr/>
      </w:pPr>
      <w:r>
        <w:rPr>
          <w:rFonts w:eastAsia="Times New Roman" w:cs="Times New Roman" w:ascii="Times New Roman" w:hAnsi="Times New Roman"/>
          <w:color w:val="111111"/>
          <w:sz w:val="28"/>
          <w:szCs w:val="28"/>
          <w:lang w:val="en-US"/>
        </w:rPr>
        <w:t>117, 118, 119, 120, 124,</w:t>
      </w:r>
    </w:p>
    <w:p>
      <w:pPr>
        <w:pStyle w:val="BookText"/>
        <w:bidi w:val="0"/>
        <w:jc w:val="both"/>
        <w:rPr/>
      </w:pPr>
      <w:r>
        <w:rPr>
          <w:rFonts w:eastAsia="Times New Roman" w:cs="Times New Roman" w:ascii="Times New Roman" w:hAnsi="Times New Roman"/>
          <w:color w:val="111111"/>
          <w:sz w:val="28"/>
          <w:szCs w:val="28"/>
          <w:lang w:val="en-US"/>
        </w:rPr>
        <w:t>130, 145, 146, 147, 148</w:t>
      </w:r>
    </w:p>
    <w:p>
      <w:pPr>
        <w:pStyle w:val="BookText"/>
        <w:bidi w:val="0"/>
        <w:jc w:val="both"/>
        <w:rPr/>
      </w:pPr>
      <w:r>
        <w:rPr>
          <w:rFonts w:eastAsia="Times New Roman" w:cs="Times New Roman" w:ascii="Times New Roman" w:hAnsi="Times New Roman"/>
          <w:color w:val="111111"/>
          <w:sz w:val="28"/>
          <w:szCs w:val="28"/>
          <w:lang w:val="en-US"/>
        </w:rPr>
        <w:t>gradual 27,80</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Hakikat 33, 37, 40, 47, 66,</w:t>
      </w:r>
    </w:p>
    <w:p>
      <w:pPr>
        <w:pStyle w:val="BookText"/>
        <w:bidi w:val="0"/>
        <w:jc w:val="both"/>
        <w:rPr/>
      </w:pPr>
      <w:r>
        <w:rPr>
          <w:rFonts w:eastAsia="Times New Roman" w:cs="Times New Roman" w:ascii="Times New Roman" w:hAnsi="Times New Roman"/>
          <w:color w:val="111111"/>
          <w:sz w:val="28"/>
          <w:szCs w:val="28"/>
          <w:lang w:val="en-US"/>
        </w:rPr>
        <w:t>72, 101, 129, 143</w:t>
      </w:r>
    </w:p>
    <w:p>
      <w:pPr>
        <w:pStyle w:val="BookText"/>
        <w:bidi w:val="0"/>
        <w:jc w:val="both"/>
        <w:rPr/>
      </w:pPr>
      <w:r>
        <w:rPr>
          <w:rFonts w:eastAsia="Times New Roman" w:cs="Times New Roman" w:ascii="Times New Roman" w:hAnsi="Times New Roman"/>
          <w:color w:val="111111"/>
          <w:sz w:val="28"/>
          <w:szCs w:val="28"/>
          <w:lang w:val="en-US"/>
        </w:rPr>
        <w:t>Tlahi 4, 5, 6, 10, 12, 19, 22,</w:t>
      </w:r>
    </w:p>
    <w:p>
      <w:pPr>
        <w:pStyle w:val="BookText"/>
        <w:bidi w:val="0"/>
        <w:jc w:val="both"/>
        <w:rPr/>
      </w:pPr>
      <w:r>
        <w:rPr>
          <w:rFonts w:eastAsia="Times New Roman" w:cs="Times New Roman" w:ascii="Times New Roman" w:hAnsi="Times New Roman"/>
          <w:color w:val="111111"/>
          <w:sz w:val="28"/>
          <w:szCs w:val="28"/>
          <w:lang w:val="en-US"/>
        </w:rPr>
        <w:t>25, 29, 31, 39, 40, 44,</w:t>
      </w:r>
    </w:p>
    <w:p>
      <w:pPr>
        <w:pStyle w:val="BookText"/>
        <w:bidi w:val="0"/>
        <w:jc w:val="both"/>
        <w:rPr/>
      </w:pPr>
      <w:r>
        <w:rPr>
          <w:rFonts w:eastAsia="Times New Roman" w:cs="Times New Roman" w:ascii="Times New Roman" w:hAnsi="Times New Roman"/>
          <w:color w:val="111111"/>
          <w:sz w:val="28"/>
          <w:szCs w:val="28"/>
          <w:lang w:val="en-US"/>
        </w:rPr>
        <w:t>61, 62, 63, 64, 65, 75,</w:t>
      </w:r>
    </w:p>
    <w:p>
      <w:pPr>
        <w:pStyle w:val="BookText"/>
        <w:bidi w:val="0"/>
        <w:jc w:val="both"/>
        <w:rPr/>
      </w:pPr>
      <w:r>
        <w:rPr>
          <w:rFonts w:eastAsia="Times New Roman" w:cs="Times New Roman" w:ascii="Times New Roman" w:hAnsi="Times New Roman"/>
          <w:color w:val="111111"/>
          <w:sz w:val="28"/>
          <w:szCs w:val="28"/>
          <w:lang w:val="en-US"/>
        </w:rPr>
        <w:t>76, 77, 78, 80, 87, 88,</w:t>
      </w:r>
    </w:p>
    <w:p>
      <w:pPr>
        <w:pStyle w:val="BookText"/>
        <w:bidi w:val="0"/>
        <w:jc w:val="both"/>
        <w:rPr/>
      </w:pPr>
      <w:r>
        <w:rPr>
          <w:rFonts w:eastAsia="Times New Roman" w:cs="Times New Roman" w:ascii="Times New Roman" w:hAnsi="Times New Roman"/>
          <w:color w:val="111111"/>
          <w:sz w:val="28"/>
          <w:szCs w:val="28"/>
          <w:lang w:val="en-US"/>
        </w:rPr>
        <w:t>96, 97, 98, 99, 100,</w:t>
      </w:r>
    </w:p>
    <w:p>
      <w:pPr>
        <w:pStyle w:val="BookText"/>
        <w:bidi w:val="0"/>
        <w:jc w:val="both"/>
        <w:rPr/>
      </w:pPr>
      <w:r>
        <w:rPr>
          <w:rFonts w:eastAsia="Times New Roman" w:cs="Times New Roman" w:ascii="Times New Roman" w:hAnsi="Times New Roman"/>
          <w:color w:val="111111"/>
          <w:sz w:val="28"/>
          <w:szCs w:val="28"/>
          <w:lang w:val="en-US"/>
        </w:rPr>
        <w:t>101, 102, 103, 114,</w:t>
      </w:r>
    </w:p>
    <w:p>
      <w:pPr>
        <w:pStyle w:val="BookText"/>
        <w:bidi w:val="0"/>
        <w:jc w:val="both"/>
        <w:rPr/>
      </w:pPr>
      <w:r>
        <w:rPr>
          <w:rFonts w:eastAsia="Times New Roman" w:cs="Times New Roman" w:ascii="Times New Roman" w:hAnsi="Times New Roman"/>
          <w:color w:val="111111"/>
          <w:sz w:val="28"/>
          <w:szCs w:val="28"/>
          <w:lang w:val="en-US"/>
        </w:rPr>
        <w:t>115, 118, 119, 121,</w:t>
      </w:r>
    </w:p>
    <w:p>
      <w:pPr>
        <w:pStyle w:val="BookText"/>
        <w:bidi w:val="0"/>
        <w:jc w:val="both"/>
        <w:rPr/>
      </w:pPr>
      <w:r>
        <w:rPr>
          <w:rFonts w:eastAsia="Times New Roman" w:cs="Times New Roman" w:ascii="Times New Roman" w:hAnsi="Times New Roman"/>
          <w:color w:val="111111"/>
          <w:sz w:val="28"/>
          <w:szCs w:val="28"/>
          <w:lang w:val="en-US"/>
        </w:rPr>
        <w:t>122, 123, 127, 131,</w:t>
      </w:r>
    </w:p>
    <w:p>
      <w:pPr>
        <w:pStyle w:val="BookText"/>
        <w:bidi w:val="0"/>
        <w:jc w:val="both"/>
        <w:rPr/>
      </w:pPr>
      <w:r>
        <w:rPr>
          <w:rFonts w:eastAsia="Times New Roman" w:cs="Times New Roman" w:ascii="Times New Roman" w:hAnsi="Times New Roman"/>
          <w:color w:val="111111"/>
          <w:sz w:val="28"/>
          <w:szCs w:val="28"/>
          <w:lang w:val="en-US"/>
        </w:rPr>
        <w:t>133, 134, 135, 137,</w:t>
      </w:r>
    </w:p>
    <w:p>
      <w:pPr>
        <w:pStyle w:val="BookText"/>
        <w:bidi w:val="0"/>
        <w:jc w:val="both"/>
        <w:rPr/>
      </w:pPr>
      <w:r>
        <w:rPr>
          <w:rFonts w:eastAsia="Times New Roman" w:cs="Times New Roman" w:ascii="Times New Roman" w:hAnsi="Times New Roman"/>
          <w:color w:val="111111"/>
          <w:sz w:val="28"/>
          <w:szCs w:val="28"/>
          <w:lang w:val="en-US"/>
        </w:rPr>
        <w:t>138, 140, 141</w:t>
      </w:r>
    </w:p>
    <w:p>
      <w:pPr>
        <w:pStyle w:val="BookText"/>
        <w:bidi w:val="0"/>
        <w:jc w:val="both"/>
        <w:rPr/>
      </w:pPr>
      <w:r>
        <w:rPr>
          <w:rFonts w:eastAsia="Times New Roman" w:cs="Times New Roman" w:ascii="Times New Roman" w:hAnsi="Times New Roman"/>
          <w:color w:val="111111"/>
          <w:sz w:val="28"/>
          <w:szCs w:val="28"/>
          <w:lang w:val="en-US"/>
        </w:rPr>
        <w:t>imam 31, 80</w:t>
      </w:r>
    </w:p>
    <w:p>
      <w:pPr>
        <w:pStyle w:val="BookText"/>
        <w:bidi w:val="0"/>
        <w:jc w:val="both"/>
        <w:rPr/>
      </w:pPr>
      <w:r>
        <w:rPr>
          <w:rFonts w:eastAsia="Times New Roman" w:cs="Times New Roman" w:ascii="Times New Roman" w:hAnsi="Times New Roman"/>
          <w:color w:val="111111"/>
          <w:sz w:val="28"/>
          <w:szCs w:val="28"/>
          <w:lang w:val="en-US"/>
        </w:rPr>
        <w:t>insan 44, 72, 73, 74, 75, 76,</w:t>
      </w:r>
    </w:p>
    <w:p>
      <w:pPr>
        <w:pStyle w:val="BookText"/>
        <w:bidi w:val="0"/>
        <w:jc w:val="both"/>
        <w:rPr/>
      </w:pPr>
      <w:r>
        <w:rPr>
          <w:rFonts w:eastAsia="Times New Roman" w:cs="Times New Roman" w:ascii="Times New Roman" w:hAnsi="Times New Roman"/>
          <w:color w:val="111111"/>
          <w:sz w:val="28"/>
          <w:szCs w:val="28"/>
          <w:lang w:val="en-US"/>
        </w:rPr>
        <w:t>77, 78, 82, 83, 98, 99,</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intiza' 7</w:t>
      </w:r>
    </w:p>
    <w:p>
      <w:pPr>
        <w:pStyle w:val="BookText"/>
        <w:bidi w:val="0"/>
        <w:jc w:val="both"/>
        <w:rPr/>
      </w:pPr>
      <w:r>
        <w:rPr>
          <w:rFonts w:eastAsia="Times New Roman" w:cs="Times New Roman" w:ascii="Times New Roman" w:hAnsi="Times New Roman"/>
          <w:color w:val="111111"/>
          <w:sz w:val="28"/>
          <w:szCs w:val="28"/>
          <w:lang w:val="en-US"/>
        </w:rPr>
        <w:t>Ism 65, 99, 100, 101</w:t>
      </w:r>
    </w:p>
    <w:p>
      <w:pPr>
        <w:pStyle w:val="BookText"/>
        <w:bidi w:val="0"/>
        <w:jc w:val="both"/>
        <w:rPr/>
      </w:pPr>
      <w:r>
        <w:rPr>
          <w:rFonts w:eastAsia="Times New Roman" w:cs="Times New Roman" w:ascii="Times New Roman" w:hAnsi="Times New Roman"/>
          <w:color w:val="111111"/>
          <w:sz w:val="28"/>
          <w:szCs w:val="28"/>
          <w:lang w:val="en-US"/>
        </w:rPr>
        <w:t>makhluk 7, 10, 25, 31, 32,</w:t>
      </w:r>
    </w:p>
    <w:p>
      <w:pPr>
        <w:pStyle w:val="BookText"/>
        <w:bidi w:val="0"/>
        <w:jc w:val="both"/>
        <w:rPr/>
      </w:pPr>
      <w:r>
        <w:rPr>
          <w:rFonts w:eastAsia="Times New Roman" w:cs="Times New Roman" w:ascii="Times New Roman" w:hAnsi="Times New Roman"/>
          <w:color w:val="111111"/>
          <w:sz w:val="28"/>
          <w:szCs w:val="28"/>
          <w:lang w:val="en-US"/>
        </w:rPr>
        <w:t>43, 44, 46, 52, 67, 68,</w:t>
      </w:r>
    </w:p>
    <w:p>
      <w:pPr>
        <w:pStyle w:val="BookText"/>
        <w:bidi w:val="0"/>
        <w:jc w:val="both"/>
        <w:rPr/>
      </w:pPr>
      <w:r>
        <w:rPr>
          <w:rFonts w:eastAsia="Times New Roman" w:cs="Times New Roman" w:ascii="Times New Roman" w:hAnsi="Times New Roman"/>
          <w:color w:val="111111"/>
          <w:sz w:val="28"/>
          <w:szCs w:val="28"/>
          <w:lang w:val="en-US"/>
        </w:rPr>
        <w:t>69, 70, 71, 72, 80, 81,</w:t>
      </w:r>
    </w:p>
    <w:p>
      <w:pPr>
        <w:pStyle w:val="BookText"/>
        <w:bidi w:val="0"/>
        <w:jc w:val="both"/>
        <w:rPr/>
      </w:pPr>
      <w:r>
        <w:rPr>
          <w:rFonts w:eastAsia="Times New Roman" w:cs="Times New Roman" w:ascii="Times New Roman" w:hAnsi="Times New Roman"/>
          <w:color w:val="111111"/>
          <w:sz w:val="28"/>
          <w:szCs w:val="28"/>
          <w:lang w:val="en-US"/>
        </w:rPr>
        <w:t>82, 83, 86, 87, 89, 90,</w:t>
      </w:r>
    </w:p>
    <w:p>
      <w:pPr>
        <w:pStyle w:val="BookText"/>
        <w:bidi w:val="0"/>
        <w:jc w:val="both"/>
        <w:rPr/>
      </w:pPr>
      <w:r>
        <w:rPr>
          <w:rFonts w:eastAsia="Times New Roman" w:cs="Times New Roman" w:ascii="Times New Roman" w:hAnsi="Times New Roman"/>
          <w:color w:val="111111"/>
          <w:sz w:val="28"/>
          <w:szCs w:val="28"/>
          <w:lang w:val="en-US"/>
        </w:rPr>
        <w:t>96, 97, 98, 99, 103,</w:t>
      </w:r>
    </w:p>
    <w:p>
      <w:pPr>
        <w:pStyle w:val="BookText"/>
        <w:bidi w:val="0"/>
        <w:jc w:val="both"/>
        <w:rPr/>
      </w:pPr>
      <w:r>
        <w:rPr>
          <w:rFonts w:eastAsia="Times New Roman" w:cs="Times New Roman" w:ascii="Times New Roman" w:hAnsi="Times New Roman"/>
          <w:color w:val="111111"/>
          <w:sz w:val="28"/>
          <w:szCs w:val="28"/>
          <w:lang w:val="en-US"/>
        </w:rPr>
        <w:t>104, 105, 107, 108,</w:t>
      </w:r>
    </w:p>
    <w:p>
      <w:pPr>
        <w:pStyle w:val="BookText"/>
        <w:bidi w:val="0"/>
        <w:jc w:val="both"/>
        <w:rPr/>
      </w:pPr>
      <w:r>
        <w:rPr>
          <w:rFonts w:eastAsia="Times New Roman" w:cs="Times New Roman" w:ascii="Times New Roman" w:hAnsi="Times New Roman"/>
          <w:color w:val="111111"/>
          <w:sz w:val="28"/>
          <w:szCs w:val="28"/>
          <w:lang w:val="en-US"/>
        </w:rPr>
        <w:t>109, 110, 111, 112,</w:t>
      </w:r>
    </w:p>
    <w:p>
      <w:pPr>
        <w:pStyle w:val="BookText"/>
        <w:bidi w:val="0"/>
        <w:jc w:val="both"/>
        <w:rPr/>
      </w:pPr>
      <w:r>
        <w:rPr>
          <w:rFonts w:eastAsia="Times New Roman" w:cs="Times New Roman" w:ascii="Times New Roman" w:hAnsi="Times New Roman"/>
          <w:color w:val="111111"/>
          <w:sz w:val="28"/>
          <w:szCs w:val="28"/>
          <w:lang w:val="en-US"/>
        </w:rPr>
        <w:t>113, 115, 116, 117,</w:t>
      </w:r>
    </w:p>
    <w:p>
      <w:pPr>
        <w:pStyle w:val="BookText"/>
        <w:bidi w:val="0"/>
        <w:jc w:val="both"/>
        <w:rPr/>
      </w:pPr>
      <w:r>
        <w:rPr>
          <w:rFonts w:eastAsia="Times New Roman" w:cs="Times New Roman" w:ascii="Times New Roman" w:hAnsi="Times New Roman"/>
          <w:color w:val="111111"/>
          <w:sz w:val="28"/>
          <w:szCs w:val="28"/>
          <w:lang w:val="en-US"/>
        </w:rPr>
        <w:t>120, 121, 122, 125,</w:t>
      </w:r>
    </w:p>
    <w:p>
      <w:pPr>
        <w:pStyle w:val="BookText"/>
        <w:bidi w:val="0"/>
        <w:jc w:val="both"/>
        <w:rPr/>
      </w:pPr>
      <w:r>
        <w:rPr>
          <w:rFonts w:eastAsia="Times New Roman" w:cs="Times New Roman" w:ascii="Times New Roman" w:hAnsi="Times New Roman"/>
          <w:color w:val="111111"/>
          <w:sz w:val="28"/>
          <w:szCs w:val="28"/>
          <w:lang w:val="en-US"/>
        </w:rPr>
        <w:t>126, 128, 132, 135,</w:t>
      </w:r>
    </w:p>
    <w:p>
      <w:pPr>
        <w:pStyle w:val="BookText"/>
        <w:bidi w:val="0"/>
        <w:jc w:val="both"/>
        <w:rPr/>
      </w:pPr>
      <w:r>
        <w:rPr>
          <w:rFonts w:eastAsia="Times New Roman" w:cs="Times New Roman" w:ascii="Times New Roman" w:hAnsi="Times New Roman"/>
          <w:color w:val="111111"/>
          <w:sz w:val="28"/>
          <w:szCs w:val="28"/>
          <w:lang w:val="en-US"/>
        </w:rPr>
        <w:t>136, 137, 139, 140, 142</w:t>
      </w:r>
    </w:p>
    <w:p>
      <w:pPr>
        <w:pStyle w:val="BookText"/>
        <w:bidi w:val="0"/>
        <w:jc w:val="both"/>
        <w:rPr/>
      </w:pPr>
      <w:r>
        <w:rPr>
          <w:rFonts w:eastAsia="Times New Roman" w:cs="Times New Roman" w:ascii="Times New Roman" w:hAnsi="Times New Roman"/>
          <w:color w:val="111111"/>
          <w:sz w:val="28"/>
          <w:szCs w:val="28"/>
          <w:lang w:val="en-US"/>
        </w:rPr>
        <w:t>makrifat 4, 13, 15, 19, 20,</w:t>
      </w:r>
    </w:p>
    <w:p>
      <w:pPr>
        <w:pStyle w:val="BookText"/>
        <w:bidi w:val="0"/>
        <w:jc w:val="both"/>
        <w:rPr/>
      </w:pPr>
      <w:r>
        <w:rPr>
          <w:rFonts w:eastAsia="Times New Roman" w:cs="Times New Roman" w:ascii="Times New Roman" w:hAnsi="Times New Roman"/>
          <w:color w:val="111111"/>
          <w:sz w:val="28"/>
          <w:szCs w:val="28"/>
          <w:lang w:val="en-US"/>
        </w:rPr>
        <w:t>21, 24, 25, 26, 27, 28,</w:t>
      </w:r>
    </w:p>
    <w:p>
      <w:pPr>
        <w:pStyle w:val="BookText"/>
        <w:bidi w:val="0"/>
        <w:jc w:val="both"/>
        <w:rPr/>
      </w:pPr>
      <w:r>
        <w:rPr>
          <w:rFonts w:eastAsia="Times New Roman" w:cs="Times New Roman" w:ascii="Times New Roman" w:hAnsi="Times New Roman"/>
          <w:color w:val="111111"/>
          <w:sz w:val="28"/>
          <w:szCs w:val="28"/>
          <w:lang w:val="en-US"/>
        </w:rPr>
        <w:t>29, 30, 31, 35, 37, 43,</w:t>
      </w:r>
    </w:p>
    <w:p>
      <w:pPr>
        <w:pStyle w:val="BookText"/>
        <w:bidi w:val="0"/>
        <w:jc w:val="both"/>
        <w:rPr/>
      </w:pPr>
      <w:r>
        <w:rPr>
          <w:rFonts w:eastAsia="Times New Roman" w:cs="Times New Roman" w:ascii="Times New Roman" w:hAnsi="Times New Roman"/>
          <w:color w:val="111111"/>
          <w:sz w:val="28"/>
          <w:szCs w:val="28"/>
          <w:lang w:val="en-US"/>
        </w:rPr>
        <w:t>45, 49, 54, 61, 62, 80,</w:t>
      </w:r>
    </w:p>
    <w:p>
      <w:pPr>
        <w:pStyle w:val="BookText"/>
        <w:bidi w:val="0"/>
        <w:jc w:val="both"/>
        <w:rPr/>
      </w:pPr>
      <w:r>
        <w:rPr>
          <w:rFonts w:eastAsia="Times New Roman" w:cs="Times New Roman" w:ascii="Times New Roman" w:hAnsi="Times New Roman"/>
          <w:color w:val="111111"/>
          <w:sz w:val="28"/>
          <w:szCs w:val="28"/>
          <w:lang w:val="en-US"/>
        </w:rPr>
        <w:t>89, 102, 104, 128, 135</w:t>
      </w:r>
    </w:p>
    <w:p>
      <w:pPr>
        <w:pStyle w:val="BookText"/>
        <w:bidi w:val="0"/>
        <w:jc w:val="both"/>
        <w:rPr/>
      </w:pPr>
      <w:r>
        <w:rPr>
          <w:rFonts w:eastAsia="Times New Roman" w:cs="Times New Roman" w:ascii="Times New Roman" w:hAnsi="Times New Roman"/>
          <w:color w:val="111111"/>
          <w:sz w:val="28"/>
          <w:szCs w:val="28"/>
          <w:lang w:val="en-US"/>
        </w:rPr>
        <w:t>manifestasi 4, 5, 7, 35, 39,</w:t>
      </w:r>
    </w:p>
    <w:p>
      <w:pPr>
        <w:pStyle w:val="BookText"/>
        <w:bidi w:val="0"/>
        <w:jc w:val="both"/>
        <w:rPr/>
      </w:pPr>
      <w:r>
        <w:rPr>
          <w:rFonts w:eastAsia="Times New Roman" w:cs="Times New Roman" w:ascii="Times New Roman" w:hAnsi="Times New Roman"/>
          <w:color w:val="111111"/>
          <w:sz w:val="28"/>
          <w:szCs w:val="28"/>
          <w:lang w:val="en-US"/>
        </w:rPr>
        <w:t>41, 45, 54, 63, 64, 65,</w:t>
      </w:r>
    </w:p>
    <w:p>
      <w:pPr>
        <w:pStyle w:val="BookText"/>
        <w:bidi w:val="0"/>
        <w:jc w:val="both"/>
        <w:rPr/>
      </w:pPr>
      <w:r>
        <w:rPr>
          <w:rFonts w:eastAsia="Times New Roman" w:cs="Times New Roman" w:ascii="Times New Roman" w:hAnsi="Times New Roman"/>
          <w:color w:val="111111"/>
          <w:sz w:val="28"/>
          <w:szCs w:val="28"/>
          <w:lang w:val="en-US"/>
        </w:rPr>
        <w:t>69, 75, 77, 81, 82, 83,</w:t>
      </w:r>
    </w:p>
    <w:p>
      <w:pPr>
        <w:pStyle w:val="BookText"/>
        <w:bidi w:val="0"/>
        <w:jc w:val="both"/>
        <w:rPr/>
      </w:pPr>
      <w:r>
        <w:rPr>
          <w:rFonts w:eastAsia="Times New Roman" w:cs="Times New Roman" w:ascii="Times New Roman" w:hAnsi="Times New Roman"/>
          <w:color w:val="111111"/>
          <w:sz w:val="28"/>
          <w:szCs w:val="28"/>
          <w:lang w:val="en-US"/>
        </w:rPr>
        <w:t>84, 87, 88, 89, 90, 97,</w:t>
      </w:r>
    </w:p>
    <w:p>
      <w:pPr>
        <w:pStyle w:val="BookText"/>
        <w:bidi w:val="0"/>
        <w:jc w:val="both"/>
        <w:rPr/>
      </w:pPr>
      <w:r>
        <w:rPr>
          <w:rFonts w:eastAsia="Times New Roman" w:cs="Times New Roman" w:ascii="Times New Roman" w:hAnsi="Times New Roman"/>
          <w:color w:val="111111"/>
          <w:sz w:val="28"/>
          <w:szCs w:val="28"/>
          <w:lang w:val="en-US"/>
        </w:rPr>
        <w:t>98, 99, 100, 101, 104,</w:t>
      </w:r>
    </w:p>
    <w:p>
      <w:pPr>
        <w:pStyle w:val="BookText"/>
        <w:bidi w:val="0"/>
        <w:jc w:val="both"/>
        <w:rPr/>
      </w:pPr>
      <w:r>
        <w:rPr>
          <w:rFonts w:eastAsia="Times New Roman" w:cs="Times New Roman" w:ascii="Times New Roman" w:hAnsi="Times New Roman"/>
          <w:color w:val="111111"/>
          <w:sz w:val="28"/>
          <w:szCs w:val="28"/>
          <w:lang w:val="en-US"/>
        </w:rPr>
        <w:t>112, 114, 115, 119,</w:t>
      </w:r>
    </w:p>
    <w:p>
      <w:pPr>
        <w:pStyle w:val="BookText"/>
        <w:bidi w:val="0"/>
        <w:jc w:val="both"/>
        <w:rPr/>
      </w:pPr>
      <w:r>
        <w:rPr>
          <w:rFonts w:eastAsia="Times New Roman" w:cs="Times New Roman" w:ascii="Times New Roman" w:hAnsi="Times New Roman"/>
          <w:color w:val="111111"/>
          <w:sz w:val="28"/>
          <w:szCs w:val="28"/>
          <w:lang w:val="en-US"/>
        </w:rPr>
        <w:t>121, 123, 124, 133,</w:t>
      </w:r>
    </w:p>
    <w:p>
      <w:pPr>
        <w:pStyle w:val="BookText"/>
        <w:bidi w:val="0"/>
        <w:jc w:val="both"/>
        <w:rPr/>
      </w:pPr>
      <w:r>
        <w:rPr>
          <w:rFonts w:eastAsia="Times New Roman" w:cs="Times New Roman" w:ascii="Times New Roman" w:hAnsi="Times New Roman"/>
          <w:color w:val="111111"/>
          <w:sz w:val="28"/>
          <w:szCs w:val="28"/>
          <w:lang w:val="en-US"/>
        </w:rPr>
        <w:t>138, 141, 142, 143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xi, xii, xiii, 3, 9, 11, </w:t>
      </w:r>
    </w:p>
    <w:p>
      <w:pPr>
        <w:pStyle w:val="BookText"/>
        <w:bidi w:val="0"/>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14, 16, 17, 23, 25, 27, 28,</w:t>
      </w:r>
    </w:p>
    <w:p>
      <w:pPr>
        <w:pStyle w:val="BookText"/>
        <w:bidi w:val="0"/>
        <w:jc w:val="both"/>
        <w:rPr/>
      </w:pPr>
      <w:r>
        <w:rPr>
          <w:rFonts w:eastAsia="Times New Roman" w:cs="Times New Roman" w:ascii="Times New Roman" w:hAnsi="Times New Roman"/>
          <w:color w:val="111111"/>
          <w:sz w:val="28"/>
          <w:szCs w:val="28"/>
          <w:lang w:val="en-US"/>
        </w:rPr>
        <w:t>29, 31, 33, 37, 38, 39, 40,</w:t>
      </w:r>
    </w:p>
    <w:p>
      <w:pPr>
        <w:pStyle w:val="BookText"/>
        <w:bidi w:val="0"/>
        <w:jc w:val="both"/>
        <w:rPr/>
      </w:pPr>
      <w:r>
        <w:rPr>
          <w:rFonts w:eastAsia="Times New Roman" w:cs="Times New Roman" w:ascii="Times New Roman" w:hAnsi="Times New Roman"/>
          <w:color w:val="111111"/>
          <w:sz w:val="28"/>
          <w:szCs w:val="28"/>
          <w:lang w:val="en-US"/>
        </w:rPr>
        <w:t>41, 42, 43, 45, 46, 47, 48,</w:t>
      </w:r>
    </w:p>
    <w:p>
      <w:pPr>
        <w:pStyle w:val="BookText"/>
        <w:bidi w:val="0"/>
        <w:jc w:val="both"/>
        <w:rPr/>
      </w:pPr>
      <w:r>
        <w:rPr>
          <w:rFonts w:eastAsia="Times New Roman" w:cs="Times New Roman" w:ascii="Times New Roman" w:hAnsi="Times New Roman"/>
          <w:color w:val="111111"/>
          <w:sz w:val="28"/>
          <w:szCs w:val="28"/>
          <w:lang w:val="en-US"/>
        </w:rPr>
        <w:t>49, 50, 53, 54, 55, 61, 67,</w:t>
      </w:r>
    </w:p>
    <w:p>
      <w:pPr>
        <w:pStyle w:val="BookText"/>
        <w:bidi w:val="0"/>
        <w:jc w:val="both"/>
        <w:rPr/>
      </w:pPr>
      <w:r>
        <w:rPr>
          <w:rFonts w:eastAsia="Times New Roman" w:cs="Times New Roman" w:ascii="Times New Roman" w:hAnsi="Times New Roman"/>
          <w:color w:val="111111"/>
          <w:sz w:val="28"/>
          <w:szCs w:val="28"/>
          <w:lang w:val="en-US"/>
        </w:rPr>
        <w:t>71, 72, 73, 75, 76, 79, 80,</w:t>
      </w:r>
    </w:p>
    <w:p>
      <w:pPr>
        <w:pStyle w:val="BookText"/>
        <w:bidi w:val="0"/>
        <w:jc w:val="both"/>
        <w:rPr/>
      </w:pPr>
      <w:r>
        <w:rPr>
          <w:rFonts w:eastAsia="Times New Roman" w:cs="Times New Roman" w:ascii="Times New Roman" w:hAnsi="Times New Roman"/>
          <w:color w:val="111111"/>
          <w:sz w:val="28"/>
          <w:szCs w:val="28"/>
          <w:lang w:val="en-US"/>
        </w:rPr>
        <w:t>81, 83, 84, 85, 86, 89, 98,</w:t>
      </w:r>
    </w:p>
    <w:p>
      <w:pPr>
        <w:pStyle w:val="BookText"/>
        <w:bidi w:val="0"/>
        <w:jc w:val="both"/>
        <w:rPr/>
      </w:pPr>
      <w:r>
        <w:rPr>
          <w:rFonts w:eastAsia="Times New Roman" w:cs="Times New Roman" w:ascii="Times New Roman" w:hAnsi="Times New Roman"/>
          <w:color w:val="111111"/>
          <w:sz w:val="28"/>
          <w:szCs w:val="28"/>
          <w:lang w:val="en-US"/>
        </w:rPr>
        <w:t>101, 102, 109, 117, 119,</w:t>
      </w:r>
    </w:p>
    <w:p>
      <w:pPr>
        <w:pStyle w:val="BookText"/>
        <w:bidi w:val="0"/>
        <w:jc w:val="both"/>
        <w:rPr/>
      </w:pPr>
      <w:r>
        <w:rPr>
          <w:rFonts w:eastAsia="Times New Roman" w:cs="Times New Roman" w:ascii="Times New Roman" w:hAnsi="Times New Roman"/>
          <w:color w:val="111111"/>
          <w:sz w:val="28"/>
          <w:szCs w:val="28"/>
          <w:lang w:val="en-US"/>
        </w:rPr>
        <w:t>123, 138, 139</w:t>
      </w:r>
    </w:p>
    <w:p>
      <w:pPr>
        <w:pStyle w:val="BookText"/>
        <w:bidi w:val="0"/>
        <w:jc w:val="both"/>
        <w:rPr/>
      </w:pPr>
      <w:r>
        <w:rPr>
          <w:rFonts w:eastAsia="Times New Roman" w:cs="Times New Roman" w:ascii="Times New Roman" w:hAnsi="Times New Roman"/>
          <w:color w:val="111111"/>
          <w:sz w:val="28"/>
          <w:szCs w:val="28"/>
          <w:lang w:val="en-US"/>
        </w:rPr>
        <w:t>maqam 3, 4, 5, 12, 29, 33, 34,</w:t>
      </w:r>
    </w:p>
    <w:p>
      <w:pPr>
        <w:pStyle w:val="BookText"/>
        <w:bidi w:val="0"/>
        <w:jc w:val="both"/>
        <w:rPr/>
      </w:pPr>
      <w:r>
        <w:rPr>
          <w:rFonts w:eastAsia="Times New Roman" w:cs="Times New Roman" w:ascii="Times New Roman" w:hAnsi="Times New Roman"/>
          <w:color w:val="111111"/>
          <w:sz w:val="28"/>
          <w:szCs w:val="28"/>
          <w:lang w:val="en-US"/>
        </w:rPr>
        <w:t>35, 36, 41, 43, 45, 63, 64,</w:t>
      </w:r>
    </w:p>
    <w:p>
      <w:pPr>
        <w:pStyle w:val="BookText"/>
        <w:bidi w:val="0"/>
        <w:jc w:val="both"/>
        <w:rPr/>
      </w:pPr>
      <w:r>
        <w:rPr>
          <w:rFonts w:eastAsia="Times New Roman" w:cs="Times New Roman" w:ascii="Times New Roman" w:hAnsi="Times New Roman"/>
          <w:color w:val="111111"/>
          <w:sz w:val="28"/>
          <w:szCs w:val="28"/>
          <w:lang w:val="en-US"/>
        </w:rPr>
        <w:t>65, 70, 71, 72, 73, 74, 75,</w:t>
      </w:r>
    </w:p>
    <w:p>
      <w:pPr>
        <w:pStyle w:val="BookText"/>
        <w:bidi w:val="0"/>
        <w:jc w:val="both"/>
        <w:rPr/>
      </w:pPr>
      <w:r>
        <w:rPr>
          <w:rFonts w:eastAsia="Times New Roman" w:cs="Times New Roman" w:ascii="Times New Roman" w:hAnsi="Times New Roman"/>
          <w:color w:val="111111"/>
          <w:sz w:val="28"/>
          <w:szCs w:val="28"/>
          <w:lang w:val="en-US"/>
        </w:rPr>
        <w:t>79, 81, 84, 85, 88, 96,</w:t>
      </w:r>
    </w:p>
    <w:p>
      <w:pPr>
        <w:pStyle w:val="BookText"/>
        <w:bidi w:val="0"/>
        <w:jc w:val="both"/>
        <w:rPr/>
      </w:pPr>
      <w:r>
        <w:rPr>
          <w:rFonts w:eastAsia="Times New Roman" w:cs="Times New Roman" w:ascii="Times New Roman" w:hAnsi="Times New Roman"/>
          <w:color w:val="111111"/>
          <w:sz w:val="28"/>
          <w:szCs w:val="28"/>
          <w:lang w:val="en-US"/>
        </w:rPr>
        <w:t>100, 101, 104, 110, 119,</w:t>
      </w:r>
    </w:p>
    <w:p>
      <w:pPr>
        <w:pStyle w:val="BookText"/>
        <w:bidi w:val="0"/>
        <w:jc w:val="both"/>
        <w:rPr/>
      </w:pPr>
      <w:r>
        <w:rPr>
          <w:rFonts w:eastAsia="Times New Roman" w:cs="Times New Roman" w:ascii="Times New Roman" w:hAnsi="Times New Roman"/>
          <w:color w:val="111111"/>
          <w:sz w:val="28"/>
          <w:szCs w:val="28"/>
          <w:lang w:val="en-US"/>
        </w:rPr>
        <w:t>123, 137, 138, 141, 142</w:t>
      </w:r>
    </w:p>
    <w:p>
      <w:pPr>
        <w:pStyle w:val="BookText"/>
        <w:bidi w:val="0"/>
        <w:jc w:val="both"/>
        <w:rPr/>
      </w:pPr>
      <w:r>
        <w:rPr>
          <w:rFonts w:eastAsia="Times New Roman" w:cs="Times New Roman" w:ascii="Times New Roman" w:hAnsi="Times New Roman"/>
          <w:color w:val="111111"/>
          <w:sz w:val="28"/>
          <w:szCs w:val="28"/>
          <w:lang w:val="en-US"/>
        </w:rPr>
        <w:t>metode xi, xii, 3, 17, 18, 20,</w:t>
      </w:r>
    </w:p>
    <w:p>
      <w:pPr>
        <w:pStyle w:val="BookText"/>
        <w:bidi w:val="0"/>
        <w:jc w:val="both"/>
        <w:rPr/>
      </w:pPr>
      <w:r>
        <w:rPr>
          <w:rFonts w:eastAsia="Times New Roman" w:cs="Times New Roman" w:ascii="Times New Roman" w:hAnsi="Times New Roman"/>
          <w:color w:val="111111"/>
          <w:sz w:val="28"/>
          <w:szCs w:val="28"/>
          <w:lang w:val="en-US"/>
        </w:rPr>
        <w:t>21, 24, 27, 34, 46, 47, 87,</w:t>
      </w:r>
    </w:p>
    <w:p>
      <w:pPr>
        <w:pStyle w:val="BookText"/>
        <w:bidi w:val="0"/>
        <w:jc w:val="both"/>
        <w:rPr/>
      </w:pPr>
      <w:r>
        <w:rPr>
          <w:rFonts w:eastAsia="Times New Roman" w:cs="Times New Roman" w:ascii="Times New Roman" w:hAnsi="Times New Roman"/>
          <w:color w:val="111111"/>
          <w:sz w:val="28"/>
          <w:szCs w:val="28"/>
          <w:lang w:val="en-US"/>
        </w:rPr>
        <w:t>88, 102, 128, 130, 136</w:t>
      </w:r>
    </w:p>
    <w:p>
      <w:pPr>
        <w:pStyle w:val="BookText"/>
        <w:bidi w:val="0"/>
        <w:jc w:val="both"/>
        <w:rPr/>
      </w:pPr>
      <w:r>
        <w:rPr>
          <w:rFonts w:eastAsia="Times New Roman" w:cs="Times New Roman" w:ascii="Times New Roman" w:hAnsi="Times New Roman"/>
          <w:color w:val="111111"/>
          <w:sz w:val="28"/>
          <w:szCs w:val="28"/>
          <w:lang w:val="en-US"/>
        </w:rPr>
        <w:t>mukhalaf 108</w:t>
      </w:r>
    </w:p>
    <w:p>
      <w:pPr>
        <w:pStyle w:val="BookText"/>
        <w:bidi w:val="0"/>
        <w:jc w:val="both"/>
        <w:rPr/>
      </w:pPr>
      <w:r>
        <w:rPr>
          <w:rFonts w:eastAsia="Times New Roman" w:cs="Times New Roman" w:ascii="Times New Roman" w:hAnsi="Times New Roman"/>
          <w:color w:val="111111"/>
          <w:sz w:val="28"/>
          <w:szCs w:val="28"/>
          <w:lang w:val="en-US"/>
        </w:rPr>
        <w:t>muta'ayyin 8, 102</w:t>
      </w:r>
    </w:p>
    <w:p>
      <w:pPr>
        <w:pStyle w:val="BookText"/>
        <w:bidi w:val="0"/>
        <w:jc w:val="both"/>
        <w:rPr/>
      </w:pPr>
      <w:r>
        <w:rPr>
          <w:rFonts w:eastAsia="Times New Roman" w:cs="Times New Roman" w:ascii="Times New Roman" w:hAnsi="Times New Roman"/>
          <w:color w:val="111111"/>
          <w:sz w:val="28"/>
          <w:szCs w:val="28"/>
          <w:lang w:val="en-US"/>
        </w:rPr>
        <w:t>taʼayyun 7, 83, 99</w:t>
      </w:r>
    </w:p>
    <w:p>
      <w:pPr>
        <w:pStyle w:val="BookText"/>
        <w:bidi w:val="0"/>
        <w:jc w:val="both"/>
        <w:rPr/>
      </w:pPr>
      <w:r>
        <w:rPr>
          <w:rFonts w:eastAsia="Times New Roman" w:cs="Times New Roman" w:ascii="Times New Roman" w:hAnsi="Times New Roman"/>
          <w:color w:val="111111"/>
          <w:sz w:val="28"/>
          <w:szCs w:val="28"/>
          <w:lang w:val="en-US"/>
        </w:rPr>
        <w:t>tadwīni 9</w:t>
      </w:r>
    </w:p>
    <w:p>
      <w:pPr>
        <w:pStyle w:val="BookText"/>
        <w:bidi w:val="0"/>
        <w:jc w:val="both"/>
        <w:rPr/>
      </w:pPr>
      <w:r>
        <w:rPr>
          <w:rFonts w:eastAsia="Times New Roman" w:cs="Times New Roman" w:ascii="Times New Roman" w:hAnsi="Times New Roman"/>
          <w:color w:val="111111"/>
          <w:sz w:val="28"/>
          <w:szCs w:val="28"/>
          <w:lang w:val="en-US"/>
        </w:rPr>
        <w:t>tafsir xi, xii, xiii, 12, 42, 48, 50,</w:t>
      </w:r>
    </w:p>
    <w:p>
      <w:pPr>
        <w:pStyle w:val="BookText"/>
        <w:bidi w:val="0"/>
        <w:jc w:val="both"/>
        <w:rPr/>
      </w:pPr>
      <w:r>
        <w:rPr>
          <w:rFonts w:eastAsia="Times New Roman" w:cs="Times New Roman" w:ascii="Times New Roman" w:hAnsi="Times New Roman"/>
          <w:color w:val="111111"/>
          <w:sz w:val="28"/>
          <w:szCs w:val="28"/>
          <w:lang w:val="en-US"/>
        </w:rPr>
        <w:t>51, 52, 95, 144</w:t>
      </w:r>
    </w:p>
    <w:p>
      <w:pPr>
        <w:pStyle w:val="BookText"/>
        <w:bidi w:val="0"/>
        <w:jc w:val="both"/>
        <w:rPr/>
      </w:pPr>
      <w:r>
        <w:rPr>
          <w:rFonts w:eastAsia="Times New Roman" w:cs="Times New Roman" w:ascii="Times New Roman" w:hAnsi="Times New Roman"/>
          <w:color w:val="111111"/>
          <w:sz w:val="28"/>
          <w:szCs w:val="28"/>
          <w:lang w:val="en-US"/>
        </w:rPr>
        <w:t>tajalli 7, 69, 81, 82, 90, 141</w:t>
      </w:r>
    </w:p>
    <w:p>
      <w:pPr>
        <w:pStyle w:val="BookText"/>
        <w:bidi w:val="0"/>
        <w:jc w:val="both"/>
        <w:rPr/>
      </w:pPr>
      <w:r>
        <w:rPr>
          <w:rFonts w:eastAsia="Times New Roman" w:cs="Times New Roman" w:ascii="Times New Roman" w:hAnsi="Times New Roman"/>
          <w:color w:val="111111"/>
          <w:sz w:val="28"/>
          <w:szCs w:val="28"/>
          <w:lang w:val="en-US"/>
        </w:rPr>
        <w:t>takwin 9, 12, 76, 79, 105</w:t>
      </w:r>
    </w:p>
    <w:p>
      <w:pPr>
        <w:pStyle w:val="BookText"/>
        <w:bidi w:val="0"/>
        <w:jc w:val="both"/>
        <w:rPr/>
      </w:pPr>
      <w:r>
        <w:rPr>
          <w:rFonts w:eastAsia="Times New Roman" w:cs="Times New Roman" w:ascii="Times New Roman" w:hAnsi="Times New Roman"/>
          <w:color w:val="111111"/>
          <w:sz w:val="28"/>
          <w:szCs w:val="28"/>
          <w:lang w:val="en-US"/>
        </w:rPr>
        <w:t>tauhid 11, 18, 19, 28, 31, 37,</w:t>
      </w:r>
    </w:p>
    <w:p>
      <w:pPr>
        <w:pStyle w:val="BookText"/>
        <w:bidi w:val="0"/>
        <w:jc w:val="both"/>
        <w:rPr/>
      </w:pPr>
      <w:r>
        <w:rPr>
          <w:rFonts w:eastAsia="Times New Roman" w:cs="Times New Roman" w:ascii="Times New Roman" w:hAnsi="Times New Roman"/>
          <w:color w:val="111111"/>
          <w:sz w:val="28"/>
          <w:szCs w:val="28"/>
          <w:lang w:val="en-US"/>
        </w:rPr>
        <w:t>45, 52, 62, 65, 103, 109</w:t>
      </w:r>
    </w:p>
    <w:p>
      <w:pPr>
        <w:pStyle w:val="BookText"/>
        <w:bidi w:val="0"/>
        <w:jc w:val="both"/>
        <w:rPr/>
      </w:pPr>
      <w:r>
        <w:rPr>
          <w:rFonts w:eastAsia="Times New Roman" w:cs="Times New Roman" w:ascii="Times New Roman" w:hAnsi="Times New Roman"/>
          <w:color w:val="111111"/>
          <w:sz w:val="28"/>
          <w:szCs w:val="28"/>
          <w:lang w:val="en-US"/>
        </w:rPr>
        <w:t>teks xii, xiii, 3, 8, 10, 15, 22.</w:t>
      </w:r>
    </w:p>
    <w:p>
      <w:pPr>
        <w:pStyle w:val="BookText"/>
        <w:bidi w:val="0"/>
        <w:jc w:val="both"/>
        <w:rPr/>
      </w:pPr>
      <w:r>
        <w:rPr>
          <w:rFonts w:eastAsia="Times New Roman" w:cs="Times New Roman" w:ascii="Times New Roman" w:hAnsi="Times New Roman"/>
          <w:color w:val="111111"/>
          <w:sz w:val="28"/>
          <w:szCs w:val="28"/>
          <w:lang w:val="en-US"/>
        </w:rPr>
        <w:t>24, 26, 27, 31, 33, 51, 53,</w:t>
      </w:r>
    </w:p>
    <w:p>
      <w:pPr>
        <w:pStyle w:val="BookText"/>
        <w:bidi w:val="0"/>
        <w:jc w:val="both"/>
        <w:rPr/>
      </w:pPr>
      <w:r>
        <w:rPr>
          <w:rFonts w:eastAsia="Times New Roman" w:cs="Times New Roman" w:ascii="Times New Roman" w:hAnsi="Times New Roman"/>
          <w:color w:val="111111"/>
          <w:sz w:val="28"/>
          <w:szCs w:val="28"/>
          <w:lang w:val="en-US"/>
        </w:rPr>
        <w:t>61, 66, 68, 69, 70, 71, 73,</w:t>
      </w:r>
    </w:p>
    <w:p>
      <w:pPr>
        <w:pStyle w:val="BookText"/>
        <w:bidi w:val="0"/>
        <w:jc w:val="both"/>
        <w:rPr/>
      </w:pPr>
      <w:r>
        <w:rPr>
          <w:rFonts w:eastAsia="Times New Roman" w:cs="Times New Roman" w:ascii="Times New Roman" w:hAnsi="Times New Roman"/>
          <w:color w:val="111111"/>
          <w:sz w:val="28"/>
          <w:szCs w:val="28"/>
          <w:lang w:val="en-US"/>
        </w:rPr>
        <w:t>79, 83, 87, 88, 89, 95, 96,</w:t>
      </w:r>
    </w:p>
    <w:p>
      <w:pPr>
        <w:pStyle w:val="BookText"/>
        <w:bidi w:val="0"/>
        <w:jc w:val="both"/>
        <w:rPr/>
      </w:pPr>
      <w:r>
        <w:rPr>
          <w:rFonts w:eastAsia="Times New Roman" w:cs="Times New Roman" w:ascii="Times New Roman" w:hAnsi="Times New Roman"/>
          <w:color w:val="111111"/>
          <w:sz w:val="28"/>
          <w:szCs w:val="28"/>
          <w:lang w:val="en-US"/>
        </w:rPr>
        <w:t>98, 99, 100, 102, 104,</w:t>
      </w:r>
    </w:p>
    <w:p>
      <w:pPr>
        <w:pStyle w:val="BookText"/>
        <w:bidi w:val="0"/>
        <w:jc w:val="both"/>
        <w:rPr/>
      </w:pPr>
      <w:r>
        <w:rPr>
          <w:rFonts w:eastAsia="Times New Roman" w:cs="Times New Roman" w:ascii="Times New Roman" w:hAnsi="Times New Roman"/>
          <w:color w:val="111111"/>
          <w:sz w:val="28"/>
          <w:szCs w:val="28"/>
          <w:lang w:val="en-US"/>
        </w:rPr>
        <w:t>105, 111, 114, 116, 117,</w:t>
      </w:r>
    </w:p>
    <w:p>
      <w:pPr>
        <w:pStyle w:val="BookText"/>
        <w:bidi w:val="0"/>
        <w:jc w:val="both"/>
        <w:rPr/>
      </w:pPr>
      <w:r>
        <w:rPr>
          <w:rFonts w:eastAsia="Times New Roman" w:cs="Times New Roman" w:ascii="Times New Roman" w:hAnsi="Times New Roman"/>
          <w:color w:val="111111"/>
          <w:sz w:val="28"/>
          <w:szCs w:val="28"/>
          <w:lang w:val="en-US"/>
        </w:rPr>
        <w:t>118, 127, 128, 135, 140,</w:t>
      </w:r>
    </w:p>
    <w:p>
      <w:pPr>
        <w:pStyle w:val="BookText"/>
        <w:bidi w:val="0"/>
        <w:jc w:val="both"/>
        <w:rPr/>
      </w:pPr>
      <w:r>
        <w:rPr>
          <w:rFonts w:eastAsia="Times New Roman" w:cs="Times New Roman" w:ascii="Times New Roman" w:hAnsi="Times New Roman"/>
          <w:color w:val="111111"/>
          <w:sz w:val="28"/>
          <w:szCs w:val="28"/>
          <w:lang w:val="en-US"/>
        </w:rPr>
        <w:t>142, 143</w:t>
      </w:r>
    </w:p>
    <w:p>
      <w:pPr>
        <w:pStyle w:val="BookText"/>
        <w:bidi w:val="0"/>
        <w:jc w:val="both"/>
        <w:rPr/>
      </w:pPr>
      <w:r>
        <w:rPr>
          <w:rFonts w:eastAsia="Times New Roman" w:cs="Times New Roman" w:ascii="Times New Roman" w:hAnsi="Times New Roman"/>
          <w:color w:val="111111"/>
          <w:sz w:val="28"/>
          <w:szCs w:val="28"/>
          <w:lang w:val="en-US"/>
        </w:rPr>
        <w:t>teologi 28, 62, 65, 68, 114,</w:t>
      </w:r>
    </w:p>
    <w:p>
      <w:pPr>
        <w:pStyle w:val="BookText"/>
        <w:bidi w:val="0"/>
        <w:jc w:val="both"/>
        <w:rPr/>
      </w:pPr>
      <w:r>
        <w:rPr>
          <w:rFonts w:eastAsia="Times New Roman" w:cs="Times New Roman" w:ascii="Times New Roman" w:hAnsi="Times New Roman"/>
          <w:color w:val="111111"/>
          <w:sz w:val="28"/>
          <w:szCs w:val="28"/>
          <w:lang w:val="en-US"/>
        </w:rPr>
        <w:t>124, 134</w:t>
      </w:r>
    </w:p>
    <w:p>
      <w:pPr>
        <w:pStyle w:val="BookText"/>
        <w:bidi w:val="0"/>
        <w:jc w:val="both"/>
        <w:rPr/>
      </w:pPr>
      <w:r>
        <w:rPr>
          <w:rFonts w:eastAsia="Times New Roman" w:cs="Times New Roman" w:ascii="Times New Roman" w:hAnsi="Times New Roman"/>
          <w:color w:val="111111"/>
          <w:sz w:val="28"/>
          <w:szCs w:val="28"/>
          <w:lang w:val="en-US"/>
        </w:rPr>
        <w:t>Tuhan 7, 9, 10, 15, 16, 18, 21,</w:t>
      </w:r>
    </w:p>
    <w:p>
      <w:pPr>
        <w:pStyle w:val="BookText"/>
        <w:bidi w:val="0"/>
        <w:jc w:val="both"/>
        <w:rPr/>
      </w:pPr>
      <w:r>
        <w:rPr>
          <w:rFonts w:eastAsia="Times New Roman" w:cs="Times New Roman" w:ascii="Times New Roman" w:hAnsi="Times New Roman"/>
          <w:color w:val="111111"/>
          <w:sz w:val="28"/>
          <w:szCs w:val="28"/>
          <w:lang w:val="en-US"/>
        </w:rPr>
        <w:t>23, 25, 30, 31, 32, 33, 35,</w:t>
      </w:r>
    </w:p>
    <w:p>
      <w:pPr>
        <w:pStyle w:val="BookText"/>
        <w:bidi w:val="0"/>
        <w:jc w:val="both"/>
        <w:rPr/>
      </w:pPr>
      <w:r>
        <w:rPr>
          <w:rFonts w:eastAsia="Times New Roman" w:cs="Times New Roman" w:ascii="Times New Roman" w:hAnsi="Times New Roman"/>
          <w:color w:val="111111"/>
          <w:sz w:val="28"/>
          <w:szCs w:val="28"/>
          <w:lang w:val="en-US"/>
        </w:rPr>
        <w:t>37, 38, 39, 43, 46, 47, 49,</w:t>
      </w:r>
    </w:p>
    <w:p>
      <w:pPr>
        <w:pStyle w:val="BookText"/>
        <w:bidi w:val="0"/>
        <w:jc w:val="both"/>
        <w:rPr/>
      </w:pPr>
      <w:r>
        <w:rPr>
          <w:rFonts w:eastAsia="Times New Roman" w:cs="Times New Roman" w:ascii="Times New Roman" w:hAnsi="Times New Roman"/>
          <w:color w:val="111111"/>
          <w:sz w:val="28"/>
          <w:szCs w:val="28"/>
          <w:lang w:val="en-US"/>
        </w:rPr>
        <w:t>61, 62, 64, 65, 67, 68, 69,</w:t>
      </w:r>
    </w:p>
    <w:p>
      <w:pPr>
        <w:pStyle w:val="BookText"/>
        <w:bidi w:val="0"/>
        <w:jc w:val="both"/>
        <w:rPr/>
      </w:pPr>
      <w:r>
        <w:rPr>
          <w:rFonts w:eastAsia="Times New Roman" w:cs="Times New Roman" w:ascii="Times New Roman" w:hAnsi="Times New Roman"/>
          <w:color w:val="111111"/>
          <w:sz w:val="28"/>
          <w:szCs w:val="28"/>
          <w:lang w:val="en-US"/>
        </w:rPr>
        <w:t>70, 73, 74, 75, 77, 81, 82,</w:t>
      </w:r>
    </w:p>
    <w:p>
      <w:pPr>
        <w:pStyle w:val="BookText"/>
        <w:bidi w:val="0"/>
        <w:jc w:val="both"/>
        <w:rPr/>
      </w:pPr>
      <w:r>
        <w:rPr>
          <w:rFonts w:eastAsia="Times New Roman" w:cs="Times New Roman" w:ascii="Times New Roman" w:hAnsi="Times New Roman"/>
          <w:color w:val="111111"/>
          <w:sz w:val="28"/>
          <w:szCs w:val="28"/>
          <w:lang w:val="en-US"/>
        </w:rPr>
        <w:t>85, 96, 98, 99, 100, 101,</w:t>
      </w:r>
    </w:p>
    <w:p>
      <w:pPr>
        <w:pStyle w:val="BookText"/>
        <w:bidi w:val="0"/>
        <w:jc w:val="both"/>
        <w:rPr/>
      </w:pPr>
      <w:r>
        <w:rPr>
          <w:rFonts w:eastAsia="Times New Roman" w:cs="Times New Roman" w:ascii="Times New Roman" w:hAnsi="Times New Roman"/>
          <w:color w:val="111111"/>
          <w:sz w:val="28"/>
          <w:szCs w:val="28"/>
          <w:lang w:val="en-US"/>
        </w:rPr>
        <w:t>102, 105, 107, 113, 114,</w:t>
      </w:r>
    </w:p>
    <w:p>
      <w:pPr>
        <w:pStyle w:val="BookText"/>
        <w:bidi w:val="0"/>
        <w:jc w:val="both"/>
        <w:rPr/>
      </w:pPr>
      <w:r>
        <w:rPr>
          <w:rFonts w:eastAsia="Times New Roman" w:cs="Times New Roman" w:ascii="Times New Roman" w:hAnsi="Times New Roman"/>
          <w:color w:val="111111"/>
          <w:sz w:val="28"/>
          <w:szCs w:val="28"/>
          <w:lang w:val="en-US"/>
        </w:rPr>
        <w:t>115, 116, 117, 118, 119,</w:t>
      </w:r>
    </w:p>
    <w:p>
      <w:pPr>
        <w:pStyle w:val="BookText"/>
        <w:bidi w:val="0"/>
        <w:jc w:val="both"/>
        <w:rPr/>
      </w:pPr>
      <w:r>
        <w:rPr>
          <w:rFonts w:eastAsia="Times New Roman" w:cs="Times New Roman" w:ascii="Times New Roman" w:hAnsi="Times New Roman"/>
          <w:color w:val="111111"/>
          <w:sz w:val="28"/>
          <w:szCs w:val="28"/>
          <w:lang w:val="en-US"/>
        </w:rPr>
        <w:t>123, 125, 126, 127, 128,</w:t>
      </w:r>
    </w:p>
    <w:p>
      <w:pPr>
        <w:pStyle w:val="BookText"/>
        <w:bidi w:val="0"/>
        <w:jc w:val="both"/>
        <w:rPr/>
      </w:pPr>
      <w:r>
        <w:rPr>
          <w:rFonts w:eastAsia="Times New Roman" w:cs="Times New Roman" w:ascii="Times New Roman" w:hAnsi="Times New Roman"/>
          <w:color w:val="111111"/>
          <w:sz w:val="28"/>
          <w:szCs w:val="28"/>
          <w:lang w:val="en-US"/>
        </w:rPr>
        <w:t>130, 133, 134, 135, 136,</w:t>
      </w:r>
    </w:p>
    <w:p>
      <w:pPr>
        <w:pStyle w:val="BookText"/>
        <w:bidi w:val="0"/>
        <w:jc w:val="both"/>
        <w:rPr/>
      </w:pPr>
      <w:r>
        <w:rPr>
          <w:rFonts w:eastAsia="Times New Roman" w:cs="Times New Roman" w:ascii="Times New Roman" w:hAnsi="Times New Roman"/>
          <w:color w:val="111111"/>
          <w:sz w:val="28"/>
          <w:szCs w:val="28"/>
          <w:lang w:val="en-US"/>
        </w:rPr>
        <w:t>137, 139, 140, 141, 143</w:t>
      </w:r>
    </w:p>
    <w:p>
      <w:pPr>
        <w:pStyle w:val="BookText"/>
        <w:bidi w:val="0"/>
        <w:jc w:val="both"/>
        <w:rPr/>
      </w:pPr>
      <w:r>
        <w:rPr>
          <w:rFonts w:eastAsia="Times New Roman" w:cs="Times New Roman" w:ascii="Times New Roman" w:hAnsi="Times New Roman"/>
          <w:color w:val="111111"/>
          <w:sz w:val="28"/>
          <w:szCs w:val="28"/>
          <w:lang w:val="en-US"/>
        </w:rPr>
        <w:t>pemikiran xii, xiii, 3, 6, 18, 30,</w:t>
      </w:r>
    </w:p>
    <w:p>
      <w:pPr>
        <w:pStyle w:val="BookText"/>
        <w:bidi w:val="0"/>
        <w:jc w:val="both"/>
        <w:rPr/>
      </w:pPr>
      <w:r>
        <w:rPr>
          <w:rFonts w:eastAsia="Times New Roman" w:cs="Times New Roman" w:ascii="Times New Roman" w:hAnsi="Times New Roman"/>
          <w:color w:val="111111"/>
          <w:sz w:val="28"/>
          <w:szCs w:val="28"/>
          <w:lang w:val="en-US"/>
        </w:rPr>
        <w:t>46, 61, 112, 127</w:t>
      </w:r>
    </w:p>
    <w:p>
      <w:pPr>
        <w:pStyle w:val="BookText"/>
        <w:bidi w:val="0"/>
        <w:jc w:val="both"/>
        <w:rPr/>
      </w:pPr>
      <w:r>
        <w:rPr>
          <w:rFonts w:eastAsia="Times New Roman" w:cs="Times New Roman" w:ascii="Times New Roman" w:hAnsi="Times New Roman"/>
          <w:color w:val="111111"/>
          <w:sz w:val="28"/>
          <w:szCs w:val="28"/>
          <w:lang w:val="en-US"/>
        </w:rPr>
        <w:t>peripatetik 3,4</w:t>
      </w:r>
    </w:p>
    <w:p>
      <w:pPr>
        <w:pStyle w:val="BookText"/>
        <w:bidi w:val="0"/>
        <w:jc w:val="both"/>
        <w:rPr/>
      </w:pPr>
      <w:r>
        <w:rPr>
          <w:rFonts w:eastAsia="Times New Roman" w:cs="Times New Roman" w:ascii="Times New Roman" w:hAnsi="Times New Roman"/>
          <w:color w:val="111111"/>
          <w:sz w:val="28"/>
          <w:szCs w:val="28"/>
          <w:lang w:val="en-US"/>
        </w:rPr>
        <w:t>prinsip xi, xii, 21, 22, 23, 31,</w:t>
      </w:r>
    </w:p>
    <w:p>
      <w:pPr>
        <w:pStyle w:val="BookText"/>
        <w:bidi w:val="0"/>
        <w:jc w:val="both"/>
        <w:rPr/>
      </w:pPr>
      <w:r>
        <w:rPr>
          <w:rFonts w:eastAsia="Times New Roman" w:cs="Times New Roman" w:ascii="Times New Roman" w:hAnsi="Times New Roman"/>
          <w:color w:val="111111"/>
          <w:sz w:val="28"/>
          <w:szCs w:val="28"/>
          <w:lang w:val="en-US"/>
        </w:rPr>
        <w:t>61, 72, 86, 95, 102, 105,</w:t>
      </w:r>
    </w:p>
    <w:p>
      <w:pPr>
        <w:pStyle w:val="BookText"/>
        <w:bidi w:val="0"/>
        <w:jc w:val="both"/>
        <w:rPr/>
      </w:pPr>
      <w:r>
        <w:rPr>
          <w:rFonts w:eastAsia="Times New Roman" w:cs="Times New Roman" w:ascii="Times New Roman" w:hAnsi="Times New Roman"/>
          <w:color w:val="111111"/>
          <w:sz w:val="28"/>
          <w:szCs w:val="28"/>
          <w:lang w:val="en-US"/>
        </w:rPr>
        <w:t>109, 110, 112, 117, 125,</w:t>
      </w:r>
    </w:p>
    <w:p>
      <w:pPr>
        <w:pStyle w:val="BookText"/>
        <w:bidi w:val="0"/>
        <w:jc w:val="both"/>
        <w:rPr/>
      </w:pPr>
      <w:r>
        <w:rPr>
          <w:rFonts w:eastAsia="Times New Roman" w:cs="Times New Roman" w:ascii="Times New Roman" w:hAnsi="Times New Roman"/>
          <w:color w:val="111111"/>
          <w:sz w:val="28"/>
          <w:szCs w:val="28"/>
          <w:lang w:val="en-US"/>
        </w:rPr>
        <w:t>128, 134, 139</w:t>
      </w:r>
    </w:p>
    <w:p>
      <w:pPr>
        <w:pStyle w:val="BookText"/>
        <w:bidi w:val="0"/>
        <w:jc w:val="both"/>
        <w:rPr/>
      </w:pPr>
      <w:r>
        <w:rPr>
          <w:rFonts w:eastAsia="Times New Roman" w:cs="Times New Roman" w:ascii="Times New Roman" w:hAnsi="Times New Roman"/>
          <w:color w:val="111111"/>
          <w:sz w:val="28"/>
          <w:szCs w:val="28"/>
          <w:lang w:val="en-US"/>
        </w:rPr>
        <w:t>shamadiyyah 7</w:t>
      </w:r>
    </w:p>
    <w:p>
      <w:pPr>
        <w:pStyle w:val="BookText"/>
        <w:bidi w:val="0"/>
        <w:jc w:val="both"/>
        <w:rPr/>
      </w:pPr>
      <w:r>
        <w:rPr>
          <w:rFonts w:eastAsia="Times New Roman" w:cs="Times New Roman" w:ascii="Times New Roman" w:hAnsi="Times New Roman"/>
          <w:color w:val="111111"/>
          <w:sz w:val="28"/>
          <w:szCs w:val="28"/>
          <w:lang w:val="en-US"/>
        </w:rPr>
        <w:t>shirf al-wujūd 6, 7, 8, 65</w:t>
      </w:r>
    </w:p>
    <w:p>
      <w:pPr>
        <w:pStyle w:val="BookText"/>
        <w:bidi w:val="0"/>
        <w:jc w:val="both"/>
        <w:rPr/>
      </w:pPr>
      <w:r>
        <w:rPr>
          <w:rFonts w:eastAsia="Times New Roman" w:cs="Times New Roman" w:ascii="Times New Roman" w:hAnsi="Times New Roman"/>
          <w:color w:val="111111"/>
          <w:sz w:val="28"/>
          <w:szCs w:val="28"/>
          <w:lang w:val="en-US"/>
        </w:rPr>
        <w:t>shirf wujūd 6</w:t>
      </w:r>
    </w:p>
    <w:p>
      <w:pPr>
        <w:pStyle w:val="BookText"/>
        <w:bidi w:val="0"/>
        <w:jc w:val="both"/>
        <w:rPr/>
      </w:pPr>
      <w:r>
        <w:rPr>
          <w:rFonts w:eastAsia="Times New Roman" w:cs="Times New Roman" w:ascii="Times New Roman" w:hAnsi="Times New Roman"/>
          <w:color w:val="111111"/>
          <w:sz w:val="28"/>
          <w:szCs w:val="28"/>
          <w:lang w:val="en-US"/>
        </w:rPr>
        <w:t>shudur 7</w:t>
      </w:r>
    </w:p>
    <w:p>
      <w:pPr>
        <w:pStyle w:val="BookText"/>
        <w:bidi w:val="0"/>
        <w:jc w:val="both"/>
        <w:rPr/>
      </w:pPr>
      <w:r>
        <w:rPr>
          <w:rFonts w:eastAsia="Times New Roman" w:cs="Times New Roman" w:ascii="Times New Roman" w:hAnsi="Times New Roman"/>
          <w:color w:val="111111"/>
          <w:sz w:val="28"/>
          <w:szCs w:val="28"/>
          <w:lang w:val="en-US"/>
        </w:rPr>
        <w:t>silogisme 3, 4, 96, 132</w:t>
      </w:r>
    </w:p>
    <w:p>
      <w:pPr>
        <w:pStyle w:val="BookText"/>
        <w:bidi w:val="0"/>
        <w:jc w:val="both"/>
        <w:rPr/>
      </w:pPr>
      <w:r>
        <w:rPr>
          <w:rFonts w:eastAsia="Times New Roman" w:cs="Times New Roman" w:ascii="Times New Roman" w:hAnsi="Times New Roman"/>
          <w:color w:val="111111"/>
          <w:sz w:val="28"/>
          <w:szCs w:val="28"/>
          <w:lang w:val="en-US"/>
        </w:rPr>
        <w:t>skripturalisme 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zhuhūr 7, 64, 75, 138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Khomeini, Syarh Du'a' Al-Sahr, hlm. 212-213.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Imam Khomeini, Syarh Du'a' Al-Sahr, hlm. 174.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Imam Khomeini, Ādab Al-Shalāh, hlm. 312.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Imam Khomeini, Syarh Du'a' Al-Sahr, hlm. 94-95.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Imam Khomeini, Syarh Du'a' Al-Sahr, hlm. 95.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Imam Khomeini, Syarh Duſā' Al-Sahr, hlm. 94.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Imam Khomeini, Ādāb Al-Shalāh, hlm. 290– 291.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Imam Khomeini, Syarh Du'a' Al-Sahr, hlm. 96-97.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Diwan Syaikh Bahā'i.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Imam Khomeini, Syarh Du'a' Al-Sahr, hlm. 96.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Imam Khomeini, Tafsir Sūre-e Hamd, hlm. 136.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QS Al-Ghāsyiyah: 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QS Al-Ghāsyiyah: 17.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Imam Khomeini, Tafsir Sūre-e Hamd, hlm. 136.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Imam Khomeini, Tafsir Süre-e Hamd, hlm. 139–140.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Imam Khomeini, Tafsir Sūre-e Hamd, hlm. 145.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Imam Khomeini, Tafsir Sūre-e Hamd, hlm. 164, dan Imam Khomeini, Sirr Al-Shalāh, hlm. 42–43.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Imam Khomeini, Sirr Al-Shalāh, hlm. 164.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Imam Khomeini, Ādab Al-Shalāh, hlm. 185.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Imam Khomeini, Ādāb Al-Shalāh, hlm. 185.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Imam Khomeini, Ādab Al-Shalah, hlm. 188.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QS Al-An'ām: 76.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Imam Khomeini, Ādab Al-Shalāh, hlm. 79.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Imam Khomeini, Ādab Al-Shalah, hlm. 188.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Imam Khomeini, Ādab Al-Shalah, hlm. 251.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Imam Khomeini, Ādāb Al-Shalāh, hlm. 252.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Imam Khomeini, Ādab Al-Shalāh, hlm. 253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Imam Khomeini, Ādab Al-Shalāh, hlm. 255.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Imam Khomeini, Ādāb Al-Shalāh, hlm. 255.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Imam Khomeini, Ādab Al-Shalāh., hlm. 256.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Imam Khomeini, Ādab Al-Shalāh., hlm. 301 – 302.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Imam Khomeini, Ādab Al-Shalāh., hlm. 302-302.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QS Al-Hadid: 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QS Al-Hadid: 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Imam Khomeini, Ādāb Al-Shalāh, hlm. 304.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QS Al-An'ām: 90.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Imam Khomeini, Ādāb Al-Shalāh, hlm. 285.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mam Khomeini, Ādab Al-Shalah, hlm. 320.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QS Al-Anfāl: 17.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Imam Khomeini, Ādāb Al-Shalāh, hlm. 320.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Imam Khomeini, Ādab Al-Shalāh, hlm. 320.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Imam Khomeini, Ādab Al-Shalāh, hlm. 320.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Imam Khomeini, Ādāb Al-Shalāh, hlm. 22.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Imam Khomeini, Ādab Al-Shalāh, hlm. 22.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Imam Khomeini, Ādāb Al-Shalāh, hlm. 16.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Imam Khomeini, Adab Al-Shalāh, hlm. 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Imam Khomeini, Ādab Al-Shalāh, hlm. 22.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Imam Khomeini, Adab Al-Shalāh, hlm. 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Imam Khomeini, Ādab Al-Shalāh, hlm. 20.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Imam Khomeini, Ādab Al-Shalāh, hlm. 16.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Imam Khomeini, Ādab Al-Shalāh, hlm. 24.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Imam Khomeini, Ādab Al-Shalāh, hlm. 61.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Imam Khomeini, Adab Al-Shalāh, hlm. 64.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Imam Khomeini, Ādab Al-Shalāh, hlm. 63.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Imam Khomeini, Ādāb Al-Shalāh, hlm. 19.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Imam Khomeini, Ādab Al-Shalāh, hlm. 30.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QS At-Taubah: 72.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QS Al-Muthaffifin: 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Imam Khomeini, Ādāb Al-Shalāh, hlm. 33.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Imam Khomeini, Ādab Al-Shalāh, hlm. 139.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Imam Khomeini, Adab Al-Shalāh, hlm. 76.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Imam Khomeini, Ādāb Al-Shalāh, hlm. 28.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Imam Khomeini, Ādab Al-Shalāh, hlm. 126.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Imam Khomeini, Ādāb Al-Shalāh, hlm. 16.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Imam Khomeini, Ādāb Al-Shalāh, hlm. 127.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Imam Khomeini, Ādab Al-Shalāh, hlm. 75.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Imam Khomeini, Ādab Al-Shalāh, hlm. 138.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Imam Khomeini, Ādab Al-Shalāh, hlm. 144.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Imam Khomeini, Ādab Al-Shalāh, hlm. 20.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Imam Khomeini, Ādab Al-Shalāh, hlm. 17.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Imam Khomeini, Ādāb Al-Shalāh, hlm. 139.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Imam Khomeini, Ādab Al-Shalāh, hlm. 139.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Imam Khomeini, Ādab Al-Shalāh, hlm. 159-161.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Imam Khomeini, Ādab Al-Shalāh, hlm. 147.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Imam Khomeini, Ādab Al-Shalāh, hlm. 18.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Imam Khomeini, Ādab Al-Shalāh, hlm. 17.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Imam Khomeini, Ādab Al-Shalāh, hlm. 19.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Imam Khomeini, Ādab Al-Shalāh, hlm. 20.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Imam Khomeini, Tafsir Sūre-e Hamd, hlm. 143-144.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Imam Khomeini, Ādab Al-Shalāh, hlm. 12 dan 263.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Imam Khomeini, Ādab Al-Shalāh, hlm. 93.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Imam Khomeini, Ādāb Al-Shalāh, hlm. 12.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Imam Khomeini, Ādāb Al-Shalāh, hlm. 195.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Imam Khomeini, Ādāb Al-Shalāh, hlm. 196.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QS An-Naba': 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Imam Khomeini, Ādab Al-Shalah, hlm 200.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Imam Khomeini, Ādab Al-Shalāh, hlm 200.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Imam Khomeini, Ādāb Al-Shalāh, hlm. 347.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Imam Khomeini, Ādāb Al-Shalāh, hlm. 199.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Imam Khomeini, Sirr Al-Shalāh, hlm. 23, 27 dan 40.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Imam Khomeini, Sirr Al-Shalāh, hlm. 29.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Imam Khomeini, Sirr Al-Shalāh, hlm. 60-61.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Imam Khomeini, Sirr Al-Shalāh, hlm. 64-65.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Imam Khomeini, Ādāb Al-Shalāh, hlm. 201.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QS Muhammad: 24.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Imam Khomeini, Ādāb Al-Shalāh, hlm. 202.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1.Nahjul Balāghah, Khotbah no. 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2.Shahifah Sajjādiyyah, Doa no. 32.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3.Imam Khomeini, Ādāb Al-Shalāh, hlm. 305.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4.Imam Khomeini, Ādāb Al-Shalāh, hlm. 307.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6.Imam Khomeini, Syarh Du'a' Al-Sahr, hlm. 119.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7.Imam Khomeini, Syarh Du'ā' Al-Sahr, hlm. 119.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8.Imam Khomeini, Syarh Du'a' Al-Sahr, hlm 112.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9.Imam Khomeini, Syarh Du'a' Al-Sahr, hlm 44.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10.Imam Khomeini, Tafsir Sūre-e Hamd, hlm. 162.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11.Imam Khomeini, Syarh Du'a' Al-Sahr, hlm. 45.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13.Imam Khomeini, Sirr Al-Shalāh, hlm. 20.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14.Imam Khomeini, Tafsir Sūre-e Hamd, hlm. 162–163.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15.Imam Khomeini, Ādab Al-Shalāh, hlm. 7,8 dan 319.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16.QS Ad-Dukhān: 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17.QS Al-Hijr: 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18.QS As-Syu'arā': 193.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19.QS Al-Mu'min: 36.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20.Imam Khomeini, Ādab Al-Shalāh, hlm. 319-320.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21.QS Hūd: 56.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22.QS Hūd: 56.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23.Imam Khomeini, Ādāb Al-Shalāh, hlm. 137.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24.Imam Khomeini, Ādab Al-Shalāh, hlm. 320.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25.QS Al-Anfāl: 17.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26.Imam Khomeini, Ādab Al-Shalāh, hlm. 372.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27.Imam Khomeini, Ādāb Al-Shalah, hlm. 138, 139, 172 dan372.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28.QS Al-Baqarah: 31.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29.Imam Khomeini, Syarh Du'a' Al-Sahr, hlm. 10.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30.Imam Khomeini, Tafsir Sure-e Hamd, hlm. 132-133.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31.Imam Khomeini, Tafsir Sure-e Hamd, hlm. 132–133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32.Imam Khomeini, Tafsīr Sure-e Hamd, hlm. 214.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34.QS At-Tin: 4–5.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35.Imam Khomeini, Tafsir Sure-e Hamd, hlm. 91.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36.Imam Khomeini, Tafsir Sure-e Hamd, hlm. 90.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37.Imam Khomeini, Tafsīr Sure-e Hamd, hlm. 93–94.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38.Imam Khomeini, Tafsir Sure-e Hamd, hlm. 94.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39.Imam Khomeini, Tafsir Sure-e Hamd, hlm. 95.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40.Imam Khomeini, Tafsir Sure-e Hamd, hlm. 122.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41.Imam Khomeini, Tafsir Sure-e Hamd, hlm. 23.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42.Imam Khomeini, Tafsir Sure-e Hamd, hlm. 22-23.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43.Imam Khomeini, Tafsir Sure-e Hamd, hlm. 122.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44.Ziyārah Jāmi'ah Kabīrah.</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45.QS Al-Ghāsyiyah: 25-26.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46.Imam Khomeini, Ādāb Al-Shalāh, hlm. 263.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47.Imam Khomeini, Ādab Al-Shalāh, hlm. 86.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48.Imam Khomeini, Sirr al-Shalāh, hlm. 20.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49.Imam Khomeini, Ādāb Al-Shalāh, hlm. 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50.Imam Khomeini, Ādāb Al-Shalāh, hlm. 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51.Imam Khomeini, Ādāb Al-Shalāh, hlm. 143.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52.QS Al-Ghāsyiyah: 20.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53.Imam Khomeini, Sirr al-Shalāh, hlm. 138-139.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54.Imam Khomeini, Sirr al-Shalāh, hlm 141; Tafsir Sūre-e Hamd, hlm. 132.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55.QS Al-Hadid: 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56.QS Al-A'rāf: 143.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57.Imam Khomeini, Tafsir Sūre-e Hamd, hlm. 158.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58.Imam Khomeini, Tafsir Sūre-e Hamd, hlm. 158.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59.Imam Khomeini, Tafsir Sūre-e Hamd, hlm 133.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60.Imam Khomeini, Syarh Du'ā' al-Sahr, hlm. 121.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1.Du'a' Al-Sahr.</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2.QS Fushshilat: 53.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3.QS Al-Isra': 14.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4.Imam Khomeini, Syarh Du´ā' Al-Sahr, hlm. 264.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5.Imam Khomeini, Syarh Du'a' Al-Sahr, hlm. 265.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6.Imam Khomeini, Syarh Du'a' Al-Sahr, hlm. 266.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7.Imam Khomeini, Syarh Du'ā' Al-Sahr, hlm. 265.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8.Imam Khomeini, Cehel Hadits, hlm, 635.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9.Imam Khomeini, Cehel Hadits, hlm, 635.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10.QS Al-Qashash: 88.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11.Imam Khomeini, Cehel Hadits, hlm. 635.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12.QS Al-A'rāf: 180.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13.Imam Khomeini, Cehel Hadits, hlm. 636.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14.Imam Khomeini, Syarh Du'a' Al-Sahr, hlm. 121.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15.Imam Khomeini, Syarh Du'a' Al-Sahr, hlm. 123.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16.Imam Khomeini, Syarh Du'a' Al-Sahr, hlm. 131.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17.Imam Khomeini, Syarh Du'ā' Al-Sahr, hlm. 125.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18.QS Al-Anfāl: 17.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19.QS Az-Zumar: 42.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20.QS As-Sajdah: 11.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21.Imam Khomeini, Cehel Hadits, hlm. 587.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22.Imam Khomeini, Cehel Hadīts, hlm. 646.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23.Imam Khomeini, Cehel Hadits, hlm. 647.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24.Imam Khomeini, Cehel Hadits, hlm. 586.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25.Imam Khomeini, Cehel Hadits, hlm. 548.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26.Imam Khomeini, Cehel Hadits, hlm. 548.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27.Imam Khomeini, Cehel Hadits, hlm. 544-545.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28.Imam Khomeini, Cehel Hadits, hlm. 544-545.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29.Imam Khomeini, Cehel Hadits, hlm. 544-545.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30.Imam Khomeini, Cehel Hadits, hlm. 550.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31.Imam Khomeini, Cehel Hadīts, hlm. 551.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32.Imam Khomeini, Cehel Hadits, hlm. 551.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33.Imam Khomeini, Cehel Hadits, hlm. 548.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34.Imam Khomeini, Cehel Hadits, hlm. 645.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35.Imam Khomeini, Cehel Hadits, hlm. 548.</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36.Imam Khomeini, Cehel Hadits, hlm. 546.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37.Imam Khomeini, Cehel Hadīts, hlm. 664.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38.Imam Khomeini, Ādāb Al-Shalāh, hlm. 372.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39.Imam Khomeini, Ādāb Al-Shalāh, hlm. 372.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40.QS Al-Isra': 44.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41.Imam Khomeini, Cehel Hadits, hlm. 283.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42.Imam Khomeini, Cehel Hadīts, hlm. 655.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43.Imam Khomeini, Cehel Hadīts, hlm. 654.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44.QS An-Naml: 18.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45.Imam Khomeini, Cehel Hadits, hlm. 655.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46.Imam Khomeini, Cehel Hadits, hlm. 283 dan 416.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47.Doa Sahr.</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48.Imam Khomeini, Syarh Duſā' Al-Sahr, hlm 22.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49.Imam Khomeini, Syarh Duſā' Al-Sahr, hlm 22.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50.Imam Khomeini, Syarh Du'ā' Al-Sahr, hlm. 29.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51.Doa Sahr.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52.Imam Khomeini, Syarh Du'a' Al-Sahr, hlm. 44-45.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53.Imam Khomeini, Cehel Hadits, hlm. 639.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54.Imam Khomeini, Cehel Hadits, hlm. 440.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55.Imam Khomeini, Cehel Hadits, hlm. 640 dan 643.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56.QS An-Nisā': 78–79.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57.Imam Khomeini, Cehel Hadits, hlm. 644.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58.Imam Khomeini, Cehel Hadits, hlm. 640.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59.Imam Khomeini, Cehel Hadits, hlm. 442 dan 644.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60.Doa Kumail.</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61.Doa Sahr.</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62.Imam Khomeini, Syarh Du'ā' Al-Sahr, hlm. 74.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63.Imam Khomeini, Syarh Duſā' Al-Sahr, hlm. 75-76.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64.Imam Khomeini, Syarh Du'ā' Al-Sahr, hlm. 76.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1.Du'a' Al-Sahr.</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2.QS Fushshilat: 53.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65.Imam Khomeini, Syarh Du´ā' Al-Sahr, hlm. 78.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66.QS Al-Rahmān: 29.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67.Doa Sahr.</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68.Imam Khomeini, Syarh Du'ā' Al-Sahr, hlm. 232.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69.Imam Khomeini, Syarh Du'a' Al-Sahr, hlm. 232-233.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70.Doa Sahr.</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71.Imam Khomeini, Syarh Du´ā' Al-Sahr, hlm. 242.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72.Imam Khomeini, Syarh Du’ā' Al-Sahr, hlm. 243.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73.Imam Khomeini, Syarh Du'a' Al-Sahr, hlm. 244.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74.Doa Sahr.</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75.Imam Khomeini, Syarh Du´a' Al-Sahr, hlm. 166.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76.Imam Khomeini, Syarh Duſā' Al-Sahr, hlm. 166.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77.Imam Khomeini, Syarh Du´ā' Al-Sahr., hlm. 167.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78.Imam Khomeini, Syarh Du'a' Al-Sahr., hlm. 167.</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79.Imam Khomeini, Cehel Hadits, hlm. 610.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80.Imam Khomeini, Cehel Hadīts, hlm. 605.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81.Imam Khomeini, Cehel Hadits, hlm. 606.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82.Imam Khomeini, Cehel Hadīts, hlm. 607.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83.Imam Khomeini, Cehel Hadīts, hlm. 607.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84.Imam Khomeini, Cehel Hadits, hlm. 607.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85.Imam Khomeini, Cehel Hadits, hlm. 607.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86.Imam Khomeini, Cehel Hadits, hlm. 610.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87.Imam Khomeini, Cehel Hadits, hlm. 611.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88.Imam Khomeini, Cehel Hadits, hlm. 615.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89.Imam Khomeini, Syarh Du’ā' Al-Sahr, hlm. 211.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90.QS Al-An'am: 59.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91.Imam Khomeini, Cehel Hadīts, hlm. 611.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92.Imam Khomeini, Cehel Hadits, hlm. 612.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93.Imam Khomeini, Syarh Du'a' Al-Sahr, hlm. 212-213.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94.Imam Khomeini, Syarh Duſā' Al-Sahr, hlm 213.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95.QS Al-Wāqi'ah: 85.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96.QS Qāf: 16.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97.QS Fushshilat: 54.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98.Imam Khomeini, Syarh Du'a' Al-Sahr, hlm. 212.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99.Doa Sahr.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100.Imam Khomeini, Syarh Du'a' Al-Sahr, hlm. 260.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101.Imam Khomeini, Syarh Du'ā' Al-Sahr, hlm. 260.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102.Imam Khomeini, Syarh Du'a' Al-Sahr, hlm. 260.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103.Doa Sahr.</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104.Imam Khomeini, Syarh Du´ā' Al-Sahr, hlm. 92.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105.Imam Khomeini, Syarh Du'a' Al-Sahr, hlm. 88.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106.Imam Khomeini, Syarh Du'a' Al-Sahr, hlm. 92.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107.Imam Khomeini, Ādāb Al-Shalāh, hlm. 308.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108.Imam Khomeini, Syarh Du'a' Al-Sahr, hlm. 92.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109.Imam Khomeini, Syarh Du’ā' Al-Sahr, hlm. 92.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110.QS Al-Fātihah: 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111.Imam Khomeini, Ādab Al-Shalāh, hlm. 270.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112.Imam Khomeini, Adab Al-Shalāh, hlm. 270.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113.QS Al-Waqi'ah: 85.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114.QS Qāf: 16.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115.QS Al-Baqarah: 107.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116.Doa Sahr.</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117.Imam Khomeini, Syarh Du'ā' Al-Sahr, hlm. 175.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118.Imam Khomeini, Syarh Du'a' Al-Sahr, hlm. 175-176.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119.QS Al-Qashash: 88.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120.QS An-Najm: 23.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121.Imam Khomeini, Syarh Duſā' Al-Sahr, hlm. 181.</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122.QS An-Nür: 35.</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123.Doa Kumail.</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124.Doa al-Samāt</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125.Doa al-Sahr.</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126.Imam Khomeini, Syarh Du’ā' Al-Sahr, hlm. 64.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127.Imam Khomeini, Syarh Du'ā' Al-Sahr, hlm. 65.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128.Imam Khomeini, Syarh Du'ā' Al-Sahr, hlm. 67.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129.Imam Khomeini, Cehel Hadits, hlm. 418.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130.Imam Khomeini, Cehel Hadīts, hlm. 418.</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131.QS An-Nür: 40.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132.Imam Khomeini, Cehel Hadits, hlm. 419.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image" Target="media/image5.png"/><Relationship Id="rId16" Type="http://schemas.openxmlformats.org/officeDocument/2006/relationships/image" Target="media/image5.pn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66.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33578</Words>
  <Characters>205811</Characters>
  <CharactersWithSpaces>241238</CharactersWithSpaces>
  <Paragraphs>1797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2026-08-19T06:21:12Z</dcterms:created>
  <dc:creator>ghaemiyeh.com</dc:creator>
  <dc:description/>
  <dc:language>en-US</dc:language>
  <cp:lastModifiedBy/>
  <dcterms:modified xsi:type="dcterms:W3CDTF">2026-08-19T09:51:17Z</dcterms:modified>
  <cp:revision>1</cp:revision>
  <dc:subject/>
  <dc:title>Antara Filsafat and Penafsiran</dc:title>
</cp:coreProperties>
</file>

<file path=docProps/custom.xml><?xml version="1.0" encoding="utf-8"?>
<Properties xmlns="http://schemas.openxmlformats.org/officeDocument/2006/custom-properties" xmlns:vt="http://schemas.openxmlformats.org/officeDocument/2006/docPropsVTypes"/>
</file>