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17</w:t>
      </w:r>
      <w:r>
        <w:rPr>
          <w:rtl w:val="true"/>
        </w:rPr>
        <w:t xml:space="preserve"> </w:t>
      </w:r>
      <w:r>
        <w:rPr>
          <w:rtl w:val="true"/>
        </w:rPr>
        <w:t>عدالت صحابه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099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9099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90997_581953129">
            <w:r>
              <w:rPr>
                <w:webHidden/>
                <w:rStyle w:val="IndexLink"/>
                <w:rtl w:val="true"/>
              </w:rPr>
              <w:t>عدالت صحابه</w:t>
            </w:r>
            <w:r>
              <w:rPr>
                <w:rStyle w:val="IndexLink"/>
                <w:rtl w:val="true"/>
              </w:rPr>
              <w:tab/>
            </w:r>
            <w:r>
              <w:rPr>
                <w:rStyle w:val="IndexLink"/>
              </w:rPr>
              <w:t>8</w:t>
            </w:r>
          </w:hyperlink>
        </w:p>
        <w:p>
          <w:pPr>
            <w:pStyle w:val="Contents2"/>
            <w:tabs>
              <w:tab w:val="clear" w:pos="8743"/>
              <w:tab w:val="right" w:pos="9026" w:leader="dot"/>
            </w:tabs>
            <w:rPr/>
          </w:pPr>
          <w:hyperlink w:anchor="__RefHeading___Toc3790999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791001_581953129">
            <w:r>
              <w:rPr>
                <w:webHidden/>
                <w:rStyle w:val="IndexLink"/>
              </w:rPr>
              <w:t>۱</w:t>
            </w:r>
            <w:r>
              <w:rPr>
                <w:rStyle w:val="IndexLink"/>
                <w:rtl w:val="true"/>
              </w:rPr>
              <w:t xml:space="preserve">. </w:t>
            </w:r>
            <w:r>
              <w:rPr>
                <w:rStyle w:val="IndexLink"/>
                <w:rtl w:val="true"/>
              </w:rPr>
              <w:t>معنای صحابه</w:t>
            </w:r>
            <w:r>
              <w:rPr>
                <w:rStyle w:val="IndexLink"/>
                <w:rtl w:val="true"/>
              </w:rPr>
              <w:tab/>
            </w:r>
            <w:r>
              <w:rPr>
                <w:rStyle w:val="IndexLink"/>
              </w:rPr>
              <w:t>11</w:t>
            </w:r>
          </w:hyperlink>
        </w:p>
        <w:p>
          <w:pPr>
            <w:pStyle w:val="Contents2"/>
            <w:tabs>
              <w:tab w:val="clear" w:pos="8743"/>
              <w:tab w:val="right" w:pos="9026" w:leader="dot"/>
            </w:tabs>
            <w:rPr/>
          </w:pPr>
          <w:hyperlink w:anchor="__RefHeading___Toc3791003_581953129">
            <w:r>
              <w:rPr>
                <w:webHidden/>
                <w:rStyle w:val="IndexLink"/>
              </w:rPr>
              <w:t>۲</w:t>
            </w:r>
            <w:r>
              <w:rPr>
                <w:rStyle w:val="IndexLink"/>
                <w:rtl w:val="true"/>
              </w:rPr>
              <w:t xml:space="preserve">. </w:t>
            </w:r>
            <w:r>
              <w:rPr>
                <w:rStyle w:val="IndexLink"/>
                <w:rtl w:val="true"/>
              </w:rPr>
              <w:t>ناسازگاری با قرآن</w:t>
            </w:r>
            <w:r>
              <w:rPr>
                <w:rStyle w:val="IndexLink"/>
                <w:rtl w:val="true"/>
              </w:rPr>
              <w:tab/>
            </w:r>
            <w:r>
              <w:rPr>
                <w:rStyle w:val="IndexLink"/>
              </w:rPr>
              <w:t>12</w:t>
            </w:r>
          </w:hyperlink>
        </w:p>
        <w:p>
          <w:pPr>
            <w:pStyle w:val="Contents2"/>
            <w:tabs>
              <w:tab w:val="clear" w:pos="8743"/>
              <w:tab w:val="right" w:pos="9026" w:leader="dot"/>
            </w:tabs>
            <w:rPr/>
          </w:pPr>
          <w:hyperlink w:anchor="__RefHeading___Toc3791005_581953129">
            <w:r>
              <w:rPr>
                <w:webHidden/>
                <w:rStyle w:val="IndexLink"/>
              </w:rPr>
              <w:t>۳</w:t>
            </w:r>
            <w:r>
              <w:rPr>
                <w:rStyle w:val="IndexLink"/>
                <w:rtl w:val="true"/>
              </w:rPr>
              <w:t xml:space="preserve">. </w:t>
            </w:r>
            <w:r>
              <w:rPr>
                <w:rStyle w:val="IndexLink"/>
                <w:rtl w:val="true"/>
              </w:rPr>
              <w:t>مغایرت با روایات</w:t>
            </w:r>
            <w:r>
              <w:rPr>
                <w:rStyle w:val="IndexLink"/>
                <w:rtl w:val="true"/>
              </w:rPr>
              <w:tab/>
            </w:r>
            <w:r>
              <w:rPr>
                <w:rStyle w:val="IndexLink"/>
              </w:rPr>
              <w:t>16</w:t>
            </w:r>
          </w:hyperlink>
        </w:p>
        <w:p>
          <w:pPr>
            <w:pStyle w:val="Contents2"/>
            <w:tabs>
              <w:tab w:val="clear" w:pos="8743"/>
              <w:tab w:val="right" w:pos="9026" w:leader="dot"/>
            </w:tabs>
            <w:rPr/>
          </w:pPr>
          <w:hyperlink w:anchor="__RefHeading___Toc3791007_581953129">
            <w:r>
              <w:rPr>
                <w:webHidden/>
                <w:rStyle w:val="IndexLink"/>
              </w:rPr>
              <w:t>۴</w:t>
            </w:r>
            <w:r>
              <w:rPr>
                <w:rStyle w:val="IndexLink"/>
                <w:rtl w:val="true"/>
              </w:rPr>
              <w:t xml:space="preserve">. </w:t>
            </w:r>
            <w:r>
              <w:rPr>
                <w:rStyle w:val="IndexLink"/>
                <w:rtl w:val="true"/>
              </w:rPr>
              <w:t>ناهم خوانی با حقایق تاریخی</w:t>
            </w:r>
            <w:r>
              <w:rPr>
                <w:rStyle w:val="IndexLink"/>
                <w:rtl w:val="true"/>
              </w:rPr>
              <w:tab/>
            </w:r>
            <w:r>
              <w:rPr>
                <w:rStyle w:val="IndexLink"/>
              </w:rPr>
              <w:t>18</w:t>
            </w:r>
          </w:hyperlink>
        </w:p>
        <w:p>
          <w:pPr>
            <w:pStyle w:val="Contents2"/>
            <w:tabs>
              <w:tab w:val="clear" w:pos="8743"/>
              <w:tab w:val="right" w:pos="9026" w:leader="dot"/>
            </w:tabs>
            <w:rPr/>
          </w:pPr>
          <w:hyperlink w:anchor="__RefHeading___Toc3791009_581953129">
            <w:r>
              <w:rPr>
                <w:webHidden/>
                <w:rStyle w:val="IndexLink"/>
              </w:rPr>
              <w:t>۵</w:t>
            </w:r>
            <w:r>
              <w:rPr>
                <w:rStyle w:val="IndexLink"/>
                <w:rtl w:val="true"/>
              </w:rPr>
              <w:t xml:space="preserve">. </w:t>
            </w:r>
            <w:r>
              <w:rPr>
                <w:rStyle w:val="IndexLink"/>
                <w:rtl w:val="true"/>
              </w:rPr>
              <w:t>پرسش تعیین کننده</w:t>
            </w:r>
            <w:r>
              <w:rPr>
                <w:rStyle w:val="IndexLink"/>
                <w:rtl w:val="true"/>
              </w:rPr>
              <w:tab/>
            </w:r>
            <w:r>
              <w:rPr>
                <w:rStyle w:val="IndexLink"/>
              </w:rPr>
              <w:t>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0_37806"/>
      <w:bookmarkStart w:id="1" w:name="pg5700_37806"/>
      <w:bookmarkEnd w:id="1"/>
    </w:p>
    <w:p>
      <w:pPr>
        <w:pStyle w:val="Heading2"/>
        <w:numPr>
          <w:ilvl w:val="1"/>
          <w:numId w:val="1"/>
        </w:numPr>
        <w:rPr/>
      </w:pPr>
      <w:bookmarkStart w:id="2" w:name="pg5700_37806"/>
      <w:bookmarkStart w:id="3" w:name="__RefHeading___Toc379099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قنادی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۲۸۷۰۵۴۷</w:t>
      </w:r>
      <w:bookmarkStart w:id="5" w:name="pg5700_37809"/>
    </w:p>
    <w:p>
      <w:pPr>
        <w:pStyle w:val="Heading2"/>
        <w:numPr>
          <w:ilvl w:val="1"/>
          <w:numId w:val="1"/>
        </w:numPr>
        <w:rPr/>
      </w:pPr>
      <w:bookmarkStart w:id="6" w:name="__RefHeading___Toc3790995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700_37817"/>
    </w:p>
    <w:p>
      <w:pPr>
        <w:pStyle w:val="Heading2"/>
        <w:numPr>
          <w:ilvl w:val="1"/>
          <w:numId w:val="1"/>
        </w:numPr>
        <w:rPr/>
      </w:pPr>
      <w:bookmarkStart w:id="9" w:name="__RefHeading___Toc3790997_581953129"/>
      <w:bookmarkStart w:id="10" w:name="_Toc3"/>
      <w:bookmarkEnd w:id="8"/>
      <w:bookmarkEnd w:id="9"/>
      <w:r>
        <w:rPr>
          <w:rtl w:val="true"/>
        </w:rPr>
        <w:t>عدالت صحابه</w:t>
      </w:r>
      <w:bookmarkEnd w:id="10"/>
    </w:p>
    <w:p>
      <w:pPr>
        <w:pStyle w:val="BookText"/>
        <w:rPr/>
      </w:pPr>
      <w:r>
        <w:rPr>
          <w:rFonts w:ascii="IRNazanin" w:hAnsi="IRNazanin" w:eastAsia="IRNazanin"/>
          <w:color w:val="111111"/>
          <w:sz w:val="28"/>
          <w:sz w:val="28"/>
          <w:szCs w:val="28"/>
          <w:rtl w:val="true"/>
          <w:lang w:bidi="fa-IR"/>
        </w:rPr>
        <w:t>به هنگام نگارش این متن، پرسش های زیر فراروی نویسنده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کیان اند؟ چرا برخی به عدالت آنان حکم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بودن صحابه چه مغایرتی با آموزه های قرآنی دربارۀ آنان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متن روایات بر عدالت جمیع صحابه صحّه می گذارند؟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ناسازگاری عدالت همۀ صحابه با رخدادهای تاریخی از کجا آشکار می شود؟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 w:name="pg5700_37823"/>
    </w:p>
    <w:p>
      <w:pPr>
        <w:pStyle w:val="Heading2"/>
        <w:numPr>
          <w:ilvl w:val="1"/>
          <w:numId w:val="1"/>
        </w:numPr>
        <w:rPr/>
      </w:pPr>
      <w:bookmarkStart w:id="12" w:name="__RefHeading___Toc3790999_581953129"/>
      <w:bookmarkStart w:id="13" w:name="_Toc4"/>
      <w:bookmarkEnd w:id="11"/>
      <w:bookmarkEnd w:id="12"/>
      <w:r>
        <w:rPr>
          <w:rtl w:val="true"/>
        </w:rPr>
        <w:t>درآمد</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صحابه یکی از موضوعاتی است که وهابیان عربستان، هنگام گفت وگو، به فراوانی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احترام صحابه پسندیده است؛ اما از تأکید آنان اینطور به دست می آید که می خواهند همۀ صحابه را در یک ردیف به شمار آورند و درپی اثبات عدالت همگی صحابه، چهره های نامقبول را پذیرفتنی جلوه دهند و حق اعتراض را از حق جویان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همۀ صحابه غیرمعقول است و ازآنجاکه برخی از آنان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رنجانده و حتی توطئه علیه آن حضرت کرده اند، احترام به همۀ آنان غیرمشروع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و بررسی این موضوع، توجه شما را به مطالب زیر جلب میکنیم</w:t>
      </w:r>
      <w:r>
        <w:rPr>
          <w:rFonts w:eastAsia="IRNazanin" w:cs="IRNazanin"/>
          <w:color w:val="111111"/>
          <w:sz w:val="28"/>
          <w:szCs w:val="28"/>
          <w:rtl w:val="true"/>
          <w:lang w:bidi="fa-IR"/>
        </w:rPr>
        <w:t>:</w:t>
      </w:r>
      <w:bookmarkStart w:id="14" w:name="pg5700_37826"/>
    </w:p>
    <w:p>
      <w:pPr>
        <w:pStyle w:val="Heading2"/>
        <w:numPr>
          <w:ilvl w:val="1"/>
          <w:numId w:val="1"/>
        </w:numPr>
        <w:rPr/>
      </w:pPr>
      <w:bookmarkStart w:id="15" w:name="__RefHeading___Toc3791001_581953129"/>
      <w:bookmarkStart w:id="16" w:name="_Toc5"/>
      <w:bookmarkEnd w:id="14"/>
      <w:bookmarkEnd w:id="15"/>
      <w:r>
        <w:rPr/>
        <w:t>۱</w:t>
      </w:r>
      <w:r>
        <w:rPr>
          <w:rtl w:val="true"/>
        </w:rPr>
        <w:t xml:space="preserve">. </w:t>
      </w:r>
      <w:r>
        <w:rPr>
          <w:rtl w:val="true"/>
        </w:rPr>
        <w:t>معنای صحابه</w:t>
      </w:r>
      <w:bookmarkEnd w:id="16"/>
    </w:p>
    <w:p>
      <w:pPr>
        <w:pStyle w:val="BookText"/>
        <w:rPr/>
      </w:pPr>
      <w:r>
        <w:rPr>
          <w:rFonts w:ascii="IRNazanin" w:hAnsi="IRNazanin" w:eastAsia="IRNazanin"/>
          <w:color w:val="111111"/>
          <w:sz w:val="28"/>
          <w:sz w:val="28"/>
          <w:szCs w:val="28"/>
          <w:rtl w:val="true"/>
          <w:lang w:bidi="fa-IR"/>
        </w:rPr>
        <w:t>شهیدزین الدین عاملی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صحابی کسی است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ملاقات کرده، به او ایمان آورده و مسلمان ازدنیا رفته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رأیِ عالِم مکتب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درمقابل، احمدبن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مردم، بعد از اهل بدر، کسانی هستند که در قرنی واقع شده اند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قرن بوده است و هرکس با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مصاحب بوده و یک سال، یا یک ماه، یا یک روز، یا یک ساعت و حتی یک لحظه ایشان را دیده، از اصحاب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با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مصاحبت داشته یا او را ملاقات کرده، از اصحاب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معنای بسیار گسترده برای</w:t>
      </w:r>
      <w:bookmarkStart w:id="17" w:name="pg5700_37829"/>
    </w:p>
    <w:p>
      <w:pPr>
        <w:pStyle w:val="BookText"/>
        <w:rPr/>
      </w:pPr>
      <w:bookmarkEnd w:id="17"/>
      <w:r>
        <w:rPr>
          <w:rFonts w:ascii="IRNazanin" w:hAnsi="IRNazanin" w:eastAsia="IRNazanin"/>
          <w:color w:val="111111"/>
          <w:sz w:val="28"/>
          <w:sz w:val="28"/>
          <w:szCs w:val="28"/>
          <w:rtl w:val="true"/>
          <w:lang w:bidi="fa-IR"/>
        </w:rPr>
        <w:t>صحابه، به نقل از ابن حجر عسقلانی، به حدیثی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کالنجوم بایهم اقتدیتم اهدیتم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من مانند ستارگان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هرکدام پیروی کردید، هدایت یافته اید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بسیاری از علمای اهل سنّت، مانند احمدبن حنبل، ابن حزم، ابن عساکر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ضعیف دانسته اند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با آیات قرآن کریم و حتی روایات معتبر اهل سنّت نیز سازگاری ندارد</w:t>
      </w:r>
      <w:r>
        <w:rPr>
          <w:rFonts w:eastAsia="IRNazanin" w:cs="IRNazanin"/>
          <w:color w:val="111111"/>
          <w:sz w:val="28"/>
          <w:szCs w:val="28"/>
          <w:rtl w:val="true"/>
          <w:lang w:bidi="fa-IR"/>
        </w:rPr>
        <w:t>.</w:t>
      </w:r>
    </w:p>
    <w:p>
      <w:pPr>
        <w:pStyle w:val="Heading2"/>
        <w:numPr>
          <w:ilvl w:val="1"/>
          <w:numId w:val="1"/>
        </w:numPr>
        <w:rPr/>
      </w:pPr>
      <w:bookmarkStart w:id="18" w:name="__RefHeading___Toc3791003_581953129"/>
      <w:bookmarkStart w:id="19" w:name="_Toc6"/>
      <w:bookmarkEnd w:id="18"/>
      <w:r>
        <w:rPr/>
        <w:t>۲</w:t>
      </w:r>
      <w:r>
        <w:rPr>
          <w:rtl w:val="true"/>
        </w:rPr>
        <w:t xml:space="preserve">. </w:t>
      </w:r>
      <w:r>
        <w:rPr>
          <w:rtl w:val="true"/>
        </w:rPr>
        <w:t>ناسازگاری با قرآن</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بسیاری از قرآن مجید، دربارۀ تخلف و مخالفت برخی یاران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دیگر نیز دربارۀ اعراض و اعتراض برخی اطرافیان پیامبر</w:t>
      </w:r>
      <w:r>
        <w:rPr>
          <w:rFonts w:ascii="IRNazanin" w:hAnsi="IRNazanin" w:eastAsia="IRNazanin"/>
          <w:color w:val="111111"/>
          <w:sz w:val="28"/>
          <w:sz w:val="28"/>
          <w:szCs w:val="28"/>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جنگ ها و در سختی ها سخن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آیات حکایت از آن دارد که خدا و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همۀ اطرافیان و اصحاب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راضی نبودند و حتی برخی، به عذاب در آخرت تهدید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أَیهَا الَّذینَ آمَنُوا اِذا لَقیتُمُ الَّذینَ کفَرُوا زَحْفاً فَلا تُوَلُّوهُمُ الْأَدْبار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هنگامی که با انبوه کافران به نبرد روبه رو شدید، به آنان پشت نکرده و فرار نکنید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درادامۀ این آیۀ شریفه، خداوند به گروهی از صحابه اشاره میکند که از جنگ فرار می کردند و حضرت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افراد جهنم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الَّذینَ تَوَلَّوْا مِنْکمْ یوْمَ الْتَقَی الْجَمْعانِ اِنَّمَا اسْتَزَلَّهُمُ الشَّیطانُ بِبَعْضِ ما کسَبُوا وَ لَقَدْ عَفَا اللَّهُ عَنْهُمْ اِنَّ اللَّهَ غَفُورٌ حَلیم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رویاروی شدند، کسانی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جز این نبود که به سبب پارهای از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کرده بودند، شیطان آنان را بلغزانید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از ایشان درگذشت؛ زیرا خدا آمرزندۀ بردبار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برخی آیات، خداوند مؤمنانِ اطراف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سبب دنیاطلبی نکوهش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أَیهَا الَّذینَ آمَنُوا ما لَکمْ اِذا قیلَ لَکمُ انْفِرُوا فی سَبیلِ اللَّهِ اثَّاقَلْتُمْ اِلَی الْأَرْضِ أَ رَضیتُمْ بِالْحَیاةِ الدُّنْیا مِنَ الْآخِرَةِ فَما مَتاعُ الْحَیاةِ الدُّنْیا فِی الْآخِرَةِ اِلاَّ قَلیل</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کسانیکه ایمان آورده اید، شما را چه شده است که چون گفته می شود در راه خدا بسیج شوید، کُندی می کنید؟ آیا به جای آخرت، به زندگی دنیا دل خوش کرده اید؟ متاع زندگی دنیا دربرابر آخرت جز اندکی نیست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0" w:name="pg5700_37840"/>
    </w:p>
    <w:p>
      <w:pPr>
        <w:pStyle w:val="Heading2"/>
        <w:numPr>
          <w:ilvl w:val="1"/>
          <w:numId w:val="1"/>
        </w:numPr>
        <w:rPr/>
      </w:pPr>
      <w:bookmarkStart w:id="21" w:name="__RefHeading___Toc3791005_581953129"/>
      <w:bookmarkStart w:id="22" w:name="_Toc7"/>
      <w:bookmarkEnd w:id="20"/>
      <w:bookmarkEnd w:id="21"/>
      <w:r>
        <w:rPr/>
        <w:t>۳</w:t>
      </w:r>
      <w:r>
        <w:rPr>
          <w:rtl w:val="true"/>
        </w:rPr>
        <w:t xml:space="preserve">. </w:t>
      </w:r>
      <w:r>
        <w:rPr>
          <w:rtl w:val="true"/>
        </w:rPr>
        <w:t>مغایرت با روایات</w:t>
      </w:r>
      <w:bookmarkEnd w:id="22"/>
    </w:p>
    <w:p>
      <w:pPr>
        <w:pStyle w:val="BookText"/>
        <w:rPr/>
      </w:pPr>
      <w:r>
        <w:rPr>
          <w:rFonts w:ascii="IRNazanin" w:hAnsi="IRNazanin" w:eastAsia="IRNazanin"/>
          <w:color w:val="111111"/>
          <w:sz w:val="28"/>
          <w:sz w:val="28"/>
          <w:szCs w:val="28"/>
          <w:rtl w:val="true"/>
          <w:lang w:bidi="fa-IR"/>
        </w:rPr>
        <w:t>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زودتر از شما بر حوض کوثر وارد می شوم و بر سر مسئله ای با عده ای به منازعه می پردازم و پیروز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متعال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همراهان من همراه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تو نمیدانی که بعد از تو چه کرده 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ستحرصون علی الاماره و ستصیر ندامة و حسرة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مکرم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خطاب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امارت و خلافت حریص هستید و این، باعث ندامت و حسرت شما در قیامت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 w:name="pg5700_37845"/>
    </w:p>
    <w:p>
      <w:pPr>
        <w:pStyle w:val="Heading2"/>
        <w:numPr>
          <w:ilvl w:val="1"/>
          <w:numId w:val="1"/>
        </w:numPr>
        <w:rPr/>
      </w:pPr>
      <w:bookmarkStart w:id="24" w:name="__RefHeading___Toc3791007_581953129"/>
      <w:bookmarkStart w:id="25" w:name="_Toc8"/>
      <w:bookmarkEnd w:id="23"/>
      <w:bookmarkEnd w:id="24"/>
      <w:r>
        <w:rPr/>
        <w:t>۴</w:t>
      </w:r>
      <w:r>
        <w:rPr>
          <w:rtl w:val="true"/>
        </w:rPr>
        <w:t xml:space="preserve">. </w:t>
      </w:r>
      <w:r>
        <w:rPr>
          <w:rtl w:val="true"/>
        </w:rPr>
        <w:t>ناهم خوانی با حقایق تاریخی</w:t>
      </w:r>
      <w:bookmarkEnd w:id="25"/>
    </w:p>
    <w:p>
      <w:pPr>
        <w:pStyle w:val="BookText"/>
        <w:rPr/>
      </w:pPr>
      <w:r>
        <w:rPr>
          <w:rFonts w:ascii="IRNazanin" w:hAnsi="IRNazanin" w:eastAsia="IRNazanin"/>
          <w:color w:val="111111"/>
          <w:sz w:val="28"/>
          <w:sz w:val="28"/>
          <w:szCs w:val="28"/>
          <w:rtl w:val="true"/>
          <w:lang w:bidi="fa-IR"/>
        </w:rPr>
        <w:t>با مراجعه به تاریخ صحابه نیز درمی یابیم که عدالت همۀ صحابه، خلاف واقعیت 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درخواست قلم و دوات کردند تا وصیت خود را بنویسند، برخی از صحابه به او جسارت کردند و نسبت هذیان دادند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نماز میخواندیم که قافله ای با کالاهایش از شام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نمازگزاران،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رها کردند و به سراغ قافله رفتند؛ مگر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آیه ای در مذمت آن افراد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أَوْ لَهْواً انْفَضُّوا اِلَیها وَ تَرَکوک قائِماً قُلْ ما عِنْدَ اللَّهِ خَیرٌ مِنَ اللَّهْوِ وَ مِنَ التِّجارَةِ وَ اللَّهُ خَیرُ الرَّازِقین</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دادوستد یا سرگرمی ببینند، به سوی آن روی می آورند و تو را درحالی که ایستاده ای،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نزد خداست، 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سرگرمی و دادوستد بهتر است و خدا بهترین روزی دهندگان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ولیدبن عقبه را که به نصّ قرآن، فاسق نامیده شده است و در عصر عثمان شراب نوشید و در حالت مستی امام جماعت شد، عادل بنامیم؟</w:t>
      </w:r>
      <w:r>
        <w:rPr>
          <w:rStyle w:val="FootnoteAnchor"/>
          <w:rtl w:val="true"/>
        </w:rPr>
        <w:footnoteReference w:id="15"/>
      </w:r>
      <w:r>
        <w:rPr>
          <w:rFonts w:ascii="IRNazanin" w:hAnsi="IRNazanin" w:eastAsia="IRNazanin"/>
          <w:color w:val="111111"/>
          <w:sz w:val="28"/>
          <w:sz w:val="28"/>
          <w:szCs w:val="28"/>
          <w:rtl w:val="true"/>
          <w:lang w:bidi="fa-IR"/>
        </w:rPr>
        <w:t>آیا میتوان مغیرةبن شعبه را که چند نفر بر زنای او شهادت دادند، درحالیکه از بیعت کنندگان زیر درخت حدیبیه بود، عادل بنامیم؟</w:t>
      </w:r>
      <w:r>
        <w:rPr>
          <w:rStyle w:val="FootnoteAnchor"/>
          <w:rtl w:val="true"/>
        </w:rPr>
        <w:footnoteReference w:id="16"/>
      </w:r>
      <w:r>
        <w:rPr>
          <w:rFonts w:ascii="IRNazanin" w:hAnsi="IRNazanin" w:eastAsia="IRNazanin"/>
          <w:color w:val="111111"/>
          <w:sz w:val="28"/>
          <w:sz w:val="28"/>
          <w:szCs w:val="28"/>
          <w:rtl w:val="true"/>
          <w:lang w:bidi="fa-IR"/>
        </w:rPr>
        <w:t>مگر خالدبن ولید، مالک بن نویره را به این علت نکُشت که زکات مالش را به او نداد و مگر همان شب، با همسر او زنا نکرد؟</w:t>
      </w:r>
      <w:r>
        <w:rPr>
          <w:rStyle w:val="FootnoteAnchor"/>
          <w:rtl w:val="true"/>
        </w:rPr>
        <w:footnoteReference w:id="17"/>
      </w:r>
      <w:r>
        <w:rPr>
          <w:rFonts w:ascii="IRNazanin" w:hAnsi="IRNazanin" w:eastAsia="IRNazanin"/>
          <w:color w:val="111111"/>
          <w:sz w:val="28"/>
          <w:sz w:val="28"/>
          <w:szCs w:val="28"/>
          <w:rtl w:val="true"/>
          <w:lang w:bidi="fa-IR"/>
        </w:rPr>
        <w:t>آیا او عادل است؟ از مجموع این آیات و روایات و حقایق تاریخی، به خوبی معلوم می شود که اعتقاد به عدالت و وثاقت جمع صحابه، به طور قطع و یقین، نادرست است</w:t>
      </w:r>
      <w:r>
        <w:rPr>
          <w:rFonts w:eastAsia="IRNazanin" w:cs="IRNazanin"/>
          <w:color w:val="111111"/>
          <w:sz w:val="28"/>
          <w:szCs w:val="28"/>
          <w:rtl w:val="true"/>
          <w:lang w:bidi="fa-IR"/>
        </w:rPr>
        <w:t>.</w:t>
      </w:r>
      <w:bookmarkStart w:id="26" w:name="pg5700_37853"/>
    </w:p>
    <w:p>
      <w:pPr>
        <w:pStyle w:val="Heading2"/>
        <w:numPr>
          <w:ilvl w:val="1"/>
          <w:numId w:val="1"/>
        </w:numPr>
        <w:rPr/>
      </w:pPr>
      <w:bookmarkStart w:id="27" w:name="__RefHeading___Toc3791009_581953129"/>
      <w:bookmarkStart w:id="28" w:name="_Toc9"/>
      <w:bookmarkEnd w:id="26"/>
      <w:bookmarkEnd w:id="27"/>
      <w:r>
        <w:rPr/>
        <w:t>۵</w:t>
      </w:r>
      <w:r>
        <w:rPr>
          <w:rtl w:val="true"/>
        </w:rPr>
        <w:t xml:space="preserve">. </w:t>
      </w:r>
      <w:r>
        <w:rPr>
          <w:rtl w:val="true"/>
        </w:rPr>
        <w:t>پرسش تعیین کننده</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پرسیده شود چه اصراری است که دربارۀ اینگونه موضوعات اختلافی، این اندازه بحث شود؟ این شخصیت ها مربوط به گذشته اند و اختلاف دراین باره، برای امروز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باید گفت که حل این موضوع، برای دوران ما بسیار مهم است؛ زیرا اگر به دلایل قرآنی، روایی، تاریخی و حتی عقلی ثابت شود همۀ صحابه در یک رتبه نبودند، فضیلت و برتری برخی بر برخی دیگر ثابت خواهد شد و بهآسانی میتوان اولویت پیروی از بافضیلتترین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اگر ثابت شود برخی صحابه عادل نبوده اند، موقعیت سیاسی و اجتماعی آنان زیر سؤال میرود و احادیث نقل شده از آنان، فاقد اعتبار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پیروی از مکتب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عنوان مطمئن ترین راه برای تشخیص حق، اثبات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پایانی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کسانی که با طرح عدالت صحابه بر آن اصرار می ورزند و اعتراض دربرابر خطاهای آنان را نکوهش می کنند، متأسفانه، به آسانی عصمت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چالش می کشند، به آسانی دربرابر فرمان ها و فرمایش های صریح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ایستادگی میکنند و دربرابر فرمان های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زبان به اعتراض می گشایند و مخالفت می ورزند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فراء حنبلی، العدة فی اصول الفقه،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الضیعفه،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حدیث </w:t>
      </w:r>
      <w:r>
        <w:rPr>
          <w:rFonts w:eastAsia="IRNazanin" w:cs="IRNazanin"/>
          <w:b w:val="false"/>
          <w:bCs w:val="false"/>
          <w:i w:val="false"/>
          <w:iCs w:val="false"/>
          <w:color w:val="333333"/>
          <w:sz w:val="20"/>
          <w:szCs w:val="20"/>
        </w:rPr>
        <w:t>2888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حدیث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مسلِم، صحیح،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1439</Words>
  <Characters>5823</Characters>
  <CharactersWithSpaces>7148</CharactersWithSpaces>
  <Paragraphs>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2026-08-19T03:54:32Z</dcterms:created>
  <dc:creator>ghaemiyeh.com</dc:creator>
  <dc:description/>
  <dc:language>en-US</dc:language>
  <cp:lastModifiedBy/>
  <dcterms:modified xsi:type="dcterms:W3CDTF">2026-08-19T07:24:33Z</dcterms:modified>
  <cp:revision>1</cp:revision>
  <dc:subject/>
  <dc:title>رهنما 17 عدالت صحابه</dc:title>
</cp:coreProperties>
</file>

<file path=docProps/custom.xml><?xml version="1.0" encoding="utf-8"?>
<Properties xmlns="http://schemas.openxmlformats.org/officeDocument/2006/custom-properties" xmlns:vt="http://schemas.openxmlformats.org/officeDocument/2006/docPropsVTypes"/>
</file>