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document.xml" ContentType="application/vnd.openxmlformats-officedocument.wordprocessingml.document.main+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footer9.xml" ContentType="application/vnd.openxmlformats-officedocument.wordprocessingml.footer+xml"/>
  <Override PartName="/word/footer1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14</w:t>
      </w:r>
      <w:r>
        <w:rPr>
          <w:rtl w:val="true"/>
        </w:rPr>
        <w:t xml:space="preserve"> </w:t>
      </w:r>
      <w:r>
        <w:rPr>
          <w:rtl w:val="true"/>
        </w:rPr>
        <w:t>حقیقت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773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2773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27741_581953129">
            <w:r>
              <w:rPr>
                <w:webHidden/>
                <w:rStyle w:val="IndexLink"/>
              </w:rPr>
              <w:t>1</w:t>
            </w:r>
            <w:r>
              <w:rPr>
                <w:rStyle w:val="IndexLink"/>
                <w:rtl w:val="true"/>
              </w:rPr>
              <w:t xml:space="preserve">. </w:t>
            </w:r>
            <w:r>
              <w:rPr>
                <w:rStyle w:val="IndexLink"/>
                <w:rtl w:val="true"/>
              </w:rPr>
              <w:t>وارثان زمین</w:t>
            </w:r>
            <w:r>
              <w:rPr>
                <w:rStyle w:val="IndexLink"/>
                <w:rtl w:val="true"/>
              </w:rPr>
              <w:tab/>
            </w:r>
            <w:r>
              <w:rPr>
                <w:rStyle w:val="IndexLink"/>
              </w:rPr>
              <w:t>8</w:t>
            </w:r>
          </w:hyperlink>
        </w:p>
        <w:p>
          <w:pPr>
            <w:pStyle w:val="Contents3"/>
            <w:tabs>
              <w:tab w:val="clear" w:pos="8459"/>
              <w:tab w:val="right" w:pos="9026" w:leader="dot"/>
            </w:tabs>
            <w:rPr/>
          </w:pPr>
          <w:hyperlink w:anchor="__RefHeading___Toc3527743_581953129">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3527745_581953129">
            <w:r>
              <w:rPr>
                <w:webHidden/>
                <w:rStyle w:val="IndexLink"/>
                <w:rtl w:val="true"/>
              </w:rPr>
              <w:t>امام مهدی در احادیث شیعه و سنی</w:t>
            </w:r>
            <w:r>
              <w:rPr>
                <w:rStyle w:val="IndexLink"/>
                <w:rtl w:val="true"/>
              </w:rPr>
              <w:tab/>
            </w:r>
            <w:r>
              <w:rPr>
                <w:rStyle w:val="IndexLink"/>
              </w:rPr>
              <w:t>10</w:t>
            </w:r>
          </w:hyperlink>
        </w:p>
        <w:p>
          <w:pPr>
            <w:pStyle w:val="Contents3"/>
            <w:tabs>
              <w:tab w:val="clear" w:pos="8459"/>
              <w:tab w:val="right" w:pos="9026" w:leader="dot"/>
            </w:tabs>
            <w:rPr/>
          </w:pPr>
          <w:hyperlink w:anchor="__RefHeading___Toc3527747_581953129">
            <w:r>
              <w:rPr>
                <w:webHidden/>
                <w:rStyle w:val="IndexLink"/>
              </w:rPr>
              <w:t>۱</w:t>
            </w:r>
            <w:r>
              <w:rPr>
                <w:rStyle w:val="IndexLink"/>
                <w:rtl w:val="true"/>
              </w:rPr>
              <w:t>، احادیث عام</w:t>
            </w:r>
            <w:r>
              <w:rPr>
                <w:rStyle w:val="IndexLink"/>
                <w:rtl w:val="true"/>
              </w:rPr>
              <w:t>:</w:t>
              <w:tab/>
            </w:r>
            <w:r>
              <w:rPr>
                <w:rStyle w:val="IndexLink"/>
              </w:rPr>
              <w:t>11</w:t>
            </w:r>
          </w:hyperlink>
        </w:p>
        <w:p>
          <w:pPr>
            <w:pStyle w:val="Contents3"/>
            <w:tabs>
              <w:tab w:val="clear" w:pos="8459"/>
              <w:tab w:val="right" w:pos="9026" w:leader="dot"/>
            </w:tabs>
            <w:rPr/>
          </w:pPr>
          <w:hyperlink w:anchor="__RefHeading___Toc3527749_581953129">
            <w:r>
              <w:rPr>
                <w:webHidden/>
                <w:rStyle w:val="IndexLink"/>
              </w:rPr>
              <w:t>2</w:t>
            </w:r>
            <w:r>
              <w:rPr>
                <w:rStyle w:val="IndexLink"/>
                <w:rtl w:val="true"/>
              </w:rPr>
              <w:t xml:space="preserve">. </w:t>
            </w:r>
            <w:r>
              <w:rPr>
                <w:rStyle w:val="IndexLink"/>
                <w:rtl w:val="true"/>
              </w:rPr>
              <w:t xml:space="preserve">احادیث خاص </w:t>
            </w:r>
            <w:r>
              <w:rPr>
                <w:rStyle w:val="IndexLink"/>
                <w:rtl w:val="true"/>
              </w:rPr>
              <w:t>:</w:t>
              <w:tab/>
            </w:r>
            <w:r>
              <w:rPr>
                <w:rStyle w:val="IndexLink"/>
              </w:rPr>
              <w:t>13</w:t>
            </w:r>
          </w:hyperlink>
        </w:p>
        <w:p>
          <w:pPr>
            <w:pStyle w:val="Contents2"/>
            <w:tabs>
              <w:tab w:val="clear" w:pos="8743"/>
              <w:tab w:val="right" w:pos="9026" w:leader="dot"/>
            </w:tabs>
            <w:rPr/>
          </w:pPr>
          <w:hyperlink w:anchor="__RefHeading___Toc3527751_581953129">
            <w:r>
              <w:rPr>
                <w:webHidden/>
                <w:rStyle w:val="IndexLink"/>
                <w:rtl w:val="true"/>
              </w:rPr>
              <w:t>نقد دو شبهه</w:t>
            </w:r>
            <w:r>
              <w:rPr>
                <w:rStyle w:val="IndexLink"/>
                <w:rtl w:val="true"/>
              </w:rPr>
              <w:tab/>
            </w:r>
            <w:r>
              <w:rPr>
                <w:rStyle w:val="IndexLink"/>
              </w:rPr>
              <w:t>16</w:t>
            </w:r>
          </w:hyperlink>
        </w:p>
        <w:p>
          <w:pPr>
            <w:pStyle w:val="Contents3"/>
            <w:tabs>
              <w:tab w:val="clear" w:pos="8459"/>
              <w:tab w:val="right" w:pos="9026" w:leader="dot"/>
            </w:tabs>
            <w:rPr/>
          </w:pPr>
          <w:hyperlink w:anchor="__RefHeading___Toc3527753_581953129">
            <w:r>
              <w:rPr>
                <w:webHidden/>
                <w:rStyle w:val="IndexLink"/>
              </w:rPr>
              <w:t>1</w:t>
            </w:r>
            <w:r>
              <w:rPr>
                <w:rStyle w:val="IndexLink"/>
                <w:rtl w:val="true"/>
              </w:rPr>
              <w:t xml:space="preserve">. </w:t>
            </w:r>
            <w:r>
              <w:rPr>
                <w:rStyle w:val="IndexLink"/>
                <w:rtl w:val="true"/>
              </w:rPr>
              <w:t>امامت در کودکی</w:t>
            </w:r>
            <w:r>
              <w:rPr>
                <w:rStyle w:val="IndexLink"/>
                <w:rtl w:val="true"/>
              </w:rPr>
              <w:tab/>
            </w:r>
            <w:r>
              <w:rPr>
                <w:rStyle w:val="IndexLink"/>
              </w:rPr>
              <w:t>16</w:t>
            </w:r>
          </w:hyperlink>
        </w:p>
        <w:p>
          <w:pPr>
            <w:pStyle w:val="Contents3"/>
            <w:tabs>
              <w:tab w:val="clear" w:pos="8459"/>
              <w:tab w:val="right" w:pos="9026" w:leader="dot"/>
            </w:tabs>
            <w:rPr/>
          </w:pPr>
          <w:hyperlink w:anchor="__RefHeading___Toc3527755_581953129">
            <w:r>
              <w:rPr>
                <w:webHidden/>
                <w:rStyle w:val="IndexLink"/>
              </w:rPr>
              <w:t>2</w:t>
            </w:r>
            <w:r>
              <w:rPr>
                <w:rStyle w:val="IndexLink"/>
                <w:rtl w:val="true"/>
              </w:rPr>
              <w:t xml:space="preserve">. </w:t>
            </w:r>
            <w:r>
              <w:rPr>
                <w:rStyle w:val="IndexLink"/>
                <w:rtl w:val="true"/>
              </w:rPr>
              <w:t>فواید امام غایب</w:t>
            </w:r>
            <w:r>
              <w:rPr>
                <w:rStyle w:val="IndexLink"/>
                <w:rtl w:val="true"/>
              </w:rPr>
              <w:tab/>
            </w:r>
            <w:r>
              <w:rPr>
                <w:rStyle w:val="IndexLink"/>
              </w:rPr>
              <w:t>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73_37413"/>
      <w:bookmarkStart w:id="1" w:name="pg5673_37413"/>
      <w:bookmarkEnd w:id="1"/>
    </w:p>
    <w:p>
      <w:pPr>
        <w:pStyle w:val="Heading2"/>
        <w:numPr>
          <w:ilvl w:val="1"/>
          <w:numId w:val="1"/>
        </w:numPr>
        <w:rPr/>
      </w:pPr>
      <w:bookmarkStart w:id="2" w:name="pg5673_37413"/>
      <w:bookmarkStart w:id="3" w:name="__RefHeading___Toc352773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004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۲۸۸۲۰۷۳</w:t>
      </w:r>
      <w:bookmarkStart w:id="5" w:name="pg5673_37414"/>
    </w:p>
    <w:p>
      <w:pPr>
        <w:pStyle w:val="Heading2"/>
        <w:numPr>
          <w:ilvl w:val="1"/>
          <w:numId w:val="1"/>
        </w:numPr>
        <w:rPr/>
      </w:pPr>
      <w:bookmarkStart w:id="6" w:name="__RefHeading___Toc3527739_581953129"/>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4" o:detectmouseclick="t"/>
                <v:stroke color="#3465a4" joinstyle="round" endcap="flat"/>
                <w10:wrap type="none"/>
              </v:shape>
            </w:pict>
          </mc:Fallback>
        </mc:AlternateContent>
      </w:r>
      <w:bookmarkStart w:id="8" w:name="pg5673_37417"/>
    </w:p>
    <w:p>
      <w:pPr>
        <w:pStyle w:val="Heading2"/>
        <w:numPr>
          <w:ilvl w:val="1"/>
          <w:numId w:val="1"/>
        </w:numPr>
        <w:rPr/>
      </w:pPr>
      <w:bookmarkStart w:id="9" w:name="__RefHeading___Toc3527741_581953129"/>
      <w:bookmarkStart w:id="10" w:name="_Toc3"/>
      <w:bookmarkEnd w:id="8"/>
      <w:bookmarkEnd w:id="9"/>
      <w:r>
        <w:rPr/>
        <w:t>1</w:t>
      </w:r>
      <w:r>
        <w:rPr>
          <w:rtl w:val="true"/>
        </w:rPr>
        <w:t xml:space="preserve">. </w:t>
      </w:r>
      <w:r>
        <w:rPr>
          <w:rtl w:val="true"/>
        </w:rPr>
        <w:t>وارثان زمین</w:t>
      </w:r>
      <w:bookmarkEnd w:id="10"/>
    </w:p>
    <w:p>
      <w:pPr>
        <w:pStyle w:val="Heading3"/>
        <w:numPr>
          <w:ilvl w:val="2"/>
          <w:numId w:val="1"/>
        </w:numPr>
        <w:rPr/>
      </w:pPr>
      <w:bookmarkStart w:id="11" w:name="__RefHeading___Toc3527743_581953129"/>
      <w:bookmarkStart w:id="12" w:name="_Toc4"/>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نرید أن نمن علی الذین استضعوا فی الأرض و نجعلهم أئمة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آیه </w:t>
      </w:r>
      <w:r>
        <w:rPr>
          <w:rFonts w:ascii="IRNazanin" w:hAnsi="IRNazanin" w:eastAsia="IRNazanin"/>
          <w:color w:val="111111"/>
          <w:sz w:val="28"/>
          <w:sz w:val="28"/>
          <w:szCs w:val="28"/>
          <w:lang w:bidi="fa-IR"/>
        </w:rPr>
        <w:t>۵</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استضعوا فی الأرض و نجعلهم أئمة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مهدویت و باور به ظهور و قیام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نجات دهنده عالم بشریت و اصلاح گر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اعتقادی است که بر اساس کتاب و سنت، پدید آمده و بیشتر مسلمانان به آن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اصیل اسلامی، بر پایه استوارترین دلایل عقلی و نقلی بنا نهاده شده و هیچ یک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عده ای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انکار و یا تردید آن نپرداخته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سنت و شیعه، در طی اعصار و مرور قرنها، بر این اتفاق داشته و دارند که در آخرالزمان، یک نفر از اولاد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صفات و علاماتش در احادیث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دنیا پر از ظلم و جور شده باشد، ظهور نماید و جهان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 را هم نام و هم کنیه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ملقب به مهدی معرفی کرده اند و همه اتفاق دارند بر اینکه تا او ظهور نکند، این عالم و این جامعه بشری به پایان نخواهد رسید و تا این دادگستر بزرگ و رهبر حکومت عدل جهانی قیام نکرده، بشر باید منتظر ظهور او باشد و بداند که جهان، محکوم ظلم ستمگران و فساد گران نیست و سرانجام همه تباهی ها و نگرانی ها</w:t>
      </w:r>
      <w:bookmarkStart w:id="13" w:name="pg5673_37419"/>
    </w:p>
    <w:p>
      <w:pPr>
        <w:pStyle w:val="BookText"/>
        <w:rPr/>
      </w:pPr>
      <w:bookmarkEnd w:id="13"/>
      <w:r>
        <w:rPr>
          <w:rFonts w:ascii="IRNazanin" w:hAnsi="IRNazanin" w:eastAsia="IRNazanin"/>
          <w:color w:val="111111"/>
          <w:sz w:val="28"/>
          <w:sz w:val="28"/>
          <w:szCs w:val="28"/>
          <w:rtl w:val="true"/>
          <w:lang w:bidi="fa-IR"/>
        </w:rPr>
        <w:t>به عدالت و امنیت و آسایش مبدل می شود و مستکبران و مفسدان، ریشه کن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گفته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وجود مهدی منتظر، بنابر احادیث صحیح، امری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دجال در زمان او ظاهر می شوند و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آورده شود، مراد او است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4" w:name="__RefHeading___Toc3527745_581953129"/>
      <w:bookmarkStart w:id="15" w:name="_Toc5"/>
      <w:bookmarkEnd w:id="14"/>
      <w:r>
        <w:rPr>
          <w:rtl w:val="true"/>
        </w:rPr>
        <w:t>امام مهدی در احادیث شیعه و سنی</w:t>
      </w:r>
      <w:bookmarkEnd w:id="15"/>
    </w:p>
    <w:p>
      <w:pPr>
        <w:pStyle w:val="BookText"/>
        <w:rPr/>
      </w:pPr>
      <w:r>
        <w:rPr>
          <w:rFonts w:ascii="IRNazanin" w:hAnsi="IRNazanin" w:eastAsia="IRNazanin"/>
          <w:color w:val="111111"/>
          <w:sz w:val="28"/>
          <w:sz w:val="28"/>
          <w:szCs w:val="28"/>
          <w:rtl w:val="true"/>
          <w:lang w:bidi="fa-IR"/>
        </w:rPr>
        <w:t xml:space="preserve">با نگاهی کلی به احادیث میبینیم بیش از پنجاه نفر از صحابه، روایات مربوط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رسول گرامی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محققان </w:t>
      </w:r>
      <w:r>
        <w:rPr>
          <w:rFonts w:ascii="IRNazanin" w:hAnsi="IRNazanin" w:eastAsia="IRNazanin"/>
          <w:color w:val="111111"/>
          <w:sz w:val="28"/>
          <w:sz w:val="28"/>
          <w:szCs w:val="28"/>
          <w:lang w:bidi="fa-IR"/>
        </w:rPr>
        <w:t>۱۹۴۱</w:t>
      </w:r>
      <w:r>
        <w:rPr>
          <w:rFonts w:ascii="IRNazanin" w:hAnsi="IRNazanin" w:eastAsia="IRNazanin"/>
          <w:color w:val="111111"/>
          <w:sz w:val="28"/>
          <w:sz w:val="28"/>
          <w:szCs w:val="28"/>
          <w:rtl w:val="true"/>
          <w:lang w:bidi="fa-IR"/>
        </w:rPr>
        <w:t xml:space="preserve"> روایت را بدون تکرار از پیشوایان معصوم در مورد مهدویت جمع آوری کرده اند که </w:t>
      </w:r>
      <w:r>
        <w:rPr>
          <w:rFonts w:ascii="IRNazanin" w:hAnsi="IRNazanin" w:eastAsia="IRNazanin"/>
          <w:color w:val="111111"/>
          <w:sz w:val="28"/>
          <w:sz w:val="28"/>
          <w:szCs w:val="28"/>
          <w:lang w:bidi="fa-IR"/>
        </w:rPr>
        <w:t>۵۶۰</w:t>
      </w:r>
      <w:r>
        <w:rPr>
          <w:rFonts w:ascii="IRNazanin" w:hAnsi="IRNazanin" w:eastAsia="IRNazanin"/>
          <w:color w:val="111111"/>
          <w:sz w:val="28"/>
          <w:sz w:val="28"/>
          <w:szCs w:val="28"/>
          <w:rtl w:val="true"/>
          <w:lang w:bidi="fa-IR"/>
        </w:rPr>
        <w:t xml:space="preserve"> حدیث آن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زیادی قبل و بعد از 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عالمان شیعی و سنی بنابر کثرت روایات قائل به تواتر این اخبار در مورد آمدن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6" w:name="pg5673_37420"/>
    </w:p>
    <w:p>
      <w:pPr>
        <w:pStyle w:val="BookText"/>
        <w:rPr/>
      </w:pPr>
      <w:bookmarkEnd w:id="16"/>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ابری شافعی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بشارت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کثرت مخبران و راویان به حد تواتر رسیده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احادیث مربوط به مهدویت به دو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عام، احادیث خاص</w:t>
      </w:r>
      <w:r>
        <w:rPr>
          <w:rFonts w:eastAsia="IRNazanin" w:cs="IRNazanin"/>
          <w:color w:val="111111"/>
          <w:sz w:val="28"/>
          <w:szCs w:val="28"/>
          <w:rtl w:val="true"/>
          <w:lang w:bidi="fa-IR"/>
        </w:rPr>
        <w:t>.</w:t>
      </w:r>
    </w:p>
    <w:p>
      <w:pPr>
        <w:pStyle w:val="Heading3"/>
        <w:numPr>
          <w:ilvl w:val="2"/>
          <w:numId w:val="1"/>
        </w:numPr>
        <w:rPr/>
      </w:pPr>
      <w:bookmarkStart w:id="17" w:name="__RefHeading___Toc3527747_581953129"/>
      <w:bookmarkStart w:id="18" w:name="_Toc6"/>
      <w:bookmarkEnd w:id="17"/>
      <w:r>
        <w:rPr/>
        <w:t>۱</w:t>
      </w:r>
      <w:r>
        <w:rPr>
          <w:rtl w:val="true"/>
        </w:rPr>
        <w:t>، احادیث عام</w:t>
      </w:r>
      <w:r>
        <w:rPr>
          <w:rtl w:val="true"/>
        </w:rPr>
        <w:t>:</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موضوعاتشان بیان جانشینی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حدیث دوازده خلیفه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 خود را نشناسد، مرگش جاهلی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به یک مورد از آنها به طور اختصار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نفر از صحابه پیامبر گرامی اسلام و بسیاری از بزرگان شیعه و سنی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ترمذی، و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پیامبر اکرم در آخرین روزهای زندگانی خود در جمع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گرانبها در میان ش ما به امانت میگذارم، اگر از این دو پیروی کنید، بعد از من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w:t>
      </w:r>
    </w:p>
    <w:p>
      <w:pPr>
        <w:pStyle w:val="BookText"/>
        <w:rPr/>
      </w:pPr>
      <w:r>
        <w:rPr>
          <w:rFonts w:ascii="IRNazanin" w:hAnsi="IRNazanin" w:eastAsia="IRNazanin"/>
          <w:color w:val="111111"/>
          <w:sz w:val="28"/>
          <w:sz w:val="28"/>
          <w:szCs w:val="28"/>
          <w:rtl w:val="true"/>
          <w:lang w:bidi="fa-IR"/>
        </w:rPr>
        <w:t>مهم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کتاب خدا که ریسمانی متصل از آسمان به زمین است و دومی عترت و اهل بیتم این دو از هم جدا نمی شوند تا اینکه کنار حوض کوثر بر من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با این دو چگونه برخورد کنید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بنابر گفته عالمان شیعی و سنی مراد از اهل بیت، حضرت علی و فاطمه و فرزندان آنان میباشند که پیامبر اسلام در جاهای مختلف آنان را به عنوان اهل بیت خود معرفی کرده 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هم اکنون قرآن کریم بدون هیچگونه تحریفی در میان ما است، اما از اهل بیت، هم اکنون چه کسی در کنار قرآن است تا مسلمانان با پیروی از این دو چیز گران بها، هرگز دچار گمراهی و انحراف نشوند؟ عالمان شیعی و اهل سنت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عترت و اهل بیت من و از فرزندان فاطمه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هم اکنون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حجت و ثقل همتای قرآن میباشد و پیروی از او بر ما لازم است</w:t>
      </w:r>
      <w:r>
        <w:rPr>
          <w:rFonts w:eastAsia="IRNazanin" w:cs="IRNazanin"/>
          <w:color w:val="111111"/>
          <w:sz w:val="28"/>
          <w:szCs w:val="28"/>
          <w:rtl w:val="true"/>
          <w:lang w:bidi="fa-IR"/>
        </w:rPr>
        <w:t>.</w:t>
      </w:r>
      <w:bookmarkStart w:id="19" w:name="pg5673_37422"/>
    </w:p>
    <w:p>
      <w:pPr>
        <w:pStyle w:val="Heading3"/>
        <w:numPr>
          <w:ilvl w:val="2"/>
          <w:numId w:val="1"/>
        </w:numPr>
        <w:rPr/>
      </w:pPr>
      <w:bookmarkStart w:id="20" w:name="__RefHeading___Toc3527749_581953129"/>
      <w:bookmarkStart w:id="21" w:name="_Toc7"/>
      <w:bookmarkEnd w:id="19"/>
      <w:bookmarkEnd w:id="20"/>
      <w:r>
        <w:rPr/>
        <w:t>2</w:t>
      </w:r>
      <w:r>
        <w:rPr>
          <w:rtl w:val="true"/>
        </w:rPr>
        <w:t xml:space="preserve">. </w:t>
      </w:r>
      <w:r>
        <w:rPr>
          <w:rtl w:val="true"/>
        </w:rPr>
        <w:t xml:space="preserve">احادیث خاص </w:t>
      </w:r>
      <w:r>
        <w:rPr>
          <w:rtl w:val="true"/>
        </w:rPr>
        <w:t>:</w:t>
      </w:r>
      <w:bookmarkEnd w:id="21"/>
    </w:p>
    <w:p>
      <w:pPr>
        <w:pStyle w:val="BookText"/>
        <w:rPr/>
      </w:pPr>
      <w:r>
        <w:rPr>
          <w:rFonts w:ascii="IRNazanin" w:hAnsi="IRNazanin" w:eastAsia="IRNazanin"/>
          <w:color w:val="111111"/>
          <w:sz w:val="28"/>
          <w:sz w:val="28"/>
          <w:szCs w:val="28"/>
          <w:rtl w:val="true"/>
          <w:lang w:bidi="fa-IR"/>
        </w:rPr>
        <w:t xml:space="preserve">در این زمینه بسیاری از احادیث مورد اتفاق شیعه و اهل سنت وجود دارد؛ به صورتی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ویژگیهای مطرح شده در روایات، از کنار خانه خدا، قیام خود را آغاز کند، تمامی مسلمانان اعتراف به آمدن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بیان برخی از عرصه های مشترک میان شیعه و سنی در مورد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مهدویت ؛در روایات فریقین</w:t>
      </w:r>
    </w:p>
    <w:p>
      <w:pPr>
        <w:pStyle w:val="BookText"/>
        <w:rPr/>
      </w:pPr>
      <w:r>
        <w:rPr>
          <w:rFonts w:ascii="IRNazanin" w:hAnsi="IRNazanin" w:eastAsia="IRNazanin"/>
          <w:color w:val="111111"/>
          <w:sz w:val="28"/>
          <w:sz w:val="28"/>
          <w:szCs w:val="28"/>
          <w:rtl w:val="true"/>
          <w:lang w:bidi="fa-IR"/>
        </w:rPr>
        <w:t xml:space="preserve">در حد تواتر آمده است در آخرالزمان ش 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پیامبر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به حد تواتر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فراگیری عدل و داد در بسیاری از روایات مربوط به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پر می کند همان گونه که از ظلم و جور پر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کلی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خلیفه در پایان امت من، امیر در پایان فتنه ها، مالک و فرمان روای زمین، حاکم و فرمان روای انسانها، امام و پیشوای مردم، ولی و سرپرست امت، سلطان مشرق و مغرب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اهل بیت است؛ خداوند امر او را در یک شب اصلاح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از خاندان پیامبر و از فرزندان فاطمه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از فرزندان 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می گویند او از فرزندان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کسی است که عیسی بن مریم پشت سرش نماز می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معادن را استخراج و اموال را تقسیم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را می بخشد و بر کارگزاران خود سخت گیری می کند و بر مسکینان مهربانی می ورزد؛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زمین را به واسطه او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عدالت میورزد، در نتیجه زمین با عدل زنده می شود؛ بعد از آنکه از ظلم مرده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و توحید به وسیله او عالم گیر خواهد شد و در زمین کسی نخواهد ماند؛ مگر اینکه به توحید الهی گواهی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خلافت او ساکنان زمین و آسمان خشنودند؛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برای فریادرسی مردمان برمی انگیزد؛ امت در زمان او متنعم و بهره مند می شوند و زمین محصولات خود را بیرون می ریزد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تمام کشورها و شهرها مستولی می شود و لشکرهای کفر را شکست می دهد</w:t>
      </w:r>
      <w:r>
        <w:rPr>
          <w:rFonts w:eastAsia="IRNazanin" w:cs="IRNazanin"/>
          <w:color w:val="111111"/>
          <w:sz w:val="28"/>
          <w:szCs w:val="28"/>
          <w:rtl w:val="true"/>
          <w:lang w:bidi="fa-IR"/>
        </w:rPr>
        <w:t>.</w:t>
      </w:r>
      <w:r>
        <w:rPr>
          <w:rStyle w:val="FootnoteAnchor"/>
          <w:rtl w:val="true"/>
        </w:rPr>
        <w:footnoteReference w:id="11"/>
      </w:r>
      <w:bookmarkStart w:id="22" w:name="pg5673_37425"/>
    </w:p>
    <w:p>
      <w:pPr>
        <w:pStyle w:val="Heading2"/>
        <w:numPr>
          <w:ilvl w:val="1"/>
          <w:numId w:val="1"/>
        </w:numPr>
        <w:rPr/>
      </w:pPr>
      <w:bookmarkStart w:id="23" w:name="__RefHeading___Toc3527751_581953129"/>
      <w:bookmarkStart w:id="24" w:name="_Toc8"/>
      <w:bookmarkEnd w:id="22"/>
      <w:bookmarkEnd w:id="23"/>
      <w:r>
        <w:rPr>
          <w:rtl w:val="true"/>
        </w:rPr>
        <w:t>نقد دو شبهه</w:t>
      </w:r>
      <w:bookmarkEnd w:id="24"/>
    </w:p>
    <w:p>
      <w:pPr>
        <w:pStyle w:val="Heading3"/>
        <w:numPr>
          <w:ilvl w:val="2"/>
          <w:numId w:val="1"/>
        </w:numPr>
        <w:rPr/>
      </w:pPr>
      <w:bookmarkStart w:id="25" w:name="__RefHeading___Toc3527753_581953129"/>
      <w:bookmarkStart w:id="26" w:name="_Toc9"/>
      <w:bookmarkEnd w:id="25"/>
      <w:r>
        <w:rPr/>
        <w:t>1</w:t>
      </w:r>
      <w:r>
        <w:rPr>
          <w:rtl w:val="true"/>
        </w:rPr>
        <w:t xml:space="preserve">. </w:t>
      </w:r>
      <w:r>
        <w:rPr>
          <w:rtl w:val="true"/>
        </w:rPr>
        <w:t>امامت در کودکی</w:t>
      </w:r>
      <w:bookmarkEnd w:id="26"/>
    </w:p>
    <w:p>
      <w:pPr>
        <w:pStyle w:val="BookText"/>
        <w:rPr/>
      </w:pPr>
      <w:r>
        <w:rPr>
          <w:rFonts w:ascii="IRNazanin" w:hAnsi="IRNazanin" w:eastAsia="IRNazanin"/>
          <w:color w:val="111111"/>
          <w:sz w:val="28"/>
          <w:sz w:val="28"/>
          <w:szCs w:val="28"/>
          <w:rtl w:val="true"/>
          <w:lang w:bidi="fa-IR"/>
        </w:rPr>
        <w:t>یکی از شبهاتی که درباره امام مهدی در گذشته و حال طرح شده، آن است که چگونه ممکن است کودکی در سنین نخست طفولیت به مقام امامت نایل شود و چگونه می توان او را صاحب ولایت دانست؛ در حالی که، در فقه مذاهب اسلامی، کودک نابالغ حق هیچ گونه ولایت و تصرفی به او داده نشده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کوتاه اینکه، مسأله امامت یک موضوع فرعی و تکلیف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موضوع اعتقادی و بنیادی است و در گفتمان امامت، نصب و تعیین امام فعل خداوند بوده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این پدیده در میان پیامبران و امامان گذشته نیز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و از سوی خداوند، کتاب و حکمت به او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حضرت یحیی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هشت سالگی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 به امامت نائل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امامت شیعه اگر امامانی در سنین</w:t>
      </w:r>
      <w:bookmarkStart w:id="27" w:name="pg5673_37426"/>
    </w:p>
    <w:p>
      <w:pPr>
        <w:pStyle w:val="BookText"/>
        <w:rPr/>
      </w:pPr>
      <w:bookmarkEnd w:id="27"/>
      <w:r>
        <w:rPr>
          <w:rFonts w:ascii="IRNazanin" w:hAnsi="IRNazanin" w:eastAsia="IRNazanin"/>
          <w:color w:val="111111"/>
          <w:sz w:val="28"/>
          <w:sz w:val="28"/>
          <w:szCs w:val="28"/>
          <w:rtl w:val="true"/>
          <w:lang w:bidi="fa-IR"/>
        </w:rPr>
        <w:t>نورسی ادعای امامت را طرح کردند، در علم و عمل و گفتار و کردار خود آنچه را هماهنگ با مقتضای امامت بود بروز دادند و هرگز در انجام وظایف امامت دچار مشکل نشده و در مواجهه با مخاطبانی که در صدد آزمودنشان بودند، در بن بست علمی قرار نگرفتند و این گونه معلوم می گردد که امامت میراثی است آسمانی برای جمعی از بندگان برگزیده که در آن، مسأله سن مطرح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رسالت و پیامبری هم حکم الهی به کودکی چون یحیی بن زکریا و نبوت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 شود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28" w:name="__RefHeading___Toc3527755_581953129"/>
      <w:bookmarkStart w:id="29" w:name="_Toc10"/>
      <w:bookmarkEnd w:id="28"/>
      <w:r>
        <w:rPr/>
        <w:t>2</w:t>
      </w:r>
      <w:r>
        <w:rPr>
          <w:rtl w:val="true"/>
        </w:rPr>
        <w:t xml:space="preserve">. </w:t>
      </w:r>
      <w:r>
        <w:rPr>
          <w:rtl w:val="true"/>
        </w:rPr>
        <w:t>فواید امام غایب</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شیعه به درازا انجامیدن عمر امام غایب با تمسک به عموم قدرت الهی و قطعیت وقوع عمر طولانی برای برخی پیامبران و دیگران </w:t>
      </w:r>
      <w:r>
        <w:rPr>
          <w:rStyle w:val="FootnoteAnchor"/>
          <w:rtl w:val="true"/>
        </w:rPr>
        <w:footnoteReference w:id="13"/>
      </w:r>
      <w:r>
        <w:rPr>
          <w:rFonts w:ascii="IRNazanin" w:hAnsi="IRNazanin" w:eastAsia="IRNazanin"/>
          <w:color w:val="111111"/>
          <w:sz w:val="28"/>
          <w:sz w:val="28"/>
          <w:szCs w:val="28"/>
          <w:rtl w:val="true"/>
          <w:lang w:bidi="fa-IR"/>
        </w:rPr>
        <w:t>اثبات گشته است، این سؤال به طور جدی طرح می شود که چه فایده ای برای امام غایبی است که صدها سال از دیده ها پنهان بوده و امکان دسترسی به او وجود ندارد و چه اشکالی دارد به آن مهدی معتقد شویم که در آخر الزمان و در نزدیکی عصر ظهور ولادت می یابد و به طور طبیعی برای عهده دار شدن وظیفه</w:t>
      </w:r>
    </w:p>
    <w:p>
      <w:pPr>
        <w:pStyle w:val="BookText"/>
        <w:rPr/>
      </w:pPr>
      <w:r>
        <w:rPr>
          <w:rFonts w:ascii="IRNazanin" w:hAnsi="IRNazanin" w:eastAsia="IRNazanin"/>
          <w:color w:val="111111"/>
          <w:sz w:val="28"/>
          <w:sz w:val="28"/>
          <w:szCs w:val="28"/>
          <w:rtl w:val="true"/>
          <w:lang w:bidi="fa-IR"/>
        </w:rPr>
        <w:t>خطیر الهی خود مهیا می شود؟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مسأله حیات و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تابع ادله خود بوده و چون این معنا به اثبات رسد، باید به کلیه لوازم آن پای بند شد و استثنایی بودن مسأله غیبت و عمر طولانی، نمی تواند مانع از پذیرش واقعیتی باشد که با دلایل گوناگون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مساله فواید امام غایب مانند بسیاری از مسائل رازآمیز دیگر آن چنان با اسرار و حکمتهای الهی در هم آمیخته که شاید نتوان همه ابعاد آن را کشف کرد؛ روایات انبوهی را که بر این دلالت دارد خداوند زمین را هرگز بدون حجت رها نکرده و اگر چنین شود نظام عالم مختل شده و زمین اهلش را فرو می برد، را هرگز نمی توان نادیده انگاشت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روایات فیض وجود امام حتی در حالت غیبت هم بر گستره تکوین و اهل زمین استمرار می یابد و این یکی از مهم ترین فواید امام غایب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فواید دیگری برای عقیده به امام حی می توان تصور کرد؛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w:t>
      </w:r>
    </w:p>
    <w:p>
      <w:pPr>
        <w:pStyle w:val="BookText"/>
        <w:rPr/>
      </w:pPr>
      <w:r>
        <w:rPr>
          <w:rFonts w:ascii="IRNazanin" w:hAnsi="IRNazanin" w:eastAsia="IRNazanin"/>
          <w:color w:val="111111"/>
          <w:sz w:val="28"/>
          <w:sz w:val="28"/>
          <w:szCs w:val="28"/>
          <w:rtl w:val="true"/>
          <w:lang w:bidi="fa-IR"/>
        </w:rPr>
        <w:t>امامی که هر آن امید به قیام و ظهور او می رود، شخص را در حالتی از آمادگی تام قرار می دهد که با جدیت فراوان، در راه اهداف و مقاصد دین استقامت ورزیده و سخت کوشانه در طریق اصلاح امر خود و جهان پیرامون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عقیده به حیات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ترین پشتوانه روحی منتظران بوده که با احساس امید به انجام مسوولیت های دینی و اجتماعی خود بپردازند، نومیدی و سرخوردگی را از درون بزدایند و هر آن در انتظار فرج موعود باشند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اعتقاد به مهدی زنده با مهدی غیر موجود چقدر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نمونه تفاوت این دو نظریه را در مذاهب مختلف می توانید ببنید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خبری از انتظار، اشتیاق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عاطفه و امید به آینده و حش صاحب و مولی داشتن در میان آنان دیده می شود؟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3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مصری آخرالزمان،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معجم احادیث امام المهدی مراجعه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۲۴۰۸</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۳۷۸۸</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۸۲۴</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صواعق المحرقه، 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۴۲۸۵</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و بررسی منابع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الوردی فی الأخبار المهدی المعجم الکبیر؛ البرهان فی علامات مهدی آخر الزمان فرائد السمطین؟ عقد الدرر المهدی المنتظر الفتن و الملاحم 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یحیی خذ الکتاب بقوة و أتیناه الحکم صبیا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از عمر طولانی حضرت نوح سخن به میان آمده و عقیده به حیات عیسی بن مریم در میان همه مسلمین اجماعی بوده و با استناد به روایاتی چند او با مهدی ظهور کرده و نماز پشت سر او می گزارد و روایات بسیاری درباره حیات خضر رسیده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image" Target="media/image6.jpeg"/><Relationship Id="rId30" Type="http://schemas.openxmlformats.org/officeDocument/2006/relationships/image" Target="media/image6.jpeg"/><Relationship Id="rId31" Type="http://schemas.openxmlformats.org/officeDocument/2006/relationships/footer" Target="footer18.xml"/><Relationship Id="rId32" Type="http://schemas.openxmlformats.org/officeDocument/2006/relationships/image" Target="media/image7.jpeg"/><Relationship Id="rId33" Type="http://schemas.openxmlformats.org/officeDocument/2006/relationships/image" Target="media/image7.jpeg"/><Relationship Id="rId34" Type="http://schemas.openxmlformats.org/officeDocument/2006/relationships/footer" Target="footer1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2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Pages>
  <Words>2130</Words>
  <Characters>7966</Characters>
  <CharactersWithSpaces>9988</CharactersWithSpaces>
  <Paragraphs>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2026-08-19T03:36:20Z</dcterms:created>
  <dc:creator>ghaemiyeh.com</dc:creator>
  <dc:description/>
  <dc:language>en-US</dc:language>
  <cp:lastModifiedBy/>
  <dcterms:modified xsi:type="dcterms:W3CDTF">2026-08-19T07:06:23Z</dcterms:modified>
  <cp:revision>1</cp:revision>
  <dc:subject/>
  <dc:title>رهنما 14 حقیقت مهدویت</dc:title>
</cp:coreProperties>
</file>

<file path=docProps/custom.xml><?xml version="1.0" encoding="utf-8"?>
<Properties xmlns="http://schemas.openxmlformats.org/officeDocument/2006/custom-properties" xmlns:vt="http://schemas.openxmlformats.org/officeDocument/2006/docPropsVTypes"/>
</file>