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مشروعیت اقامه حدود و تعزیرات در عصر غیبت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19568_58195312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3419570_58195312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3419572_581953129">
            <w:r>
              <w:rPr>
                <w:webHidden/>
                <w:rStyle w:val="IndexLink"/>
                <w:rtl w:val="true"/>
              </w:rPr>
              <w:t>سخن ناشر</w:t>
            </w:r>
            <w:r>
              <w:rPr>
                <w:rStyle w:val="IndexLink"/>
                <w:rtl w:val="true"/>
              </w:rPr>
              <w:tab/>
            </w:r>
            <w:r>
              <w:rPr>
                <w:rStyle w:val="IndexLink"/>
              </w:rPr>
              <w:t>14</w:t>
            </w:r>
          </w:hyperlink>
        </w:p>
        <w:p>
          <w:pPr>
            <w:pStyle w:val="Contents2"/>
            <w:tabs>
              <w:tab w:val="clear" w:pos="8743"/>
              <w:tab w:val="right" w:pos="9026" w:leader="dot"/>
            </w:tabs>
            <w:rPr/>
          </w:pPr>
          <w:hyperlink w:anchor="__RefHeading___Toc3419574_581953129">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3419576_581953129">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3419578_581953129">
            <w:r>
              <w:rPr>
                <w:webHidden/>
                <w:rStyle w:val="IndexLink"/>
                <w:rtl w:val="true"/>
              </w:rPr>
              <w:t>بخش اول</w:t>
            </w:r>
            <w:r>
              <w:rPr>
                <w:rStyle w:val="IndexLink"/>
                <w:rtl w:val="true"/>
              </w:rPr>
              <w:t>:</w:t>
            </w:r>
            <w:r>
              <w:rPr>
                <w:rStyle w:val="IndexLink"/>
                <w:rtl w:val="true"/>
              </w:rPr>
              <w:t>مفاهیم و مبانی تصوریه</w:t>
            </w:r>
            <w:r>
              <w:rPr>
                <w:rStyle w:val="IndexLink"/>
                <w:rtl w:val="true"/>
              </w:rPr>
              <w:tab/>
            </w:r>
            <w:r>
              <w:rPr>
                <w:rStyle w:val="IndexLink"/>
              </w:rPr>
              <w:t>29</w:t>
            </w:r>
          </w:hyperlink>
        </w:p>
        <w:p>
          <w:pPr>
            <w:pStyle w:val="Contents3"/>
            <w:tabs>
              <w:tab w:val="clear" w:pos="8459"/>
              <w:tab w:val="right" w:pos="9026" w:leader="dot"/>
            </w:tabs>
            <w:rPr/>
          </w:pPr>
          <w:hyperlink w:anchor="__RefHeading___Toc3419580_58195312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419582_581953129">
            <w:r>
              <w:rPr>
                <w:webHidden/>
                <w:rStyle w:val="IndexLink"/>
              </w:rPr>
              <w:t>1</w:t>
            </w:r>
            <w:r>
              <w:rPr>
                <w:rStyle w:val="IndexLink"/>
                <w:rtl w:val="true"/>
              </w:rPr>
              <w:t>-</w:t>
            </w:r>
            <w:r>
              <w:rPr>
                <w:rStyle w:val="IndexLink"/>
                <w:rtl w:val="true"/>
              </w:rPr>
              <w:t>مفاهیم</w:t>
            </w:r>
            <w:r>
              <w:rPr>
                <w:rStyle w:val="IndexLink"/>
                <w:rtl w:val="true"/>
              </w:rPr>
              <w:tab/>
            </w:r>
            <w:r>
              <w:rPr>
                <w:rStyle w:val="IndexLink"/>
              </w:rPr>
              <w:t>31</w:t>
            </w:r>
          </w:hyperlink>
        </w:p>
        <w:p>
          <w:pPr>
            <w:pStyle w:val="Contents4"/>
            <w:tabs>
              <w:tab w:val="clear" w:pos="8176"/>
              <w:tab w:val="right" w:pos="9026" w:leader="dot"/>
            </w:tabs>
            <w:rPr/>
          </w:pPr>
          <w:hyperlink w:anchor="__RefHeading___Toc3419584_58195312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3419586_581953129">
            <w:r>
              <w:rPr>
                <w:webHidden/>
                <w:rStyle w:val="IndexLink"/>
                <w:rtl w:val="true"/>
              </w:rPr>
              <w:t>حد</w:t>
            </w:r>
            <w:r>
              <w:rPr>
                <w:rStyle w:val="IndexLink"/>
                <w:rtl w:val="true"/>
              </w:rPr>
              <w:tab/>
            </w:r>
            <w:r>
              <w:rPr>
                <w:rStyle w:val="IndexLink"/>
              </w:rPr>
              <w:t>31</w:t>
            </w:r>
          </w:hyperlink>
        </w:p>
        <w:p>
          <w:pPr>
            <w:pStyle w:val="Contents5"/>
            <w:tabs>
              <w:tab w:val="clear" w:pos="7892"/>
              <w:tab w:val="right" w:pos="9026" w:leader="dot"/>
            </w:tabs>
            <w:rPr/>
          </w:pPr>
          <w:hyperlink w:anchor="__RefHeading___Toc3419588_581953129">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3419590_581953129">
            <w:r>
              <w:rPr>
                <w:webHidden/>
                <w:rStyle w:val="IndexLink"/>
              </w:rPr>
              <w:t>1</w:t>
            </w:r>
            <w:r>
              <w:rPr>
                <w:rStyle w:val="IndexLink"/>
                <w:rtl w:val="true"/>
              </w:rPr>
              <w:t>-</w:t>
            </w:r>
            <w:r>
              <w:rPr>
                <w:rStyle w:val="IndexLink"/>
                <w:rtl w:val="true"/>
              </w:rPr>
              <w:t>واژه شناسی حد</w:t>
            </w:r>
            <w:r>
              <w:rPr>
                <w:rStyle w:val="IndexLink"/>
                <w:rtl w:val="true"/>
              </w:rPr>
              <w:tab/>
            </w:r>
            <w:r>
              <w:rPr>
                <w:rStyle w:val="IndexLink"/>
              </w:rPr>
              <w:t>31</w:t>
            </w:r>
          </w:hyperlink>
        </w:p>
        <w:p>
          <w:pPr>
            <w:pStyle w:val="Contents6"/>
            <w:tabs>
              <w:tab w:val="clear" w:pos="7609"/>
              <w:tab w:val="right" w:pos="9026" w:leader="dot"/>
            </w:tabs>
            <w:rPr/>
          </w:pPr>
          <w:hyperlink w:anchor="__RefHeading___Toc3419592_581953129">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3419594_581953129">
            <w:r>
              <w:rPr>
                <w:webHidden/>
                <w:rStyle w:val="IndexLink"/>
                <w:rtl w:val="true"/>
              </w:rPr>
              <w:t>الف</w:t>
            </w:r>
            <w:r>
              <w:rPr>
                <w:rStyle w:val="IndexLink"/>
                <w:rtl w:val="true"/>
              </w:rPr>
              <w:t>)</w:t>
            </w:r>
            <w:r>
              <w:rPr>
                <w:rStyle w:val="IndexLink"/>
                <w:rtl w:val="true"/>
              </w:rPr>
              <w:t>ریشه واژه حد</w:t>
            </w:r>
            <w:r>
              <w:rPr>
                <w:rStyle w:val="IndexLink"/>
                <w:rtl w:val="true"/>
              </w:rPr>
              <w:tab/>
            </w:r>
            <w:r>
              <w:rPr>
                <w:rStyle w:val="IndexLink"/>
              </w:rPr>
              <w:t>32</w:t>
            </w:r>
          </w:hyperlink>
        </w:p>
        <w:p>
          <w:pPr>
            <w:pStyle w:val="Contents6"/>
            <w:tabs>
              <w:tab w:val="clear" w:pos="7609"/>
              <w:tab w:val="right" w:pos="9026" w:leader="dot"/>
            </w:tabs>
            <w:rPr/>
          </w:pPr>
          <w:hyperlink w:anchor="__RefHeading___Toc3419596_581953129">
            <w:r>
              <w:rPr>
                <w:webHidden/>
                <w:rStyle w:val="IndexLink"/>
                <w:rtl w:val="true"/>
              </w:rPr>
              <w:t>ب</w:t>
            </w:r>
            <w:r>
              <w:rPr>
                <w:rStyle w:val="IndexLink"/>
                <w:rtl w:val="true"/>
              </w:rPr>
              <w:t>)</w:t>
            </w:r>
            <w:r>
              <w:rPr>
                <w:rStyle w:val="IndexLink"/>
                <w:rtl w:val="true"/>
              </w:rPr>
              <w:t>معنای اصلی واژه</w:t>
            </w:r>
            <w:r>
              <w:rPr>
                <w:rStyle w:val="IndexLink"/>
                <w:rtl w:val="true"/>
              </w:rPr>
              <w:tab/>
            </w:r>
            <w:r>
              <w:rPr>
                <w:rStyle w:val="IndexLink"/>
              </w:rPr>
              <w:t>32</w:t>
            </w:r>
          </w:hyperlink>
        </w:p>
        <w:p>
          <w:pPr>
            <w:pStyle w:val="Contents5"/>
            <w:tabs>
              <w:tab w:val="clear" w:pos="7892"/>
              <w:tab w:val="right" w:pos="9026" w:leader="dot"/>
            </w:tabs>
            <w:rPr/>
          </w:pPr>
          <w:hyperlink w:anchor="__RefHeading___Toc3419598_581953129">
            <w:r>
              <w:rPr>
                <w:webHidden/>
                <w:rStyle w:val="IndexLink"/>
              </w:rPr>
              <w:t>2</w:t>
            </w:r>
            <w:r>
              <w:rPr>
                <w:rStyle w:val="IndexLink"/>
                <w:rtl w:val="true"/>
              </w:rPr>
              <w:t>-</w:t>
            </w:r>
            <w:r>
              <w:rPr>
                <w:rStyle w:val="IndexLink"/>
                <w:rtl w:val="true"/>
              </w:rPr>
              <w:t>اصطلاح‌شناسی حد</w:t>
            </w:r>
            <w:r>
              <w:rPr>
                <w:rStyle w:val="IndexLink"/>
                <w:rtl w:val="true"/>
              </w:rPr>
              <w:tab/>
            </w:r>
            <w:r>
              <w:rPr>
                <w:rStyle w:val="IndexLink"/>
              </w:rPr>
              <w:t>34</w:t>
            </w:r>
          </w:hyperlink>
        </w:p>
        <w:p>
          <w:pPr>
            <w:pStyle w:val="Contents6"/>
            <w:tabs>
              <w:tab w:val="clear" w:pos="7609"/>
              <w:tab w:val="right" w:pos="9026" w:leader="dot"/>
            </w:tabs>
            <w:rPr/>
          </w:pPr>
          <w:hyperlink w:anchor="__RefHeading___Toc3419600_581953129">
            <w:r>
              <w:rPr>
                <w:webHidden/>
                <w:rStyle w:val="IndexLink"/>
                <w:rtl w:val="true"/>
              </w:rPr>
              <w:t>الف</w:t>
            </w:r>
            <w:r>
              <w:rPr>
                <w:rStyle w:val="IndexLink"/>
                <w:rtl w:val="true"/>
              </w:rPr>
              <w:t>)</w:t>
            </w:r>
            <w:r>
              <w:rPr>
                <w:rStyle w:val="IndexLink"/>
                <w:rtl w:val="true"/>
              </w:rPr>
              <w:t>حد در متون دینی</w:t>
            </w:r>
            <w:r>
              <w:rPr>
                <w:rStyle w:val="IndexLink"/>
                <w:rtl w:val="true"/>
              </w:rPr>
              <w:tab/>
            </w:r>
            <w:r>
              <w:rPr>
                <w:rStyle w:val="IndexLink"/>
              </w:rPr>
              <w:t>34</w:t>
            </w:r>
          </w:hyperlink>
        </w:p>
        <w:p>
          <w:pPr>
            <w:pStyle w:val="Contents6"/>
            <w:tabs>
              <w:tab w:val="clear" w:pos="7609"/>
              <w:tab w:val="right" w:pos="9026" w:leader="dot"/>
            </w:tabs>
            <w:rPr/>
          </w:pPr>
          <w:hyperlink w:anchor="__RefHeading___Toc3419602_581953129">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3419604_581953129">
            <w:r>
              <w:rPr>
                <w:webHidden/>
                <w:rStyle w:val="IndexLink"/>
                <w:rtl w:val="true"/>
              </w:rPr>
              <w:t>یکم</w:t>
            </w:r>
            <w:r>
              <w:rPr>
                <w:rStyle w:val="IndexLink"/>
                <w:rtl w:val="true"/>
              </w:rPr>
              <w:t>)</w:t>
            </w:r>
            <w:r>
              <w:rPr>
                <w:rStyle w:val="IndexLink"/>
                <w:rtl w:val="true"/>
              </w:rPr>
              <w:t>حد در قرآن</w:t>
            </w:r>
            <w:r>
              <w:rPr>
                <w:rStyle w:val="IndexLink"/>
                <w:rtl w:val="true"/>
              </w:rPr>
              <w:tab/>
            </w:r>
            <w:r>
              <w:rPr>
                <w:rStyle w:val="IndexLink"/>
              </w:rPr>
              <w:t>35</w:t>
            </w:r>
          </w:hyperlink>
        </w:p>
        <w:p>
          <w:pPr>
            <w:pStyle w:val="Contents6"/>
            <w:tabs>
              <w:tab w:val="clear" w:pos="7609"/>
              <w:tab w:val="right" w:pos="9026" w:leader="dot"/>
            </w:tabs>
            <w:rPr/>
          </w:pPr>
          <w:hyperlink w:anchor="__RefHeading___Toc3419606_581953129">
            <w:r>
              <w:rPr>
                <w:webHidden/>
                <w:rStyle w:val="IndexLink"/>
                <w:rtl w:val="true"/>
              </w:rPr>
              <w:t>دوم</w:t>
            </w:r>
            <w:r>
              <w:rPr>
                <w:rStyle w:val="IndexLink"/>
                <w:rtl w:val="true"/>
              </w:rPr>
              <w:t>)</w:t>
            </w:r>
            <w:r>
              <w:rPr>
                <w:rStyle w:val="IndexLink"/>
                <w:rtl w:val="true"/>
              </w:rPr>
              <w:t>حد در اصطلاح روایی</w:t>
            </w:r>
            <w:r>
              <w:rPr>
                <w:rStyle w:val="IndexLink"/>
                <w:rtl w:val="true"/>
              </w:rPr>
              <w:tab/>
            </w:r>
            <w:r>
              <w:rPr>
                <w:rStyle w:val="IndexLink"/>
              </w:rPr>
              <w:t>36</w:t>
            </w:r>
          </w:hyperlink>
        </w:p>
        <w:p>
          <w:pPr>
            <w:pStyle w:val="Contents6"/>
            <w:tabs>
              <w:tab w:val="clear" w:pos="7609"/>
              <w:tab w:val="right" w:pos="9026" w:leader="dot"/>
            </w:tabs>
            <w:rPr/>
          </w:pPr>
          <w:hyperlink w:anchor="__RefHeading___Toc3419608_581953129">
            <w:r>
              <w:rPr>
                <w:webHidden/>
                <w:rStyle w:val="IndexLink"/>
                <w:rtl w:val="true"/>
              </w:rPr>
              <w:t>سوم</w:t>
            </w:r>
            <w:r>
              <w:rPr>
                <w:rStyle w:val="IndexLink"/>
                <w:rtl w:val="true"/>
              </w:rPr>
              <w:t>)</w:t>
            </w:r>
            <w:r>
              <w:rPr>
                <w:rStyle w:val="IndexLink"/>
                <w:rtl w:val="true"/>
              </w:rPr>
              <w:t>حد خاص</w:t>
            </w:r>
            <w:r>
              <w:rPr>
                <w:rStyle w:val="IndexLink"/>
                <w:rtl w:val="true"/>
              </w:rPr>
              <w:tab/>
            </w:r>
            <w:r>
              <w:rPr>
                <w:rStyle w:val="IndexLink"/>
              </w:rPr>
              <w:t>38</w:t>
            </w:r>
          </w:hyperlink>
        </w:p>
        <w:p>
          <w:pPr>
            <w:pStyle w:val="Contents6"/>
            <w:tabs>
              <w:tab w:val="clear" w:pos="7609"/>
              <w:tab w:val="right" w:pos="9026" w:leader="dot"/>
            </w:tabs>
            <w:rPr/>
          </w:pPr>
          <w:hyperlink w:anchor="__RefHeading___Toc3419610_581953129">
            <w:r>
              <w:rPr>
                <w:webHidden/>
                <w:rStyle w:val="IndexLink"/>
                <w:rtl w:val="true"/>
              </w:rPr>
              <w:t>چهارم</w:t>
            </w:r>
            <w:r>
              <w:rPr>
                <w:rStyle w:val="IndexLink"/>
                <w:rtl w:val="true"/>
              </w:rPr>
              <w:t>)</w:t>
            </w:r>
            <w:r>
              <w:rPr>
                <w:rStyle w:val="IndexLink"/>
                <w:rtl w:val="true"/>
              </w:rPr>
              <w:t>مطلق عقوبت</w:t>
            </w:r>
            <w:r>
              <w:rPr>
                <w:rStyle w:val="IndexLink"/>
                <w:rtl w:val="true"/>
              </w:rPr>
              <w:tab/>
            </w:r>
            <w:r>
              <w:rPr>
                <w:rStyle w:val="IndexLink"/>
              </w:rPr>
              <w:t>38</w:t>
            </w:r>
          </w:hyperlink>
        </w:p>
        <w:p>
          <w:pPr>
            <w:pStyle w:val="Contents6"/>
            <w:tabs>
              <w:tab w:val="clear" w:pos="7609"/>
              <w:tab w:val="right" w:pos="9026" w:leader="dot"/>
            </w:tabs>
            <w:rPr/>
          </w:pPr>
          <w:hyperlink w:anchor="__RefHeading___Toc3419612_581953129">
            <w:r>
              <w:rPr>
                <w:webHidden/>
                <w:rStyle w:val="IndexLink"/>
                <w:rtl w:val="true"/>
              </w:rPr>
              <w:t>پنجم</w:t>
            </w:r>
            <w:r>
              <w:rPr>
                <w:rStyle w:val="IndexLink"/>
                <w:rtl w:val="true"/>
              </w:rPr>
              <w:t>)</w:t>
            </w:r>
            <w:r>
              <w:rPr>
                <w:rStyle w:val="IndexLink"/>
                <w:rtl w:val="true"/>
              </w:rPr>
              <w:t>اعم از تعزیر</w:t>
            </w:r>
            <w:r>
              <w:rPr>
                <w:rStyle w:val="IndexLink"/>
                <w:rtl w:val="true"/>
              </w:rPr>
              <w:tab/>
            </w:r>
            <w:r>
              <w:rPr>
                <w:rStyle w:val="IndexLink"/>
              </w:rPr>
              <w:t>40</w:t>
            </w:r>
          </w:hyperlink>
        </w:p>
        <w:p>
          <w:pPr>
            <w:pStyle w:val="Contents6"/>
            <w:tabs>
              <w:tab w:val="clear" w:pos="7609"/>
              <w:tab w:val="right" w:pos="9026" w:leader="dot"/>
            </w:tabs>
            <w:rPr/>
          </w:pPr>
          <w:hyperlink w:anchor="__RefHeading___Toc3419614_581953129">
            <w:r>
              <w:rPr>
                <w:webHidden/>
                <w:rStyle w:val="IndexLink"/>
                <w:rtl w:val="true"/>
              </w:rPr>
              <w:t>ششم</w:t>
            </w:r>
            <w:r>
              <w:rPr>
                <w:rStyle w:val="IndexLink"/>
                <w:rtl w:val="true"/>
              </w:rPr>
              <w:t>)</w:t>
            </w:r>
            <w:r>
              <w:rPr>
                <w:rStyle w:val="IndexLink"/>
                <w:rtl w:val="true"/>
              </w:rPr>
              <w:t>اعم از قصاص</w:t>
            </w:r>
            <w:r>
              <w:rPr>
                <w:rStyle w:val="IndexLink"/>
                <w:rtl w:val="true"/>
              </w:rPr>
              <w:tab/>
            </w:r>
            <w:r>
              <w:rPr>
                <w:rStyle w:val="IndexLink"/>
              </w:rPr>
              <w:t>40</w:t>
            </w:r>
          </w:hyperlink>
        </w:p>
        <w:p>
          <w:pPr>
            <w:pStyle w:val="Contents6"/>
            <w:tabs>
              <w:tab w:val="clear" w:pos="7609"/>
              <w:tab w:val="right" w:pos="9026" w:leader="dot"/>
            </w:tabs>
            <w:rPr/>
          </w:pPr>
          <w:hyperlink w:anchor="__RefHeading___Toc3419616_581953129">
            <w:r>
              <w:rPr>
                <w:webHidden/>
                <w:rStyle w:val="IndexLink"/>
                <w:rtl w:val="true"/>
              </w:rPr>
              <w:t>هفتم</w:t>
            </w:r>
            <w:r>
              <w:rPr>
                <w:rStyle w:val="IndexLink"/>
                <w:rtl w:val="true"/>
              </w:rPr>
              <w:t>)</w:t>
            </w:r>
            <w:r>
              <w:rPr>
                <w:rStyle w:val="IndexLink"/>
                <w:rtl w:val="true"/>
              </w:rPr>
              <w:t>جمع‌بندی</w:t>
            </w:r>
            <w:r>
              <w:rPr>
                <w:rStyle w:val="IndexLink"/>
                <w:rtl w:val="true"/>
              </w:rPr>
              <w:tab/>
            </w:r>
            <w:r>
              <w:rPr>
                <w:rStyle w:val="IndexLink"/>
              </w:rPr>
              <w:t>41</w:t>
            </w:r>
          </w:hyperlink>
        </w:p>
        <w:p>
          <w:pPr>
            <w:pStyle w:val="Contents6"/>
            <w:tabs>
              <w:tab w:val="clear" w:pos="7609"/>
              <w:tab w:val="right" w:pos="9026" w:leader="dot"/>
            </w:tabs>
            <w:rPr/>
          </w:pPr>
          <w:hyperlink w:anchor="__RefHeading___Toc3419618_581953129">
            <w:r>
              <w:rPr>
                <w:webHidden/>
                <w:rStyle w:val="IndexLink"/>
                <w:rtl w:val="true"/>
              </w:rPr>
              <w:t>ب</w:t>
            </w:r>
            <w:r>
              <w:rPr>
                <w:rStyle w:val="IndexLink"/>
                <w:rtl w:val="true"/>
              </w:rPr>
              <w:t>)</w:t>
            </w:r>
            <w:r>
              <w:rPr>
                <w:rStyle w:val="IndexLink"/>
                <w:rtl w:val="true"/>
              </w:rPr>
              <w:t>حد در اصطلاح فقهی</w:t>
            </w:r>
            <w:r>
              <w:rPr>
                <w:rStyle w:val="IndexLink"/>
                <w:rtl w:val="true"/>
              </w:rPr>
              <w:tab/>
            </w:r>
            <w:r>
              <w:rPr>
                <w:rStyle w:val="IndexLink"/>
              </w:rPr>
              <w:t>44</w:t>
            </w:r>
          </w:hyperlink>
        </w:p>
        <w:p>
          <w:pPr>
            <w:pStyle w:val="Contents6"/>
            <w:tabs>
              <w:tab w:val="clear" w:pos="7609"/>
              <w:tab w:val="right" w:pos="9026" w:leader="dot"/>
            </w:tabs>
            <w:rPr/>
          </w:pPr>
          <w:hyperlink w:anchor="__RefHeading___Toc3419620_581953129">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3419622_581953129">
            <w:r>
              <w:rPr>
                <w:webHidden/>
                <w:rStyle w:val="IndexLink"/>
                <w:rtl w:val="true"/>
              </w:rPr>
              <w:t>یکم</w:t>
            </w:r>
            <w:r>
              <w:rPr>
                <w:rStyle w:val="IndexLink"/>
                <w:rtl w:val="true"/>
              </w:rPr>
              <w:t>)</w:t>
            </w:r>
            <w:r>
              <w:rPr>
                <w:rStyle w:val="IndexLink"/>
                <w:rtl w:val="true"/>
              </w:rPr>
              <w:t>فقهای شیعه</w:t>
            </w:r>
            <w:r>
              <w:rPr>
                <w:rStyle w:val="IndexLink"/>
                <w:rtl w:val="true"/>
              </w:rPr>
              <w:tab/>
            </w:r>
            <w:r>
              <w:rPr>
                <w:rStyle w:val="IndexLink"/>
              </w:rPr>
              <w:t>44</w:t>
            </w:r>
          </w:hyperlink>
        </w:p>
        <w:p>
          <w:pPr>
            <w:pStyle w:val="Contents6"/>
            <w:tabs>
              <w:tab w:val="clear" w:pos="7609"/>
              <w:tab w:val="right" w:pos="9026" w:leader="dot"/>
            </w:tabs>
            <w:rPr/>
          </w:pPr>
          <w:hyperlink w:anchor="__RefHeading___Toc3419624_581953129">
            <w:r>
              <w:rPr>
                <w:webHidden/>
                <w:rStyle w:val="IndexLink"/>
                <w:rtl w:val="true"/>
              </w:rPr>
              <w:t>دوم</w:t>
            </w:r>
            <w:r>
              <w:rPr>
                <w:rStyle w:val="IndexLink"/>
                <w:rtl w:val="true"/>
              </w:rPr>
              <w:t>)</w:t>
            </w:r>
            <w:r>
              <w:rPr>
                <w:rStyle w:val="IndexLink"/>
                <w:rtl w:val="true"/>
              </w:rPr>
              <w:t>فقهای اهل سنت</w:t>
            </w:r>
            <w:r>
              <w:rPr>
                <w:rStyle w:val="IndexLink"/>
                <w:rtl w:val="true"/>
              </w:rPr>
              <w:tab/>
            </w:r>
            <w:r>
              <w:rPr>
                <w:rStyle w:val="IndexLink"/>
              </w:rPr>
              <w:t>47</w:t>
            </w:r>
          </w:hyperlink>
        </w:p>
        <w:p>
          <w:pPr>
            <w:pStyle w:val="Contents5"/>
            <w:tabs>
              <w:tab w:val="clear" w:pos="7892"/>
              <w:tab w:val="right" w:pos="9026" w:leader="dot"/>
            </w:tabs>
            <w:rPr/>
          </w:pPr>
          <w:hyperlink w:anchor="__RefHeading___Toc3419626_581953129">
            <w:r>
              <w:rPr>
                <w:webHidden/>
                <w:rStyle w:val="IndexLink"/>
              </w:rPr>
              <w:t>3</w:t>
            </w:r>
            <w:r>
              <w:rPr>
                <w:rStyle w:val="IndexLink"/>
                <w:rtl w:val="true"/>
              </w:rPr>
              <w:t>-</w:t>
            </w:r>
            <w:r>
              <w:rPr>
                <w:rStyle w:val="IndexLink"/>
                <w:rtl w:val="true"/>
              </w:rPr>
              <w:t>انواع جرایم حدی</w:t>
            </w:r>
            <w:r>
              <w:rPr>
                <w:rStyle w:val="IndexLink"/>
                <w:rtl w:val="true"/>
              </w:rPr>
              <w:tab/>
            </w:r>
            <w:r>
              <w:rPr>
                <w:rStyle w:val="IndexLink"/>
              </w:rPr>
              <w:t>50</w:t>
            </w:r>
          </w:hyperlink>
        </w:p>
        <w:p>
          <w:pPr>
            <w:pStyle w:val="Contents6"/>
            <w:tabs>
              <w:tab w:val="clear" w:pos="7609"/>
              <w:tab w:val="right" w:pos="9026" w:leader="dot"/>
            </w:tabs>
            <w:rPr/>
          </w:pPr>
          <w:hyperlink w:anchor="__RefHeading___Toc3419628_581953129">
            <w:r>
              <w:rPr>
                <w:webHidden/>
                <w:rStyle w:val="IndexLink"/>
                <w:rtl w:val="true"/>
              </w:rPr>
              <w:t>الف</w:t>
            </w:r>
            <w:r>
              <w:rPr>
                <w:rStyle w:val="IndexLink"/>
                <w:rtl w:val="true"/>
              </w:rPr>
              <w:t>)</w:t>
            </w:r>
            <w:r>
              <w:rPr>
                <w:rStyle w:val="IndexLink"/>
                <w:rtl w:val="true"/>
              </w:rPr>
              <w:t>انواع جرایم حدی در فقه اهل سنت</w:t>
            </w:r>
            <w:r>
              <w:rPr>
                <w:rStyle w:val="IndexLink"/>
                <w:rtl w:val="true"/>
              </w:rPr>
              <w:tab/>
            </w:r>
            <w:r>
              <w:rPr>
                <w:rStyle w:val="IndexLink"/>
              </w:rPr>
              <w:t>50</w:t>
            </w:r>
          </w:hyperlink>
        </w:p>
        <w:p>
          <w:pPr>
            <w:pStyle w:val="Contents6"/>
            <w:tabs>
              <w:tab w:val="clear" w:pos="7609"/>
              <w:tab w:val="right" w:pos="9026" w:leader="dot"/>
            </w:tabs>
            <w:rPr/>
          </w:pPr>
          <w:hyperlink w:anchor="__RefHeading___Toc3419630_581953129">
            <w:r>
              <w:rPr>
                <w:webHidden/>
                <w:rStyle w:val="IndexLink"/>
                <w:rtl w:val="true"/>
              </w:rPr>
              <w:t>ب</w:t>
            </w:r>
            <w:r>
              <w:rPr>
                <w:rStyle w:val="IndexLink"/>
                <w:rtl w:val="true"/>
              </w:rPr>
              <w:t>)</w:t>
            </w:r>
            <w:r>
              <w:rPr>
                <w:rStyle w:val="IndexLink"/>
                <w:rtl w:val="true"/>
              </w:rPr>
              <w:t>انواع جرایم حدی در فقه شیعه</w:t>
            </w:r>
            <w:r>
              <w:rPr>
                <w:rStyle w:val="IndexLink"/>
                <w:rtl w:val="true"/>
              </w:rPr>
              <w:tab/>
            </w:r>
            <w:r>
              <w:rPr>
                <w:rStyle w:val="IndexLink"/>
              </w:rPr>
              <w:t>53</w:t>
            </w:r>
          </w:hyperlink>
        </w:p>
        <w:p>
          <w:pPr>
            <w:pStyle w:val="Contents4"/>
            <w:tabs>
              <w:tab w:val="clear" w:pos="8176"/>
              <w:tab w:val="right" w:pos="9026" w:leader="dot"/>
            </w:tabs>
            <w:rPr/>
          </w:pPr>
          <w:hyperlink w:anchor="__RefHeading___Toc3419632_581953129">
            <w:r>
              <w:rPr>
                <w:webHidden/>
                <w:rStyle w:val="IndexLink"/>
                <w:rtl w:val="true"/>
              </w:rPr>
              <w:t>تعزیر</w:t>
            </w:r>
            <w:r>
              <w:rPr>
                <w:rStyle w:val="IndexLink"/>
                <w:rtl w:val="true"/>
              </w:rPr>
              <w:tab/>
            </w:r>
            <w:r>
              <w:rPr>
                <w:rStyle w:val="IndexLink"/>
              </w:rPr>
              <w:t>55</w:t>
            </w:r>
          </w:hyperlink>
        </w:p>
        <w:p>
          <w:pPr>
            <w:pStyle w:val="Contents5"/>
            <w:tabs>
              <w:tab w:val="clear" w:pos="7892"/>
              <w:tab w:val="right" w:pos="9026" w:leader="dot"/>
            </w:tabs>
            <w:rPr/>
          </w:pPr>
          <w:hyperlink w:anchor="__RefHeading___Toc3419634_581953129">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3419636_581953129">
            <w:r>
              <w:rPr>
                <w:webHidden/>
                <w:rStyle w:val="IndexLink"/>
              </w:rPr>
              <w:t>1</w:t>
            </w:r>
            <w:r>
              <w:rPr>
                <w:rStyle w:val="IndexLink"/>
                <w:rtl w:val="true"/>
              </w:rPr>
              <w:t>-</w:t>
            </w:r>
            <w:r>
              <w:rPr>
                <w:rStyle w:val="IndexLink"/>
                <w:rtl w:val="true"/>
              </w:rPr>
              <w:t>واژه‌شناسی تعزیر</w:t>
            </w:r>
            <w:r>
              <w:rPr>
                <w:rStyle w:val="IndexLink"/>
                <w:rtl w:val="true"/>
              </w:rPr>
              <w:tab/>
            </w:r>
            <w:r>
              <w:rPr>
                <w:rStyle w:val="IndexLink"/>
              </w:rPr>
              <w:t>55</w:t>
            </w:r>
          </w:hyperlink>
        </w:p>
        <w:p>
          <w:pPr>
            <w:pStyle w:val="Contents5"/>
            <w:tabs>
              <w:tab w:val="clear" w:pos="7892"/>
              <w:tab w:val="right" w:pos="9026" w:leader="dot"/>
            </w:tabs>
            <w:rPr/>
          </w:pPr>
          <w:hyperlink w:anchor="__RefHeading___Toc3419638_581953129">
            <w:r>
              <w:rPr>
                <w:webHidden/>
                <w:rStyle w:val="IndexLink"/>
              </w:rPr>
              <w:t>2</w:t>
            </w:r>
            <w:r>
              <w:rPr>
                <w:rStyle w:val="IndexLink"/>
                <w:rtl w:val="true"/>
              </w:rPr>
              <w:t>-</w:t>
            </w:r>
            <w:r>
              <w:rPr>
                <w:rStyle w:val="IndexLink"/>
                <w:rtl w:val="true"/>
              </w:rPr>
              <w:t>اصطلاح‌شناسی تعزیر</w:t>
            </w:r>
            <w:r>
              <w:rPr>
                <w:rStyle w:val="IndexLink"/>
                <w:rtl w:val="true"/>
              </w:rPr>
              <w:tab/>
            </w:r>
            <w:r>
              <w:rPr>
                <w:rStyle w:val="IndexLink"/>
              </w:rPr>
              <w:t>57</w:t>
            </w:r>
          </w:hyperlink>
        </w:p>
        <w:p>
          <w:pPr>
            <w:pStyle w:val="Contents6"/>
            <w:tabs>
              <w:tab w:val="clear" w:pos="7609"/>
              <w:tab w:val="right" w:pos="9026" w:leader="dot"/>
            </w:tabs>
            <w:rPr/>
          </w:pPr>
          <w:hyperlink w:anchor="__RefHeading___Toc3419640_581953129">
            <w:r>
              <w:rPr>
                <w:webHidden/>
                <w:rStyle w:val="IndexLink"/>
                <w:rtl w:val="true"/>
              </w:rPr>
              <w:t>الف</w:t>
            </w:r>
            <w:r>
              <w:rPr>
                <w:rStyle w:val="IndexLink"/>
                <w:rtl w:val="true"/>
              </w:rPr>
              <w:t>)</w:t>
            </w:r>
            <w:r>
              <w:rPr>
                <w:rStyle w:val="IndexLink"/>
                <w:rtl w:val="true"/>
              </w:rPr>
              <w:t>تعزیر در متون دینی</w:t>
            </w:r>
            <w:r>
              <w:rPr>
                <w:rStyle w:val="IndexLink"/>
                <w:rtl w:val="true"/>
              </w:rPr>
              <w:tab/>
            </w:r>
            <w:r>
              <w:rPr>
                <w:rStyle w:val="IndexLink"/>
              </w:rPr>
              <w:t>57</w:t>
            </w:r>
          </w:hyperlink>
        </w:p>
        <w:p>
          <w:pPr>
            <w:pStyle w:val="Contents6"/>
            <w:tabs>
              <w:tab w:val="clear" w:pos="7609"/>
              <w:tab w:val="right" w:pos="9026" w:leader="dot"/>
            </w:tabs>
            <w:rPr/>
          </w:pPr>
          <w:hyperlink w:anchor="__RefHeading___Toc3419642_581953129">
            <w:r>
              <w:rPr>
                <w:webHidden/>
                <w:rStyle w:val="IndexLink"/>
                <w:rtl w:val="true"/>
              </w:rPr>
              <w:t>یکم</w:t>
            </w:r>
            <w:r>
              <w:rPr>
                <w:rStyle w:val="IndexLink"/>
                <w:rtl w:val="true"/>
              </w:rPr>
              <w:t>)</w:t>
            </w:r>
            <w:r>
              <w:rPr>
                <w:rStyle w:val="IndexLink"/>
                <w:rtl w:val="true"/>
              </w:rPr>
              <w:t>تعزیر در قرآن</w:t>
            </w:r>
            <w:r>
              <w:rPr>
                <w:rStyle w:val="IndexLink"/>
                <w:rtl w:val="true"/>
              </w:rPr>
              <w:tab/>
            </w:r>
            <w:r>
              <w:rPr>
                <w:rStyle w:val="IndexLink"/>
              </w:rPr>
              <w:t>57</w:t>
            </w:r>
          </w:hyperlink>
        </w:p>
        <w:p>
          <w:pPr>
            <w:pStyle w:val="Contents6"/>
            <w:tabs>
              <w:tab w:val="clear" w:pos="7609"/>
              <w:tab w:val="right" w:pos="9026" w:leader="dot"/>
            </w:tabs>
            <w:rPr/>
          </w:pPr>
          <w:hyperlink w:anchor="__RefHeading___Toc3419644_581953129">
            <w:r>
              <w:rPr>
                <w:webHidden/>
                <w:rStyle w:val="IndexLink"/>
                <w:rtl w:val="true"/>
              </w:rPr>
              <w:t>دوم</w:t>
            </w:r>
            <w:r>
              <w:rPr>
                <w:rStyle w:val="IndexLink"/>
                <w:rtl w:val="true"/>
              </w:rPr>
              <w:t>)</w:t>
            </w:r>
            <w:r>
              <w:rPr>
                <w:rStyle w:val="IndexLink"/>
                <w:rtl w:val="true"/>
              </w:rPr>
              <w:t>تعزیر در روایات</w:t>
            </w:r>
            <w:r>
              <w:rPr>
                <w:rStyle w:val="IndexLink"/>
                <w:rtl w:val="true"/>
              </w:rPr>
              <w:tab/>
            </w:r>
            <w:r>
              <w:rPr>
                <w:rStyle w:val="IndexLink"/>
              </w:rPr>
              <w:t>58</w:t>
            </w:r>
          </w:hyperlink>
        </w:p>
        <w:p>
          <w:pPr>
            <w:pStyle w:val="Contents6"/>
            <w:tabs>
              <w:tab w:val="clear" w:pos="7609"/>
              <w:tab w:val="right" w:pos="9026" w:leader="dot"/>
            </w:tabs>
            <w:rPr/>
          </w:pPr>
          <w:hyperlink w:anchor="__RefHeading___Toc3419646_581953129">
            <w:r>
              <w:rPr>
                <w:webHidden/>
                <w:rStyle w:val="IndexLink"/>
                <w:rtl w:val="true"/>
              </w:rPr>
              <w:t>ب</w:t>
            </w:r>
            <w:r>
              <w:rPr>
                <w:rStyle w:val="IndexLink"/>
                <w:rtl w:val="true"/>
              </w:rPr>
              <w:t>)</w:t>
            </w:r>
            <w:r>
              <w:rPr>
                <w:rStyle w:val="IndexLink"/>
                <w:rtl w:val="true"/>
              </w:rPr>
              <w:t>تعزیر در اصطلاح فقهی</w:t>
            </w:r>
            <w:r>
              <w:rPr>
                <w:rStyle w:val="IndexLink"/>
                <w:rtl w:val="true"/>
              </w:rPr>
              <w:tab/>
            </w:r>
            <w:r>
              <w:rPr>
                <w:rStyle w:val="IndexLink"/>
              </w:rPr>
              <w:t>60</w:t>
            </w:r>
          </w:hyperlink>
        </w:p>
        <w:p>
          <w:pPr>
            <w:pStyle w:val="Contents6"/>
            <w:tabs>
              <w:tab w:val="clear" w:pos="7609"/>
              <w:tab w:val="right" w:pos="9026" w:leader="dot"/>
            </w:tabs>
            <w:rPr/>
          </w:pPr>
          <w:hyperlink w:anchor="__RefHeading___Toc3419648_581953129">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3419650_581953129">
            <w:r>
              <w:rPr>
                <w:webHidden/>
                <w:rStyle w:val="IndexLink"/>
                <w:rtl w:val="true"/>
              </w:rPr>
              <w:t>یکم</w:t>
            </w:r>
            <w:r>
              <w:rPr>
                <w:rStyle w:val="IndexLink"/>
                <w:rtl w:val="true"/>
              </w:rPr>
              <w:t>)</w:t>
            </w:r>
            <w:r>
              <w:rPr>
                <w:rStyle w:val="IndexLink"/>
                <w:rtl w:val="true"/>
              </w:rPr>
              <w:t>فقهای شیعه</w:t>
            </w:r>
            <w:r>
              <w:rPr>
                <w:rStyle w:val="IndexLink"/>
                <w:rtl w:val="true"/>
              </w:rPr>
              <w:tab/>
            </w:r>
            <w:r>
              <w:rPr>
                <w:rStyle w:val="IndexLink"/>
              </w:rPr>
              <w:t>60</w:t>
            </w:r>
          </w:hyperlink>
        </w:p>
        <w:p>
          <w:pPr>
            <w:pStyle w:val="Contents6"/>
            <w:tabs>
              <w:tab w:val="clear" w:pos="7609"/>
              <w:tab w:val="right" w:pos="9026" w:leader="dot"/>
            </w:tabs>
            <w:rPr/>
          </w:pPr>
          <w:hyperlink w:anchor="__RefHeading___Toc3419652_581953129">
            <w:r>
              <w:rPr>
                <w:webHidden/>
                <w:rStyle w:val="IndexLink"/>
                <w:rtl w:val="true"/>
              </w:rPr>
              <w:t>دوم</w:t>
            </w:r>
            <w:r>
              <w:rPr>
                <w:rStyle w:val="IndexLink"/>
                <w:rtl w:val="true"/>
              </w:rPr>
              <w:t>)</w:t>
            </w:r>
            <w:r>
              <w:rPr>
                <w:rStyle w:val="IndexLink"/>
                <w:rtl w:val="true"/>
              </w:rPr>
              <w:t>فقهای اهل سنت</w:t>
            </w:r>
            <w:r>
              <w:rPr>
                <w:rStyle w:val="IndexLink"/>
                <w:rtl w:val="true"/>
              </w:rPr>
              <w:tab/>
            </w:r>
            <w:r>
              <w:rPr>
                <w:rStyle w:val="IndexLink"/>
              </w:rPr>
              <w:t>61</w:t>
            </w:r>
          </w:hyperlink>
        </w:p>
        <w:p>
          <w:pPr>
            <w:pStyle w:val="Contents5"/>
            <w:tabs>
              <w:tab w:val="clear" w:pos="7892"/>
              <w:tab w:val="right" w:pos="9026" w:leader="dot"/>
            </w:tabs>
            <w:rPr/>
          </w:pPr>
          <w:hyperlink w:anchor="__RefHeading___Toc3419654_581953129">
            <w:r>
              <w:rPr>
                <w:webHidden/>
                <w:rStyle w:val="IndexLink"/>
              </w:rPr>
              <w:t>3</w:t>
            </w:r>
            <w:r>
              <w:rPr>
                <w:rStyle w:val="IndexLink"/>
                <w:rtl w:val="true"/>
              </w:rPr>
              <w:t>-</w:t>
            </w:r>
            <w:r>
              <w:rPr>
                <w:rStyle w:val="IndexLink"/>
                <w:rtl w:val="true"/>
              </w:rPr>
              <w:t>تفاوت‌های حدود و تعزیرات</w:t>
            </w:r>
            <w:r>
              <w:rPr>
                <w:rStyle w:val="IndexLink"/>
                <w:rtl w:val="true"/>
              </w:rPr>
              <w:tab/>
            </w:r>
            <w:r>
              <w:rPr>
                <w:rStyle w:val="IndexLink"/>
              </w:rPr>
              <w:t>61</w:t>
            </w:r>
          </w:hyperlink>
        </w:p>
        <w:p>
          <w:pPr>
            <w:pStyle w:val="Contents6"/>
            <w:tabs>
              <w:tab w:val="clear" w:pos="7609"/>
              <w:tab w:val="right" w:pos="9026" w:leader="dot"/>
            </w:tabs>
            <w:rPr/>
          </w:pPr>
          <w:hyperlink w:anchor="__RefHeading___Toc3419656_581953129">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3419658_581953129">
            <w:r>
              <w:rPr>
                <w:webHidden/>
                <w:rStyle w:val="IndexLink"/>
                <w:rtl w:val="true"/>
              </w:rPr>
              <w:t>الف</w:t>
            </w:r>
            <w:r>
              <w:rPr>
                <w:rStyle w:val="IndexLink"/>
                <w:rtl w:val="true"/>
              </w:rPr>
              <w:t>)</w:t>
            </w:r>
            <w:r>
              <w:rPr>
                <w:rStyle w:val="IndexLink"/>
                <w:rtl w:val="true"/>
              </w:rPr>
              <w:t>به لحاظ ویژگی‌های کمّی و کیفی</w:t>
            </w:r>
            <w:r>
              <w:rPr>
                <w:rStyle w:val="IndexLink"/>
                <w:rtl w:val="true"/>
              </w:rPr>
              <w:tab/>
            </w:r>
            <w:r>
              <w:rPr>
                <w:rStyle w:val="IndexLink"/>
              </w:rPr>
              <w:t>61</w:t>
            </w:r>
          </w:hyperlink>
        </w:p>
        <w:p>
          <w:pPr>
            <w:pStyle w:val="Contents6"/>
            <w:tabs>
              <w:tab w:val="clear" w:pos="7609"/>
              <w:tab w:val="right" w:pos="9026" w:leader="dot"/>
            </w:tabs>
            <w:rPr/>
          </w:pPr>
          <w:hyperlink w:anchor="__RefHeading___Toc3419660_581953129">
            <w:r>
              <w:rPr>
                <w:webHidden/>
                <w:rStyle w:val="IndexLink"/>
                <w:rtl w:val="true"/>
              </w:rPr>
              <w:t>ب</w:t>
            </w:r>
            <w:r>
              <w:rPr>
                <w:rStyle w:val="IndexLink"/>
                <w:rtl w:val="true"/>
              </w:rPr>
              <w:t>)</w:t>
            </w:r>
            <w:r>
              <w:rPr>
                <w:rStyle w:val="IndexLink"/>
                <w:rtl w:val="true"/>
              </w:rPr>
              <w:t>به لحاظ موضوع،نوع عقوبت و میزان مجازات</w:t>
            </w:r>
            <w:r>
              <w:rPr>
                <w:rStyle w:val="IndexLink"/>
                <w:rtl w:val="true"/>
              </w:rPr>
              <w:tab/>
            </w:r>
            <w:r>
              <w:rPr>
                <w:rStyle w:val="IndexLink"/>
              </w:rPr>
              <w:t>63</w:t>
            </w:r>
          </w:hyperlink>
        </w:p>
        <w:p>
          <w:pPr>
            <w:pStyle w:val="Contents5"/>
            <w:tabs>
              <w:tab w:val="clear" w:pos="7892"/>
              <w:tab w:val="right" w:pos="9026" w:leader="dot"/>
            </w:tabs>
            <w:rPr/>
          </w:pPr>
          <w:hyperlink w:anchor="__RefHeading___Toc3419662_581953129">
            <w:r>
              <w:rPr>
                <w:webHidden/>
                <w:rStyle w:val="IndexLink"/>
              </w:rPr>
              <w:t>4</w:t>
            </w:r>
            <w:r>
              <w:rPr>
                <w:rStyle w:val="IndexLink"/>
                <w:rtl w:val="true"/>
              </w:rPr>
              <w:t>-</w:t>
            </w:r>
            <w:r>
              <w:rPr>
                <w:rStyle w:val="IndexLink"/>
                <w:rtl w:val="true"/>
              </w:rPr>
              <w:t>موجبات فقهی اعمال تعزیر</w:t>
            </w:r>
            <w:r>
              <w:rPr>
                <w:rStyle w:val="IndexLink"/>
                <w:rtl w:val="true"/>
              </w:rPr>
              <w:tab/>
            </w:r>
            <w:r>
              <w:rPr>
                <w:rStyle w:val="IndexLink"/>
              </w:rPr>
              <w:t>64</w:t>
            </w:r>
          </w:hyperlink>
        </w:p>
        <w:p>
          <w:pPr>
            <w:pStyle w:val="Contents6"/>
            <w:tabs>
              <w:tab w:val="clear" w:pos="7609"/>
              <w:tab w:val="right" w:pos="9026" w:leader="dot"/>
            </w:tabs>
            <w:rPr/>
          </w:pPr>
          <w:hyperlink w:anchor="__RefHeading___Toc3419664_581953129">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3419666_581953129">
            <w:r>
              <w:rPr>
                <w:webHidden/>
                <w:rStyle w:val="IndexLink"/>
                <w:rtl w:val="true"/>
              </w:rPr>
              <w:t>الف</w:t>
            </w:r>
            <w:r>
              <w:rPr>
                <w:rStyle w:val="IndexLink"/>
                <w:rtl w:val="true"/>
              </w:rPr>
              <w:t>)</w:t>
            </w:r>
            <w:r>
              <w:rPr>
                <w:rStyle w:val="IndexLink"/>
                <w:rtl w:val="true"/>
              </w:rPr>
              <w:t>ارتکاب معصیت</w:t>
            </w:r>
            <w:r>
              <w:rPr>
                <w:rStyle w:val="IndexLink"/>
                <w:rtl w:val="true"/>
              </w:rPr>
              <w:tab/>
            </w:r>
            <w:r>
              <w:rPr>
                <w:rStyle w:val="IndexLink"/>
              </w:rPr>
              <w:t>64</w:t>
            </w:r>
          </w:hyperlink>
        </w:p>
        <w:p>
          <w:pPr>
            <w:pStyle w:val="Contents6"/>
            <w:tabs>
              <w:tab w:val="clear" w:pos="7609"/>
              <w:tab w:val="right" w:pos="9026" w:leader="dot"/>
            </w:tabs>
            <w:rPr/>
          </w:pPr>
          <w:hyperlink w:anchor="__RefHeading___Toc3419668_581953129">
            <w:r>
              <w:rPr>
                <w:webHidden/>
                <w:rStyle w:val="IndexLink"/>
                <w:rtl w:val="true"/>
              </w:rPr>
              <w:t>یکم</w:t>
            </w:r>
            <w:r>
              <w:rPr>
                <w:rStyle w:val="IndexLink"/>
                <w:rtl w:val="true"/>
              </w:rPr>
              <w:t>)</w:t>
            </w:r>
            <w:r>
              <w:rPr>
                <w:rStyle w:val="IndexLink"/>
                <w:rtl w:val="true"/>
              </w:rPr>
              <w:t>موارد خاص در روایت</w:t>
            </w:r>
            <w:r>
              <w:rPr>
                <w:rStyle w:val="IndexLink"/>
                <w:rtl w:val="true"/>
              </w:rPr>
              <w:tab/>
            </w:r>
            <w:r>
              <w:rPr>
                <w:rStyle w:val="IndexLink"/>
              </w:rPr>
              <w:t>64</w:t>
            </w:r>
          </w:hyperlink>
        </w:p>
        <w:p>
          <w:pPr>
            <w:pStyle w:val="Contents6"/>
            <w:tabs>
              <w:tab w:val="clear" w:pos="7609"/>
              <w:tab w:val="right" w:pos="9026" w:leader="dot"/>
            </w:tabs>
            <w:rPr/>
          </w:pPr>
          <w:hyperlink w:anchor="__RefHeading___Toc3419670_581953129">
            <w:r>
              <w:rPr>
                <w:webHidden/>
                <w:rStyle w:val="IndexLink"/>
                <w:rtl w:val="true"/>
              </w:rPr>
              <w:t>دوم</w:t>
            </w:r>
            <w:r>
              <w:rPr>
                <w:rStyle w:val="IndexLink"/>
                <w:rtl w:val="true"/>
              </w:rPr>
              <w:t>)</w:t>
            </w:r>
            <w:r>
              <w:rPr>
                <w:rStyle w:val="IndexLink"/>
                <w:rtl w:val="true"/>
              </w:rPr>
              <w:t>فقدان شرایط اقامه حد</w:t>
            </w:r>
            <w:r>
              <w:rPr>
                <w:rStyle w:val="IndexLink"/>
                <w:rtl w:val="true"/>
              </w:rPr>
              <w:tab/>
            </w:r>
            <w:r>
              <w:rPr>
                <w:rStyle w:val="IndexLink"/>
              </w:rPr>
              <w:t>66</w:t>
            </w:r>
          </w:hyperlink>
        </w:p>
        <w:p>
          <w:pPr>
            <w:pStyle w:val="Contents6"/>
            <w:tabs>
              <w:tab w:val="clear" w:pos="7609"/>
              <w:tab w:val="right" w:pos="9026" w:leader="dot"/>
            </w:tabs>
            <w:rPr/>
          </w:pPr>
          <w:hyperlink w:anchor="__RefHeading___Toc3419672_581953129">
            <w:r>
              <w:rPr>
                <w:webHidden/>
                <w:rStyle w:val="IndexLink"/>
                <w:rtl w:val="true"/>
              </w:rPr>
              <w:t>سوم</w:t>
            </w:r>
            <w:r>
              <w:rPr>
                <w:rStyle w:val="IndexLink"/>
                <w:rtl w:val="true"/>
              </w:rPr>
              <w:t>)</w:t>
            </w:r>
            <w:r>
              <w:rPr>
                <w:rStyle w:val="IndexLink"/>
                <w:rtl w:val="true"/>
              </w:rPr>
              <w:t>گناهانی که حد معین ندارد</w:t>
            </w:r>
            <w:r>
              <w:rPr>
                <w:rStyle w:val="IndexLink"/>
                <w:rtl w:val="true"/>
              </w:rPr>
              <w:tab/>
            </w:r>
            <w:r>
              <w:rPr>
                <w:rStyle w:val="IndexLink"/>
              </w:rPr>
              <w:t>66</w:t>
            </w:r>
          </w:hyperlink>
        </w:p>
        <w:p>
          <w:pPr>
            <w:pStyle w:val="Contents6"/>
            <w:tabs>
              <w:tab w:val="clear" w:pos="7609"/>
              <w:tab w:val="right" w:pos="9026" w:leader="dot"/>
            </w:tabs>
            <w:rPr/>
          </w:pPr>
          <w:hyperlink w:anchor="__RefHeading___Toc3419674_581953129">
            <w:r>
              <w:rPr>
                <w:webHidden/>
                <w:rStyle w:val="IndexLink"/>
                <w:rtl w:val="true"/>
              </w:rPr>
              <w:t>چهارم</w:t>
            </w:r>
            <w:r>
              <w:rPr>
                <w:rStyle w:val="IndexLink"/>
                <w:rtl w:val="true"/>
              </w:rPr>
              <w:t>)</w:t>
            </w:r>
            <w:r>
              <w:rPr>
                <w:rStyle w:val="IndexLink"/>
                <w:rtl w:val="true"/>
              </w:rPr>
              <w:t>ارتکاب گناهان کبیره</w:t>
            </w:r>
            <w:r>
              <w:rPr>
                <w:rStyle w:val="IndexLink"/>
                <w:rtl w:val="true"/>
              </w:rPr>
              <w:tab/>
            </w:r>
            <w:r>
              <w:rPr>
                <w:rStyle w:val="IndexLink"/>
              </w:rPr>
              <w:t>69</w:t>
            </w:r>
          </w:hyperlink>
        </w:p>
        <w:p>
          <w:pPr>
            <w:pStyle w:val="Contents6"/>
            <w:tabs>
              <w:tab w:val="clear" w:pos="7609"/>
              <w:tab w:val="right" w:pos="9026" w:leader="dot"/>
            </w:tabs>
            <w:rPr/>
          </w:pPr>
          <w:hyperlink w:anchor="__RefHeading___Toc3419676_581953129">
            <w:r>
              <w:rPr>
                <w:webHidden/>
                <w:rStyle w:val="IndexLink"/>
                <w:rtl w:val="true"/>
              </w:rPr>
              <w:t>پنجم</w:t>
            </w:r>
            <w:r>
              <w:rPr>
                <w:rStyle w:val="IndexLink"/>
                <w:rtl w:val="true"/>
              </w:rPr>
              <w:t>)</w:t>
            </w:r>
            <w:r>
              <w:rPr>
                <w:rStyle w:val="IndexLink"/>
                <w:rtl w:val="true"/>
              </w:rPr>
              <w:t>کیفر مکمل در جرایم حدی</w:t>
            </w:r>
            <w:r>
              <w:rPr>
                <w:rStyle w:val="IndexLink"/>
                <w:rtl w:val="true"/>
              </w:rPr>
              <w:tab/>
            </w:r>
            <w:r>
              <w:rPr>
                <w:rStyle w:val="IndexLink"/>
              </w:rPr>
              <w:t>69</w:t>
            </w:r>
          </w:hyperlink>
        </w:p>
        <w:p>
          <w:pPr>
            <w:pStyle w:val="Contents6"/>
            <w:tabs>
              <w:tab w:val="clear" w:pos="7609"/>
              <w:tab w:val="right" w:pos="9026" w:leader="dot"/>
            </w:tabs>
            <w:rPr/>
          </w:pPr>
          <w:hyperlink w:anchor="__RefHeading___Toc3419678_581953129">
            <w:r>
              <w:rPr>
                <w:webHidden/>
                <w:rStyle w:val="IndexLink"/>
                <w:rtl w:val="true"/>
              </w:rPr>
              <w:t>ب</w:t>
            </w:r>
            <w:r>
              <w:rPr>
                <w:rStyle w:val="IndexLink"/>
                <w:rtl w:val="true"/>
              </w:rPr>
              <w:t>)</w:t>
            </w:r>
            <w:r>
              <w:rPr>
                <w:rStyle w:val="IndexLink"/>
                <w:rtl w:val="true"/>
              </w:rPr>
              <w:t>اخلال در واجب</w:t>
            </w:r>
            <w:r>
              <w:rPr>
                <w:rStyle w:val="IndexLink"/>
                <w:rtl w:val="true"/>
              </w:rPr>
              <w:tab/>
            </w:r>
            <w:r>
              <w:rPr>
                <w:rStyle w:val="IndexLink"/>
              </w:rPr>
              <w:t>70</w:t>
            </w:r>
          </w:hyperlink>
        </w:p>
        <w:p>
          <w:pPr>
            <w:pStyle w:val="Contents6"/>
            <w:tabs>
              <w:tab w:val="clear" w:pos="7609"/>
              <w:tab w:val="right" w:pos="9026" w:leader="dot"/>
            </w:tabs>
            <w:rPr/>
          </w:pPr>
          <w:hyperlink w:anchor="__RefHeading___Toc3419680_581953129">
            <w:r>
              <w:rPr>
                <w:webHidden/>
                <w:rStyle w:val="IndexLink"/>
                <w:rtl w:val="true"/>
              </w:rPr>
              <w:t>ج</w:t>
            </w:r>
            <w:r>
              <w:rPr>
                <w:rStyle w:val="IndexLink"/>
                <w:rtl w:val="true"/>
              </w:rPr>
              <w:t>)</w:t>
            </w:r>
            <w:r>
              <w:rPr>
                <w:rStyle w:val="IndexLink"/>
                <w:rtl w:val="true"/>
              </w:rPr>
              <w:t>رفتار مفسده انگیز و خلاف مصالح عمومی</w:t>
            </w:r>
            <w:r>
              <w:rPr>
                <w:rStyle w:val="IndexLink"/>
                <w:rtl w:val="true"/>
              </w:rPr>
              <w:tab/>
            </w:r>
            <w:r>
              <w:rPr>
                <w:rStyle w:val="IndexLink"/>
              </w:rPr>
              <w:t>71</w:t>
            </w:r>
          </w:hyperlink>
        </w:p>
        <w:p>
          <w:pPr>
            <w:pStyle w:val="Contents4"/>
            <w:tabs>
              <w:tab w:val="clear" w:pos="8176"/>
              <w:tab w:val="right" w:pos="9026" w:leader="dot"/>
            </w:tabs>
            <w:rPr/>
          </w:pPr>
          <w:hyperlink w:anchor="__RefHeading___Toc3419682_581953129">
            <w:r>
              <w:rPr>
                <w:webHidden/>
                <w:rStyle w:val="IndexLink"/>
                <w:rtl w:val="true"/>
              </w:rPr>
              <w:t>مشروعیت</w:t>
            </w:r>
            <w:r>
              <w:rPr>
                <w:rStyle w:val="IndexLink"/>
                <w:rtl w:val="true"/>
              </w:rPr>
              <w:tab/>
            </w:r>
            <w:r>
              <w:rPr>
                <w:rStyle w:val="IndexLink"/>
              </w:rPr>
              <w:t>73</w:t>
            </w:r>
          </w:hyperlink>
        </w:p>
        <w:p>
          <w:pPr>
            <w:pStyle w:val="Contents5"/>
            <w:tabs>
              <w:tab w:val="clear" w:pos="7892"/>
              <w:tab w:val="right" w:pos="9026" w:leader="dot"/>
            </w:tabs>
            <w:rPr/>
          </w:pPr>
          <w:hyperlink w:anchor="__RefHeading___Toc3419684_581953129">
            <w:r>
              <w:rPr>
                <w:webHidden/>
                <w:rStyle w:val="IndexLink"/>
              </w:rPr>
              <w:t>1</w:t>
            </w:r>
            <w:r>
              <w:rPr>
                <w:rStyle w:val="IndexLink"/>
                <w:rtl w:val="true"/>
              </w:rPr>
              <w:t>-</w:t>
            </w:r>
            <w:r>
              <w:rPr>
                <w:rStyle w:val="IndexLink"/>
                <w:rtl w:val="true"/>
              </w:rPr>
              <w:t>واژه‌شناسی مشروعیت</w:t>
            </w:r>
            <w:r>
              <w:rPr>
                <w:rStyle w:val="IndexLink"/>
                <w:rtl w:val="true"/>
              </w:rPr>
              <w:tab/>
            </w:r>
            <w:r>
              <w:rPr>
                <w:rStyle w:val="IndexLink"/>
              </w:rPr>
              <w:t>73</w:t>
            </w:r>
          </w:hyperlink>
        </w:p>
        <w:p>
          <w:pPr>
            <w:pStyle w:val="Contents5"/>
            <w:tabs>
              <w:tab w:val="clear" w:pos="7892"/>
              <w:tab w:val="right" w:pos="9026" w:leader="dot"/>
            </w:tabs>
            <w:rPr/>
          </w:pPr>
          <w:hyperlink w:anchor="__RefHeading___Toc3419686_581953129">
            <w:r>
              <w:rPr>
                <w:webHidden/>
                <w:rStyle w:val="IndexLink"/>
              </w:rPr>
              <w:t>2</w:t>
            </w:r>
            <w:r>
              <w:rPr>
                <w:rStyle w:val="IndexLink"/>
                <w:rtl w:val="true"/>
              </w:rPr>
              <w:t>-</w:t>
            </w:r>
            <w:r>
              <w:rPr>
                <w:rStyle w:val="IndexLink"/>
                <w:rtl w:val="true"/>
              </w:rPr>
              <w:t>اصطلاح‌شناسی مشروعیت</w:t>
            </w:r>
            <w:r>
              <w:rPr>
                <w:rStyle w:val="IndexLink"/>
                <w:rtl w:val="true"/>
              </w:rPr>
              <w:tab/>
            </w:r>
            <w:r>
              <w:rPr>
                <w:rStyle w:val="IndexLink"/>
              </w:rPr>
              <w:t>73</w:t>
            </w:r>
          </w:hyperlink>
        </w:p>
        <w:p>
          <w:pPr>
            <w:pStyle w:val="Contents6"/>
            <w:tabs>
              <w:tab w:val="clear" w:pos="7609"/>
              <w:tab w:val="right" w:pos="9026" w:leader="dot"/>
            </w:tabs>
            <w:rPr/>
          </w:pPr>
          <w:hyperlink w:anchor="__RefHeading___Toc3419688_581953129">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3419690_581953129">
            <w:r>
              <w:rPr>
                <w:webHidden/>
                <w:rStyle w:val="IndexLink"/>
                <w:rtl w:val="true"/>
              </w:rPr>
              <w:t>الف</w:t>
            </w:r>
            <w:r>
              <w:rPr>
                <w:rStyle w:val="IndexLink"/>
                <w:rtl w:val="true"/>
              </w:rPr>
              <w:t>)</w:t>
            </w:r>
            <w:r>
              <w:rPr>
                <w:rStyle w:val="IndexLink"/>
                <w:rtl w:val="true"/>
              </w:rPr>
              <w:t>مشروعیت در فصل مجوّزان</w:t>
            </w:r>
            <w:r>
              <w:rPr>
                <w:rStyle w:val="IndexLink"/>
                <w:rtl w:val="true"/>
              </w:rPr>
              <w:tab/>
            </w:r>
            <w:r>
              <w:rPr>
                <w:rStyle w:val="IndexLink"/>
              </w:rPr>
              <w:t>74</w:t>
            </w:r>
          </w:hyperlink>
        </w:p>
        <w:p>
          <w:pPr>
            <w:pStyle w:val="Contents6"/>
            <w:tabs>
              <w:tab w:val="clear" w:pos="7609"/>
              <w:tab w:val="right" w:pos="9026" w:leader="dot"/>
            </w:tabs>
            <w:rPr/>
          </w:pPr>
          <w:hyperlink w:anchor="__RefHeading___Toc3419692_581953129">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3419694_581953129">
            <w:r>
              <w:rPr>
                <w:webHidden/>
                <w:rStyle w:val="IndexLink"/>
                <w:rtl w:val="true"/>
              </w:rPr>
              <w:t>یکم</w:t>
            </w:r>
            <w:r>
              <w:rPr>
                <w:rStyle w:val="IndexLink"/>
                <w:rtl w:val="true"/>
              </w:rPr>
              <w:t>)</w:t>
            </w:r>
            <w:r>
              <w:rPr>
                <w:rStyle w:val="IndexLink"/>
                <w:rtl w:val="true"/>
              </w:rPr>
              <w:t>نراقی</w:t>
            </w:r>
            <w:r>
              <w:rPr>
                <w:rStyle w:val="IndexLink"/>
                <w:rtl w:val="true"/>
              </w:rPr>
              <w:tab/>
            </w:r>
            <w:r>
              <w:rPr>
                <w:rStyle w:val="IndexLink"/>
              </w:rPr>
              <w:t>74</w:t>
            </w:r>
          </w:hyperlink>
        </w:p>
        <w:p>
          <w:pPr>
            <w:pStyle w:val="Contents6"/>
            <w:tabs>
              <w:tab w:val="clear" w:pos="7609"/>
              <w:tab w:val="right" w:pos="9026" w:leader="dot"/>
            </w:tabs>
            <w:rPr/>
          </w:pPr>
          <w:hyperlink w:anchor="__RefHeading___Toc3419696_581953129">
            <w:r>
              <w:rPr>
                <w:webHidden/>
                <w:rStyle w:val="IndexLink"/>
                <w:rtl w:val="true"/>
              </w:rPr>
              <w:t>دوم</w:t>
            </w:r>
            <w:r>
              <w:rPr>
                <w:rStyle w:val="IndexLink"/>
                <w:rtl w:val="true"/>
              </w:rPr>
              <w:t>)</w:t>
            </w:r>
            <w:r>
              <w:rPr>
                <w:rStyle w:val="IndexLink"/>
                <w:rtl w:val="true"/>
              </w:rPr>
              <w:t>صاحب جواهر</w:t>
            </w:r>
            <w:r>
              <w:rPr>
                <w:rStyle w:val="IndexLink"/>
                <w:rtl w:val="true"/>
              </w:rPr>
              <w:tab/>
            </w:r>
            <w:r>
              <w:rPr>
                <w:rStyle w:val="IndexLink"/>
              </w:rPr>
              <w:t>75</w:t>
            </w:r>
          </w:hyperlink>
        </w:p>
        <w:p>
          <w:pPr>
            <w:pStyle w:val="Contents6"/>
            <w:tabs>
              <w:tab w:val="clear" w:pos="7609"/>
              <w:tab w:val="right" w:pos="9026" w:leader="dot"/>
            </w:tabs>
            <w:rPr/>
          </w:pPr>
          <w:hyperlink w:anchor="__RefHeading___Toc3419698_581953129">
            <w:r>
              <w:rPr>
                <w:webHidden/>
                <w:rStyle w:val="IndexLink"/>
                <w:rtl w:val="true"/>
              </w:rPr>
              <w:t>ب</w:t>
            </w:r>
            <w:r>
              <w:rPr>
                <w:rStyle w:val="IndexLink"/>
                <w:rtl w:val="true"/>
              </w:rPr>
              <w:t>)</w:t>
            </w:r>
            <w:r>
              <w:rPr>
                <w:rStyle w:val="IndexLink"/>
                <w:rtl w:val="true"/>
              </w:rPr>
              <w:t>مشروعیت در کلام مانعان</w:t>
            </w:r>
            <w:r>
              <w:rPr>
                <w:rStyle w:val="IndexLink"/>
                <w:rtl w:val="true"/>
              </w:rPr>
              <w:tab/>
            </w:r>
            <w:r>
              <w:rPr>
                <w:rStyle w:val="IndexLink"/>
              </w:rPr>
              <w:t>76</w:t>
            </w:r>
          </w:hyperlink>
        </w:p>
        <w:p>
          <w:pPr>
            <w:pStyle w:val="Contents4"/>
            <w:tabs>
              <w:tab w:val="clear" w:pos="8176"/>
              <w:tab w:val="right" w:pos="9026" w:leader="dot"/>
            </w:tabs>
            <w:rPr/>
          </w:pPr>
          <w:hyperlink w:anchor="__RefHeading___Toc3419700_581953129">
            <w:r>
              <w:rPr>
                <w:webHidden/>
                <w:rStyle w:val="IndexLink"/>
                <w:rtl w:val="true"/>
              </w:rPr>
              <w:t>عصر غیبت</w:t>
            </w:r>
            <w:r>
              <w:rPr>
                <w:rStyle w:val="IndexLink"/>
                <w:rtl w:val="true"/>
              </w:rPr>
              <w:tab/>
            </w:r>
            <w:r>
              <w:rPr>
                <w:rStyle w:val="IndexLink"/>
              </w:rPr>
              <w:t>76</w:t>
            </w:r>
          </w:hyperlink>
        </w:p>
        <w:p>
          <w:pPr>
            <w:pStyle w:val="Contents5"/>
            <w:tabs>
              <w:tab w:val="clear" w:pos="7892"/>
              <w:tab w:val="right" w:pos="9026" w:leader="dot"/>
            </w:tabs>
            <w:rPr/>
          </w:pPr>
          <w:hyperlink w:anchor="__RefHeading___Toc3419702_581953129">
            <w:r>
              <w:rPr>
                <w:webHidden/>
                <w:rStyle w:val="IndexLink"/>
              </w:rPr>
              <w:t>1</w:t>
            </w:r>
            <w:r>
              <w:rPr>
                <w:rStyle w:val="IndexLink"/>
                <w:rtl w:val="true"/>
              </w:rPr>
              <w:t>-</w:t>
            </w:r>
            <w:r>
              <w:rPr>
                <w:rStyle w:val="IndexLink"/>
                <w:rtl w:val="true"/>
              </w:rPr>
              <w:t>واژه‌شناسی غیبت</w:t>
            </w:r>
            <w:r>
              <w:rPr>
                <w:rStyle w:val="IndexLink"/>
                <w:rtl w:val="true"/>
              </w:rPr>
              <w:tab/>
            </w:r>
            <w:r>
              <w:rPr>
                <w:rStyle w:val="IndexLink"/>
              </w:rPr>
              <w:t>76</w:t>
            </w:r>
          </w:hyperlink>
        </w:p>
        <w:p>
          <w:pPr>
            <w:pStyle w:val="Contents5"/>
            <w:tabs>
              <w:tab w:val="clear" w:pos="7892"/>
              <w:tab w:val="right" w:pos="9026" w:leader="dot"/>
            </w:tabs>
            <w:rPr/>
          </w:pPr>
          <w:hyperlink w:anchor="__RefHeading___Toc3419704_581953129">
            <w:r>
              <w:rPr>
                <w:webHidden/>
                <w:rStyle w:val="IndexLink"/>
              </w:rPr>
              <w:t>2</w:t>
            </w:r>
            <w:r>
              <w:rPr>
                <w:rStyle w:val="IndexLink"/>
                <w:rtl w:val="true"/>
              </w:rPr>
              <w:t>-</w:t>
            </w:r>
            <w:r>
              <w:rPr>
                <w:rStyle w:val="IndexLink"/>
                <w:rtl w:val="true"/>
              </w:rPr>
              <w:t>اصطلاح‌شناسی غیبت</w:t>
            </w:r>
            <w:r>
              <w:rPr>
                <w:rStyle w:val="IndexLink"/>
                <w:rtl w:val="true"/>
              </w:rPr>
              <w:tab/>
            </w:r>
            <w:r>
              <w:rPr>
                <w:rStyle w:val="IndexLink"/>
              </w:rPr>
              <w:t>77</w:t>
            </w:r>
          </w:hyperlink>
        </w:p>
        <w:p>
          <w:pPr>
            <w:pStyle w:val="Contents6"/>
            <w:tabs>
              <w:tab w:val="clear" w:pos="7609"/>
              <w:tab w:val="right" w:pos="9026" w:leader="dot"/>
            </w:tabs>
            <w:rPr/>
          </w:pPr>
          <w:hyperlink w:anchor="__RefHeading___Toc3419706_581953129">
            <w:r>
              <w:rPr>
                <w:webHidden/>
                <w:rStyle w:val="IndexLink"/>
                <w:rtl w:val="true"/>
              </w:rPr>
              <w:t>الف</w:t>
            </w:r>
            <w:r>
              <w:rPr>
                <w:rStyle w:val="IndexLink"/>
                <w:rtl w:val="true"/>
              </w:rPr>
              <w:t>)</w:t>
            </w:r>
            <w:r>
              <w:rPr>
                <w:rStyle w:val="IndexLink"/>
                <w:rtl w:val="true"/>
              </w:rPr>
              <w:t>غیبت در اندیشه کلامی شیعه</w:t>
            </w:r>
            <w:r>
              <w:rPr>
                <w:rStyle w:val="IndexLink"/>
                <w:rtl w:val="true"/>
              </w:rPr>
              <w:tab/>
            </w:r>
            <w:r>
              <w:rPr>
                <w:rStyle w:val="IndexLink"/>
              </w:rPr>
              <w:t>77</w:t>
            </w:r>
          </w:hyperlink>
        </w:p>
        <w:p>
          <w:pPr>
            <w:pStyle w:val="Contents6"/>
            <w:tabs>
              <w:tab w:val="clear" w:pos="7609"/>
              <w:tab w:val="right" w:pos="9026" w:leader="dot"/>
            </w:tabs>
            <w:rPr/>
          </w:pPr>
          <w:hyperlink w:anchor="__RefHeading___Toc3419708_581953129">
            <w:r>
              <w:rPr>
                <w:webHidden/>
                <w:rStyle w:val="IndexLink"/>
                <w:rtl w:val="true"/>
              </w:rPr>
              <w:t>ب</w:t>
            </w:r>
            <w:r>
              <w:rPr>
                <w:rStyle w:val="IndexLink"/>
                <w:rtl w:val="true"/>
              </w:rPr>
              <w:t>)</w:t>
            </w:r>
            <w:r>
              <w:rPr>
                <w:rStyle w:val="IndexLink"/>
                <w:rtl w:val="true"/>
              </w:rPr>
              <w:t>عصر غیبت در ادبیات فقهی</w:t>
            </w:r>
            <w:r>
              <w:rPr>
                <w:rStyle w:val="IndexLink"/>
                <w:rtl w:val="true"/>
              </w:rPr>
              <w:tab/>
            </w:r>
            <w:r>
              <w:rPr>
                <w:rStyle w:val="IndexLink"/>
              </w:rPr>
              <w:t>79</w:t>
            </w:r>
          </w:hyperlink>
        </w:p>
        <w:p>
          <w:pPr>
            <w:pStyle w:val="Contents3"/>
            <w:tabs>
              <w:tab w:val="clear" w:pos="8459"/>
              <w:tab w:val="right" w:pos="9026" w:leader="dot"/>
            </w:tabs>
            <w:rPr/>
          </w:pPr>
          <w:hyperlink w:anchor="__RefHeading___Toc3419710_581953129">
            <w:r>
              <w:rPr>
                <w:webHidden/>
                <w:rStyle w:val="IndexLink"/>
              </w:rPr>
              <w:t>2</w:t>
            </w:r>
            <w:r>
              <w:rPr>
                <w:rStyle w:val="IndexLink"/>
                <w:rtl w:val="true"/>
              </w:rPr>
              <w:t>-</w:t>
            </w:r>
            <w:r>
              <w:rPr>
                <w:rStyle w:val="IndexLink"/>
                <w:rtl w:val="true"/>
              </w:rPr>
              <w:t>مبانی</w:t>
            </w:r>
            <w:r>
              <w:rPr>
                <w:rStyle w:val="IndexLink"/>
                <w:rtl w:val="true"/>
              </w:rPr>
              <w:tab/>
            </w:r>
            <w:r>
              <w:rPr>
                <w:rStyle w:val="IndexLink"/>
              </w:rPr>
              <w:t>83</w:t>
            </w:r>
          </w:hyperlink>
        </w:p>
        <w:p>
          <w:pPr>
            <w:pStyle w:val="Contents4"/>
            <w:tabs>
              <w:tab w:val="clear" w:pos="8176"/>
              <w:tab w:val="right" w:pos="9026" w:leader="dot"/>
            </w:tabs>
            <w:rPr/>
          </w:pPr>
          <w:hyperlink w:anchor="__RefHeading___Toc3419712_58195312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419714_581953129">
            <w:r>
              <w:rPr>
                <w:webHidden/>
                <w:rStyle w:val="IndexLink"/>
                <w:rtl w:val="true"/>
              </w:rPr>
              <w:t>لزوم عصمت امام</w:t>
            </w:r>
            <w:r>
              <w:rPr>
                <w:rStyle w:val="IndexLink"/>
                <w:rtl w:val="true"/>
              </w:rPr>
              <w:tab/>
            </w:r>
            <w:r>
              <w:rPr>
                <w:rStyle w:val="IndexLink"/>
              </w:rPr>
              <w:t>83</w:t>
            </w:r>
          </w:hyperlink>
        </w:p>
        <w:p>
          <w:pPr>
            <w:pStyle w:val="Contents4"/>
            <w:tabs>
              <w:tab w:val="clear" w:pos="8176"/>
              <w:tab w:val="right" w:pos="9026" w:leader="dot"/>
            </w:tabs>
            <w:rPr/>
          </w:pPr>
          <w:hyperlink w:anchor="__RefHeading___Toc3419716_581953129">
            <w:r>
              <w:rPr>
                <w:webHidden/>
                <w:rStyle w:val="IndexLink"/>
                <w:rtl w:val="true"/>
              </w:rPr>
              <w:t>اصل عدم ولایت</w:t>
            </w:r>
            <w:r>
              <w:rPr>
                <w:rStyle w:val="IndexLink"/>
                <w:rtl w:val="true"/>
              </w:rPr>
              <w:tab/>
            </w:r>
            <w:r>
              <w:rPr>
                <w:rStyle w:val="IndexLink"/>
              </w:rPr>
              <w:t>84</w:t>
            </w:r>
          </w:hyperlink>
        </w:p>
        <w:p>
          <w:pPr>
            <w:pStyle w:val="Contents5"/>
            <w:tabs>
              <w:tab w:val="clear" w:pos="7892"/>
              <w:tab w:val="right" w:pos="9026" w:leader="dot"/>
            </w:tabs>
            <w:rPr/>
          </w:pPr>
          <w:hyperlink w:anchor="__RefHeading___Toc3419718_581953129">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3419720_581953129">
            <w:r>
              <w:rPr>
                <w:webHidden/>
                <w:rStyle w:val="IndexLink"/>
              </w:rPr>
              <w:t>1</w:t>
            </w:r>
            <w:r>
              <w:rPr>
                <w:rStyle w:val="IndexLink"/>
                <w:rtl w:val="true"/>
              </w:rPr>
              <w:t>-</w:t>
            </w:r>
            <w:r>
              <w:rPr>
                <w:rStyle w:val="IndexLink"/>
                <w:rtl w:val="true"/>
              </w:rPr>
              <w:t>مفهوم اصل عدم ولایت</w:t>
            </w:r>
            <w:r>
              <w:rPr>
                <w:rStyle w:val="IndexLink"/>
                <w:rtl w:val="true"/>
              </w:rPr>
              <w:tab/>
            </w:r>
            <w:r>
              <w:rPr>
                <w:rStyle w:val="IndexLink"/>
              </w:rPr>
              <w:t>85</w:t>
            </w:r>
          </w:hyperlink>
        </w:p>
        <w:p>
          <w:pPr>
            <w:pStyle w:val="Contents5"/>
            <w:tabs>
              <w:tab w:val="clear" w:pos="7892"/>
              <w:tab w:val="right" w:pos="9026" w:leader="dot"/>
            </w:tabs>
            <w:rPr/>
          </w:pPr>
          <w:hyperlink w:anchor="__RefHeading___Toc3419722_581953129">
            <w:r>
              <w:rPr>
                <w:webHidden/>
                <w:rStyle w:val="IndexLink"/>
              </w:rPr>
              <w:t>2</w:t>
            </w:r>
            <w:r>
              <w:rPr>
                <w:rStyle w:val="IndexLink"/>
                <w:rtl w:val="true"/>
              </w:rPr>
              <w:t>-</w:t>
            </w:r>
            <w:r>
              <w:rPr>
                <w:rStyle w:val="IndexLink"/>
                <w:rtl w:val="true"/>
              </w:rPr>
              <w:t>نگرش فقها به اصل عدم ولایت</w:t>
            </w:r>
            <w:r>
              <w:rPr>
                <w:rStyle w:val="IndexLink"/>
                <w:rtl w:val="true"/>
              </w:rPr>
              <w:tab/>
            </w:r>
            <w:r>
              <w:rPr>
                <w:rStyle w:val="IndexLink"/>
              </w:rPr>
              <w:t>85</w:t>
            </w:r>
          </w:hyperlink>
        </w:p>
        <w:p>
          <w:pPr>
            <w:pStyle w:val="Contents5"/>
            <w:tabs>
              <w:tab w:val="clear" w:pos="7892"/>
              <w:tab w:val="right" w:pos="9026" w:leader="dot"/>
            </w:tabs>
            <w:rPr/>
          </w:pPr>
          <w:hyperlink w:anchor="__RefHeading___Toc3419724_581953129">
            <w:r>
              <w:rPr>
                <w:webHidden/>
                <w:rStyle w:val="IndexLink"/>
              </w:rPr>
              <w:t>3</w:t>
            </w:r>
            <w:r>
              <w:rPr>
                <w:rStyle w:val="IndexLink"/>
                <w:rtl w:val="true"/>
              </w:rPr>
              <w:t>-</w:t>
            </w:r>
            <w:r>
              <w:rPr>
                <w:rStyle w:val="IndexLink"/>
                <w:rtl w:val="true"/>
              </w:rPr>
              <w:t>مبانی اصل عدم ولایت</w:t>
            </w:r>
            <w:r>
              <w:rPr>
                <w:rStyle w:val="IndexLink"/>
                <w:rtl w:val="true"/>
              </w:rPr>
              <w:tab/>
            </w:r>
            <w:r>
              <w:rPr>
                <w:rStyle w:val="IndexLink"/>
              </w:rPr>
              <w:t>87</w:t>
            </w:r>
          </w:hyperlink>
        </w:p>
        <w:p>
          <w:pPr>
            <w:pStyle w:val="Contents6"/>
            <w:tabs>
              <w:tab w:val="clear" w:pos="7609"/>
              <w:tab w:val="right" w:pos="9026" w:leader="dot"/>
            </w:tabs>
            <w:rPr/>
          </w:pPr>
          <w:hyperlink w:anchor="__RefHeading___Toc3419726_581953129">
            <w:r>
              <w:rPr>
                <w:webHidden/>
                <w:rStyle w:val="IndexLink"/>
                <w:rtl w:val="true"/>
              </w:rPr>
              <w:t>الف</w:t>
            </w:r>
            <w:r>
              <w:rPr>
                <w:rStyle w:val="IndexLink"/>
                <w:rtl w:val="true"/>
              </w:rPr>
              <w:t>)</w:t>
            </w:r>
            <w:r>
              <w:rPr>
                <w:rStyle w:val="IndexLink"/>
                <w:rtl w:val="true"/>
              </w:rPr>
              <w:t>استصحاب</w:t>
            </w:r>
            <w:r>
              <w:rPr>
                <w:rStyle w:val="IndexLink"/>
                <w:rtl w:val="true"/>
              </w:rPr>
              <w:tab/>
            </w:r>
            <w:r>
              <w:rPr>
                <w:rStyle w:val="IndexLink"/>
              </w:rPr>
              <w:t>87</w:t>
            </w:r>
          </w:hyperlink>
        </w:p>
        <w:p>
          <w:pPr>
            <w:pStyle w:val="Contents6"/>
            <w:tabs>
              <w:tab w:val="clear" w:pos="7609"/>
              <w:tab w:val="right" w:pos="9026" w:leader="dot"/>
            </w:tabs>
            <w:rPr/>
          </w:pPr>
          <w:hyperlink w:anchor="__RefHeading___Toc3419728_581953129">
            <w:r>
              <w:rPr>
                <w:webHidden/>
                <w:rStyle w:val="IndexLink"/>
                <w:rtl w:val="true"/>
              </w:rPr>
              <w:t>ب</w:t>
            </w:r>
            <w:r>
              <w:rPr>
                <w:rStyle w:val="IndexLink"/>
                <w:rtl w:val="true"/>
              </w:rPr>
              <w:t>)</w:t>
            </w:r>
            <w:r>
              <w:rPr>
                <w:rStyle w:val="IndexLink"/>
                <w:rtl w:val="true"/>
              </w:rPr>
              <w:t>توحید</w:t>
            </w:r>
            <w:r>
              <w:rPr>
                <w:rStyle w:val="IndexLink"/>
                <w:rtl w:val="true"/>
              </w:rPr>
              <w:tab/>
            </w:r>
            <w:r>
              <w:rPr>
                <w:rStyle w:val="IndexLink"/>
              </w:rPr>
              <w:t>87</w:t>
            </w:r>
          </w:hyperlink>
        </w:p>
        <w:p>
          <w:pPr>
            <w:pStyle w:val="Contents6"/>
            <w:tabs>
              <w:tab w:val="clear" w:pos="7609"/>
              <w:tab w:val="right" w:pos="9026" w:leader="dot"/>
            </w:tabs>
            <w:rPr/>
          </w:pPr>
          <w:hyperlink w:anchor="__RefHeading___Toc3419730_581953129">
            <w:r>
              <w:rPr>
                <w:webHidden/>
                <w:rStyle w:val="IndexLink"/>
                <w:rtl w:val="true"/>
              </w:rPr>
              <w:t>ج</w:t>
            </w:r>
            <w:r>
              <w:rPr>
                <w:rStyle w:val="IndexLink"/>
                <w:rtl w:val="true"/>
              </w:rPr>
              <w:t>)</w:t>
            </w:r>
            <w:r>
              <w:rPr>
                <w:rStyle w:val="IndexLink"/>
                <w:rtl w:val="true"/>
              </w:rPr>
              <w:t>آزادی انسان‌ها</w:t>
            </w:r>
            <w:r>
              <w:rPr>
                <w:rStyle w:val="IndexLink"/>
                <w:rtl w:val="true"/>
              </w:rPr>
              <w:tab/>
            </w:r>
            <w:r>
              <w:rPr>
                <w:rStyle w:val="IndexLink"/>
              </w:rPr>
              <w:t>88</w:t>
            </w:r>
          </w:hyperlink>
        </w:p>
        <w:p>
          <w:pPr>
            <w:pStyle w:val="Contents5"/>
            <w:tabs>
              <w:tab w:val="clear" w:pos="7892"/>
              <w:tab w:val="right" w:pos="9026" w:leader="dot"/>
            </w:tabs>
            <w:rPr/>
          </w:pPr>
          <w:hyperlink w:anchor="__RefHeading___Toc3419732_581953129">
            <w:r>
              <w:rPr>
                <w:webHidden/>
                <w:rStyle w:val="IndexLink"/>
              </w:rPr>
              <w:t>4</w:t>
            </w:r>
            <w:r>
              <w:rPr>
                <w:rStyle w:val="IndexLink"/>
                <w:rtl w:val="true"/>
              </w:rPr>
              <w:t>-</w:t>
            </w:r>
            <w:r>
              <w:rPr>
                <w:rStyle w:val="IndexLink"/>
                <w:rtl w:val="true"/>
              </w:rPr>
              <w:t>نقد و بررسی</w:t>
            </w:r>
            <w:r>
              <w:rPr>
                <w:rStyle w:val="IndexLink"/>
                <w:rtl w:val="true"/>
              </w:rPr>
              <w:tab/>
            </w:r>
            <w:r>
              <w:rPr>
                <w:rStyle w:val="IndexLink"/>
              </w:rPr>
              <w:t>89</w:t>
            </w:r>
          </w:hyperlink>
        </w:p>
        <w:p>
          <w:pPr>
            <w:pStyle w:val="Contents4"/>
            <w:tabs>
              <w:tab w:val="clear" w:pos="8176"/>
              <w:tab w:val="right" w:pos="9026" w:leader="dot"/>
            </w:tabs>
            <w:rPr/>
          </w:pPr>
          <w:hyperlink w:anchor="__RefHeading___Toc3419734_581953129">
            <w:r>
              <w:rPr>
                <w:webHidden/>
                <w:rStyle w:val="IndexLink"/>
                <w:rtl w:val="true"/>
              </w:rPr>
              <w:t>ولایت فقیه</w:t>
            </w:r>
            <w:r>
              <w:rPr>
                <w:rStyle w:val="IndexLink"/>
                <w:rtl w:val="true"/>
              </w:rPr>
              <w:tab/>
            </w:r>
            <w:r>
              <w:rPr>
                <w:rStyle w:val="IndexLink"/>
              </w:rPr>
              <w:t>90</w:t>
            </w:r>
          </w:hyperlink>
        </w:p>
        <w:p>
          <w:pPr>
            <w:pStyle w:val="Contents5"/>
            <w:tabs>
              <w:tab w:val="clear" w:pos="7892"/>
              <w:tab w:val="right" w:pos="9026" w:leader="dot"/>
            </w:tabs>
            <w:rPr/>
          </w:pPr>
          <w:hyperlink w:anchor="__RefHeading___Toc3419736_581953129">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3419738_581953129">
            <w:r>
              <w:rPr>
                <w:webHidden/>
                <w:rStyle w:val="IndexLink"/>
              </w:rPr>
              <w:t>1</w:t>
            </w:r>
            <w:r>
              <w:rPr>
                <w:rStyle w:val="IndexLink"/>
                <w:rtl w:val="true"/>
              </w:rPr>
              <w:t>-</w:t>
            </w:r>
            <w:r>
              <w:rPr>
                <w:rStyle w:val="IndexLink"/>
                <w:rtl w:val="true"/>
              </w:rPr>
              <w:t>تبیین مفهوم ولایت فقیه</w:t>
            </w:r>
            <w:r>
              <w:rPr>
                <w:rStyle w:val="IndexLink"/>
                <w:rtl w:val="true"/>
              </w:rPr>
              <w:tab/>
            </w:r>
            <w:r>
              <w:rPr>
                <w:rStyle w:val="IndexLink"/>
              </w:rPr>
              <w:t>91</w:t>
            </w:r>
          </w:hyperlink>
        </w:p>
        <w:p>
          <w:pPr>
            <w:pStyle w:val="Contents6"/>
            <w:tabs>
              <w:tab w:val="clear" w:pos="7609"/>
              <w:tab w:val="right" w:pos="9026" w:leader="dot"/>
            </w:tabs>
            <w:rPr/>
          </w:pPr>
          <w:hyperlink w:anchor="__RefHeading___Toc3419740_581953129">
            <w:r>
              <w:rPr>
                <w:webHidden/>
                <w:rStyle w:val="IndexLink"/>
                <w:rtl w:val="true"/>
              </w:rPr>
              <w:t>الف</w:t>
            </w:r>
            <w:r>
              <w:rPr>
                <w:rStyle w:val="IndexLink"/>
                <w:rtl w:val="true"/>
              </w:rPr>
              <w:t>)</w:t>
            </w:r>
            <w:r>
              <w:rPr>
                <w:rStyle w:val="IndexLink"/>
                <w:rtl w:val="true"/>
              </w:rPr>
              <w:t>مفهوم ولایت</w:t>
            </w:r>
            <w:r>
              <w:rPr>
                <w:rStyle w:val="IndexLink"/>
                <w:rtl w:val="true"/>
              </w:rPr>
              <w:tab/>
            </w:r>
            <w:r>
              <w:rPr>
                <w:rStyle w:val="IndexLink"/>
              </w:rPr>
              <w:t>91</w:t>
            </w:r>
          </w:hyperlink>
        </w:p>
        <w:p>
          <w:pPr>
            <w:pStyle w:val="Contents6"/>
            <w:tabs>
              <w:tab w:val="clear" w:pos="7609"/>
              <w:tab w:val="right" w:pos="9026" w:leader="dot"/>
            </w:tabs>
            <w:rPr/>
          </w:pPr>
          <w:hyperlink w:anchor="__RefHeading___Toc3419742_581953129">
            <w:r>
              <w:rPr>
                <w:webHidden/>
                <w:rStyle w:val="IndexLink"/>
                <w:rtl w:val="true"/>
              </w:rPr>
              <w:t>ب</w:t>
            </w:r>
            <w:r>
              <w:rPr>
                <w:rStyle w:val="IndexLink"/>
                <w:rtl w:val="true"/>
              </w:rPr>
              <w:t>)</w:t>
            </w:r>
            <w:r>
              <w:rPr>
                <w:rStyle w:val="IndexLink"/>
                <w:rtl w:val="true"/>
              </w:rPr>
              <w:t>مفهوم فقیه</w:t>
            </w:r>
            <w:r>
              <w:rPr>
                <w:rStyle w:val="IndexLink"/>
                <w:rtl w:val="true"/>
              </w:rPr>
              <w:tab/>
            </w:r>
            <w:r>
              <w:rPr>
                <w:rStyle w:val="IndexLink"/>
              </w:rPr>
              <w:t>92</w:t>
            </w:r>
          </w:hyperlink>
        </w:p>
        <w:p>
          <w:pPr>
            <w:pStyle w:val="Contents5"/>
            <w:tabs>
              <w:tab w:val="clear" w:pos="7892"/>
              <w:tab w:val="right" w:pos="9026" w:leader="dot"/>
            </w:tabs>
            <w:rPr/>
          </w:pPr>
          <w:hyperlink w:anchor="__RefHeading___Toc3419744_581953129">
            <w:r>
              <w:rPr>
                <w:webHidden/>
                <w:rStyle w:val="IndexLink"/>
              </w:rPr>
              <w:t>2</w:t>
            </w:r>
            <w:r>
              <w:rPr>
                <w:rStyle w:val="IndexLink"/>
                <w:rtl w:val="true"/>
              </w:rPr>
              <w:t>-</w:t>
            </w:r>
            <w:r>
              <w:rPr>
                <w:rStyle w:val="IndexLink"/>
                <w:rtl w:val="true"/>
              </w:rPr>
              <w:t>حدود اختیارات ولی فقیه</w:t>
            </w:r>
            <w:r>
              <w:rPr>
                <w:rStyle w:val="IndexLink"/>
                <w:rtl w:val="true"/>
              </w:rPr>
              <w:tab/>
            </w:r>
            <w:r>
              <w:rPr>
                <w:rStyle w:val="IndexLink"/>
              </w:rPr>
              <w:t>95</w:t>
            </w:r>
          </w:hyperlink>
        </w:p>
        <w:p>
          <w:pPr>
            <w:pStyle w:val="Contents6"/>
            <w:tabs>
              <w:tab w:val="clear" w:pos="7609"/>
              <w:tab w:val="right" w:pos="9026" w:leader="dot"/>
            </w:tabs>
            <w:rPr/>
          </w:pPr>
          <w:hyperlink w:anchor="__RefHeading___Toc3419746_581953129">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3419748_581953129">
            <w:r>
              <w:rPr>
                <w:webHidden/>
                <w:rStyle w:val="IndexLink"/>
                <w:rtl w:val="true"/>
              </w:rPr>
              <w:t>الف</w:t>
            </w:r>
            <w:r>
              <w:rPr>
                <w:rStyle w:val="IndexLink"/>
                <w:rtl w:val="true"/>
              </w:rPr>
              <w:t>)</w:t>
            </w:r>
            <w:r>
              <w:rPr>
                <w:rStyle w:val="IndexLink"/>
                <w:rtl w:val="true"/>
              </w:rPr>
              <w:t>ولایت مقیده فقیه</w:t>
            </w:r>
            <w:r>
              <w:rPr>
                <w:rStyle w:val="IndexLink"/>
                <w:rtl w:val="true"/>
              </w:rPr>
              <w:tab/>
            </w:r>
            <w:r>
              <w:rPr>
                <w:rStyle w:val="IndexLink"/>
              </w:rPr>
              <w:t>95</w:t>
            </w:r>
          </w:hyperlink>
        </w:p>
        <w:p>
          <w:pPr>
            <w:pStyle w:val="Contents6"/>
            <w:tabs>
              <w:tab w:val="clear" w:pos="7609"/>
              <w:tab w:val="right" w:pos="9026" w:leader="dot"/>
            </w:tabs>
            <w:rPr/>
          </w:pPr>
          <w:hyperlink w:anchor="__RefHeading___Toc3419750_581953129">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3419752_581953129">
            <w:r>
              <w:rPr>
                <w:webHidden/>
                <w:rStyle w:val="IndexLink"/>
                <w:rtl w:val="true"/>
              </w:rPr>
              <w:t>یکم</w:t>
            </w:r>
            <w:r>
              <w:rPr>
                <w:rStyle w:val="IndexLink"/>
                <w:rtl w:val="true"/>
              </w:rPr>
              <w:t>)</w:t>
            </w:r>
            <w:r>
              <w:rPr>
                <w:rStyle w:val="IndexLink"/>
                <w:rtl w:val="true"/>
              </w:rPr>
              <w:t>ولایت تصرف در قضا،فتوا و امور حسبه</w:t>
            </w:r>
            <w:r>
              <w:rPr>
                <w:rStyle w:val="IndexLink"/>
                <w:rtl w:val="true"/>
              </w:rPr>
              <w:tab/>
            </w:r>
            <w:r>
              <w:rPr>
                <w:rStyle w:val="IndexLink"/>
              </w:rPr>
              <w:t>95</w:t>
            </w:r>
          </w:hyperlink>
        </w:p>
        <w:p>
          <w:pPr>
            <w:pStyle w:val="Contents6"/>
            <w:tabs>
              <w:tab w:val="clear" w:pos="7609"/>
              <w:tab w:val="right" w:pos="9026" w:leader="dot"/>
            </w:tabs>
            <w:rPr/>
          </w:pPr>
          <w:hyperlink w:anchor="__RefHeading___Toc3419754_581953129">
            <w:r>
              <w:rPr>
                <w:webHidden/>
                <w:rStyle w:val="IndexLink"/>
                <w:rtl w:val="true"/>
              </w:rPr>
              <w:t>دوم</w:t>
            </w:r>
            <w:r>
              <w:rPr>
                <w:rStyle w:val="IndexLink"/>
                <w:rtl w:val="true"/>
              </w:rPr>
              <w:t>)</w:t>
            </w:r>
            <w:r>
              <w:rPr>
                <w:rStyle w:val="IndexLink"/>
                <w:rtl w:val="true"/>
              </w:rPr>
              <w:t>ولایت در چارچوب احکام فرعی الهی</w:t>
            </w:r>
            <w:r>
              <w:rPr>
                <w:rStyle w:val="IndexLink"/>
                <w:rtl w:val="true"/>
              </w:rPr>
              <w:tab/>
            </w:r>
            <w:r>
              <w:rPr>
                <w:rStyle w:val="IndexLink"/>
              </w:rPr>
              <w:t>96</w:t>
            </w:r>
          </w:hyperlink>
        </w:p>
        <w:p>
          <w:pPr>
            <w:pStyle w:val="Contents6"/>
            <w:tabs>
              <w:tab w:val="clear" w:pos="7609"/>
              <w:tab w:val="right" w:pos="9026" w:leader="dot"/>
            </w:tabs>
            <w:rPr/>
          </w:pPr>
          <w:hyperlink w:anchor="__RefHeading___Toc3419756_581953129">
            <w:r>
              <w:rPr>
                <w:webHidden/>
                <w:rStyle w:val="IndexLink"/>
                <w:rtl w:val="true"/>
              </w:rPr>
              <w:t>ب</w:t>
            </w:r>
            <w:r>
              <w:rPr>
                <w:rStyle w:val="IndexLink"/>
                <w:rtl w:val="true"/>
              </w:rPr>
              <w:t>)</w:t>
            </w:r>
            <w:r>
              <w:rPr>
                <w:rStyle w:val="IndexLink"/>
                <w:rtl w:val="true"/>
              </w:rPr>
              <w:t>ولایت مطلقه فقیه</w:t>
            </w:r>
            <w:r>
              <w:rPr>
                <w:rStyle w:val="IndexLink"/>
                <w:rtl w:val="true"/>
              </w:rPr>
              <w:tab/>
            </w:r>
            <w:r>
              <w:rPr>
                <w:rStyle w:val="IndexLink"/>
              </w:rPr>
              <w:t>96</w:t>
            </w:r>
          </w:hyperlink>
        </w:p>
        <w:p>
          <w:pPr>
            <w:pStyle w:val="Contents3"/>
            <w:tabs>
              <w:tab w:val="clear" w:pos="8459"/>
              <w:tab w:val="right" w:pos="9026" w:leader="dot"/>
            </w:tabs>
            <w:rPr/>
          </w:pPr>
          <w:hyperlink w:anchor="__RefHeading___Toc3419758_581953129">
            <w:r>
              <w:rPr>
                <w:webHidden/>
                <w:rStyle w:val="IndexLink"/>
              </w:rPr>
              <w:t>3</w:t>
            </w:r>
            <w:r>
              <w:rPr>
                <w:rStyle w:val="IndexLink"/>
                <w:rtl w:val="true"/>
              </w:rPr>
              <w:t>-</w:t>
            </w:r>
            <w:r>
              <w:rPr>
                <w:rStyle w:val="IndexLink"/>
                <w:rtl w:val="true"/>
              </w:rPr>
              <w:t>سابقه اجرای حدود</w:t>
            </w:r>
            <w:r>
              <w:rPr>
                <w:rStyle w:val="IndexLink"/>
                <w:rtl w:val="true"/>
              </w:rPr>
              <w:tab/>
            </w:r>
            <w:r>
              <w:rPr>
                <w:rStyle w:val="IndexLink"/>
              </w:rPr>
              <w:t>98</w:t>
            </w:r>
          </w:hyperlink>
        </w:p>
        <w:p>
          <w:pPr>
            <w:pStyle w:val="Contents4"/>
            <w:tabs>
              <w:tab w:val="clear" w:pos="8176"/>
              <w:tab w:val="right" w:pos="9026" w:leader="dot"/>
            </w:tabs>
            <w:rPr/>
          </w:pPr>
          <w:hyperlink w:anchor="__RefHeading___Toc3419760_58195312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3419762_581953129">
            <w:r>
              <w:rPr>
                <w:webHidden/>
                <w:rStyle w:val="IndexLink"/>
                <w:rtl w:val="true"/>
              </w:rPr>
              <w:t>ایران</w:t>
            </w:r>
            <w:r>
              <w:rPr>
                <w:rStyle w:val="IndexLink"/>
                <w:rtl w:val="true"/>
              </w:rPr>
              <w:tab/>
            </w:r>
            <w:r>
              <w:rPr>
                <w:rStyle w:val="IndexLink"/>
              </w:rPr>
              <w:t>98</w:t>
            </w:r>
          </w:hyperlink>
        </w:p>
        <w:p>
          <w:pPr>
            <w:pStyle w:val="Contents4"/>
            <w:tabs>
              <w:tab w:val="clear" w:pos="8176"/>
              <w:tab w:val="right" w:pos="9026" w:leader="dot"/>
            </w:tabs>
            <w:rPr/>
          </w:pPr>
          <w:hyperlink w:anchor="__RefHeading___Toc3419764_581953129">
            <w:r>
              <w:rPr>
                <w:webHidden/>
                <w:rStyle w:val="IndexLink"/>
                <w:rtl w:val="true"/>
              </w:rPr>
              <w:t>افغانستان</w:t>
            </w:r>
            <w:r>
              <w:rPr>
                <w:rStyle w:val="IndexLink"/>
                <w:rtl w:val="true"/>
              </w:rPr>
              <w:tab/>
            </w:r>
            <w:r>
              <w:rPr>
                <w:rStyle w:val="IndexLink"/>
              </w:rPr>
              <w:t>101</w:t>
            </w:r>
          </w:hyperlink>
        </w:p>
        <w:p>
          <w:pPr>
            <w:pStyle w:val="Contents4"/>
            <w:tabs>
              <w:tab w:val="clear" w:pos="8176"/>
              <w:tab w:val="right" w:pos="9026" w:leader="dot"/>
            </w:tabs>
            <w:rPr/>
          </w:pPr>
          <w:hyperlink w:anchor="__RefHeading___Toc3419766_581953129">
            <w:r>
              <w:rPr>
                <w:webHidden/>
                <w:rStyle w:val="IndexLink"/>
                <w:rtl w:val="true"/>
              </w:rPr>
              <w:t>دیگر کشورهای اسلامی</w:t>
            </w:r>
            <w:r>
              <w:rPr>
                <w:rStyle w:val="IndexLink"/>
                <w:rtl w:val="true"/>
              </w:rPr>
              <w:tab/>
            </w:r>
            <w:r>
              <w:rPr>
                <w:rStyle w:val="IndexLink"/>
              </w:rPr>
              <w:t>104</w:t>
            </w:r>
          </w:hyperlink>
        </w:p>
        <w:p>
          <w:pPr>
            <w:pStyle w:val="Contents2"/>
            <w:tabs>
              <w:tab w:val="clear" w:pos="8743"/>
              <w:tab w:val="right" w:pos="9026" w:leader="dot"/>
            </w:tabs>
            <w:rPr/>
          </w:pPr>
          <w:hyperlink w:anchor="__RefHeading___Toc3419768_581953129">
            <w:r>
              <w:rPr>
                <w:webHidden/>
                <w:rStyle w:val="IndexLink"/>
                <w:rtl w:val="true"/>
              </w:rPr>
              <w:t>بخش دوم</w:t>
            </w:r>
            <w:r>
              <w:rPr>
                <w:rStyle w:val="IndexLink"/>
                <w:rtl w:val="true"/>
              </w:rPr>
              <w:t>:</w:t>
            </w:r>
            <w:r>
              <w:rPr>
                <w:rStyle w:val="IndexLink"/>
                <w:rtl w:val="true"/>
              </w:rPr>
              <w:t>دیدگاه عدم جواز اقامه حدود</w:t>
            </w:r>
            <w:r>
              <w:rPr>
                <w:rStyle w:val="IndexLink"/>
                <w:rtl w:val="true"/>
              </w:rPr>
              <w:tab/>
            </w:r>
            <w:r>
              <w:rPr>
                <w:rStyle w:val="IndexLink"/>
              </w:rPr>
              <w:t>106</w:t>
            </w:r>
          </w:hyperlink>
        </w:p>
        <w:p>
          <w:pPr>
            <w:pStyle w:val="Contents3"/>
            <w:tabs>
              <w:tab w:val="clear" w:pos="8459"/>
              <w:tab w:val="right" w:pos="9026" w:leader="dot"/>
            </w:tabs>
            <w:rPr/>
          </w:pPr>
          <w:hyperlink w:anchor="__RefHeading___Toc3419770_581953129">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3419772_581953129">
            <w:r>
              <w:rPr>
                <w:webHidden/>
                <w:rStyle w:val="IndexLink"/>
              </w:rPr>
              <w:t>1</w:t>
            </w:r>
            <w:r>
              <w:rPr>
                <w:rStyle w:val="IndexLink"/>
                <w:rtl w:val="true"/>
              </w:rPr>
              <w:t>-</w:t>
            </w:r>
            <w:r>
              <w:rPr>
                <w:rStyle w:val="IndexLink"/>
                <w:rtl w:val="true"/>
              </w:rPr>
              <w:t>صاحبان دیدگاه عدم جواز اقامه حدود</w:t>
            </w:r>
            <w:r>
              <w:rPr>
                <w:rStyle w:val="IndexLink"/>
                <w:rtl w:val="true"/>
              </w:rPr>
              <w:tab/>
            </w:r>
            <w:r>
              <w:rPr>
                <w:rStyle w:val="IndexLink"/>
              </w:rPr>
              <w:t>108</w:t>
            </w:r>
          </w:hyperlink>
        </w:p>
        <w:p>
          <w:pPr>
            <w:pStyle w:val="Contents4"/>
            <w:tabs>
              <w:tab w:val="clear" w:pos="8176"/>
              <w:tab w:val="right" w:pos="9026" w:leader="dot"/>
            </w:tabs>
            <w:rPr/>
          </w:pPr>
          <w:hyperlink w:anchor="__RefHeading___Toc3419774_58195312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419776_581953129">
            <w:r>
              <w:rPr>
                <w:webHidden/>
                <w:rStyle w:val="IndexLink"/>
                <w:rtl w:val="true"/>
              </w:rPr>
              <w:t>متقدمین</w:t>
            </w:r>
            <w:r>
              <w:rPr>
                <w:rStyle w:val="IndexLink"/>
                <w:rtl w:val="true"/>
              </w:rPr>
              <w:t>(</w:t>
            </w:r>
            <w:r>
              <w:rPr>
                <w:rStyle w:val="IndexLink"/>
                <w:rtl w:val="true"/>
              </w:rPr>
              <w:t>فقهای پیش از محقق حلی</w:t>
            </w:r>
            <w:r>
              <w:rPr>
                <w:rStyle w:val="IndexLink"/>
                <w:rtl w:val="true"/>
              </w:rPr>
              <w:t>)</w:t>
              <w:tab/>
            </w:r>
            <w:r>
              <w:rPr>
                <w:rStyle w:val="IndexLink"/>
              </w:rPr>
              <w:t>108</w:t>
            </w:r>
          </w:hyperlink>
        </w:p>
        <w:p>
          <w:pPr>
            <w:pStyle w:val="Contents5"/>
            <w:tabs>
              <w:tab w:val="clear" w:pos="7892"/>
              <w:tab w:val="right" w:pos="9026" w:leader="dot"/>
            </w:tabs>
            <w:rPr/>
          </w:pPr>
          <w:hyperlink w:anchor="__RefHeading___Toc3419778_581953129">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3419780_581953129">
            <w:r>
              <w:rPr>
                <w:webHidden/>
                <w:rStyle w:val="IndexLink"/>
              </w:rPr>
              <w:t>1</w:t>
            </w:r>
            <w:r>
              <w:rPr>
                <w:rStyle w:val="IndexLink"/>
                <w:rtl w:val="true"/>
              </w:rPr>
              <w:t>-</w:t>
            </w:r>
            <w:r>
              <w:rPr>
                <w:rStyle w:val="IndexLink"/>
                <w:rtl w:val="true"/>
              </w:rPr>
              <w:t>سید مرتضی</w:t>
            </w:r>
            <w:r>
              <w:rPr>
                <w:rStyle w:val="IndexLink"/>
                <w:rtl w:val="true"/>
              </w:rPr>
              <w:tab/>
            </w:r>
            <w:r>
              <w:rPr>
                <w:rStyle w:val="IndexLink"/>
              </w:rPr>
              <w:t>108</w:t>
            </w:r>
          </w:hyperlink>
        </w:p>
        <w:p>
          <w:pPr>
            <w:pStyle w:val="Contents5"/>
            <w:tabs>
              <w:tab w:val="clear" w:pos="7892"/>
              <w:tab w:val="right" w:pos="9026" w:leader="dot"/>
            </w:tabs>
            <w:rPr/>
          </w:pPr>
          <w:hyperlink w:anchor="__RefHeading___Toc3419782_581953129">
            <w:r>
              <w:rPr>
                <w:webHidden/>
                <w:rStyle w:val="IndexLink"/>
              </w:rPr>
              <w:t>2</w:t>
            </w:r>
            <w:r>
              <w:rPr>
                <w:rStyle w:val="IndexLink"/>
                <w:rtl w:val="true"/>
              </w:rPr>
              <w:t>-</w:t>
            </w:r>
            <w:r>
              <w:rPr>
                <w:rStyle w:val="IndexLink"/>
                <w:rtl w:val="true"/>
              </w:rPr>
              <w:t>شیخ طوسی</w:t>
            </w:r>
            <w:r>
              <w:rPr>
                <w:rStyle w:val="IndexLink"/>
                <w:rtl w:val="true"/>
              </w:rPr>
              <w:tab/>
            </w:r>
            <w:r>
              <w:rPr>
                <w:rStyle w:val="IndexLink"/>
              </w:rPr>
              <w:t>110</w:t>
            </w:r>
          </w:hyperlink>
        </w:p>
        <w:p>
          <w:pPr>
            <w:pStyle w:val="Contents5"/>
            <w:tabs>
              <w:tab w:val="clear" w:pos="7892"/>
              <w:tab w:val="right" w:pos="9026" w:leader="dot"/>
            </w:tabs>
            <w:rPr/>
          </w:pPr>
          <w:hyperlink w:anchor="__RefHeading___Toc3419784_581953129">
            <w:r>
              <w:rPr>
                <w:webHidden/>
                <w:rStyle w:val="IndexLink"/>
              </w:rPr>
              <w:t>3</w:t>
            </w:r>
            <w:r>
              <w:rPr>
                <w:rStyle w:val="IndexLink"/>
                <w:rtl w:val="true"/>
              </w:rPr>
              <w:t>-</w:t>
            </w:r>
            <w:r>
              <w:rPr>
                <w:rStyle w:val="IndexLink"/>
                <w:rtl w:val="true"/>
              </w:rPr>
              <w:t>قطب‌الدین راوندی</w:t>
            </w:r>
            <w:r>
              <w:rPr>
                <w:rStyle w:val="IndexLink"/>
                <w:rtl w:val="true"/>
              </w:rPr>
              <w:tab/>
            </w:r>
            <w:r>
              <w:rPr>
                <w:rStyle w:val="IndexLink"/>
              </w:rPr>
              <w:t>111</w:t>
            </w:r>
          </w:hyperlink>
        </w:p>
        <w:p>
          <w:pPr>
            <w:pStyle w:val="Contents5"/>
            <w:tabs>
              <w:tab w:val="clear" w:pos="7892"/>
              <w:tab w:val="right" w:pos="9026" w:leader="dot"/>
            </w:tabs>
            <w:rPr/>
          </w:pPr>
          <w:hyperlink w:anchor="__RefHeading___Toc3419786_581953129">
            <w:r>
              <w:rPr>
                <w:webHidden/>
                <w:rStyle w:val="IndexLink"/>
              </w:rPr>
              <w:t>4</w:t>
            </w:r>
            <w:r>
              <w:rPr>
                <w:rStyle w:val="IndexLink"/>
                <w:rtl w:val="true"/>
              </w:rPr>
              <w:t>-</w:t>
            </w:r>
            <w:r>
              <w:rPr>
                <w:rStyle w:val="IndexLink"/>
                <w:rtl w:val="true"/>
              </w:rPr>
              <w:t>طبرسی</w:t>
            </w:r>
            <w:r>
              <w:rPr>
                <w:rStyle w:val="IndexLink"/>
                <w:rtl w:val="true"/>
              </w:rPr>
              <w:tab/>
            </w:r>
            <w:r>
              <w:rPr>
                <w:rStyle w:val="IndexLink"/>
              </w:rPr>
              <w:t>114</w:t>
            </w:r>
          </w:hyperlink>
        </w:p>
        <w:p>
          <w:pPr>
            <w:pStyle w:val="Contents4"/>
            <w:tabs>
              <w:tab w:val="clear" w:pos="8176"/>
              <w:tab w:val="right" w:pos="9026" w:leader="dot"/>
            </w:tabs>
            <w:rPr/>
          </w:pPr>
          <w:hyperlink w:anchor="__RefHeading___Toc3419788_581953129">
            <w:r>
              <w:rPr>
                <w:webHidden/>
                <w:rStyle w:val="IndexLink"/>
                <w:rtl w:val="true"/>
              </w:rPr>
              <w:t>متأخرین</w:t>
            </w:r>
            <w:r>
              <w:rPr>
                <w:rStyle w:val="IndexLink"/>
                <w:rtl w:val="true"/>
              </w:rPr>
              <w:t>(</w:t>
            </w:r>
            <w:r>
              <w:rPr>
                <w:rStyle w:val="IndexLink"/>
                <w:rtl w:val="true"/>
              </w:rPr>
              <w:t>محقق حلی تا مقدس اردبیلی</w:t>
            </w:r>
            <w:r>
              <w:rPr>
                <w:rStyle w:val="IndexLink"/>
                <w:rtl w:val="true"/>
              </w:rPr>
              <w:t>)</w:t>
              <w:tab/>
            </w:r>
            <w:r>
              <w:rPr>
                <w:rStyle w:val="IndexLink"/>
              </w:rPr>
              <w:t>115</w:t>
            </w:r>
          </w:hyperlink>
        </w:p>
        <w:p>
          <w:pPr>
            <w:pStyle w:val="Contents5"/>
            <w:tabs>
              <w:tab w:val="clear" w:pos="7892"/>
              <w:tab w:val="right" w:pos="9026" w:leader="dot"/>
            </w:tabs>
            <w:rPr/>
          </w:pPr>
          <w:hyperlink w:anchor="__RefHeading___Toc3419790_581953129">
            <w:r>
              <w:rPr>
                <w:webHidden/>
                <w:rStyle w:val="IndexLink"/>
              </w:rPr>
              <w:t>1</w:t>
            </w:r>
            <w:r>
              <w:rPr>
                <w:rStyle w:val="IndexLink"/>
                <w:rtl w:val="true"/>
              </w:rPr>
              <w:t>-</w:t>
            </w:r>
            <w:r>
              <w:rPr>
                <w:rStyle w:val="IndexLink"/>
                <w:rtl w:val="true"/>
              </w:rPr>
              <w:t>محقق حلی</w:t>
            </w:r>
            <w:r>
              <w:rPr>
                <w:rStyle w:val="IndexLink"/>
                <w:rtl w:val="true"/>
              </w:rPr>
              <w:tab/>
            </w:r>
            <w:r>
              <w:rPr>
                <w:rStyle w:val="IndexLink"/>
              </w:rPr>
              <w:t>115</w:t>
            </w:r>
          </w:hyperlink>
        </w:p>
        <w:p>
          <w:pPr>
            <w:pStyle w:val="Contents5"/>
            <w:tabs>
              <w:tab w:val="clear" w:pos="7892"/>
              <w:tab w:val="right" w:pos="9026" w:leader="dot"/>
            </w:tabs>
            <w:rPr/>
          </w:pPr>
          <w:hyperlink w:anchor="__RefHeading___Toc3419792_581953129">
            <w:r>
              <w:rPr>
                <w:webHidden/>
                <w:rStyle w:val="IndexLink"/>
              </w:rPr>
              <w:t>2</w:t>
            </w:r>
            <w:r>
              <w:rPr>
                <w:rStyle w:val="IndexLink"/>
                <w:rtl w:val="true"/>
              </w:rPr>
              <w:t>-</w:t>
            </w:r>
            <w:r>
              <w:rPr>
                <w:rStyle w:val="IndexLink"/>
                <w:rtl w:val="true"/>
              </w:rPr>
              <w:t>فاضل آبی</w:t>
            </w:r>
            <w:r>
              <w:rPr>
                <w:rStyle w:val="IndexLink"/>
                <w:rtl w:val="true"/>
              </w:rPr>
              <w:tab/>
            </w:r>
            <w:r>
              <w:rPr>
                <w:rStyle w:val="IndexLink"/>
              </w:rPr>
              <w:t>117</w:t>
            </w:r>
          </w:hyperlink>
        </w:p>
        <w:p>
          <w:pPr>
            <w:pStyle w:val="Contents5"/>
            <w:tabs>
              <w:tab w:val="clear" w:pos="7892"/>
              <w:tab w:val="right" w:pos="9026" w:leader="dot"/>
            </w:tabs>
            <w:rPr/>
          </w:pPr>
          <w:hyperlink w:anchor="__RefHeading___Toc3419794_581953129">
            <w:r>
              <w:rPr>
                <w:webHidden/>
                <w:rStyle w:val="IndexLink"/>
              </w:rPr>
              <w:t>3</w:t>
            </w:r>
            <w:r>
              <w:rPr>
                <w:rStyle w:val="IndexLink"/>
                <w:rtl w:val="true"/>
              </w:rPr>
              <w:t>-</w:t>
            </w:r>
            <w:r>
              <w:rPr>
                <w:rStyle w:val="IndexLink"/>
                <w:rtl w:val="true"/>
              </w:rPr>
              <w:t>علامه حلی</w:t>
            </w:r>
            <w:r>
              <w:rPr>
                <w:rStyle w:val="IndexLink"/>
                <w:rtl w:val="true"/>
              </w:rPr>
              <w:tab/>
            </w:r>
            <w:r>
              <w:rPr>
                <w:rStyle w:val="IndexLink"/>
              </w:rPr>
              <w:t>118</w:t>
            </w:r>
          </w:hyperlink>
        </w:p>
        <w:p>
          <w:pPr>
            <w:pStyle w:val="Contents5"/>
            <w:tabs>
              <w:tab w:val="clear" w:pos="7892"/>
              <w:tab w:val="right" w:pos="9026" w:leader="dot"/>
            </w:tabs>
            <w:rPr/>
          </w:pPr>
          <w:hyperlink w:anchor="__RefHeading___Toc3419796_581953129">
            <w:r>
              <w:rPr>
                <w:webHidden/>
                <w:rStyle w:val="IndexLink"/>
              </w:rPr>
              <w:t>4</w:t>
            </w:r>
            <w:r>
              <w:rPr>
                <w:rStyle w:val="IndexLink"/>
                <w:rtl w:val="true"/>
              </w:rPr>
              <w:t>-</w:t>
            </w:r>
            <w:r>
              <w:rPr>
                <w:rStyle w:val="IndexLink"/>
                <w:rtl w:val="true"/>
              </w:rPr>
              <w:t>فخر المحققین</w:t>
            </w:r>
            <w:r>
              <w:rPr>
                <w:rStyle w:val="IndexLink"/>
                <w:rtl w:val="true"/>
              </w:rPr>
              <w:tab/>
            </w:r>
            <w:r>
              <w:rPr>
                <w:rStyle w:val="IndexLink"/>
              </w:rPr>
              <w:t>118</w:t>
            </w:r>
          </w:hyperlink>
        </w:p>
        <w:p>
          <w:pPr>
            <w:pStyle w:val="Contents5"/>
            <w:tabs>
              <w:tab w:val="clear" w:pos="7892"/>
              <w:tab w:val="right" w:pos="9026" w:leader="dot"/>
            </w:tabs>
            <w:rPr/>
          </w:pPr>
          <w:hyperlink w:anchor="__RefHeading___Toc3419798_581953129">
            <w:r>
              <w:rPr>
                <w:webHidden/>
                <w:rStyle w:val="IndexLink"/>
              </w:rPr>
              <w:t>5</w:t>
            </w:r>
            <w:r>
              <w:rPr>
                <w:rStyle w:val="IndexLink"/>
                <w:rtl w:val="true"/>
              </w:rPr>
              <w:t>-</w:t>
            </w:r>
            <w:r>
              <w:rPr>
                <w:rStyle w:val="IndexLink"/>
                <w:rtl w:val="true"/>
              </w:rPr>
              <w:t>ابن ابی‌جمهور</w:t>
            </w:r>
            <w:r>
              <w:rPr>
                <w:rStyle w:val="IndexLink"/>
                <w:rtl w:val="true"/>
              </w:rPr>
              <w:tab/>
            </w:r>
            <w:r>
              <w:rPr>
                <w:rStyle w:val="IndexLink"/>
              </w:rPr>
              <w:t>119</w:t>
            </w:r>
          </w:hyperlink>
        </w:p>
        <w:p>
          <w:pPr>
            <w:pStyle w:val="Contents4"/>
            <w:tabs>
              <w:tab w:val="clear" w:pos="8176"/>
              <w:tab w:val="right" w:pos="9026" w:leader="dot"/>
            </w:tabs>
            <w:rPr/>
          </w:pPr>
          <w:hyperlink w:anchor="__RefHeading___Toc3419800_581953129">
            <w:r>
              <w:rPr>
                <w:webHidden/>
                <w:rStyle w:val="IndexLink"/>
                <w:rtl w:val="true"/>
              </w:rPr>
              <w:t>متأخر المتأخرین</w:t>
            </w:r>
            <w:r>
              <w:rPr>
                <w:rStyle w:val="IndexLink"/>
                <w:rtl w:val="true"/>
              </w:rPr>
              <w:t>(</w:t>
            </w:r>
            <w:r>
              <w:rPr>
                <w:rStyle w:val="IndexLink"/>
                <w:rtl w:val="true"/>
              </w:rPr>
              <w:t>مقدس اردبیلی تا معاصران</w:t>
            </w:r>
            <w:r>
              <w:rPr>
                <w:rStyle w:val="IndexLink"/>
                <w:rtl w:val="true"/>
              </w:rPr>
              <w:t>)</w:t>
              <w:tab/>
            </w:r>
            <w:r>
              <w:rPr>
                <w:rStyle w:val="IndexLink"/>
              </w:rPr>
              <w:t>119</w:t>
            </w:r>
          </w:hyperlink>
        </w:p>
        <w:p>
          <w:pPr>
            <w:pStyle w:val="Contents5"/>
            <w:tabs>
              <w:tab w:val="clear" w:pos="7892"/>
              <w:tab w:val="right" w:pos="9026" w:leader="dot"/>
            </w:tabs>
            <w:rPr/>
          </w:pPr>
          <w:hyperlink w:anchor="__RefHeading___Toc3419802_581953129">
            <w:r>
              <w:rPr>
                <w:webHidden/>
                <w:rStyle w:val="IndexLink"/>
              </w:rPr>
              <w:t>1</w:t>
            </w:r>
            <w:r>
              <w:rPr>
                <w:rStyle w:val="IndexLink"/>
                <w:rtl w:val="true"/>
              </w:rPr>
              <w:t>-</w:t>
            </w:r>
            <w:r>
              <w:rPr>
                <w:rStyle w:val="IndexLink"/>
                <w:rtl w:val="true"/>
              </w:rPr>
              <w:t>مقدس اردبیلی</w:t>
            </w:r>
            <w:r>
              <w:rPr>
                <w:rStyle w:val="IndexLink"/>
                <w:rtl w:val="true"/>
              </w:rPr>
              <w:tab/>
            </w:r>
            <w:r>
              <w:rPr>
                <w:rStyle w:val="IndexLink"/>
              </w:rPr>
              <w:t>119</w:t>
            </w:r>
          </w:hyperlink>
        </w:p>
        <w:p>
          <w:pPr>
            <w:pStyle w:val="Contents5"/>
            <w:tabs>
              <w:tab w:val="clear" w:pos="7892"/>
              <w:tab w:val="right" w:pos="9026" w:leader="dot"/>
            </w:tabs>
            <w:rPr/>
          </w:pPr>
          <w:hyperlink w:anchor="__RefHeading___Toc3419804_581953129">
            <w:r>
              <w:rPr>
                <w:webHidden/>
                <w:rStyle w:val="IndexLink"/>
              </w:rPr>
              <w:t>2</w:t>
            </w:r>
            <w:r>
              <w:rPr>
                <w:rStyle w:val="IndexLink"/>
                <w:rtl w:val="true"/>
              </w:rPr>
              <w:t>-</w:t>
            </w:r>
            <w:r>
              <w:rPr>
                <w:rStyle w:val="IndexLink"/>
                <w:rtl w:val="true"/>
              </w:rPr>
              <w:t>شیخ بهایی</w:t>
            </w:r>
            <w:r>
              <w:rPr>
                <w:rStyle w:val="IndexLink"/>
                <w:rtl w:val="true"/>
              </w:rPr>
              <w:tab/>
            </w:r>
            <w:r>
              <w:rPr>
                <w:rStyle w:val="IndexLink"/>
              </w:rPr>
              <w:t>119</w:t>
            </w:r>
          </w:hyperlink>
        </w:p>
        <w:p>
          <w:pPr>
            <w:pStyle w:val="Contents5"/>
            <w:tabs>
              <w:tab w:val="clear" w:pos="7892"/>
              <w:tab w:val="right" w:pos="9026" w:leader="dot"/>
            </w:tabs>
            <w:rPr/>
          </w:pPr>
          <w:hyperlink w:anchor="__RefHeading___Toc3419806_581953129">
            <w:r>
              <w:rPr>
                <w:webHidden/>
                <w:rStyle w:val="IndexLink"/>
              </w:rPr>
              <w:t>3</w:t>
            </w:r>
            <w:r>
              <w:rPr>
                <w:rStyle w:val="IndexLink"/>
                <w:rtl w:val="true"/>
              </w:rPr>
              <w:t>-</w:t>
            </w:r>
            <w:r>
              <w:rPr>
                <w:rStyle w:val="IndexLink"/>
                <w:rtl w:val="true"/>
              </w:rPr>
              <w:t>میرزای قمی</w:t>
            </w:r>
            <w:r>
              <w:rPr>
                <w:rStyle w:val="IndexLink"/>
                <w:rtl w:val="true"/>
              </w:rPr>
              <w:tab/>
            </w:r>
            <w:r>
              <w:rPr>
                <w:rStyle w:val="IndexLink"/>
              </w:rPr>
              <w:t>120</w:t>
            </w:r>
          </w:hyperlink>
        </w:p>
        <w:p>
          <w:pPr>
            <w:pStyle w:val="Contents5"/>
            <w:tabs>
              <w:tab w:val="clear" w:pos="7892"/>
              <w:tab w:val="right" w:pos="9026" w:leader="dot"/>
            </w:tabs>
            <w:rPr/>
          </w:pPr>
          <w:hyperlink w:anchor="__RefHeading___Toc3419808_581953129">
            <w:r>
              <w:rPr>
                <w:webHidden/>
                <w:rStyle w:val="IndexLink"/>
              </w:rPr>
              <w:t>4</w:t>
            </w:r>
            <w:r>
              <w:rPr>
                <w:rStyle w:val="IndexLink"/>
                <w:rtl w:val="true"/>
              </w:rPr>
              <w:t>-</w:t>
            </w:r>
            <w:r>
              <w:rPr>
                <w:rStyle w:val="IndexLink"/>
                <w:rtl w:val="true"/>
              </w:rPr>
              <w:t>شیخ انصاری</w:t>
            </w:r>
            <w:r>
              <w:rPr>
                <w:rStyle w:val="IndexLink"/>
                <w:rtl w:val="true"/>
              </w:rPr>
              <w:tab/>
            </w:r>
            <w:r>
              <w:rPr>
                <w:rStyle w:val="IndexLink"/>
              </w:rPr>
              <w:t>120</w:t>
            </w:r>
          </w:hyperlink>
        </w:p>
        <w:p>
          <w:pPr>
            <w:pStyle w:val="Contents5"/>
            <w:tabs>
              <w:tab w:val="clear" w:pos="7892"/>
              <w:tab w:val="right" w:pos="9026" w:leader="dot"/>
            </w:tabs>
            <w:rPr/>
          </w:pPr>
          <w:hyperlink w:anchor="__RefHeading___Toc3419810_581953129">
            <w:r>
              <w:rPr>
                <w:webHidden/>
                <w:rStyle w:val="IndexLink"/>
              </w:rPr>
              <w:t>5</w:t>
            </w:r>
            <w:r>
              <w:rPr>
                <w:rStyle w:val="IndexLink"/>
                <w:rtl w:val="true"/>
              </w:rPr>
              <w:t>-</w:t>
            </w:r>
            <w:r>
              <w:rPr>
                <w:rStyle w:val="IndexLink"/>
                <w:rtl w:val="true"/>
              </w:rPr>
              <w:t>فقهای مشروطه‌خواه</w:t>
            </w:r>
            <w:r>
              <w:rPr>
                <w:rStyle w:val="IndexLink"/>
                <w:rtl w:val="true"/>
              </w:rPr>
              <w:tab/>
            </w:r>
            <w:r>
              <w:rPr>
                <w:rStyle w:val="IndexLink"/>
              </w:rPr>
              <w:t>122</w:t>
            </w:r>
          </w:hyperlink>
        </w:p>
        <w:p>
          <w:pPr>
            <w:pStyle w:val="Contents4"/>
            <w:tabs>
              <w:tab w:val="clear" w:pos="8176"/>
              <w:tab w:val="right" w:pos="9026" w:leader="dot"/>
            </w:tabs>
            <w:rPr/>
          </w:pPr>
          <w:hyperlink w:anchor="__RefHeading___Toc3419812_581953129">
            <w:r>
              <w:rPr>
                <w:webHidden/>
                <w:rStyle w:val="IndexLink"/>
                <w:rtl w:val="true"/>
              </w:rPr>
              <w:t>فقهای معاصر</w:t>
            </w:r>
            <w:r>
              <w:rPr>
                <w:rStyle w:val="IndexLink"/>
                <w:rtl w:val="true"/>
              </w:rPr>
              <w:tab/>
            </w:r>
            <w:r>
              <w:rPr>
                <w:rStyle w:val="IndexLink"/>
              </w:rPr>
              <w:t>123</w:t>
            </w:r>
          </w:hyperlink>
        </w:p>
        <w:p>
          <w:pPr>
            <w:pStyle w:val="Contents5"/>
            <w:tabs>
              <w:tab w:val="clear" w:pos="7892"/>
              <w:tab w:val="right" w:pos="9026" w:leader="dot"/>
            </w:tabs>
            <w:rPr/>
          </w:pPr>
          <w:hyperlink w:anchor="__RefHeading___Toc3419814_581953129">
            <w:r>
              <w:rPr>
                <w:webHidden/>
                <w:rStyle w:val="IndexLink"/>
              </w:rPr>
              <w:t>1</w:t>
            </w:r>
            <w:r>
              <w:rPr>
                <w:rStyle w:val="IndexLink"/>
                <w:rtl w:val="true"/>
              </w:rPr>
              <w:t>-</w:t>
            </w:r>
            <w:r>
              <w:rPr>
                <w:rStyle w:val="IndexLink"/>
                <w:rtl w:val="true"/>
              </w:rPr>
              <w:t>سید احمد خوانساری</w:t>
            </w:r>
            <w:r>
              <w:rPr>
                <w:rStyle w:val="IndexLink"/>
                <w:rtl w:val="true"/>
              </w:rPr>
              <w:tab/>
            </w:r>
            <w:r>
              <w:rPr>
                <w:rStyle w:val="IndexLink"/>
              </w:rPr>
              <w:t>123</w:t>
            </w:r>
          </w:hyperlink>
        </w:p>
        <w:p>
          <w:pPr>
            <w:pStyle w:val="Contents5"/>
            <w:tabs>
              <w:tab w:val="clear" w:pos="7892"/>
              <w:tab w:val="right" w:pos="9026" w:leader="dot"/>
            </w:tabs>
            <w:rPr/>
          </w:pPr>
          <w:hyperlink w:anchor="__RefHeading___Toc3419816_581953129">
            <w:r>
              <w:rPr>
                <w:webHidden/>
                <w:rStyle w:val="IndexLink"/>
              </w:rPr>
              <w:t>2</w:t>
            </w:r>
            <w:r>
              <w:rPr>
                <w:rStyle w:val="IndexLink"/>
                <w:rtl w:val="true"/>
              </w:rPr>
              <w:t>-</w:t>
            </w:r>
            <w:r>
              <w:rPr>
                <w:rStyle w:val="IndexLink"/>
                <w:rtl w:val="true"/>
              </w:rPr>
              <w:t>سید محمد شیرازی</w:t>
            </w:r>
            <w:r>
              <w:rPr>
                <w:rStyle w:val="IndexLink"/>
                <w:rtl w:val="true"/>
              </w:rPr>
              <w:tab/>
            </w:r>
            <w:r>
              <w:rPr>
                <w:rStyle w:val="IndexLink"/>
              </w:rPr>
              <w:t>124</w:t>
            </w:r>
          </w:hyperlink>
        </w:p>
        <w:p>
          <w:pPr>
            <w:pStyle w:val="Contents3"/>
            <w:tabs>
              <w:tab w:val="clear" w:pos="8459"/>
              <w:tab w:val="right" w:pos="9026" w:leader="dot"/>
            </w:tabs>
            <w:rPr/>
          </w:pPr>
          <w:hyperlink w:anchor="__RefHeading___Toc3419818_581953129">
            <w:r>
              <w:rPr>
                <w:webHidden/>
                <w:rStyle w:val="IndexLink"/>
              </w:rPr>
              <w:t>2</w:t>
            </w:r>
            <w:r>
              <w:rPr>
                <w:rStyle w:val="IndexLink"/>
                <w:rtl w:val="true"/>
              </w:rPr>
              <w:t>-</w:t>
            </w:r>
            <w:r>
              <w:rPr>
                <w:rStyle w:val="IndexLink"/>
                <w:rtl w:val="true"/>
              </w:rPr>
              <w:t>دلایل دیدگاه عدم جواز اقامه حدود</w:t>
            </w:r>
            <w:r>
              <w:rPr>
                <w:rStyle w:val="IndexLink"/>
                <w:rtl w:val="true"/>
              </w:rPr>
              <w:tab/>
            </w:r>
            <w:r>
              <w:rPr>
                <w:rStyle w:val="IndexLink"/>
              </w:rPr>
              <w:t>127</w:t>
            </w:r>
          </w:hyperlink>
        </w:p>
        <w:p>
          <w:pPr>
            <w:pStyle w:val="Contents4"/>
            <w:tabs>
              <w:tab w:val="clear" w:pos="8176"/>
              <w:tab w:val="right" w:pos="9026" w:leader="dot"/>
            </w:tabs>
            <w:rPr/>
          </w:pPr>
          <w:hyperlink w:anchor="__RefHeading___Toc3419820_581953129">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3419822_581953129">
            <w:r>
              <w:rPr>
                <w:webHidden/>
                <w:rStyle w:val="IndexLink"/>
                <w:rtl w:val="true"/>
              </w:rPr>
              <w:t>دلایل تحلیلی</w:t>
            </w:r>
            <w:r>
              <w:rPr>
                <w:rStyle w:val="IndexLink"/>
                <w:rtl w:val="true"/>
              </w:rPr>
              <w:tab/>
            </w:r>
            <w:r>
              <w:rPr>
                <w:rStyle w:val="IndexLink"/>
              </w:rPr>
              <w:t>127</w:t>
            </w:r>
          </w:hyperlink>
        </w:p>
        <w:p>
          <w:pPr>
            <w:pStyle w:val="Contents5"/>
            <w:tabs>
              <w:tab w:val="clear" w:pos="7892"/>
              <w:tab w:val="right" w:pos="9026" w:leader="dot"/>
            </w:tabs>
            <w:rPr/>
          </w:pPr>
          <w:hyperlink w:anchor="__RefHeading___Toc3419824_58195312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3419826_581953129">
            <w:r>
              <w:rPr>
                <w:webHidden/>
                <w:rStyle w:val="IndexLink"/>
              </w:rPr>
              <w:t>1</w:t>
            </w:r>
            <w:r>
              <w:rPr>
                <w:rStyle w:val="IndexLink"/>
                <w:rtl w:val="true"/>
              </w:rPr>
              <w:t>-</w:t>
            </w:r>
            <w:r>
              <w:rPr>
                <w:rStyle w:val="IndexLink"/>
                <w:rtl w:val="true"/>
              </w:rPr>
              <w:t>لزوم شرایط اجتماعی خاص،برای اجرای حدود</w:t>
            </w:r>
            <w:r>
              <w:rPr>
                <w:rStyle w:val="IndexLink"/>
                <w:rtl w:val="true"/>
              </w:rPr>
              <w:tab/>
            </w:r>
            <w:r>
              <w:rPr>
                <w:rStyle w:val="IndexLink"/>
              </w:rPr>
              <w:t>127</w:t>
            </w:r>
          </w:hyperlink>
        </w:p>
        <w:p>
          <w:pPr>
            <w:pStyle w:val="Contents6"/>
            <w:tabs>
              <w:tab w:val="clear" w:pos="7609"/>
              <w:tab w:val="right" w:pos="9026" w:leader="dot"/>
            </w:tabs>
            <w:rPr/>
          </w:pPr>
          <w:hyperlink w:anchor="__RefHeading___Toc3419828_581953129">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3419830_581953129">
            <w:r>
              <w:rPr>
                <w:webHidden/>
                <w:rStyle w:val="IndexLink"/>
                <w:rtl w:val="true"/>
              </w:rPr>
              <w:t>الف</w:t>
            </w:r>
            <w:r>
              <w:rPr>
                <w:rStyle w:val="IndexLink"/>
                <w:rtl w:val="true"/>
              </w:rPr>
              <w:t>)</w:t>
            </w:r>
            <w:r>
              <w:rPr>
                <w:rStyle w:val="IndexLink"/>
                <w:rtl w:val="true"/>
              </w:rPr>
              <w:t>وجود انسان کامل در رأس مدیریت اجتماعی</w:t>
            </w:r>
            <w:r>
              <w:rPr>
                <w:rStyle w:val="IndexLink"/>
                <w:rtl w:val="true"/>
              </w:rPr>
              <w:tab/>
            </w:r>
            <w:r>
              <w:rPr>
                <w:rStyle w:val="IndexLink"/>
              </w:rPr>
              <w:t>129</w:t>
            </w:r>
          </w:hyperlink>
        </w:p>
        <w:p>
          <w:pPr>
            <w:pStyle w:val="Contents6"/>
            <w:tabs>
              <w:tab w:val="clear" w:pos="7609"/>
              <w:tab w:val="right" w:pos="9026" w:leader="dot"/>
            </w:tabs>
            <w:rPr/>
          </w:pPr>
          <w:hyperlink w:anchor="__RefHeading___Toc3419832_581953129">
            <w:r>
              <w:rPr>
                <w:webHidden/>
                <w:rStyle w:val="IndexLink"/>
                <w:rtl w:val="true"/>
              </w:rPr>
              <w:t>ب</w:t>
            </w:r>
            <w:r>
              <w:rPr>
                <w:rStyle w:val="IndexLink"/>
                <w:rtl w:val="true"/>
              </w:rPr>
              <w:t>)</w:t>
            </w:r>
            <w:r>
              <w:rPr>
                <w:rStyle w:val="IndexLink"/>
                <w:rtl w:val="true"/>
              </w:rPr>
              <w:t>جامعه توحیدی و مدینه فاضله</w:t>
            </w:r>
            <w:r>
              <w:rPr>
                <w:rStyle w:val="IndexLink"/>
                <w:rtl w:val="true"/>
              </w:rPr>
              <w:tab/>
            </w:r>
            <w:r>
              <w:rPr>
                <w:rStyle w:val="IndexLink"/>
              </w:rPr>
              <w:t>130</w:t>
            </w:r>
          </w:hyperlink>
        </w:p>
        <w:p>
          <w:pPr>
            <w:pStyle w:val="Contents6"/>
            <w:tabs>
              <w:tab w:val="clear" w:pos="7609"/>
              <w:tab w:val="right" w:pos="9026" w:leader="dot"/>
            </w:tabs>
            <w:rPr/>
          </w:pPr>
          <w:hyperlink w:anchor="__RefHeading___Toc3419834_581953129">
            <w:r>
              <w:rPr>
                <w:webHidden/>
                <w:rStyle w:val="IndexLink"/>
                <w:rtl w:val="true"/>
              </w:rPr>
              <w:t>ج</w:t>
            </w:r>
            <w:r>
              <w:rPr>
                <w:rStyle w:val="IndexLink"/>
                <w:rtl w:val="true"/>
              </w:rPr>
              <w:t>)</w:t>
            </w:r>
            <w:r>
              <w:rPr>
                <w:rStyle w:val="IndexLink"/>
                <w:rtl w:val="true"/>
              </w:rPr>
              <w:t>توجه به زمینه‌های اجتماعی جرم</w:t>
            </w:r>
            <w:r>
              <w:rPr>
                <w:rStyle w:val="IndexLink"/>
                <w:rtl w:val="true"/>
              </w:rPr>
              <w:tab/>
            </w:r>
            <w:r>
              <w:rPr>
                <w:rStyle w:val="IndexLink"/>
              </w:rPr>
              <w:t>134</w:t>
            </w:r>
          </w:hyperlink>
        </w:p>
        <w:p>
          <w:pPr>
            <w:pStyle w:val="Contents6"/>
            <w:tabs>
              <w:tab w:val="clear" w:pos="7609"/>
              <w:tab w:val="right" w:pos="9026" w:leader="dot"/>
            </w:tabs>
            <w:rPr/>
          </w:pPr>
          <w:hyperlink w:anchor="__RefHeading___Toc3419836_581953129">
            <w:r>
              <w:rPr>
                <w:webHidden/>
                <w:rStyle w:val="IndexLink"/>
                <w:rtl w:val="true"/>
              </w:rPr>
              <w:t>د</w:t>
            </w:r>
            <w:r>
              <w:rPr>
                <w:rStyle w:val="IndexLink"/>
                <w:rtl w:val="true"/>
              </w:rPr>
              <w:t>)</w:t>
            </w:r>
            <w:r>
              <w:rPr>
                <w:rStyle w:val="IndexLink"/>
                <w:rtl w:val="true"/>
              </w:rPr>
              <w:t>جامع‌نگری به احکام تربیتی اسلام</w:t>
            </w:r>
            <w:r>
              <w:rPr>
                <w:rStyle w:val="IndexLink"/>
                <w:rtl w:val="true"/>
              </w:rPr>
              <w:tab/>
            </w:r>
            <w:r>
              <w:rPr>
                <w:rStyle w:val="IndexLink"/>
              </w:rPr>
              <w:t>136</w:t>
            </w:r>
          </w:hyperlink>
        </w:p>
        <w:p>
          <w:pPr>
            <w:pStyle w:val="Contents5"/>
            <w:tabs>
              <w:tab w:val="clear" w:pos="7892"/>
              <w:tab w:val="right" w:pos="9026" w:leader="dot"/>
            </w:tabs>
            <w:rPr/>
          </w:pPr>
          <w:hyperlink w:anchor="__RefHeading___Toc3419838_581953129">
            <w:r>
              <w:rPr>
                <w:webHidden/>
                <w:rStyle w:val="IndexLink"/>
              </w:rPr>
              <w:t>2</w:t>
            </w:r>
            <w:r>
              <w:rPr>
                <w:rStyle w:val="IndexLink"/>
                <w:rtl w:val="true"/>
              </w:rPr>
              <w:t>-</w:t>
            </w:r>
            <w:r>
              <w:rPr>
                <w:rStyle w:val="IndexLink"/>
                <w:rtl w:val="true"/>
              </w:rPr>
              <w:t>عدم حجیت خبر واحد در احکام شدید کیفری</w:t>
            </w:r>
            <w:r>
              <w:rPr>
                <w:rStyle w:val="IndexLink"/>
                <w:rtl w:val="true"/>
              </w:rPr>
              <w:tab/>
            </w:r>
            <w:r>
              <w:rPr>
                <w:rStyle w:val="IndexLink"/>
              </w:rPr>
              <w:t>138</w:t>
            </w:r>
          </w:hyperlink>
        </w:p>
        <w:p>
          <w:pPr>
            <w:pStyle w:val="Contents6"/>
            <w:tabs>
              <w:tab w:val="clear" w:pos="7609"/>
              <w:tab w:val="right" w:pos="9026" w:leader="dot"/>
            </w:tabs>
            <w:rPr/>
          </w:pPr>
          <w:hyperlink w:anchor="__RefHeading___Toc3419840_581953129">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3419842_581953129">
            <w:r>
              <w:rPr>
                <w:webHidden/>
                <w:rStyle w:val="IndexLink"/>
                <w:rtl w:val="true"/>
              </w:rPr>
              <w:t>الف</w:t>
            </w:r>
            <w:r>
              <w:rPr>
                <w:rStyle w:val="IndexLink"/>
                <w:rtl w:val="true"/>
              </w:rPr>
              <w:t>)</w:t>
            </w:r>
            <w:r>
              <w:rPr>
                <w:rStyle w:val="IndexLink"/>
                <w:rtl w:val="true"/>
              </w:rPr>
              <w:t>دیدگاه‌های متناقض در حجیت خبر واحد</w:t>
            </w:r>
            <w:r>
              <w:rPr>
                <w:rStyle w:val="IndexLink"/>
                <w:rtl w:val="true"/>
              </w:rPr>
              <w:tab/>
            </w:r>
            <w:r>
              <w:rPr>
                <w:rStyle w:val="IndexLink"/>
              </w:rPr>
              <w:t>139</w:t>
            </w:r>
          </w:hyperlink>
        </w:p>
        <w:p>
          <w:pPr>
            <w:pStyle w:val="Contents6"/>
            <w:tabs>
              <w:tab w:val="clear" w:pos="7609"/>
              <w:tab w:val="right" w:pos="9026" w:leader="dot"/>
            </w:tabs>
            <w:rPr/>
          </w:pPr>
          <w:hyperlink w:anchor="__RefHeading___Toc3419844_581953129">
            <w:r>
              <w:rPr>
                <w:webHidden/>
                <w:rStyle w:val="IndexLink"/>
                <w:rtl w:val="true"/>
              </w:rPr>
              <w:t>یکم</w:t>
            </w:r>
            <w:r>
              <w:rPr>
                <w:rStyle w:val="IndexLink"/>
                <w:rtl w:val="true"/>
              </w:rPr>
              <w:t>)</w:t>
            </w:r>
            <w:r>
              <w:rPr>
                <w:rStyle w:val="IndexLink"/>
                <w:rtl w:val="true"/>
              </w:rPr>
              <w:t>انکار حجیت خبر واحد،به صورت مطلق</w:t>
            </w:r>
            <w:r>
              <w:rPr>
                <w:rStyle w:val="IndexLink"/>
                <w:rtl w:val="true"/>
              </w:rPr>
              <w:tab/>
            </w:r>
            <w:r>
              <w:rPr>
                <w:rStyle w:val="IndexLink"/>
              </w:rPr>
              <w:t>139</w:t>
            </w:r>
          </w:hyperlink>
        </w:p>
        <w:p>
          <w:pPr>
            <w:pStyle w:val="Contents6"/>
            <w:tabs>
              <w:tab w:val="clear" w:pos="7609"/>
              <w:tab w:val="right" w:pos="9026" w:leader="dot"/>
            </w:tabs>
            <w:rPr/>
          </w:pPr>
          <w:hyperlink w:anchor="__RefHeading___Toc3419846_581953129">
            <w:r>
              <w:rPr>
                <w:webHidden/>
                <w:rStyle w:val="IndexLink"/>
                <w:rtl w:val="true"/>
              </w:rPr>
              <w:t>دوم</w:t>
            </w:r>
            <w:r>
              <w:rPr>
                <w:rStyle w:val="IndexLink"/>
                <w:rtl w:val="true"/>
              </w:rPr>
              <w:t>)</w:t>
            </w:r>
            <w:r>
              <w:rPr>
                <w:rStyle w:val="IndexLink"/>
                <w:rtl w:val="true"/>
              </w:rPr>
              <w:t>اثبات حجیت خبر واحد،به صورت مطلق</w:t>
            </w:r>
            <w:r>
              <w:rPr>
                <w:rStyle w:val="IndexLink"/>
                <w:rtl w:val="true"/>
              </w:rPr>
              <w:tab/>
            </w:r>
            <w:r>
              <w:rPr>
                <w:rStyle w:val="IndexLink"/>
              </w:rPr>
              <w:t>139</w:t>
            </w:r>
          </w:hyperlink>
        </w:p>
        <w:p>
          <w:pPr>
            <w:pStyle w:val="Contents6"/>
            <w:tabs>
              <w:tab w:val="clear" w:pos="7609"/>
              <w:tab w:val="right" w:pos="9026" w:leader="dot"/>
            </w:tabs>
            <w:rPr/>
          </w:pPr>
          <w:hyperlink w:anchor="__RefHeading___Toc3419848_581953129">
            <w:r>
              <w:rPr>
                <w:webHidden/>
                <w:rStyle w:val="IndexLink"/>
                <w:rtl w:val="true"/>
              </w:rPr>
              <w:t>سوم</w:t>
            </w:r>
            <w:r>
              <w:rPr>
                <w:rStyle w:val="IndexLink"/>
                <w:rtl w:val="true"/>
              </w:rPr>
              <w:t>)</w:t>
            </w:r>
            <w:r>
              <w:rPr>
                <w:rStyle w:val="IndexLink"/>
                <w:rtl w:val="true"/>
              </w:rPr>
              <w:t>حجیت خبر عادل امامی</w:t>
            </w:r>
            <w:r>
              <w:rPr>
                <w:rStyle w:val="IndexLink"/>
                <w:rtl w:val="true"/>
              </w:rPr>
              <w:tab/>
            </w:r>
            <w:r>
              <w:rPr>
                <w:rStyle w:val="IndexLink"/>
              </w:rPr>
              <w:t>140</w:t>
            </w:r>
          </w:hyperlink>
        </w:p>
        <w:p>
          <w:pPr>
            <w:pStyle w:val="Contents6"/>
            <w:tabs>
              <w:tab w:val="clear" w:pos="7609"/>
              <w:tab w:val="right" w:pos="9026" w:leader="dot"/>
            </w:tabs>
            <w:rPr/>
          </w:pPr>
          <w:hyperlink w:anchor="__RefHeading___Toc3419850_581953129">
            <w:r>
              <w:rPr>
                <w:webHidden/>
                <w:rStyle w:val="IndexLink"/>
                <w:rtl w:val="true"/>
              </w:rPr>
              <w:t>چهارم</w:t>
            </w:r>
            <w:r>
              <w:rPr>
                <w:rStyle w:val="IndexLink"/>
                <w:rtl w:val="true"/>
              </w:rPr>
              <w:t>)</w:t>
            </w:r>
            <w:r>
              <w:rPr>
                <w:rStyle w:val="IndexLink"/>
                <w:rtl w:val="true"/>
              </w:rPr>
              <w:t>حجیت خبر موثوق الصدور</w:t>
            </w:r>
            <w:r>
              <w:rPr>
                <w:rStyle w:val="IndexLink"/>
                <w:rtl w:val="true"/>
              </w:rPr>
              <w:tab/>
            </w:r>
            <w:r>
              <w:rPr>
                <w:rStyle w:val="IndexLink"/>
              </w:rPr>
              <w:t>141</w:t>
            </w:r>
          </w:hyperlink>
        </w:p>
        <w:p>
          <w:pPr>
            <w:pStyle w:val="Contents6"/>
            <w:tabs>
              <w:tab w:val="clear" w:pos="7609"/>
              <w:tab w:val="right" w:pos="9026" w:leader="dot"/>
            </w:tabs>
            <w:rPr/>
          </w:pPr>
          <w:hyperlink w:anchor="__RefHeading___Toc3419852_581953129">
            <w:r>
              <w:rPr>
                <w:webHidden/>
                <w:rStyle w:val="IndexLink"/>
                <w:rtl w:val="true"/>
              </w:rPr>
              <w:t>ب</w:t>
            </w:r>
            <w:r>
              <w:rPr>
                <w:rStyle w:val="IndexLink"/>
                <w:rtl w:val="true"/>
              </w:rPr>
              <w:t>)</w:t>
            </w:r>
            <w:r>
              <w:rPr>
                <w:rStyle w:val="IndexLink"/>
                <w:rtl w:val="true"/>
              </w:rPr>
              <w:t>بررسی دیدگاه‌ها</w:t>
            </w:r>
            <w:r>
              <w:rPr>
                <w:rStyle w:val="IndexLink"/>
                <w:rtl w:val="true"/>
              </w:rPr>
              <w:tab/>
            </w:r>
            <w:r>
              <w:rPr>
                <w:rStyle w:val="IndexLink"/>
              </w:rPr>
              <w:t>143</w:t>
            </w:r>
          </w:hyperlink>
        </w:p>
        <w:p>
          <w:pPr>
            <w:pStyle w:val="Contents6"/>
            <w:tabs>
              <w:tab w:val="clear" w:pos="7609"/>
              <w:tab w:val="right" w:pos="9026" w:leader="dot"/>
            </w:tabs>
            <w:rPr/>
          </w:pPr>
          <w:hyperlink w:anchor="__RefHeading___Toc3419854_581953129">
            <w:r>
              <w:rPr>
                <w:webHidden/>
                <w:rStyle w:val="IndexLink"/>
                <w:rtl w:val="true"/>
              </w:rPr>
              <w:t>ج</w:t>
            </w:r>
            <w:r>
              <w:rPr>
                <w:rStyle w:val="IndexLink"/>
                <w:rtl w:val="true"/>
              </w:rPr>
              <w:t>)</w:t>
            </w:r>
            <w:r>
              <w:rPr>
                <w:rStyle w:val="IndexLink"/>
                <w:rtl w:val="true"/>
              </w:rPr>
              <w:t>شبهه عدم حجیت خبر واحد در احکام شدید کیفری</w:t>
            </w:r>
            <w:r>
              <w:rPr>
                <w:rStyle w:val="IndexLink"/>
                <w:rtl w:val="true"/>
              </w:rPr>
              <w:tab/>
            </w:r>
            <w:r>
              <w:rPr>
                <w:rStyle w:val="IndexLink"/>
              </w:rPr>
              <w:t>144</w:t>
            </w:r>
          </w:hyperlink>
        </w:p>
        <w:p>
          <w:pPr>
            <w:pStyle w:val="Contents6"/>
            <w:tabs>
              <w:tab w:val="clear" w:pos="7609"/>
              <w:tab w:val="right" w:pos="9026" w:leader="dot"/>
            </w:tabs>
            <w:rPr/>
          </w:pPr>
          <w:hyperlink w:anchor="__RefHeading___Toc3419856_581953129">
            <w:r>
              <w:rPr>
                <w:webHidden/>
                <w:rStyle w:val="IndexLink"/>
                <w:rtl w:val="true"/>
              </w:rPr>
              <w:t>د</w:t>
            </w:r>
            <w:r>
              <w:rPr>
                <w:rStyle w:val="IndexLink"/>
                <w:rtl w:val="true"/>
              </w:rPr>
              <w:t>)</w:t>
            </w:r>
            <w:r>
              <w:rPr>
                <w:rStyle w:val="IndexLink"/>
                <w:rtl w:val="true"/>
              </w:rPr>
              <w:t>بررسی شبهه</w:t>
            </w:r>
            <w:r>
              <w:rPr>
                <w:rStyle w:val="IndexLink"/>
                <w:rtl w:val="true"/>
              </w:rPr>
              <w:tab/>
            </w:r>
            <w:r>
              <w:rPr>
                <w:rStyle w:val="IndexLink"/>
              </w:rPr>
              <w:t>145</w:t>
            </w:r>
          </w:hyperlink>
        </w:p>
        <w:p>
          <w:pPr>
            <w:pStyle w:val="Contents6"/>
            <w:tabs>
              <w:tab w:val="clear" w:pos="7609"/>
              <w:tab w:val="right" w:pos="9026" w:leader="dot"/>
            </w:tabs>
            <w:rPr/>
          </w:pPr>
          <w:hyperlink w:anchor="__RefHeading___Toc3419858_581953129">
            <w:r>
              <w:rPr>
                <w:webHidden/>
                <w:rStyle w:val="IndexLink"/>
                <w:rtl w:val="true"/>
              </w:rPr>
              <w:t>ه</w:t>
            </w:r>
            <w:r>
              <w:rPr>
                <w:rStyle w:val="IndexLink"/>
                <w:rtl w:val="true"/>
              </w:rPr>
              <w:t>)</w:t>
            </w:r>
            <w:r>
              <w:rPr>
                <w:rStyle w:val="IndexLink"/>
                <w:rtl w:val="true"/>
              </w:rPr>
              <w:t>چند نکته</w:t>
            </w:r>
            <w:r>
              <w:rPr>
                <w:rStyle w:val="IndexLink"/>
                <w:rtl w:val="true"/>
              </w:rPr>
              <w:tab/>
            </w:r>
            <w:r>
              <w:rPr>
                <w:rStyle w:val="IndexLink"/>
              </w:rPr>
              <w:t>147</w:t>
            </w:r>
          </w:hyperlink>
        </w:p>
        <w:p>
          <w:pPr>
            <w:pStyle w:val="Contents6"/>
            <w:tabs>
              <w:tab w:val="clear" w:pos="7609"/>
              <w:tab w:val="right" w:pos="9026" w:leader="dot"/>
            </w:tabs>
            <w:rPr/>
          </w:pPr>
          <w:hyperlink w:anchor="__RefHeading___Toc3419860_581953129">
            <w:r>
              <w:rPr>
                <w:webHidden/>
                <w:rStyle w:val="IndexLink"/>
                <w:rtl w:val="true"/>
              </w:rPr>
              <w:t>یکم</w:t>
            </w:r>
            <w:r>
              <w:rPr>
                <w:rStyle w:val="IndexLink"/>
                <w:rtl w:val="true"/>
              </w:rPr>
              <w:t>)</w:t>
            </w:r>
            <w:r>
              <w:rPr>
                <w:rStyle w:val="IndexLink"/>
                <w:rtl w:val="true"/>
              </w:rPr>
              <w:t>نظر نگارنده</w:t>
            </w:r>
            <w:r>
              <w:rPr>
                <w:rStyle w:val="IndexLink"/>
                <w:rtl w:val="true"/>
              </w:rPr>
              <w:tab/>
            </w:r>
            <w:r>
              <w:rPr>
                <w:rStyle w:val="IndexLink"/>
              </w:rPr>
              <w:t>147</w:t>
            </w:r>
          </w:hyperlink>
        </w:p>
        <w:p>
          <w:pPr>
            <w:pStyle w:val="Contents6"/>
            <w:tabs>
              <w:tab w:val="clear" w:pos="7609"/>
              <w:tab w:val="right" w:pos="9026" w:leader="dot"/>
            </w:tabs>
            <w:rPr/>
          </w:pPr>
          <w:hyperlink w:anchor="__RefHeading___Toc3419862_581953129">
            <w:r>
              <w:rPr>
                <w:webHidden/>
                <w:rStyle w:val="IndexLink"/>
                <w:rtl w:val="true"/>
              </w:rPr>
              <w:t>دوم</w:t>
            </w:r>
            <w:r>
              <w:rPr>
                <w:rStyle w:val="IndexLink"/>
                <w:rtl w:val="true"/>
              </w:rPr>
              <w:t>)</w:t>
            </w:r>
            <w:r>
              <w:rPr>
                <w:rStyle w:val="IndexLink"/>
                <w:rtl w:val="true"/>
              </w:rPr>
              <w:t>امکان تعطیل برخی حدود</w:t>
            </w:r>
            <w:r>
              <w:rPr>
                <w:rStyle w:val="IndexLink"/>
                <w:rtl w:val="true"/>
              </w:rPr>
              <w:tab/>
            </w:r>
            <w:r>
              <w:rPr>
                <w:rStyle w:val="IndexLink"/>
              </w:rPr>
              <w:t>147</w:t>
            </w:r>
          </w:hyperlink>
        </w:p>
        <w:p>
          <w:pPr>
            <w:pStyle w:val="Contents6"/>
            <w:tabs>
              <w:tab w:val="clear" w:pos="7609"/>
              <w:tab w:val="right" w:pos="9026" w:leader="dot"/>
            </w:tabs>
            <w:rPr/>
          </w:pPr>
          <w:hyperlink w:anchor="__RefHeading___Toc3419864_581953129">
            <w:r>
              <w:rPr>
                <w:webHidden/>
                <w:rStyle w:val="IndexLink"/>
                <w:rtl w:val="true"/>
              </w:rPr>
              <w:t>سوم</w:t>
            </w:r>
            <w:r>
              <w:rPr>
                <w:rStyle w:val="IndexLink"/>
                <w:rtl w:val="true"/>
              </w:rPr>
              <w:t>)</w:t>
            </w:r>
            <w:r>
              <w:rPr>
                <w:rStyle w:val="IndexLink"/>
                <w:rtl w:val="true"/>
              </w:rPr>
              <w:t>تمایز میان احکام قضایی و احکام کلی</w:t>
            </w:r>
            <w:r>
              <w:rPr>
                <w:rStyle w:val="IndexLink"/>
                <w:rtl w:val="true"/>
              </w:rPr>
              <w:tab/>
            </w:r>
            <w:r>
              <w:rPr>
                <w:rStyle w:val="IndexLink"/>
              </w:rPr>
              <w:t>149</w:t>
            </w:r>
          </w:hyperlink>
        </w:p>
        <w:p>
          <w:pPr>
            <w:pStyle w:val="Contents4"/>
            <w:tabs>
              <w:tab w:val="clear" w:pos="8176"/>
              <w:tab w:val="right" w:pos="9026" w:leader="dot"/>
            </w:tabs>
            <w:rPr/>
          </w:pPr>
          <w:hyperlink w:anchor="__RefHeading___Toc3419866_581953129">
            <w:r>
              <w:rPr>
                <w:webHidden/>
                <w:rStyle w:val="IndexLink"/>
                <w:rtl w:val="true"/>
              </w:rPr>
              <w:t>دلایل نقلی</w:t>
            </w:r>
            <w:r>
              <w:rPr>
                <w:rStyle w:val="IndexLink"/>
                <w:rtl w:val="true"/>
              </w:rPr>
              <w:tab/>
            </w:r>
            <w:r>
              <w:rPr>
                <w:rStyle w:val="IndexLink"/>
              </w:rPr>
              <w:t>149</w:t>
            </w:r>
          </w:hyperlink>
        </w:p>
        <w:p>
          <w:pPr>
            <w:pStyle w:val="Contents5"/>
            <w:tabs>
              <w:tab w:val="clear" w:pos="7892"/>
              <w:tab w:val="right" w:pos="9026" w:leader="dot"/>
            </w:tabs>
            <w:rPr/>
          </w:pPr>
          <w:hyperlink w:anchor="__RefHeading___Toc3419868_581953129">
            <w:r>
              <w:rPr>
                <w:webHidden/>
                <w:rStyle w:val="IndexLink"/>
              </w:rPr>
              <w:t>1</w:t>
            </w:r>
            <w:r>
              <w:rPr>
                <w:rStyle w:val="IndexLink"/>
                <w:rtl w:val="true"/>
              </w:rPr>
              <w:t>-</w:t>
            </w:r>
            <w:r>
              <w:rPr>
                <w:rStyle w:val="IndexLink"/>
                <w:rtl w:val="true"/>
              </w:rPr>
              <w:t>اجماع منقول از ابن‌ادریس و ابن‌زهره</w:t>
            </w:r>
            <w:r>
              <w:rPr>
                <w:rStyle w:val="IndexLink"/>
                <w:rtl w:val="true"/>
              </w:rPr>
              <w:tab/>
            </w:r>
            <w:r>
              <w:rPr>
                <w:rStyle w:val="IndexLink"/>
              </w:rPr>
              <w:t>149</w:t>
            </w:r>
          </w:hyperlink>
        </w:p>
        <w:p>
          <w:pPr>
            <w:pStyle w:val="Contents6"/>
            <w:tabs>
              <w:tab w:val="clear" w:pos="7609"/>
              <w:tab w:val="right" w:pos="9026" w:leader="dot"/>
            </w:tabs>
            <w:rPr/>
          </w:pPr>
          <w:hyperlink w:anchor="__RefHeading___Toc3419870_581953129">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3419872_581953129">
            <w:r>
              <w:rPr>
                <w:webHidden/>
                <w:rStyle w:val="IndexLink"/>
                <w:rtl w:val="true"/>
              </w:rPr>
              <w:t>الف</w:t>
            </w:r>
            <w:r>
              <w:rPr>
                <w:rStyle w:val="IndexLink"/>
                <w:rtl w:val="true"/>
              </w:rPr>
              <w:t>)</w:t>
            </w:r>
            <w:r>
              <w:rPr>
                <w:rStyle w:val="IndexLink"/>
                <w:rtl w:val="true"/>
              </w:rPr>
              <w:t>احتمال‌ها در تفسیر ظاهر کلام ابن‌ادریس</w:t>
            </w:r>
            <w:r>
              <w:rPr>
                <w:rStyle w:val="IndexLink"/>
                <w:rtl w:val="true"/>
              </w:rPr>
              <w:tab/>
            </w:r>
            <w:r>
              <w:rPr>
                <w:rStyle w:val="IndexLink"/>
              </w:rPr>
              <w:t>151</w:t>
            </w:r>
          </w:hyperlink>
        </w:p>
        <w:p>
          <w:pPr>
            <w:pStyle w:val="Contents6"/>
            <w:tabs>
              <w:tab w:val="clear" w:pos="7609"/>
              <w:tab w:val="right" w:pos="9026" w:leader="dot"/>
            </w:tabs>
            <w:rPr/>
          </w:pPr>
          <w:hyperlink w:anchor="__RefHeading___Toc3419874_581953129">
            <w:r>
              <w:rPr>
                <w:webHidden/>
                <w:rStyle w:val="IndexLink"/>
                <w:rtl w:val="true"/>
              </w:rPr>
              <w:t>ب</w:t>
            </w:r>
            <w:r>
              <w:rPr>
                <w:rStyle w:val="IndexLink"/>
                <w:rtl w:val="true"/>
              </w:rPr>
              <w:t>)</w:t>
            </w:r>
            <w:r>
              <w:rPr>
                <w:rStyle w:val="IndexLink"/>
                <w:rtl w:val="true"/>
              </w:rPr>
              <w:t>بررسی احتمالات</w:t>
            </w:r>
            <w:r>
              <w:rPr>
                <w:rStyle w:val="IndexLink"/>
                <w:rtl w:val="true"/>
              </w:rPr>
              <w:tab/>
            </w:r>
            <w:r>
              <w:rPr>
                <w:rStyle w:val="IndexLink"/>
              </w:rPr>
              <w:t>152</w:t>
            </w:r>
          </w:hyperlink>
        </w:p>
        <w:p>
          <w:pPr>
            <w:pStyle w:val="Contents6"/>
            <w:tabs>
              <w:tab w:val="clear" w:pos="7609"/>
              <w:tab w:val="right" w:pos="9026" w:leader="dot"/>
            </w:tabs>
            <w:rPr/>
          </w:pPr>
          <w:hyperlink w:anchor="__RefHeading___Toc3419876_581953129">
            <w:r>
              <w:rPr>
                <w:webHidden/>
                <w:rStyle w:val="IndexLink"/>
                <w:rtl w:val="true"/>
              </w:rPr>
              <w:t>یکم</w:t>
            </w:r>
            <w:r>
              <w:rPr>
                <w:rStyle w:val="IndexLink"/>
                <w:rtl w:val="true"/>
              </w:rPr>
              <w:t>)</w:t>
            </w:r>
            <w:r>
              <w:rPr>
                <w:rStyle w:val="IndexLink"/>
                <w:rtl w:val="true"/>
              </w:rPr>
              <w:t>اختصاص اقامه حدود به معصومان علیه السلام و نایبان خاص</w:t>
            </w:r>
            <w:r>
              <w:rPr>
                <w:rStyle w:val="IndexLink"/>
                <w:rtl w:val="true"/>
              </w:rPr>
              <w:tab/>
            </w:r>
            <w:r>
              <w:rPr>
                <w:rStyle w:val="IndexLink"/>
              </w:rPr>
              <w:t>152</w:t>
            </w:r>
          </w:hyperlink>
        </w:p>
        <w:p>
          <w:pPr>
            <w:pStyle w:val="Contents6"/>
            <w:tabs>
              <w:tab w:val="clear" w:pos="7609"/>
              <w:tab w:val="right" w:pos="9026" w:leader="dot"/>
            </w:tabs>
            <w:rPr/>
          </w:pPr>
          <w:hyperlink w:anchor="__RefHeading___Toc3419878_581953129">
            <w:r>
              <w:rPr>
                <w:webHidden/>
                <w:rStyle w:val="IndexLink"/>
                <w:rtl w:val="true"/>
              </w:rPr>
              <w:t>دوم</w:t>
            </w:r>
            <w:r>
              <w:rPr>
                <w:rStyle w:val="IndexLink"/>
                <w:rtl w:val="true"/>
              </w:rPr>
              <w:t>)</w:t>
            </w:r>
            <w:r>
              <w:rPr>
                <w:rStyle w:val="IndexLink"/>
                <w:rtl w:val="true"/>
              </w:rPr>
              <w:t>جواز اقامه حدود از سوی معصومان علیهم السلام،نایبان خاص و نایبان عام</w:t>
            </w:r>
            <w:r>
              <w:rPr>
                <w:rStyle w:val="IndexLink"/>
                <w:rtl w:val="true"/>
              </w:rPr>
              <w:tab/>
            </w:r>
            <w:r>
              <w:rPr>
                <w:rStyle w:val="IndexLink"/>
              </w:rPr>
              <w:t>153</w:t>
            </w:r>
          </w:hyperlink>
        </w:p>
        <w:p>
          <w:pPr>
            <w:pStyle w:val="Contents6"/>
            <w:tabs>
              <w:tab w:val="clear" w:pos="7609"/>
              <w:tab w:val="right" w:pos="9026" w:leader="dot"/>
            </w:tabs>
            <w:rPr/>
          </w:pPr>
          <w:hyperlink w:anchor="__RefHeading___Toc3419880_581953129">
            <w:r>
              <w:rPr>
                <w:webHidden/>
                <w:rStyle w:val="IndexLink"/>
                <w:rtl w:val="true"/>
              </w:rPr>
              <w:t>سوم</w:t>
            </w:r>
            <w:r>
              <w:rPr>
                <w:rStyle w:val="IndexLink"/>
                <w:rtl w:val="true"/>
              </w:rPr>
              <w:t>)</w:t>
            </w:r>
            <w:r>
              <w:rPr>
                <w:rStyle w:val="IndexLink"/>
                <w:rtl w:val="true"/>
              </w:rPr>
              <w:t>انکار جواز تصدی از سوی ستمگران</w:t>
            </w:r>
            <w:r>
              <w:rPr>
                <w:rStyle w:val="IndexLink"/>
                <w:rtl w:val="true"/>
              </w:rPr>
              <w:tab/>
            </w:r>
            <w:r>
              <w:rPr>
                <w:rStyle w:val="IndexLink"/>
              </w:rPr>
              <w:t>159</w:t>
            </w:r>
          </w:hyperlink>
        </w:p>
        <w:p>
          <w:pPr>
            <w:pStyle w:val="Contents6"/>
            <w:tabs>
              <w:tab w:val="clear" w:pos="7609"/>
              <w:tab w:val="right" w:pos="9026" w:leader="dot"/>
            </w:tabs>
            <w:rPr/>
          </w:pPr>
          <w:hyperlink w:anchor="__RefHeading___Toc3419882_581953129">
            <w:r>
              <w:rPr>
                <w:webHidden/>
                <w:rStyle w:val="IndexLink"/>
                <w:rtl w:val="true"/>
              </w:rPr>
              <w:t>چهارم</w:t>
            </w:r>
            <w:r>
              <w:rPr>
                <w:rStyle w:val="IndexLink"/>
                <w:rtl w:val="true"/>
              </w:rPr>
              <w:t>)</w:t>
            </w:r>
            <w:r>
              <w:rPr>
                <w:rStyle w:val="IndexLink"/>
                <w:rtl w:val="true"/>
              </w:rPr>
              <w:t>سکوت درباره تفویض و عدم تفویض این منصب به فقها</w:t>
            </w:r>
            <w:r>
              <w:rPr>
                <w:rStyle w:val="IndexLink"/>
                <w:rtl w:val="true"/>
              </w:rPr>
              <w:tab/>
            </w:r>
            <w:r>
              <w:rPr>
                <w:rStyle w:val="IndexLink"/>
              </w:rPr>
              <w:t>159</w:t>
            </w:r>
          </w:hyperlink>
        </w:p>
        <w:p>
          <w:pPr>
            <w:pStyle w:val="Contents5"/>
            <w:tabs>
              <w:tab w:val="clear" w:pos="7892"/>
              <w:tab w:val="right" w:pos="9026" w:leader="dot"/>
            </w:tabs>
            <w:rPr/>
          </w:pPr>
          <w:hyperlink w:anchor="__RefHeading___Toc3419884_581953129">
            <w:r>
              <w:rPr>
                <w:webHidden/>
                <w:rStyle w:val="IndexLink"/>
              </w:rPr>
              <w:t>2</w:t>
            </w:r>
            <w:r>
              <w:rPr>
                <w:rStyle w:val="IndexLink"/>
                <w:rtl w:val="true"/>
              </w:rPr>
              <w:t>-</w:t>
            </w:r>
            <w:r>
              <w:rPr>
                <w:rStyle w:val="IndexLink"/>
                <w:rtl w:val="true"/>
              </w:rPr>
              <w:t>روایت اشعثیات</w:t>
            </w:r>
            <w:r>
              <w:rPr>
                <w:rStyle w:val="IndexLink"/>
                <w:rtl w:val="true"/>
              </w:rPr>
              <w:tab/>
            </w:r>
            <w:r>
              <w:rPr>
                <w:rStyle w:val="IndexLink"/>
              </w:rPr>
              <w:t>160</w:t>
            </w:r>
          </w:hyperlink>
        </w:p>
        <w:p>
          <w:pPr>
            <w:pStyle w:val="Contents6"/>
            <w:tabs>
              <w:tab w:val="clear" w:pos="7609"/>
              <w:tab w:val="right" w:pos="9026" w:leader="dot"/>
            </w:tabs>
            <w:rPr/>
          </w:pPr>
          <w:hyperlink w:anchor="__RefHeading___Toc3419886_581953129">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3419888_581953129">
            <w:r>
              <w:rPr>
                <w:webHidden/>
                <w:rStyle w:val="IndexLink"/>
                <w:rtl w:val="true"/>
              </w:rPr>
              <w:t>الف</w:t>
            </w:r>
            <w:r>
              <w:rPr>
                <w:rStyle w:val="IndexLink"/>
                <w:rtl w:val="true"/>
              </w:rPr>
              <w:t>)</w:t>
            </w:r>
            <w:r>
              <w:rPr>
                <w:rStyle w:val="IndexLink"/>
                <w:rtl w:val="true"/>
              </w:rPr>
              <w:t>بررسی سند</w:t>
            </w:r>
            <w:r>
              <w:rPr>
                <w:rStyle w:val="IndexLink"/>
                <w:rtl w:val="true"/>
              </w:rPr>
              <w:tab/>
            </w:r>
            <w:r>
              <w:rPr>
                <w:rStyle w:val="IndexLink"/>
              </w:rPr>
              <w:t>162</w:t>
            </w:r>
          </w:hyperlink>
        </w:p>
        <w:p>
          <w:pPr>
            <w:pStyle w:val="Contents6"/>
            <w:tabs>
              <w:tab w:val="clear" w:pos="7609"/>
              <w:tab w:val="right" w:pos="9026" w:leader="dot"/>
            </w:tabs>
            <w:rPr/>
          </w:pPr>
          <w:hyperlink w:anchor="__RefHeading___Toc3419890_581953129">
            <w:r>
              <w:rPr>
                <w:webHidden/>
                <w:rStyle w:val="IndexLink"/>
                <w:rtl w:val="true"/>
              </w:rPr>
              <w:t>ب</w:t>
            </w:r>
            <w:r>
              <w:rPr>
                <w:rStyle w:val="IndexLink"/>
                <w:rtl w:val="true"/>
              </w:rPr>
              <w:t>)</w:t>
            </w:r>
            <w:r>
              <w:rPr>
                <w:rStyle w:val="IndexLink"/>
                <w:rtl w:val="true"/>
              </w:rPr>
              <w:t>اشکال‌های سندی کتاب اشعثیات</w:t>
            </w:r>
            <w:r>
              <w:rPr>
                <w:rStyle w:val="IndexLink"/>
                <w:rtl w:val="true"/>
              </w:rPr>
              <w:tab/>
            </w:r>
            <w:r>
              <w:rPr>
                <w:rStyle w:val="IndexLink"/>
              </w:rPr>
              <w:t>163</w:t>
            </w:r>
          </w:hyperlink>
        </w:p>
        <w:p>
          <w:pPr>
            <w:pStyle w:val="Contents6"/>
            <w:tabs>
              <w:tab w:val="clear" w:pos="7609"/>
              <w:tab w:val="right" w:pos="9026" w:leader="dot"/>
            </w:tabs>
            <w:rPr/>
          </w:pPr>
          <w:hyperlink w:anchor="__RefHeading___Toc3419892_581953129">
            <w:r>
              <w:rPr>
                <w:webHidden/>
                <w:rStyle w:val="IndexLink"/>
                <w:rtl w:val="true"/>
              </w:rPr>
              <w:t>یکم</w:t>
            </w:r>
            <w:r>
              <w:rPr>
                <w:rStyle w:val="IndexLink"/>
                <w:rtl w:val="true"/>
              </w:rPr>
              <w:t>)</w:t>
            </w:r>
            <w:r>
              <w:rPr>
                <w:rStyle w:val="IndexLink"/>
                <w:rtl w:val="true"/>
              </w:rPr>
              <w:t>معلوم نبودن نویسنده کتاب</w:t>
            </w:r>
            <w:r>
              <w:rPr>
                <w:rStyle w:val="IndexLink"/>
                <w:rtl w:val="true"/>
              </w:rPr>
              <w:tab/>
            </w:r>
            <w:r>
              <w:rPr>
                <w:rStyle w:val="IndexLink"/>
              </w:rPr>
              <w:t>163</w:t>
            </w:r>
          </w:hyperlink>
        </w:p>
        <w:p>
          <w:pPr>
            <w:pStyle w:val="Contents6"/>
            <w:tabs>
              <w:tab w:val="clear" w:pos="7609"/>
              <w:tab w:val="right" w:pos="9026" w:leader="dot"/>
            </w:tabs>
            <w:rPr/>
          </w:pPr>
          <w:hyperlink w:anchor="__RefHeading___Toc3419894_581953129">
            <w:r>
              <w:rPr>
                <w:webHidden/>
                <w:rStyle w:val="IndexLink"/>
                <w:rtl w:val="true"/>
              </w:rPr>
              <w:t>دوم</w:t>
            </w:r>
            <w:r>
              <w:rPr>
                <w:rStyle w:val="IndexLink"/>
                <w:rtl w:val="true"/>
              </w:rPr>
              <w:t>)</w:t>
            </w:r>
            <w:r>
              <w:rPr>
                <w:rStyle w:val="IndexLink"/>
                <w:rtl w:val="true"/>
              </w:rPr>
              <w:t>محمد بن اشعث کوفی</w:t>
            </w:r>
            <w:r>
              <w:rPr>
                <w:rStyle w:val="IndexLink"/>
                <w:rtl w:val="true"/>
              </w:rPr>
              <w:tab/>
            </w:r>
            <w:r>
              <w:rPr>
                <w:rStyle w:val="IndexLink"/>
              </w:rPr>
              <w:t>164</w:t>
            </w:r>
          </w:hyperlink>
        </w:p>
        <w:p>
          <w:pPr>
            <w:pStyle w:val="Contents6"/>
            <w:tabs>
              <w:tab w:val="clear" w:pos="7609"/>
              <w:tab w:val="right" w:pos="9026" w:leader="dot"/>
            </w:tabs>
            <w:rPr/>
          </w:pPr>
          <w:hyperlink w:anchor="__RefHeading___Toc3419896_581953129">
            <w:r>
              <w:rPr>
                <w:webHidden/>
                <w:rStyle w:val="IndexLink"/>
                <w:rtl w:val="true"/>
              </w:rPr>
              <w:t>سوم</w:t>
            </w:r>
            <w:r>
              <w:rPr>
                <w:rStyle w:val="IndexLink"/>
                <w:rtl w:val="true"/>
              </w:rPr>
              <w:t>)</w:t>
            </w:r>
            <w:r>
              <w:rPr>
                <w:rStyle w:val="IndexLink"/>
                <w:rtl w:val="true"/>
              </w:rPr>
              <w:t>موسی بن اسماعیل</w:t>
            </w:r>
            <w:r>
              <w:rPr>
                <w:rStyle w:val="IndexLink"/>
                <w:rtl w:val="true"/>
              </w:rPr>
              <w:tab/>
            </w:r>
            <w:r>
              <w:rPr>
                <w:rStyle w:val="IndexLink"/>
              </w:rPr>
              <w:t>164</w:t>
            </w:r>
          </w:hyperlink>
        </w:p>
        <w:p>
          <w:pPr>
            <w:pStyle w:val="Contents6"/>
            <w:tabs>
              <w:tab w:val="clear" w:pos="7609"/>
              <w:tab w:val="right" w:pos="9026" w:leader="dot"/>
            </w:tabs>
            <w:rPr/>
          </w:pPr>
          <w:hyperlink w:anchor="__RefHeading___Toc3419898_581953129">
            <w:r>
              <w:rPr>
                <w:webHidden/>
                <w:rStyle w:val="IndexLink"/>
                <w:rtl w:val="true"/>
              </w:rPr>
              <w:t>چهارم</w:t>
            </w:r>
            <w:r>
              <w:rPr>
                <w:rStyle w:val="IndexLink"/>
                <w:rtl w:val="true"/>
              </w:rPr>
              <w:t>)</w:t>
            </w:r>
            <w:r>
              <w:rPr>
                <w:rStyle w:val="IndexLink"/>
                <w:rtl w:val="true"/>
              </w:rPr>
              <w:t>اسماعیل بن موسی علیه السلام</w:t>
            </w:r>
            <w:r>
              <w:rPr>
                <w:rStyle w:val="IndexLink"/>
                <w:rtl w:val="true"/>
              </w:rPr>
              <w:tab/>
            </w:r>
            <w:r>
              <w:rPr>
                <w:rStyle w:val="IndexLink"/>
              </w:rPr>
              <w:t>165</w:t>
            </w:r>
          </w:hyperlink>
        </w:p>
        <w:p>
          <w:pPr>
            <w:pStyle w:val="Contents6"/>
            <w:tabs>
              <w:tab w:val="clear" w:pos="7609"/>
              <w:tab w:val="right" w:pos="9026" w:leader="dot"/>
            </w:tabs>
            <w:rPr/>
          </w:pPr>
          <w:hyperlink w:anchor="__RefHeading___Toc3419900_581953129">
            <w:r>
              <w:rPr>
                <w:webHidden/>
                <w:rStyle w:val="IndexLink"/>
                <w:rtl w:val="true"/>
              </w:rPr>
              <w:t>پنجم</w:t>
            </w:r>
            <w:r>
              <w:rPr>
                <w:rStyle w:val="IndexLink"/>
                <w:rtl w:val="true"/>
              </w:rPr>
              <w:t>)</w:t>
            </w:r>
            <w:r>
              <w:rPr>
                <w:rStyle w:val="IndexLink"/>
                <w:rtl w:val="true"/>
              </w:rPr>
              <w:t>معتبر و مشهور نبودن اشعثیات</w:t>
            </w:r>
            <w:r>
              <w:rPr>
                <w:rStyle w:val="IndexLink"/>
                <w:rtl w:val="true"/>
              </w:rPr>
              <w:tab/>
            </w:r>
            <w:r>
              <w:rPr>
                <w:rStyle w:val="IndexLink"/>
              </w:rPr>
              <w:t>167</w:t>
            </w:r>
          </w:hyperlink>
        </w:p>
        <w:p>
          <w:pPr>
            <w:pStyle w:val="Contents6"/>
            <w:tabs>
              <w:tab w:val="clear" w:pos="7609"/>
              <w:tab w:val="right" w:pos="9026" w:leader="dot"/>
            </w:tabs>
            <w:rPr/>
          </w:pPr>
          <w:hyperlink w:anchor="__RefHeading___Toc3419902_581953129">
            <w:r>
              <w:rPr>
                <w:webHidden/>
                <w:rStyle w:val="IndexLink"/>
                <w:rtl w:val="true"/>
              </w:rPr>
              <w:t>ششم</w:t>
            </w:r>
            <w:r>
              <w:rPr>
                <w:rStyle w:val="IndexLink"/>
                <w:rtl w:val="true"/>
              </w:rPr>
              <w:t>)</w:t>
            </w:r>
            <w:r>
              <w:rPr>
                <w:rStyle w:val="IndexLink"/>
                <w:rtl w:val="true"/>
              </w:rPr>
              <w:t>عدم نقل بحار و وسایل به دلیل عدم اعتماد</w:t>
            </w:r>
            <w:r>
              <w:rPr>
                <w:rStyle w:val="IndexLink"/>
                <w:rtl w:val="true"/>
              </w:rPr>
              <w:tab/>
            </w:r>
            <w:r>
              <w:rPr>
                <w:rStyle w:val="IndexLink"/>
              </w:rPr>
              <w:t>169</w:t>
            </w:r>
          </w:hyperlink>
        </w:p>
        <w:p>
          <w:pPr>
            <w:pStyle w:val="Contents6"/>
            <w:tabs>
              <w:tab w:val="clear" w:pos="7609"/>
              <w:tab w:val="right" w:pos="9026" w:leader="dot"/>
            </w:tabs>
            <w:rPr/>
          </w:pPr>
          <w:hyperlink w:anchor="__RefHeading___Toc3419904_581953129">
            <w:r>
              <w:rPr>
                <w:webHidden/>
                <w:rStyle w:val="IndexLink"/>
                <w:rtl w:val="true"/>
              </w:rPr>
              <w:t>هفتم</w:t>
            </w:r>
            <w:r>
              <w:rPr>
                <w:rStyle w:val="IndexLink"/>
                <w:rtl w:val="true"/>
              </w:rPr>
              <w:t>)</w:t>
            </w:r>
            <w:r>
              <w:rPr>
                <w:rStyle w:val="IndexLink"/>
                <w:rtl w:val="true"/>
              </w:rPr>
              <w:t>عدم تطابق کتاب موجود با نقل شیخ و نجاشی</w:t>
            </w:r>
            <w:r>
              <w:rPr>
                <w:rStyle w:val="IndexLink"/>
                <w:rtl w:val="true"/>
              </w:rPr>
              <w:tab/>
            </w:r>
            <w:r>
              <w:rPr>
                <w:rStyle w:val="IndexLink"/>
              </w:rPr>
              <w:t>171</w:t>
            </w:r>
          </w:hyperlink>
        </w:p>
        <w:p>
          <w:pPr>
            <w:pStyle w:val="Contents6"/>
            <w:tabs>
              <w:tab w:val="clear" w:pos="7609"/>
              <w:tab w:val="right" w:pos="9026" w:leader="dot"/>
            </w:tabs>
            <w:rPr/>
          </w:pPr>
          <w:hyperlink w:anchor="__RefHeading___Toc3419906_581953129">
            <w:r>
              <w:rPr>
                <w:webHidden/>
                <w:rStyle w:val="IndexLink"/>
                <w:rtl w:val="true"/>
              </w:rPr>
              <w:t>هشتم</w:t>
            </w:r>
            <w:r>
              <w:rPr>
                <w:rStyle w:val="IndexLink"/>
                <w:rtl w:val="true"/>
              </w:rPr>
              <w:t>)</w:t>
            </w:r>
            <w:r>
              <w:rPr>
                <w:rStyle w:val="IndexLink"/>
                <w:rtl w:val="true"/>
              </w:rPr>
              <w:t>اختلاف در ابواب و تعداد</w:t>
            </w:r>
            <w:r>
              <w:rPr>
                <w:rStyle w:val="IndexLink"/>
                <w:rtl w:val="true"/>
              </w:rPr>
              <w:tab/>
            </w:r>
            <w:r>
              <w:rPr>
                <w:rStyle w:val="IndexLink"/>
              </w:rPr>
              <w:t>172</w:t>
            </w:r>
          </w:hyperlink>
        </w:p>
        <w:p>
          <w:pPr>
            <w:pStyle w:val="Contents6"/>
            <w:tabs>
              <w:tab w:val="clear" w:pos="7609"/>
              <w:tab w:val="right" w:pos="9026" w:leader="dot"/>
            </w:tabs>
            <w:rPr/>
          </w:pPr>
          <w:hyperlink w:anchor="__RefHeading___Toc3419908_581953129">
            <w:r>
              <w:rPr>
                <w:webHidden/>
                <w:rStyle w:val="IndexLink"/>
                <w:rtl w:val="true"/>
              </w:rPr>
              <w:t>نهم</w:t>
            </w:r>
            <w:r>
              <w:rPr>
                <w:rStyle w:val="IndexLink"/>
                <w:rtl w:val="true"/>
              </w:rPr>
              <w:t>)</w:t>
            </w:r>
            <w:r>
              <w:rPr>
                <w:rStyle w:val="IndexLink"/>
                <w:rtl w:val="true"/>
              </w:rPr>
              <w:t>ناسازگاری با اصول</w:t>
            </w:r>
            <w:r>
              <w:rPr>
                <w:rStyle w:val="IndexLink"/>
                <w:rtl w:val="true"/>
              </w:rPr>
              <w:t>«</w:t>
            </w:r>
            <w:r>
              <w:rPr>
                <w:rStyle w:val="IndexLink"/>
                <w:rtl w:val="true"/>
              </w:rPr>
              <w:t>اربع مائة</w:t>
            </w:r>
            <w:r>
              <w:rPr>
                <w:rStyle w:val="IndexLink"/>
                <w:rtl w:val="true"/>
              </w:rPr>
              <w:t>»</w:t>
            </w:r>
            <w:r>
              <w:rPr>
                <w:rStyle w:val="IndexLink"/>
                <w:rtl w:val="true"/>
              </w:rPr>
              <w:t>و همخوانی با روایات اهل سنت</w:t>
            </w:r>
            <w:r>
              <w:rPr>
                <w:rStyle w:val="IndexLink"/>
                <w:rtl w:val="true"/>
              </w:rPr>
              <w:tab/>
            </w:r>
            <w:r>
              <w:rPr>
                <w:rStyle w:val="IndexLink"/>
              </w:rPr>
              <w:t>174</w:t>
            </w:r>
          </w:hyperlink>
        </w:p>
        <w:p>
          <w:pPr>
            <w:pStyle w:val="Contents6"/>
            <w:tabs>
              <w:tab w:val="clear" w:pos="7609"/>
              <w:tab w:val="right" w:pos="9026" w:leader="dot"/>
            </w:tabs>
            <w:rPr/>
          </w:pPr>
          <w:hyperlink w:anchor="__RefHeading___Toc3419910_581953129">
            <w:r>
              <w:rPr>
                <w:webHidden/>
                <w:rStyle w:val="IndexLink"/>
                <w:rtl w:val="true"/>
              </w:rPr>
              <w:t>پاسخ و نتیجه‌گیری</w:t>
            </w:r>
            <w:r>
              <w:rPr>
                <w:rStyle w:val="IndexLink"/>
                <w:rtl w:val="true"/>
              </w:rPr>
              <w:tab/>
            </w:r>
            <w:r>
              <w:rPr>
                <w:rStyle w:val="IndexLink"/>
              </w:rPr>
              <w:t>174</w:t>
            </w:r>
          </w:hyperlink>
        </w:p>
        <w:p>
          <w:pPr>
            <w:pStyle w:val="Contents6"/>
            <w:tabs>
              <w:tab w:val="clear" w:pos="7609"/>
              <w:tab w:val="right" w:pos="9026" w:leader="dot"/>
            </w:tabs>
            <w:rPr/>
          </w:pPr>
          <w:hyperlink w:anchor="__RefHeading___Toc3419912_581953129">
            <w:r>
              <w:rPr>
                <w:webHidden/>
                <w:rStyle w:val="IndexLink"/>
                <w:rtl w:val="true"/>
              </w:rPr>
              <w:t>ج</w:t>
            </w:r>
            <w:r>
              <w:rPr>
                <w:rStyle w:val="IndexLink"/>
                <w:rtl w:val="true"/>
              </w:rPr>
              <w:t>)</w:t>
            </w:r>
            <w:r>
              <w:rPr>
                <w:rStyle w:val="IndexLink"/>
                <w:rtl w:val="true"/>
              </w:rPr>
              <w:t>بررسی دلالت واژگان</w:t>
            </w:r>
            <w:r>
              <w:rPr>
                <w:rStyle w:val="IndexLink"/>
                <w:rtl w:val="true"/>
              </w:rPr>
              <w:tab/>
            </w:r>
            <w:r>
              <w:rPr>
                <w:rStyle w:val="IndexLink"/>
              </w:rPr>
              <w:t>175</w:t>
            </w:r>
          </w:hyperlink>
        </w:p>
        <w:p>
          <w:pPr>
            <w:pStyle w:val="Contents6"/>
            <w:tabs>
              <w:tab w:val="clear" w:pos="7609"/>
              <w:tab w:val="right" w:pos="9026" w:leader="dot"/>
            </w:tabs>
            <w:rPr/>
          </w:pPr>
          <w:hyperlink w:anchor="__RefHeading___Toc3419914_581953129">
            <w:r>
              <w:rPr>
                <w:webHidden/>
                <w:rStyle w:val="IndexLink"/>
                <w:rtl w:val="true"/>
              </w:rPr>
              <w:t>یکم</w:t>
            </w:r>
            <w:r>
              <w:rPr>
                <w:rStyle w:val="IndexLink"/>
                <w:rtl w:val="true"/>
              </w:rPr>
              <w:t>)</w:t>
            </w:r>
            <w:r>
              <w:rPr>
                <w:rStyle w:val="IndexLink"/>
                <w:rtl w:val="true"/>
              </w:rPr>
              <w:t>واژه لایصلح</w:t>
            </w:r>
            <w:r>
              <w:rPr>
                <w:rStyle w:val="IndexLink"/>
                <w:rtl w:val="true"/>
              </w:rPr>
              <w:tab/>
            </w:r>
            <w:r>
              <w:rPr>
                <w:rStyle w:val="IndexLink"/>
              </w:rPr>
              <w:t>175</w:t>
            </w:r>
          </w:hyperlink>
        </w:p>
        <w:p>
          <w:pPr>
            <w:pStyle w:val="Contents6"/>
            <w:tabs>
              <w:tab w:val="clear" w:pos="7609"/>
              <w:tab w:val="right" w:pos="9026" w:leader="dot"/>
            </w:tabs>
            <w:rPr/>
          </w:pPr>
          <w:hyperlink w:anchor="__RefHeading___Toc3419916_581953129">
            <w:r>
              <w:rPr>
                <w:webHidden/>
                <w:rStyle w:val="IndexLink"/>
                <w:rtl w:val="true"/>
              </w:rPr>
              <w:t>دوم</w:t>
            </w:r>
            <w:r>
              <w:rPr>
                <w:rStyle w:val="IndexLink"/>
                <w:rtl w:val="true"/>
              </w:rPr>
              <w:t>)</w:t>
            </w:r>
            <w:r>
              <w:rPr>
                <w:rStyle w:val="IndexLink"/>
                <w:rtl w:val="true"/>
              </w:rPr>
              <w:t>واژه امام</w:t>
            </w:r>
            <w:r>
              <w:rPr>
                <w:rStyle w:val="IndexLink"/>
                <w:rtl w:val="true"/>
              </w:rPr>
              <w:tab/>
            </w:r>
            <w:r>
              <w:rPr>
                <w:rStyle w:val="IndexLink"/>
              </w:rPr>
              <w:t>177</w:t>
            </w:r>
          </w:hyperlink>
        </w:p>
        <w:p>
          <w:pPr>
            <w:pStyle w:val="Contents6"/>
            <w:tabs>
              <w:tab w:val="clear" w:pos="7609"/>
              <w:tab w:val="right" w:pos="9026" w:leader="dot"/>
            </w:tabs>
            <w:rPr/>
          </w:pPr>
          <w:hyperlink w:anchor="__RefHeading___Toc3419918_581953129">
            <w:r>
              <w:rPr>
                <w:webHidden/>
                <w:rStyle w:val="IndexLink"/>
                <w:rtl w:val="true"/>
              </w:rPr>
              <w:t>امام در لغت</w:t>
            </w:r>
            <w:r>
              <w:rPr>
                <w:rStyle w:val="IndexLink"/>
                <w:rtl w:val="true"/>
              </w:rPr>
              <w:tab/>
            </w:r>
            <w:r>
              <w:rPr>
                <w:rStyle w:val="IndexLink"/>
              </w:rPr>
              <w:t>177</w:t>
            </w:r>
          </w:hyperlink>
        </w:p>
        <w:p>
          <w:pPr>
            <w:pStyle w:val="Contents6"/>
            <w:tabs>
              <w:tab w:val="clear" w:pos="7609"/>
              <w:tab w:val="right" w:pos="9026" w:leader="dot"/>
            </w:tabs>
            <w:rPr/>
          </w:pPr>
          <w:hyperlink w:anchor="__RefHeading___Toc3419920_581953129">
            <w:r>
              <w:rPr>
                <w:webHidden/>
                <w:rStyle w:val="IndexLink"/>
                <w:rtl w:val="true"/>
              </w:rPr>
              <w:t>امام در قرآن</w:t>
            </w:r>
            <w:r>
              <w:rPr>
                <w:rStyle w:val="IndexLink"/>
                <w:rtl w:val="true"/>
              </w:rPr>
              <w:tab/>
            </w:r>
            <w:r>
              <w:rPr>
                <w:rStyle w:val="IndexLink"/>
              </w:rPr>
              <w:t>177</w:t>
            </w:r>
          </w:hyperlink>
        </w:p>
        <w:p>
          <w:pPr>
            <w:pStyle w:val="Contents6"/>
            <w:tabs>
              <w:tab w:val="clear" w:pos="7609"/>
              <w:tab w:val="right" w:pos="9026" w:leader="dot"/>
            </w:tabs>
            <w:rPr/>
          </w:pPr>
          <w:hyperlink w:anchor="__RefHeading___Toc3419922_581953129">
            <w:r>
              <w:rPr>
                <w:webHidden/>
                <w:rStyle w:val="IndexLink"/>
                <w:rtl w:val="true"/>
              </w:rPr>
              <w:t>امام در روایات</w:t>
            </w:r>
            <w:r>
              <w:rPr>
                <w:rStyle w:val="IndexLink"/>
                <w:rtl w:val="true"/>
              </w:rPr>
              <w:tab/>
            </w:r>
            <w:r>
              <w:rPr>
                <w:rStyle w:val="IndexLink"/>
              </w:rPr>
              <w:t>179</w:t>
            </w:r>
          </w:hyperlink>
        </w:p>
        <w:p>
          <w:pPr>
            <w:pStyle w:val="Contents6"/>
            <w:tabs>
              <w:tab w:val="clear" w:pos="7609"/>
              <w:tab w:val="right" w:pos="9026" w:leader="dot"/>
            </w:tabs>
            <w:rPr/>
          </w:pPr>
          <w:hyperlink w:anchor="__RefHeading___Toc3419924_581953129">
            <w:r>
              <w:rPr>
                <w:webHidden/>
                <w:rStyle w:val="IndexLink"/>
                <w:rtl w:val="true"/>
              </w:rPr>
              <w:t>امام به‌صورت مطلق</w:t>
            </w:r>
            <w:r>
              <w:rPr>
                <w:rStyle w:val="IndexLink"/>
                <w:rtl w:val="true"/>
              </w:rPr>
              <w:tab/>
            </w:r>
            <w:r>
              <w:rPr>
                <w:rStyle w:val="IndexLink"/>
              </w:rPr>
              <w:t>179</w:t>
            </w:r>
          </w:hyperlink>
        </w:p>
        <w:p>
          <w:pPr>
            <w:pStyle w:val="Contents6"/>
            <w:tabs>
              <w:tab w:val="clear" w:pos="7609"/>
              <w:tab w:val="right" w:pos="9026" w:leader="dot"/>
            </w:tabs>
            <w:rPr/>
          </w:pPr>
          <w:hyperlink w:anchor="__RefHeading___Toc3419926_581953129">
            <w:r>
              <w:rPr>
                <w:webHidden/>
                <w:rStyle w:val="IndexLink"/>
                <w:rtl w:val="true"/>
              </w:rPr>
              <w:t>امام جماعت</w:t>
            </w:r>
            <w:r>
              <w:rPr>
                <w:rStyle w:val="IndexLink"/>
                <w:rtl w:val="true"/>
              </w:rPr>
              <w:tab/>
            </w:r>
            <w:r>
              <w:rPr>
                <w:rStyle w:val="IndexLink"/>
              </w:rPr>
              <w:t>180</w:t>
            </w:r>
          </w:hyperlink>
        </w:p>
        <w:p>
          <w:pPr>
            <w:pStyle w:val="Contents6"/>
            <w:tabs>
              <w:tab w:val="clear" w:pos="7609"/>
              <w:tab w:val="right" w:pos="9026" w:leader="dot"/>
            </w:tabs>
            <w:rPr/>
          </w:pPr>
          <w:hyperlink w:anchor="__RefHeading___Toc3419928_581953129">
            <w:r>
              <w:rPr>
                <w:webHidden/>
                <w:rStyle w:val="IndexLink"/>
                <w:rtl w:val="true"/>
              </w:rPr>
              <w:t>حاکم اسلامی</w:t>
            </w:r>
            <w:r>
              <w:rPr>
                <w:rStyle w:val="IndexLink"/>
                <w:rtl w:val="true"/>
              </w:rPr>
              <w:tab/>
            </w:r>
            <w:r>
              <w:rPr>
                <w:rStyle w:val="IndexLink"/>
              </w:rPr>
              <w:t>181</w:t>
            </w:r>
          </w:hyperlink>
        </w:p>
        <w:p>
          <w:pPr>
            <w:pStyle w:val="Contents6"/>
            <w:tabs>
              <w:tab w:val="clear" w:pos="7609"/>
              <w:tab w:val="right" w:pos="9026" w:leader="dot"/>
            </w:tabs>
            <w:rPr/>
          </w:pPr>
          <w:hyperlink w:anchor="__RefHeading___Toc3419930_581953129">
            <w:r>
              <w:rPr>
                <w:webHidden/>
                <w:rStyle w:val="IndexLink"/>
                <w:rtl w:val="true"/>
              </w:rPr>
              <w:t>امام معصوم</w:t>
            </w:r>
            <w:r>
              <w:rPr>
                <w:rStyle w:val="IndexLink"/>
                <w:rtl w:val="true"/>
              </w:rPr>
              <w:tab/>
            </w:r>
            <w:r>
              <w:rPr>
                <w:rStyle w:val="IndexLink"/>
              </w:rPr>
              <w:t>182</w:t>
            </w:r>
          </w:hyperlink>
        </w:p>
        <w:p>
          <w:pPr>
            <w:pStyle w:val="Contents6"/>
            <w:tabs>
              <w:tab w:val="clear" w:pos="7609"/>
              <w:tab w:val="right" w:pos="9026" w:leader="dot"/>
            </w:tabs>
            <w:rPr/>
          </w:pPr>
          <w:hyperlink w:anchor="__RefHeading___Toc3419932_581953129">
            <w:r>
              <w:rPr>
                <w:webHidden/>
                <w:rStyle w:val="IndexLink"/>
                <w:rtl w:val="true"/>
              </w:rPr>
              <w:t>شواهد انکار</w:t>
            </w:r>
            <w:r>
              <w:rPr>
                <w:rStyle w:val="IndexLink"/>
                <w:rtl w:val="true"/>
              </w:rPr>
              <w:tab/>
            </w:r>
            <w:r>
              <w:rPr>
                <w:rStyle w:val="IndexLink"/>
              </w:rPr>
              <w:t>182</w:t>
            </w:r>
          </w:hyperlink>
        </w:p>
        <w:p>
          <w:pPr>
            <w:pStyle w:val="Contents6"/>
            <w:tabs>
              <w:tab w:val="clear" w:pos="7609"/>
              <w:tab w:val="right" w:pos="9026" w:leader="dot"/>
            </w:tabs>
            <w:rPr/>
          </w:pPr>
          <w:hyperlink w:anchor="__RefHeading___Toc3419934_581953129">
            <w:r>
              <w:rPr>
                <w:webHidden/>
                <w:rStyle w:val="IndexLink"/>
                <w:rtl w:val="true"/>
              </w:rPr>
              <w:t>شواهد اثبات</w:t>
            </w:r>
            <w:r>
              <w:rPr>
                <w:rStyle w:val="IndexLink"/>
                <w:rtl w:val="true"/>
              </w:rPr>
              <w:tab/>
            </w:r>
            <w:r>
              <w:rPr>
                <w:rStyle w:val="IndexLink"/>
              </w:rPr>
              <w:t>183</w:t>
            </w:r>
          </w:hyperlink>
        </w:p>
        <w:p>
          <w:pPr>
            <w:pStyle w:val="Contents6"/>
            <w:tabs>
              <w:tab w:val="clear" w:pos="7609"/>
              <w:tab w:val="right" w:pos="9026" w:leader="dot"/>
            </w:tabs>
            <w:rPr/>
          </w:pPr>
          <w:hyperlink w:anchor="__RefHeading___Toc3419936_581953129">
            <w:r>
              <w:rPr>
                <w:webHidden/>
                <w:rStyle w:val="IndexLink"/>
                <w:rtl w:val="true"/>
              </w:rPr>
              <w:t>مقید به عادل</w:t>
            </w:r>
            <w:r>
              <w:rPr>
                <w:rStyle w:val="IndexLink"/>
                <w:rtl w:val="true"/>
              </w:rPr>
              <w:tab/>
            </w:r>
            <w:r>
              <w:rPr>
                <w:rStyle w:val="IndexLink"/>
              </w:rPr>
              <w:t>186</w:t>
            </w:r>
          </w:hyperlink>
        </w:p>
        <w:p>
          <w:pPr>
            <w:pStyle w:val="Contents6"/>
            <w:tabs>
              <w:tab w:val="clear" w:pos="7609"/>
              <w:tab w:val="right" w:pos="9026" w:leader="dot"/>
            </w:tabs>
            <w:rPr/>
          </w:pPr>
          <w:hyperlink w:anchor="__RefHeading___Toc3419938_581953129">
            <w:r>
              <w:rPr>
                <w:webHidden/>
                <w:rStyle w:val="IndexLink"/>
                <w:rtl w:val="true"/>
              </w:rPr>
              <w:t>امام در کلام فقها</w:t>
            </w:r>
            <w:r>
              <w:rPr>
                <w:rStyle w:val="IndexLink"/>
                <w:rtl w:val="true"/>
              </w:rPr>
              <w:tab/>
            </w:r>
            <w:r>
              <w:rPr>
                <w:rStyle w:val="IndexLink"/>
              </w:rPr>
              <w:t>188</w:t>
            </w:r>
          </w:hyperlink>
        </w:p>
        <w:p>
          <w:pPr>
            <w:pStyle w:val="Contents6"/>
            <w:tabs>
              <w:tab w:val="clear" w:pos="7609"/>
              <w:tab w:val="right" w:pos="9026" w:leader="dot"/>
            </w:tabs>
            <w:rPr/>
          </w:pPr>
          <w:hyperlink w:anchor="__RefHeading___Toc3419940_581953129">
            <w:r>
              <w:rPr>
                <w:webHidden/>
                <w:rStyle w:val="IndexLink"/>
                <w:rtl w:val="true"/>
              </w:rPr>
              <w:t>د</w:t>
            </w:r>
            <w:r>
              <w:rPr>
                <w:rStyle w:val="IndexLink"/>
                <w:rtl w:val="true"/>
              </w:rPr>
              <w:t>)</w:t>
            </w:r>
            <w:r>
              <w:rPr>
                <w:rStyle w:val="IndexLink"/>
                <w:rtl w:val="true"/>
              </w:rPr>
              <w:t>اشکال دلالی</w:t>
            </w:r>
            <w:r>
              <w:rPr>
                <w:rStyle w:val="IndexLink"/>
                <w:rtl w:val="true"/>
              </w:rPr>
              <w:tab/>
            </w:r>
            <w:r>
              <w:rPr>
                <w:rStyle w:val="IndexLink"/>
              </w:rPr>
              <w:t>189</w:t>
            </w:r>
          </w:hyperlink>
        </w:p>
        <w:p>
          <w:pPr>
            <w:pStyle w:val="Contents6"/>
            <w:tabs>
              <w:tab w:val="clear" w:pos="7609"/>
              <w:tab w:val="right" w:pos="9026" w:leader="dot"/>
            </w:tabs>
            <w:rPr/>
          </w:pPr>
          <w:hyperlink w:anchor="__RefHeading___Toc3419942_581953129">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3419944_581953129">
            <w:r>
              <w:rPr>
                <w:webHidden/>
                <w:rStyle w:val="IndexLink"/>
                <w:rtl w:val="true"/>
              </w:rPr>
              <w:t>پاسخ و نتیجه‌گیری</w:t>
            </w:r>
            <w:r>
              <w:rPr>
                <w:rStyle w:val="IndexLink"/>
                <w:rtl w:val="true"/>
              </w:rPr>
              <w:tab/>
            </w:r>
            <w:r>
              <w:rPr>
                <w:rStyle w:val="IndexLink"/>
              </w:rPr>
              <w:t>189</w:t>
            </w:r>
          </w:hyperlink>
        </w:p>
        <w:p>
          <w:pPr>
            <w:pStyle w:val="Contents5"/>
            <w:tabs>
              <w:tab w:val="clear" w:pos="7892"/>
              <w:tab w:val="right" w:pos="9026" w:leader="dot"/>
            </w:tabs>
            <w:rPr/>
          </w:pPr>
          <w:hyperlink w:anchor="__RefHeading___Toc3419946_581953129">
            <w:r>
              <w:rPr>
                <w:webHidden/>
                <w:rStyle w:val="IndexLink"/>
              </w:rPr>
              <w:t>3</w:t>
            </w:r>
            <w:r>
              <w:rPr>
                <w:rStyle w:val="IndexLink"/>
                <w:rtl w:val="true"/>
              </w:rPr>
              <w:t>-</w:t>
            </w:r>
            <w:r>
              <w:rPr>
                <w:rStyle w:val="IndexLink"/>
                <w:rtl w:val="true"/>
              </w:rPr>
              <w:t>قاعده درأ</w:t>
            </w:r>
            <w:r>
              <w:rPr>
                <w:rStyle w:val="IndexLink"/>
                <w:rtl w:val="true"/>
              </w:rPr>
              <w:tab/>
            </w:r>
            <w:r>
              <w:rPr>
                <w:rStyle w:val="IndexLink"/>
              </w:rPr>
              <w:t>192</w:t>
            </w:r>
          </w:hyperlink>
        </w:p>
        <w:p>
          <w:pPr>
            <w:pStyle w:val="Contents6"/>
            <w:tabs>
              <w:tab w:val="clear" w:pos="7609"/>
              <w:tab w:val="right" w:pos="9026" w:leader="dot"/>
            </w:tabs>
            <w:rPr/>
          </w:pPr>
          <w:hyperlink w:anchor="__RefHeading___Toc3419948_581953129">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3419950_581953129">
            <w:r>
              <w:rPr>
                <w:webHidden/>
                <w:rStyle w:val="IndexLink"/>
                <w:rtl w:val="true"/>
              </w:rPr>
              <w:t>الف</w:t>
            </w:r>
            <w:r>
              <w:rPr>
                <w:rStyle w:val="IndexLink"/>
                <w:rtl w:val="true"/>
              </w:rPr>
              <w:t>)</w:t>
            </w:r>
            <w:r>
              <w:rPr>
                <w:rStyle w:val="IndexLink"/>
                <w:rtl w:val="true"/>
              </w:rPr>
              <w:t>فقها و قاعده درأ</w:t>
            </w:r>
            <w:r>
              <w:rPr>
                <w:rStyle w:val="IndexLink"/>
                <w:rtl w:val="true"/>
              </w:rPr>
              <w:tab/>
            </w:r>
            <w:r>
              <w:rPr>
                <w:rStyle w:val="IndexLink"/>
              </w:rPr>
              <w:t>193</w:t>
            </w:r>
          </w:hyperlink>
        </w:p>
        <w:p>
          <w:pPr>
            <w:pStyle w:val="Contents6"/>
            <w:tabs>
              <w:tab w:val="clear" w:pos="7609"/>
              <w:tab w:val="right" w:pos="9026" w:leader="dot"/>
            </w:tabs>
            <w:rPr/>
          </w:pPr>
          <w:hyperlink w:anchor="__RefHeading___Toc3419952_581953129">
            <w:r>
              <w:rPr>
                <w:webHidden/>
                <w:rStyle w:val="IndexLink"/>
                <w:rtl w:val="true"/>
              </w:rPr>
              <w:t>ب</w:t>
            </w:r>
            <w:r>
              <w:rPr>
                <w:rStyle w:val="IndexLink"/>
                <w:rtl w:val="true"/>
              </w:rPr>
              <w:t>)</w:t>
            </w:r>
            <w:r>
              <w:rPr>
                <w:rStyle w:val="IndexLink"/>
                <w:rtl w:val="true"/>
              </w:rPr>
              <w:t>مستند روایی قاعده درأ</w:t>
            </w:r>
            <w:r>
              <w:rPr>
                <w:rStyle w:val="IndexLink"/>
                <w:rtl w:val="true"/>
              </w:rPr>
              <w:tab/>
            </w:r>
            <w:r>
              <w:rPr>
                <w:rStyle w:val="IndexLink"/>
              </w:rPr>
              <w:t>195</w:t>
            </w:r>
          </w:hyperlink>
        </w:p>
        <w:p>
          <w:pPr>
            <w:pStyle w:val="Contents6"/>
            <w:tabs>
              <w:tab w:val="clear" w:pos="7609"/>
              <w:tab w:val="right" w:pos="9026" w:leader="dot"/>
            </w:tabs>
            <w:rPr/>
          </w:pPr>
          <w:hyperlink w:anchor="__RefHeading___Toc3419954_581953129">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3419956_581953129">
            <w:r>
              <w:rPr>
                <w:webHidden/>
                <w:rStyle w:val="IndexLink"/>
                <w:rtl w:val="true"/>
              </w:rPr>
              <w:t>یکم</w:t>
            </w:r>
            <w:r>
              <w:rPr>
                <w:rStyle w:val="IndexLink"/>
                <w:rtl w:val="true"/>
              </w:rPr>
              <w:t>)</w:t>
            </w:r>
            <w:r>
              <w:rPr>
                <w:rStyle w:val="IndexLink"/>
                <w:rtl w:val="true"/>
              </w:rPr>
              <w:t>من لایحضر</w:t>
            </w:r>
            <w:r>
              <w:rPr>
                <w:rStyle w:val="IndexLink"/>
                <w:rtl w:val="true"/>
              </w:rPr>
              <w:tab/>
            </w:r>
            <w:r>
              <w:rPr>
                <w:rStyle w:val="IndexLink"/>
              </w:rPr>
              <w:t>195</w:t>
            </w:r>
          </w:hyperlink>
        </w:p>
        <w:p>
          <w:pPr>
            <w:pStyle w:val="Contents6"/>
            <w:tabs>
              <w:tab w:val="clear" w:pos="7609"/>
              <w:tab w:val="right" w:pos="9026" w:leader="dot"/>
            </w:tabs>
            <w:rPr/>
          </w:pPr>
          <w:hyperlink w:anchor="__RefHeading___Toc3419958_581953129">
            <w:r>
              <w:rPr>
                <w:webHidden/>
                <w:rStyle w:val="IndexLink"/>
                <w:rtl w:val="true"/>
              </w:rPr>
              <w:t>دوم</w:t>
            </w:r>
            <w:r>
              <w:rPr>
                <w:rStyle w:val="IndexLink"/>
                <w:rtl w:val="true"/>
              </w:rPr>
              <w:t>)</w:t>
            </w:r>
            <w:r>
              <w:rPr>
                <w:rStyle w:val="IndexLink"/>
                <w:rtl w:val="true"/>
              </w:rPr>
              <w:t>المقنع</w:t>
            </w:r>
            <w:r>
              <w:rPr>
                <w:rStyle w:val="IndexLink"/>
                <w:rtl w:val="true"/>
              </w:rPr>
              <w:tab/>
            </w:r>
            <w:r>
              <w:rPr>
                <w:rStyle w:val="IndexLink"/>
              </w:rPr>
              <w:t>195</w:t>
            </w:r>
          </w:hyperlink>
        </w:p>
        <w:p>
          <w:pPr>
            <w:pStyle w:val="Contents6"/>
            <w:tabs>
              <w:tab w:val="clear" w:pos="7609"/>
              <w:tab w:val="right" w:pos="9026" w:leader="dot"/>
            </w:tabs>
            <w:rPr/>
          </w:pPr>
          <w:hyperlink w:anchor="__RefHeading___Toc3419960_581953129">
            <w:r>
              <w:rPr>
                <w:webHidden/>
                <w:rStyle w:val="IndexLink"/>
                <w:rtl w:val="true"/>
              </w:rPr>
              <w:t>سوم</w:t>
            </w:r>
            <w:r>
              <w:rPr>
                <w:rStyle w:val="IndexLink"/>
                <w:rtl w:val="true"/>
              </w:rPr>
              <w:t>)</w:t>
            </w:r>
            <w:r>
              <w:rPr>
                <w:rStyle w:val="IndexLink"/>
                <w:rtl w:val="true"/>
              </w:rPr>
              <w:t>دعائم الاسلام</w:t>
            </w:r>
            <w:r>
              <w:rPr>
                <w:rStyle w:val="IndexLink"/>
                <w:rtl w:val="true"/>
              </w:rPr>
              <w:tab/>
            </w:r>
            <w:r>
              <w:rPr>
                <w:rStyle w:val="IndexLink"/>
              </w:rPr>
              <w:t>195</w:t>
            </w:r>
          </w:hyperlink>
        </w:p>
        <w:p>
          <w:pPr>
            <w:pStyle w:val="Contents6"/>
            <w:tabs>
              <w:tab w:val="clear" w:pos="7609"/>
              <w:tab w:val="right" w:pos="9026" w:leader="dot"/>
            </w:tabs>
            <w:rPr/>
          </w:pPr>
          <w:hyperlink w:anchor="__RefHeading___Toc3419962_581953129">
            <w:r>
              <w:rPr>
                <w:webHidden/>
                <w:rStyle w:val="IndexLink"/>
                <w:rtl w:val="true"/>
              </w:rPr>
              <w:t>چهارم</w:t>
            </w:r>
            <w:r>
              <w:rPr>
                <w:rStyle w:val="IndexLink"/>
                <w:rtl w:val="true"/>
              </w:rPr>
              <w:t>)</w:t>
            </w:r>
            <w:r>
              <w:rPr>
                <w:rStyle w:val="IndexLink"/>
                <w:rtl w:val="true"/>
              </w:rPr>
              <w:t>مستدرک الوسائل</w:t>
            </w:r>
            <w:r>
              <w:rPr>
                <w:rStyle w:val="IndexLink"/>
                <w:rtl w:val="true"/>
              </w:rPr>
              <w:tab/>
            </w:r>
            <w:r>
              <w:rPr>
                <w:rStyle w:val="IndexLink"/>
              </w:rPr>
              <w:t>196</w:t>
            </w:r>
          </w:hyperlink>
        </w:p>
        <w:p>
          <w:pPr>
            <w:pStyle w:val="Contents6"/>
            <w:tabs>
              <w:tab w:val="clear" w:pos="7609"/>
              <w:tab w:val="right" w:pos="9026" w:leader="dot"/>
            </w:tabs>
            <w:rPr/>
          </w:pPr>
          <w:hyperlink w:anchor="__RefHeading___Toc3419964_581953129">
            <w:r>
              <w:rPr>
                <w:webHidden/>
                <w:rStyle w:val="IndexLink"/>
                <w:rtl w:val="true"/>
              </w:rPr>
              <w:t>پنجم</w:t>
            </w:r>
            <w:r>
              <w:rPr>
                <w:rStyle w:val="IndexLink"/>
                <w:rtl w:val="true"/>
              </w:rPr>
              <w:t>)</w:t>
            </w:r>
            <w:r>
              <w:rPr>
                <w:rStyle w:val="IndexLink"/>
                <w:rtl w:val="true"/>
              </w:rPr>
              <w:t>عهدنامه مالک اشتر</w:t>
            </w:r>
            <w:r>
              <w:rPr>
                <w:rStyle w:val="IndexLink"/>
                <w:rtl w:val="true"/>
              </w:rPr>
              <w:tab/>
            </w:r>
            <w:r>
              <w:rPr>
                <w:rStyle w:val="IndexLink"/>
              </w:rPr>
              <w:t>196</w:t>
            </w:r>
          </w:hyperlink>
        </w:p>
        <w:p>
          <w:pPr>
            <w:pStyle w:val="Contents6"/>
            <w:tabs>
              <w:tab w:val="clear" w:pos="7609"/>
              <w:tab w:val="right" w:pos="9026" w:leader="dot"/>
            </w:tabs>
            <w:rPr/>
          </w:pPr>
          <w:hyperlink w:anchor="__RefHeading___Toc3419966_581953129">
            <w:r>
              <w:rPr>
                <w:webHidden/>
                <w:rStyle w:val="IndexLink"/>
                <w:rtl w:val="true"/>
              </w:rPr>
              <w:t>ششم</w:t>
            </w:r>
            <w:r>
              <w:rPr>
                <w:rStyle w:val="IndexLink"/>
                <w:rtl w:val="true"/>
              </w:rPr>
              <w:t>)</w:t>
            </w:r>
            <w:r>
              <w:rPr>
                <w:rStyle w:val="IndexLink"/>
                <w:rtl w:val="true"/>
              </w:rPr>
              <w:t>کتاب عوالی اللئالی</w:t>
            </w:r>
            <w:r>
              <w:rPr>
                <w:rStyle w:val="IndexLink"/>
                <w:rtl w:val="true"/>
              </w:rPr>
              <w:tab/>
            </w:r>
            <w:r>
              <w:rPr>
                <w:rStyle w:val="IndexLink"/>
              </w:rPr>
              <w:t>196</w:t>
            </w:r>
          </w:hyperlink>
        </w:p>
        <w:p>
          <w:pPr>
            <w:pStyle w:val="Contents6"/>
            <w:tabs>
              <w:tab w:val="clear" w:pos="7609"/>
              <w:tab w:val="right" w:pos="9026" w:leader="dot"/>
            </w:tabs>
            <w:rPr/>
          </w:pPr>
          <w:hyperlink w:anchor="__RefHeading___Toc3419968_581953129">
            <w:r>
              <w:rPr>
                <w:webHidden/>
                <w:rStyle w:val="IndexLink"/>
                <w:rtl w:val="true"/>
              </w:rPr>
              <w:t>ج</w:t>
            </w:r>
            <w:r>
              <w:rPr>
                <w:rStyle w:val="IndexLink"/>
                <w:rtl w:val="true"/>
              </w:rPr>
              <w:t>)</w:t>
            </w:r>
            <w:r>
              <w:rPr>
                <w:rStyle w:val="IndexLink"/>
                <w:rtl w:val="true"/>
              </w:rPr>
              <w:t>رجال‌شناسی و درایت حدیث</w:t>
            </w:r>
            <w:r>
              <w:rPr>
                <w:rStyle w:val="IndexLink"/>
                <w:rtl w:val="true"/>
              </w:rPr>
              <w:tab/>
            </w:r>
            <w:r>
              <w:rPr>
                <w:rStyle w:val="IndexLink"/>
              </w:rPr>
              <w:t>197</w:t>
            </w:r>
          </w:hyperlink>
        </w:p>
        <w:p>
          <w:pPr>
            <w:pStyle w:val="Contents6"/>
            <w:tabs>
              <w:tab w:val="clear" w:pos="7609"/>
              <w:tab w:val="right" w:pos="9026" w:leader="dot"/>
            </w:tabs>
            <w:rPr/>
          </w:pPr>
          <w:hyperlink w:anchor="__RefHeading___Toc3419970_581953129">
            <w:r>
              <w:rPr>
                <w:webHidden/>
                <w:rStyle w:val="IndexLink"/>
                <w:rtl w:val="true"/>
              </w:rPr>
              <w:t>یکم</w:t>
            </w:r>
            <w:r>
              <w:rPr>
                <w:rStyle w:val="IndexLink"/>
                <w:rtl w:val="true"/>
              </w:rPr>
              <w:t>)</w:t>
            </w:r>
            <w:r>
              <w:rPr>
                <w:rStyle w:val="IndexLink"/>
                <w:rtl w:val="true"/>
              </w:rPr>
              <w:t>روایت صدوق</w:t>
            </w:r>
            <w:r>
              <w:rPr>
                <w:rStyle w:val="IndexLink"/>
                <w:rtl w:val="true"/>
              </w:rPr>
              <w:tab/>
            </w:r>
            <w:r>
              <w:rPr>
                <w:rStyle w:val="IndexLink"/>
              </w:rPr>
              <w:t>197</w:t>
            </w:r>
          </w:hyperlink>
        </w:p>
        <w:p>
          <w:pPr>
            <w:pStyle w:val="Contents6"/>
            <w:tabs>
              <w:tab w:val="clear" w:pos="7609"/>
              <w:tab w:val="right" w:pos="9026" w:leader="dot"/>
            </w:tabs>
            <w:rPr/>
          </w:pPr>
          <w:hyperlink w:anchor="__RefHeading___Toc3419972_581953129">
            <w:r>
              <w:rPr>
                <w:webHidden/>
                <w:rStyle w:val="IndexLink"/>
                <w:rtl w:val="true"/>
              </w:rPr>
              <w:t>شهرت روایی روایت</w:t>
            </w:r>
            <w:r>
              <w:rPr>
                <w:rStyle w:val="IndexLink"/>
                <w:rtl w:val="true"/>
              </w:rPr>
              <w:tab/>
            </w:r>
            <w:r>
              <w:rPr>
                <w:rStyle w:val="IndexLink"/>
              </w:rPr>
              <w:t>198</w:t>
            </w:r>
          </w:hyperlink>
        </w:p>
        <w:p>
          <w:pPr>
            <w:pStyle w:val="Contents6"/>
            <w:tabs>
              <w:tab w:val="clear" w:pos="7609"/>
              <w:tab w:val="right" w:pos="9026" w:leader="dot"/>
            </w:tabs>
            <w:rPr/>
          </w:pPr>
          <w:hyperlink w:anchor="__RefHeading___Toc3419974_581953129">
            <w:r>
              <w:rPr>
                <w:webHidden/>
                <w:rStyle w:val="IndexLink"/>
                <w:rtl w:val="true"/>
              </w:rPr>
              <w:t>دوم</w:t>
            </w:r>
            <w:r>
              <w:rPr>
                <w:rStyle w:val="IndexLink"/>
                <w:rtl w:val="true"/>
              </w:rPr>
              <w:t>)</w:t>
            </w:r>
            <w:r>
              <w:rPr>
                <w:rStyle w:val="IndexLink"/>
                <w:rtl w:val="true"/>
              </w:rPr>
              <w:t>عهدنامه مالک اشتر</w:t>
            </w:r>
            <w:r>
              <w:rPr>
                <w:rStyle w:val="IndexLink"/>
                <w:rtl w:val="true"/>
              </w:rPr>
              <w:tab/>
            </w:r>
            <w:r>
              <w:rPr>
                <w:rStyle w:val="IndexLink"/>
              </w:rPr>
              <w:t>199</w:t>
            </w:r>
          </w:hyperlink>
        </w:p>
        <w:p>
          <w:pPr>
            <w:pStyle w:val="Contents6"/>
            <w:tabs>
              <w:tab w:val="clear" w:pos="7609"/>
              <w:tab w:val="right" w:pos="9026" w:leader="dot"/>
            </w:tabs>
            <w:rPr/>
          </w:pPr>
          <w:hyperlink w:anchor="__RefHeading___Toc3419976_581953129">
            <w:r>
              <w:rPr>
                <w:webHidden/>
                <w:rStyle w:val="IndexLink"/>
                <w:rtl w:val="true"/>
              </w:rPr>
              <w:t>د</w:t>
            </w:r>
            <w:r>
              <w:rPr>
                <w:rStyle w:val="IndexLink"/>
                <w:rtl w:val="true"/>
              </w:rPr>
              <w:t>)</w:t>
            </w:r>
            <w:r>
              <w:rPr>
                <w:rStyle w:val="IndexLink"/>
                <w:rtl w:val="true"/>
              </w:rPr>
              <w:t>مفهوم‌شناسی</w:t>
            </w:r>
            <w:r>
              <w:rPr>
                <w:rStyle w:val="IndexLink"/>
                <w:rtl w:val="true"/>
              </w:rPr>
              <w:tab/>
            </w:r>
            <w:r>
              <w:rPr>
                <w:rStyle w:val="IndexLink"/>
              </w:rPr>
              <w:t>200</w:t>
            </w:r>
          </w:hyperlink>
        </w:p>
        <w:p>
          <w:pPr>
            <w:pStyle w:val="Contents6"/>
            <w:tabs>
              <w:tab w:val="clear" w:pos="7609"/>
              <w:tab w:val="right" w:pos="9026" w:leader="dot"/>
            </w:tabs>
            <w:rPr/>
          </w:pPr>
          <w:hyperlink w:anchor="__RefHeading___Toc3419978_581953129">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3419980_581953129">
            <w:r>
              <w:rPr>
                <w:webHidden/>
                <w:rStyle w:val="IndexLink"/>
                <w:rtl w:val="true"/>
              </w:rPr>
              <w:t>یکم</w:t>
            </w:r>
            <w:r>
              <w:rPr>
                <w:rStyle w:val="IndexLink"/>
                <w:rtl w:val="true"/>
              </w:rPr>
              <w:t>)</w:t>
            </w:r>
            <w:r>
              <w:rPr>
                <w:rStyle w:val="IndexLink"/>
                <w:rtl w:val="true"/>
              </w:rPr>
              <w:t>درأ</w:t>
            </w:r>
            <w:r>
              <w:rPr>
                <w:rStyle w:val="IndexLink"/>
                <w:rtl w:val="true"/>
              </w:rPr>
              <w:tab/>
            </w:r>
            <w:r>
              <w:rPr>
                <w:rStyle w:val="IndexLink"/>
              </w:rPr>
              <w:t>200</w:t>
            </w:r>
          </w:hyperlink>
        </w:p>
        <w:p>
          <w:pPr>
            <w:pStyle w:val="Contents6"/>
            <w:tabs>
              <w:tab w:val="clear" w:pos="7609"/>
              <w:tab w:val="right" w:pos="9026" w:leader="dot"/>
            </w:tabs>
            <w:rPr/>
          </w:pPr>
          <w:hyperlink w:anchor="__RefHeading___Toc3419982_581953129">
            <w:r>
              <w:rPr>
                <w:webHidden/>
                <w:rStyle w:val="IndexLink"/>
                <w:rtl w:val="true"/>
              </w:rPr>
              <w:t>دوم</w:t>
            </w:r>
            <w:r>
              <w:rPr>
                <w:rStyle w:val="IndexLink"/>
                <w:rtl w:val="true"/>
              </w:rPr>
              <w:t>)</w:t>
            </w:r>
            <w:r>
              <w:rPr>
                <w:rStyle w:val="IndexLink"/>
                <w:rtl w:val="true"/>
              </w:rPr>
              <w:t>حدود</w:t>
            </w:r>
            <w:r>
              <w:rPr>
                <w:rStyle w:val="IndexLink"/>
                <w:rtl w:val="true"/>
              </w:rPr>
              <w:tab/>
            </w:r>
            <w:r>
              <w:rPr>
                <w:rStyle w:val="IndexLink"/>
              </w:rPr>
              <w:t>200</w:t>
            </w:r>
          </w:hyperlink>
        </w:p>
        <w:p>
          <w:pPr>
            <w:pStyle w:val="Contents6"/>
            <w:tabs>
              <w:tab w:val="clear" w:pos="7609"/>
              <w:tab w:val="right" w:pos="9026" w:leader="dot"/>
            </w:tabs>
            <w:rPr/>
          </w:pPr>
          <w:hyperlink w:anchor="__RefHeading___Toc3419984_581953129">
            <w:r>
              <w:rPr>
                <w:webHidden/>
                <w:rStyle w:val="IndexLink"/>
                <w:rtl w:val="true"/>
              </w:rPr>
              <w:t>سوم</w:t>
            </w:r>
            <w:r>
              <w:rPr>
                <w:rStyle w:val="IndexLink"/>
                <w:rtl w:val="true"/>
              </w:rPr>
              <w:t>)</w:t>
            </w:r>
            <w:r>
              <w:rPr>
                <w:rStyle w:val="IndexLink"/>
                <w:rtl w:val="true"/>
              </w:rPr>
              <w:t>شبهه</w:t>
            </w:r>
            <w:r>
              <w:rPr>
                <w:rStyle w:val="IndexLink"/>
                <w:rtl w:val="true"/>
              </w:rPr>
              <w:tab/>
            </w:r>
            <w:r>
              <w:rPr>
                <w:rStyle w:val="IndexLink"/>
              </w:rPr>
              <w:t>201</w:t>
            </w:r>
          </w:hyperlink>
        </w:p>
        <w:p>
          <w:pPr>
            <w:pStyle w:val="Contents6"/>
            <w:tabs>
              <w:tab w:val="clear" w:pos="7609"/>
              <w:tab w:val="right" w:pos="9026" w:leader="dot"/>
            </w:tabs>
            <w:rPr/>
          </w:pPr>
          <w:hyperlink w:anchor="__RefHeading___Toc3419986_581953129">
            <w:r>
              <w:rPr>
                <w:webHidden/>
                <w:rStyle w:val="IndexLink"/>
                <w:rtl w:val="true"/>
              </w:rPr>
              <w:t>گستره شمول شبهه‌ها در روایت درأ</w:t>
            </w:r>
            <w:r>
              <w:rPr>
                <w:rStyle w:val="IndexLink"/>
                <w:rtl w:val="true"/>
              </w:rPr>
              <w:tab/>
            </w:r>
            <w:r>
              <w:rPr>
                <w:rStyle w:val="IndexLink"/>
              </w:rPr>
              <w:t>201</w:t>
            </w:r>
          </w:hyperlink>
        </w:p>
        <w:p>
          <w:pPr>
            <w:pStyle w:val="Contents6"/>
            <w:tabs>
              <w:tab w:val="clear" w:pos="7609"/>
              <w:tab w:val="right" w:pos="9026" w:leader="dot"/>
            </w:tabs>
            <w:rPr/>
          </w:pPr>
          <w:hyperlink w:anchor="__RefHeading___Toc3419988_581953129">
            <w:r>
              <w:rPr>
                <w:webHidden/>
                <w:rStyle w:val="IndexLink"/>
                <w:rtl w:val="true"/>
              </w:rPr>
              <w:t>اشتباه حکمی و موضوعی؛شبهه قاضی و متهم</w:t>
            </w:r>
            <w:r>
              <w:rPr>
                <w:rStyle w:val="IndexLink"/>
                <w:rtl w:val="true"/>
              </w:rPr>
              <w:tab/>
            </w:r>
            <w:r>
              <w:rPr>
                <w:rStyle w:val="IndexLink"/>
              </w:rPr>
              <w:t>201</w:t>
            </w:r>
          </w:hyperlink>
        </w:p>
        <w:p>
          <w:pPr>
            <w:pStyle w:val="Contents6"/>
            <w:tabs>
              <w:tab w:val="clear" w:pos="7609"/>
              <w:tab w:val="right" w:pos="9026" w:leader="dot"/>
            </w:tabs>
            <w:rPr/>
          </w:pPr>
          <w:hyperlink w:anchor="__RefHeading___Toc3419990_581953129">
            <w:r>
              <w:rPr>
                <w:webHidden/>
                <w:rStyle w:val="IndexLink"/>
                <w:rtl w:val="true"/>
              </w:rPr>
              <w:t>ملاک در شبهه،ظن یا احتمال</w:t>
            </w:r>
            <w:r>
              <w:rPr>
                <w:rStyle w:val="IndexLink"/>
                <w:rtl w:val="true"/>
              </w:rPr>
              <w:tab/>
            </w:r>
            <w:r>
              <w:rPr>
                <w:rStyle w:val="IndexLink"/>
              </w:rPr>
              <w:t>202</w:t>
            </w:r>
          </w:hyperlink>
        </w:p>
        <w:p>
          <w:pPr>
            <w:pStyle w:val="Contents6"/>
            <w:tabs>
              <w:tab w:val="clear" w:pos="7609"/>
              <w:tab w:val="right" w:pos="9026" w:leader="dot"/>
            </w:tabs>
            <w:rPr/>
          </w:pPr>
          <w:hyperlink w:anchor="__RefHeading___Toc3419992_581953129">
            <w:r>
              <w:rPr>
                <w:webHidden/>
                <w:rStyle w:val="IndexLink"/>
                <w:rtl w:val="true"/>
              </w:rPr>
              <w:t>شبهه در بدیهیات</w:t>
            </w:r>
            <w:r>
              <w:rPr>
                <w:rStyle w:val="IndexLink"/>
                <w:rtl w:val="true"/>
              </w:rPr>
              <w:tab/>
            </w:r>
            <w:r>
              <w:rPr>
                <w:rStyle w:val="IndexLink"/>
              </w:rPr>
              <w:t>203</w:t>
            </w:r>
          </w:hyperlink>
        </w:p>
        <w:p>
          <w:pPr>
            <w:pStyle w:val="Contents6"/>
            <w:tabs>
              <w:tab w:val="clear" w:pos="7609"/>
              <w:tab w:val="right" w:pos="9026" w:leader="dot"/>
            </w:tabs>
            <w:rPr/>
          </w:pPr>
          <w:hyperlink w:anchor="__RefHeading___Toc3419994_581953129">
            <w:r>
              <w:rPr>
                <w:webHidden/>
                <w:rStyle w:val="IndexLink"/>
                <w:rtl w:val="true"/>
              </w:rPr>
              <w:t>مفهوم کلی قاعده</w:t>
            </w:r>
            <w:r>
              <w:rPr>
                <w:rStyle w:val="IndexLink"/>
                <w:rtl w:val="true"/>
              </w:rPr>
              <w:tab/>
            </w:r>
            <w:r>
              <w:rPr>
                <w:rStyle w:val="IndexLink"/>
              </w:rPr>
              <w:t>204</w:t>
            </w:r>
          </w:hyperlink>
        </w:p>
        <w:p>
          <w:pPr>
            <w:pStyle w:val="Contents6"/>
            <w:tabs>
              <w:tab w:val="clear" w:pos="7609"/>
              <w:tab w:val="right" w:pos="9026" w:leader="dot"/>
            </w:tabs>
            <w:rPr/>
          </w:pPr>
          <w:hyperlink w:anchor="__RefHeading___Toc3419996_581953129">
            <w:r>
              <w:rPr>
                <w:webHidden/>
                <w:rStyle w:val="IndexLink"/>
                <w:rtl w:val="true"/>
              </w:rPr>
              <w:t>ه</w:t>
            </w:r>
            <w:r>
              <w:rPr>
                <w:rStyle w:val="IndexLink"/>
                <w:rtl w:val="true"/>
              </w:rPr>
              <w:t>)</w:t>
            </w:r>
            <w:r>
              <w:rPr>
                <w:rStyle w:val="IndexLink"/>
                <w:rtl w:val="true"/>
              </w:rPr>
              <w:t>احتیاط در دماء</w:t>
            </w:r>
            <w:r>
              <w:rPr>
                <w:rStyle w:val="IndexLink"/>
                <w:rtl w:val="true"/>
              </w:rPr>
              <w:tab/>
            </w:r>
            <w:r>
              <w:rPr>
                <w:rStyle w:val="IndexLink"/>
              </w:rPr>
              <w:t>206</w:t>
            </w:r>
          </w:hyperlink>
        </w:p>
        <w:p>
          <w:pPr>
            <w:pStyle w:val="Contents3"/>
            <w:tabs>
              <w:tab w:val="clear" w:pos="8459"/>
              <w:tab w:val="right" w:pos="9026" w:leader="dot"/>
            </w:tabs>
            <w:rPr/>
          </w:pPr>
          <w:hyperlink w:anchor="__RefHeading___Toc3419998_581953129">
            <w:r>
              <w:rPr>
                <w:webHidden/>
                <w:rStyle w:val="IndexLink"/>
              </w:rPr>
              <w:t>3</w:t>
            </w:r>
            <w:r>
              <w:rPr>
                <w:rStyle w:val="IndexLink"/>
                <w:rtl w:val="true"/>
              </w:rPr>
              <w:t>-</w:t>
            </w:r>
            <w:r>
              <w:rPr>
                <w:rStyle w:val="IndexLink"/>
                <w:rtl w:val="true"/>
              </w:rPr>
              <w:t>کیفرهای جایگزین</w:t>
            </w:r>
            <w:r>
              <w:rPr>
                <w:rStyle w:val="IndexLink"/>
                <w:rtl w:val="true"/>
              </w:rPr>
              <w:tab/>
            </w:r>
            <w:r>
              <w:rPr>
                <w:rStyle w:val="IndexLink"/>
              </w:rPr>
              <w:t>208</w:t>
            </w:r>
          </w:hyperlink>
        </w:p>
        <w:p>
          <w:pPr>
            <w:pStyle w:val="Contents3"/>
            <w:tabs>
              <w:tab w:val="clear" w:pos="8459"/>
              <w:tab w:val="right" w:pos="9026" w:leader="dot"/>
            </w:tabs>
            <w:rPr/>
          </w:pPr>
          <w:hyperlink w:anchor="__RefHeading___Toc3420000_581953129">
            <w:r>
              <w:rPr>
                <w:webHidden/>
                <w:rStyle w:val="IndexLink"/>
              </w:rPr>
              <w:t>4</w:t>
            </w:r>
            <w:r>
              <w:rPr>
                <w:rStyle w:val="IndexLink"/>
                <w:rtl w:val="true"/>
              </w:rPr>
              <w:t>-</w:t>
            </w:r>
            <w:r>
              <w:rPr>
                <w:rStyle w:val="IndexLink"/>
                <w:rtl w:val="true"/>
              </w:rPr>
              <w:t>جواز اقامه تعزیرات</w:t>
            </w:r>
            <w:r>
              <w:rPr>
                <w:rStyle w:val="IndexLink"/>
                <w:rtl w:val="true"/>
              </w:rPr>
              <w:tab/>
            </w:r>
            <w:r>
              <w:rPr>
                <w:rStyle w:val="IndexLink"/>
              </w:rPr>
              <w:t>212</w:t>
            </w:r>
          </w:hyperlink>
        </w:p>
        <w:p>
          <w:pPr>
            <w:pStyle w:val="Contents4"/>
            <w:tabs>
              <w:tab w:val="clear" w:pos="8176"/>
              <w:tab w:val="right" w:pos="9026" w:leader="dot"/>
            </w:tabs>
            <w:rPr/>
          </w:pPr>
          <w:hyperlink w:anchor="__RefHeading___Toc3420002_581953129">
            <w:r>
              <w:rPr>
                <w:webHidden/>
                <w:rStyle w:val="IndexLink"/>
                <w:rtl w:val="true"/>
              </w:rPr>
              <w:t>دیدگاه فقها</w:t>
            </w:r>
            <w:r>
              <w:rPr>
                <w:rStyle w:val="IndexLink"/>
                <w:rtl w:val="true"/>
              </w:rPr>
              <w:tab/>
            </w:r>
            <w:r>
              <w:rPr>
                <w:rStyle w:val="IndexLink"/>
              </w:rPr>
              <w:t>212</w:t>
            </w:r>
          </w:hyperlink>
        </w:p>
        <w:p>
          <w:pPr>
            <w:pStyle w:val="Contents4"/>
            <w:tabs>
              <w:tab w:val="clear" w:pos="8176"/>
              <w:tab w:val="right" w:pos="9026" w:leader="dot"/>
            </w:tabs>
            <w:rPr/>
          </w:pPr>
          <w:hyperlink w:anchor="__RefHeading___Toc3420004_581953129">
            <w:r>
              <w:rPr>
                <w:webHidden/>
                <w:rStyle w:val="IndexLink"/>
                <w:rtl w:val="true"/>
              </w:rPr>
              <w:t>نقد و بررسی</w:t>
            </w:r>
            <w:r>
              <w:rPr>
                <w:rStyle w:val="IndexLink"/>
                <w:rtl w:val="true"/>
              </w:rPr>
              <w:tab/>
            </w:r>
            <w:r>
              <w:rPr>
                <w:rStyle w:val="IndexLink"/>
              </w:rPr>
              <w:t>213</w:t>
            </w:r>
          </w:hyperlink>
        </w:p>
        <w:p>
          <w:pPr>
            <w:pStyle w:val="Contents5"/>
            <w:tabs>
              <w:tab w:val="clear" w:pos="7892"/>
              <w:tab w:val="right" w:pos="9026" w:leader="dot"/>
            </w:tabs>
            <w:rPr/>
          </w:pPr>
          <w:hyperlink w:anchor="__RefHeading___Toc3420006_581953129">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3420008_581953129">
            <w:r>
              <w:rPr>
                <w:webHidden/>
                <w:rStyle w:val="IndexLink"/>
              </w:rPr>
              <w:t>1</w:t>
            </w:r>
            <w:r>
              <w:rPr>
                <w:rStyle w:val="IndexLink"/>
                <w:rtl w:val="true"/>
              </w:rPr>
              <w:t>-</w:t>
            </w:r>
            <w:r>
              <w:rPr>
                <w:rStyle w:val="IndexLink"/>
                <w:rtl w:val="true"/>
              </w:rPr>
              <w:t>بر اساس دیدگاه جواز اقامه حدود</w:t>
            </w:r>
            <w:r>
              <w:rPr>
                <w:rStyle w:val="IndexLink"/>
                <w:rtl w:val="true"/>
              </w:rPr>
              <w:tab/>
            </w:r>
            <w:r>
              <w:rPr>
                <w:rStyle w:val="IndexLink"/>
              </w:rPr>
              <w:t>213</w:t>
            </w:r>
          </w:hyperlink>
        </w:p>
        <w:p>
          <w:pPr>
            <w:pStyle w:val="Contents5"/>
            <w:tabs>
              <w:tab w:val="clear" w:pos="7892"/>
              <w:tab w:val="right" w:pos="9026" w:leader="dot"/>
            </w:tabs>
            <w:rPr/>
          </w:pPr>
          <w:hyperlink w:anchor="__RefHeading___Toc3420010_581953129">
            <w:r>
              <w:rPr>
                <w:webHidden/>
                <w:rStyle w:val="IndexLink"/>
              </w:rPr>
              <w:t>2</w:t>
            </w:r>
            <w:r>
              <w:rPr>
                <w:rStyle w:val="IndexLink"/>
                <w:rtl w:val="true"/>
              </w:rPr>
              <w:t>-</w:t>
            </w:r>
            <w:r>
              <w:rPr>
                <w:rStyle w:val="IndexLink"/>
                <w:rtl w:val="true"/>
              </w:rPr>
              <w:t>بر اساس دیدگاه عدم جواز اقامه حدود</w:t>
            </w:r>
            <w:r>
              <w:rPr>
                <w:rStyle w:val="IndexLink"/>
                <w:rtl w:val="true"/>
              </w:rPr>
              <w:tab/>
            </w:r>
            <w:r>
              <w:rPr>
                <w:rStyle w:val="IndexLink"/>
              </w:rPr>
              <w:t>214</w:t>
            </w:r>
          </w:hyperlink>
        </w:p>
        <w:p>
          <w:pPr>
            <w:pStyle w:val="Contents2"/>
            <w:tabs>
              <w:tab w:val="clear" w:pos="8743"/>
              <w:tab w:val="right" w:pos="9026" w:leader="dot"/>
            </w:tabs>
            <w:rPr/>
          </w:pPr>
          <w:hyperlink w:anchor="__RefHeading___Toc3420012_581953129">
            <w:r>
              <w:rPr>
                <w:webHidden/>
                <w:rStyle w:val="IndexLink"/>
                <w:rtl w:val="true"/>
              </w:rPr>
              <w:t>بخش سوم</w:t>
            </w:r>
            <w:r>
              <w:rPr>
                <w:rStyle w:val="IndexLink"/>
                <w:rtl w:val="true"/>
              </w:rPr>
              <w:t>:</w:t>
            </w:r>
            <w:r>
              <w:rPr>
                <w:rStyle w:val="IndexLink"/>
                <w:rtl w:val="true"/>
              </w:rPr>
              <w:t>دیدگاه جواز اقامه حدود</w:t>
            </w:r>
            <w:r>
              <w:rPr>
                <w:rStyle w:val="IndexLink"/>
                <w:rtl w:val="true"/>
              </w:rPr>
              <w:tab/>
            </w:r>
            <w:r>
              <w:rPr>
                <w:rStyle w:val="IndexLink"/>
              </w:rPr>
              <w:t>217</w:t>
            </w:r>
          </w:hyperlink>
        </w:p>
        <w:p>
          <w:pPr>
            <w:pStyle w:val="Contents3"/>
            <w:tabs>
              <w:tab w:val="clear" w:pos="8459"/>
              <w:tab w:val="right" w:pos="9026" w:leader="dot"/>
            </w:tabs>
            <w:rPr/>
          </w:pPr>
          <w:hyperlink w:anchor="__RefHeading___Toc3420014_581953129">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3420016_581953129">
            <w:r>
              <w:rPr>
                <w:webHidden/>
                <w:rStyle w:val="IndexLink"/>
              </w:rPr>
              <w:t>1</w:t>
            </w:r>
            <w:r>
              <w:rPr>
                <w:rStyle w:val="IndexLink"/>
                <w:rtl w:val="true"/>
              </w:rPr>
              <w:t>-</w:t>
            </w:r>
            <w:r>
              <w:rPr>
                <w:rStyle w:val="IndexLink"/>
                <w:rtl w:val="true"/>
              </w:rPr>
              <w:t>صاحبان دیدگاه جواز اقامه حدود</w:t>
            </w:r>
            <w:r>
              <w:rPr>
                <w:rStyle w:val="IndexLink"/>
                <w:rtl w:val="true"/>
              </w:rPr>
              <w:tab/>
            </w:r>
            <w:r>
              <w:rPr>
                <w:rStyle w:val="IndexLink"/>
              </w:rPr>
              <w:t>219</w:t>
            </w:r>
          </w:hyperlink>
        </w:p>
        <w:p>
          <w:pPr>
            <w:pStyle w:val="Contents4"/>
            <w:tabs>
              <w:tab w:val="clear" w:pos="8176"/>
              <w:tab w:val="right" w:pos="9026" w:leader="dot"/>
            </w:tabs>
            <w:rPr/>
          </w:pPr>
          <w:hyperlink w:anchor="__RefHeading___Toc3420018_581953129">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3420020_581953129">
            <w:r>
              <w:rPr>
                <w:webHidden/>
                <w:rStyle w:val="IndexLink"/>
                <w:rtl w:val="true"/>
              </w:rPr>
              <w:t>متقدمین</w:t>
            </w:r>
            <w:r>
              <w:rPr>
                <w:rStyle w:val="IndexLink"/>
                <w:rtl w:val="true"/>
              </w:rPr>
              <w:tab/>
            </w:r>
            <w:r>
              <w:rPr>
                <w:rStyle w:val="IndexLink"/>
              </w:rPr>
              <w:t>219</w:t>
            </w:r>
          </w:hyperlink>
        </w:p>
        <w:p>
          <w:pPr>
            <w:pStyle w:val="Contents5"/>
            <w:tabs>
              <w:tab w:val="clear" w:pos="7892"/>
              <w:tab w:val="right" w:pos="9026" w:leader="dot"/>
            </w:tabs>
            <w:rPr/>
          </w:pPr>
          <w:hyperlink w:anchor="__RefHeading___Toc3420022_581953129">
            <w:r>
              <w:rPr>
                <w:webHidden/>
                <w:rStyle w:val="IndexLink"/>
              </w:rPr>
              <w:t>1</w:t>
            </w:r>
            <w:r>
              <w:rPr>
                <w:rStyle w:val="IndexLink"/>
                <w:rtl w:val="true"/>
              </w:rPr>
              <w:t>-</w:t>
            </w:r>
            <w:r>
              <w:rPr>
                <w:rStyle w:val="IndexLink"/>
                <w:rtl w:val="true"/>
              </w:rPr>
              <w:t>شیخ مفید</w:t>
            </w:r>
            <w:r>
              <w:rPr>
                <w:rStyle w:val="IndexLink"/>
                <w:rtl w:val="true"/>
              </w:rPr>
              <w:tab/>
            </w:r>
            <w:r>
              <w:rPr>
                <w:rStyle w:val="IndexLink"/>
              </w:rPr>
              <w:t>219</w:t>
            </w:r>
          </w:hyperlink>
        </w:p>
        <w:p>
          <w:pPr>
            <w:pStyle w:val="Contents5"/>
            <w:tabs>
              <w:tab w:val="clear" w:pos="7892"/>
              <w:tab w:val="right" w:pos="9026" w:leader="dot"/>
            </w:tabs>
            <w:rPr/>
          </w:pPr>
          <w:hyperlink w:anchor="__RefHeading___Toc3420024_581953129">
            <w:r>
              <w:rPr>
                <w:webHidden/>
                <w:rStyle w:val="IndexLink"/>
              </w:rPr>
              <w:t>2</w:t>
            </w:r>
            <w:r>
              <w:rPr>
                <w:rStyle w:val="IndexLink"/>
                <w:rtl w:val="true"/>
              </w:rPr>
              <w:t>-</w:t>
            </w:r>
            <w:r>
              <w:rPr>
                <w:rStyle w:val="IndexLink"/>
                <w:rtl w:val="true"/>
              </w:rPr>
              <w:t>شیخ طوسی</w:t>
            </w:r>
            <w:r>
              <w:rPr>
                <w:rStyle w:val="IndexLink"/>
                <w:rtl w:val="true"/>
              </w:rPr>
              <w:tab/>
            </w:r>
            <w:r>
              <w:rPr>
                <w:rStyle w:val="IndexLink"/>
              </w:rPr>
              <w:t>220</w:t>
            </w:r>
          </w:hyperlink>
        </w:p>
        <w:p>
          <w:pPr>
            <w:pStyle w:val="Contents5"/>
            <w:tabs>
              <w:tab w:val="clear" w:pos="7892"/>
              <w:tab w:val="right" w:pos="9026" w:leader="dot"/>
            </w:tabs>
            <w:rPr/>
          </w:pPr>
          <w:hyperlink w:anchor="__RefHeading___Toc3420026_581953129">
            <w:r>
              <w:rPr>
                <w:webHidden/>
                <w:rStyle w:val="IndexLink"/>
              </w:rPr>
              <w:t>3</w:t>
            </w:r>
            <w:r>
              <w:rPr>
                <w:rStyle w:val="IndexLink"/>
                <w:rtl w:val="true"/>
              </w:rPr>
              <w:t>-</w:t>
            </w:r>
            <w:r>
              <w:rPr>
                <w:rStyle w:val="IndexLink"/>
                <w:rtl w:val="true"/>
              </w:rPr>
              <w:t>سلّار</w:t>
            </w:r>
            <w:r>
              <w:rPr>
                <w:rStyle w:val="IndexLink"/>
                <w:rtl w:val="true"/>
              </w:rPr>
              <w:tab/>
            </w:r>
            <w:r>
              <w:rPr>
                <w:rStyle w:val="IndexLink"/>
              </w:rPr>
              <w:t>221</w:t>
            </w:r>
          </w:hyperlink>
        </w:p>
        <w:p>
          <w:pPr>
            <w:pStyle w:val="Contents4"/>
            <w:tabs>
              <w:tab w:val="clear" w:pos="8176"/>
              <w:tab w:val="right" w:pos="9026" w:leader="dot"/>
            </w:tabs>
            <w:rPr/>
          </w:pPr>
          <w:hyperlink w:anchor="__RefHeading___Toc3420028_581953129">
            <w:r>
              <w:rPr>
                <w:webHidden/>
                <w:rStyle w:val="IndexLink"/>
                <w:rtl w:val="true"/>
              </w:rPr>
              <w:t>متأخرین</w:t>
            </w:r>
            <w:r>
              <w:rPr>
                <w:rStyle w:val="IndexLink"/>
                <w:rtl w:val="true"/>
              </w:rPr>
              <w:tab/>
            </w:r>
            <w:r>
              <w:rPr>
                <w:rStyle w:val="IndexLink"/>
              </w:rPr>
              <w:t>222</w:t>
            </w:r>
          </w:hyperlink>
        </w:p>
        <w:p>
          <w:pPr>
            <w:pStyle w:val="Contents5"/>
            <w:tabs>
              <w:tab w:val="clear" w:pos="7892"/>
              <w:tab w:val="right" w:pos="9026" w:leader="dot"/>
            </w:tabs>
            <w:rPr/>
          </w:pPr>
          <w:hyperlink w:anchor="__RefHeading___Toc3420030_581953129">
            <w:r>
              <w:rPr>
                <w:webHidden/>
                <w:rStyle w:val="IndexLink"/>
              </w:rPr>
              <w:t>1</w:t>
            </w:r>
            <w:r>
              <w:rPr>
                <w:rStyle w:val="IndexLink"/>
                <w:rtl w:val="true"/>
              </w:rPr>
              <w:t>-</w:t>
            </w:r>
            <w:r>
              <w:rPr>
                <w:rStyle w:val="IndexLink"/>
                <w:rtl w:val="true"/>
              </w:rPr>
              <w:t>علامه حلی</w:t>
            </w:r>
            <w:r>
              <w:rPr>
                <w:rStyle w:val="IndexLink"/>
                <w:rtl w:val="true"/>
              </w:rPr>
              <w:tab/>
            </w:r>
            <w:r>
              <w:rPr>
                <w:rStyle w:val="IndexLink"/>
              </w:rPr>
              <w:t>222</w:t>
            </w:r>
          </w:hyperlink>
        </w:p>
        <w:p>
          <w:pPr>
            <w:pStyle w:val="Contents5"/>
            <w:tabs>
              <w:tab w:val="clear" w:pos="7892"/>
              <w:tab w:val="right" w:pos="9026" w:leader="dot"/>
            </w:tabs>
            <w:rPr/>
          </w:pPr>
          <w:hyperlink w:anchor="__RefHeading___Toc3420032_581953129">
            <w:r>
              <w:rPr>
                <w:webHidden/>
                <w:rStyle w:val="IndexLink"/>
              </w:rPr>
              <w:t>2</w:t>
            </w:r>
            <w:r>
              <w:rPr>
                <w:rStyle w:val="IndexLink"/>
                <w:rtl w:val="true"/>
              </w:rPr>
              <w:t>-</w:t>
            </w:r>
            <w:r>
              <w:rPr>
                <w:rStyle w:val="IndexLink"/>
                <w:rtl w:val="true"/>
              </w:rPr>
              <w:t>شهید اول</w:t>
            </w:r>
            <w:r>
              <w:rPr>
                <w:rStyle w:val="IndexLink"/>
                <w:rtl w:val="true"/>
              </w:rPr>
              <w:tab/>
            </w:r>
            <w:r>
              <w:rPr>
                <w:rStyle w:val="IndexLink"/>
              </w:rPr>
              <w:t>223</w:t>
            </w:r>
          </w:hyperlink>
        </w:p>
        <w:p>
          <w:pPr>
            <w:pStyle w:val="Contents5"/>
            <w:tabs>
              <w:tab w:val="clear" w:pos="7892"/>
              <w:tab w:val="right" w:pos="9026" w:leader="dot"/>
            </w:tabs>
            <w:rPr/>
          </w:pPr>
          <w:hyperlink w:anchor="__RefHeading___Toc3420034_581953129">
            <w:r>
              <w:rPr>
                <w:webHidden/>
                <w:rStyle w:val="IndexLink"/>
              </w:rPr>
              <w:t>3</w:t>
            </w:r>
            <w:r>
              <w:rPr>
                <w:rStyle w:val="IndexLink"/>
                <w:rtl w:val="true"/>
              </w:rPr>
              <w:t>-</w:t>
            </w:r>
            <w:r>
              <w:rPr>
                <w:rStyle w:val="IndexLink"/>
                <w:rtl w:val="true"/>
              </w:rPr>
              <w:t>ابن‌فهد حلی</w:t>
            </w:r>
            <w:r>
              <w:rPr>
                <w:rStyle w:val="IndexLink"/>
                <w:rtl w:val="true"/>
              </w:rPr>
              <w:tab/>
            </w:r>
            <w:r>
              <w:rPr>
                <w:rStyle w:val="IndexLink"/>
              </w:rPr>
              <w:t>224</w:t>
            </w:r>
          </w:hyperlink>
        </w:p>
        <w:p>
          <w:pPr>
            <w:pStyle w:val="Contents5"/>
            <w:tabs>
              <w:tab w:val="clear" w:pos="7892"/>
              <w:tab w:val="right" w:pos="9026" w:leader="dot"/>
            </w:tabs>
            <w:rPr/>
          </w:pPr>
          <w:hyperlink w:anchor="__RefHeading___Toc3420036_581953129">
            <w:r>
              <w:rPr>
                <w:webHidden/>
                <w:rStyle w:val="IndexLink"/>
              </w:rPr>
              <w:t>4</w:t>
            </w:r>
            <w:r>
              <w:rPr>
                <w:rStyle w:val="IndexLink"/>
                <w:rtl w:val="true"/>
              </w:rPr>
              <w:t>-</w:t>
            </w:r>
            <w:r>
              <w:rPr>
                <w:rStyle w:val="IndexLink"/>
                <w:rtl w:val="true"/>
              </w:rPr>
              <w:t>فاضل مقداد</w:t>
            </w:r>
            <w:r>
              <w:rPr>
                <w:rStyle w:val="IndexLink"/>
                <w:rtl w:val="true"/>
              </w:rPr>
              <w:tab/>
            </w:r>
            <w:r>
              <w:rPr>
                <w:rStyle w:val="IndexLink"/>
              </w:rPr>
              <w:t>224</w:t>
            </w:r>
          </w:hyperlink>
        </w:p>
        <w:p>
          <w:pPr>
            <w:pStyle w:val="Contents5"/>
            <w:tabs>
              <w:tab w:val="clear" w:pos="7892"/>
              <w:tab w:val="right" w:pos="9026" w:leader="dot"/>
            </w:tabs>
            <w:rPr/>
          </w:pPr>
          <w:hyperlink w:anchor="__RefHeading___Toc3420038_581953129">
            <w:r>
              <w:rPr>
                <w:webHidden/>
                <w:rStyle w:val="IndexLink"/>
              </w:rPr>
              <w:t>5</w:t>
            </w:r>
            <w:r>
              <w:rPr>
                <w:rStyle w:val="IndexLink"/>
                <w:rtl w:val="true"/>
              </w:rPr>
              <w:t>-</w:t>
            </w:r>
            <w:r>
              <w:rPr>
                <w:rStyle w:val="IndexLink"/>
                <w:rtl w:val="true"/>
              </w:rPr>
              <w:t>محقق کرکی</w:t>
            </w:r>
            <w:r>
              <w:rPr>
                <w:rStyle w:val="IndexLink"/>
                <w:rtl w:val="true"/>
              </w:rPr>
              <w:tab/>
            </w:r>
            <w:r>
              <w:rPr>
                <w:rStyle w:val="IndexLink"/>
              </w:rPr>
              <w:t>225</w:t>
            </w:r>
          </w:hyperlink>
        </w:p>
        <w:p>
          <w:pPr>
            <w:pStyle w:val="Contents5"/>
            <w:tabs>
              <w:tab w:val="clear" w:pos="7892"/>
              <w:tab w:val="right" w:pos="9026" w:leader="dot"/>
            </w:tabs>
            <w:rPr/>
          </w:pPr>
          <w:hyperlink w:anchor="__RefHeading___Toc3420040_581953129">
            <w:r>
              <w:rPr>
                <w:webHidden/>
                <w:rStyle w:val="IndexLink"/>
              </w:rPr>
              <w:t>6</w:t>
            </w:r>
            <w:r>
              <w:rPr>
                <w:rStyle w:val="IndexLink"/>
                <w:rtl w:val="true"/>
              </w:rPr>
              <w:t>-</w:t>
            </w:r>
            <w:r>
              <w:rPr>
                <w:rStyle w:val="IndexLink"/>
                <w:rtl w:val="true"/>
              </w:rPr>
              <w:t>شهید ثانی</w:t>
            </w:r>
            <w:r>
              <w:rPr>
                <w:rStyle w:val="IndexLink"/>
                <w:rtl w:val="true"/>
              </w:rPr>
              <w:tab/>
            </w:r>
            <w:r>
              <w:rPr>
                <w:rStyle w:val="IndexLink"/>
              </w:rPr>
              <w:t>226</w:t>
            </w:r>
          </w:hyperlink>
        </w:p>
        <w:p>
          <w:pPr>
            <w:pStyle w:val="Contents4"/>
            <w:tabs>
              <w:tab w:val="clear" w:pos="8176"/>
              <w:tab w:val="right" w:pos="9026" w:leader="dot"/>
            </w:tabs>
            <w:rPr/>
          </w:pPr>
          <w:hyperlink w:anchor="__RefHeading___Toc3420042_581953129">
            <w:r>
              <w:rPr>
                <w:webHidden/>
                <w:rStyle w:val="IndexLink"/>
                <w:rtl w:val="true"/>
              </w:rPr>
              <w:t>متأخرِ متأخرین</w:t>
            </w:r>
            <w:r>
              <w:rPr>
                <w:rStyle w:val="IndexLink"/>
                <w:rtl w:val="true"/>
              </w:rPr>
              <w:tab/>
            </w:r>
            <w:r>
              <w:rPr>
                <w:rStyle w:val="IndexLink"/>
              </w:rPr>
              <w:t>226</w:t>
            </w:r>
          </w:hyperlink>
        </w:p>
        <w:p>
          <w:pPr>
            <w:pStyle w:val="Contents5"/>
            <w:tabs>
              <w:tab w:val="clear" w:pos="7892"/>
              <w:tab w:val="right" w:pos="9026" w:leader="dot"/>
            </w:tabs>
            <w:rPr/>
          </w:pPr>
          <w:hyperlink w:anchor="__RefHeading___Toc3420044_581953129">
            <w:r>
              <w:rPr>
                <w:webHidden/>
                <w:rStyle w:val="IndexLink"/>
              </w:rPr>
              <w:t>1</w:t>
            </w:r>
            <w:r>
              <w:rPr>
                <w:rStyle w:val="IndexLink"/>
                <w:rtl w:val="true"/>
              </w:rPr>
              <w:t>-</w:t>
            </w:r>
            <w:r>
              <w:rPr>
                <w:rStyle w:val="IndexLink"/>
                <w:rtl w:val="true"/>
              </w:rPr>
              <w:t>مقدس اردبیلی</w:t>
            </w:r>
            <w:r>
              <w:rPr>
                <w:rStyle w:val="IndexLink"/>
                <w:rtl w:val="true"/>
              </w:rPr>
              <w:tab/>
            </w:r>
            <w:r>
              <w:rPr>
                <w:rStyle w:val="IndexLink"/>
              </w:rPr>
              <w:t>226</w:t>
            </w:r>
          </w:hyperlink>
        </w:p>
        <w:p>
          <w:pPr>
            <w:pStyle w:val="Contents5"/>
            <w:tabs>
              <w:tab w:val="clear" w:pos="7892"/>
              <w:tab w:val="right" w:pos="9026" w:leader="dot"/>
            </w:tabs>
            <w:rPr/>
          </w:pPr>
          <w:hyperlink w:anchor="__RefHeading___Toc3420046_581953129">
            <w:r>
              <w:rPr>
                <w:webHidden/>
                <w:rStyle w:val="IndexLink"/>
              </w:rPr>
              <w:t>2</w:t>
            </w:r>
            <w:r>
              <w:rPr>
                <w:rStyle w:val="IndexLink"/>
                <w:rtl w:val="true"/>
              </w:rPr>
              <w:t>-</w:t>
            </w:r>
            <w:r>
              <w:rPr>
                <w:rStyle w:val="IndexLink"/>
                <w:rtl w:val="true"/>
              </w:rPr>
              <w:t>فیض کاشانی</w:t>
            </w:r>
            <w:r>
              <w:rPr>
                <w:rStyle w:val="IndexLink"/>
                <w:rtl w:val="true"/>
              </w:rPr>
              <w:tab/>
            </w:r>
            <w:r>
              <w:rPr>
                <w:rStyle w:val="IndexLink"/>
              </w:rPr>
              <w:t>227</w:t>
            </w:r>
          </w:hyperlink>
        </w:p>
        <w:p>
          <w:pPr>
            <w:pStyle w:val="Contents5"/>
            <w:tabs>
              <w:tab w:val="clear" w:pos="7892"/>
              <w:tab w:val="right" w:pos="9026" w:leader="dot"/>
            </w:tabs>
            <w:rPr/>
          </w:pPr>
          <w:hyperlink w:anchor="__RefHeading___Toc3420048_581953129">
            <w:r>
              <w:rPr>
                <w:webHidden/>
                <w:rStyle w:val="IndexLink"/>
              </w:rPr>
              <w:t>3</w:t>
            </w:r>
            <w:r>
              <w:rPr>
                <w:rStyle w:val="IndexLink"/>
                <w:rtl w:val="true"/>
              </w:rPr>
              <w:t>-</w:t>
            </w:r>
            <w:r>
              <w:rPr>
                <w:rStyle w:val="IndexLink"/>
                <w:rtl w:val="true"/>
              </w:rPr>
              <w:t>کاشف الغطاء</w:t>
            </w:r>
            <w:r>
              <w:rPr>
                <w:rStyle w:val="IndexLink"/>
                <w:rtl w:val="true"/>
              </w:rPr>
              <w:tab/>
            </w:r>
            <w:r>
              <w:rPr>
                <w:rStyle w:val="IndexLink"/>
              </w:rPr>
              <w:t>228</w:t>
            </w:r>
          </w:hyperlink>
        </w:p>
        <w:p>
          <w:pPr>
            <w:pStyle w:val="Contents5"/>
            <w:tabs>
              <w:tab w:val="clear" w:pos="7892"/>
              <w:tab w:val="right" w:pos="9026" w:leader="dot"/>
            </w:tabs>
            <w:rPr/>
          </w:pPr>
          <w:hyperlink w:anchor="__RefHeading___Toc3420050_581953129">
            <w:r>
              <w:rPr>
                <w:webHidden/>
                <w:rStyle w:val="IndexLink"/>
              </w:rPr>
              <w:t>4</w:t>
            </w:r>
            <w:r>
              <w:rPr>
                <w:rStyle w:val="IndexLink"/>
                <w:rtl w:val="true"/>
              </w:rPr>
              <w:t>-</w:t>
            </w:r>
            <w:r>
              <w:rPr>
                <w:rStyle w:val="IndexLink"/>
                <w:rtl w:val="true"/>
              </w:rPr>
              <w:t>محقق نراقی</w:t>
            </w:r>
            <w:r>
              <w:rPr>
                <w:rStyle w:val="IndexLink"/>
                <w:rtl w:val="true"/>
              </w:rPr>
              <w:tab/>
            </w:r>
            <w:r>
              <w:rPr>
                <w:rStyle w:val="IndexLink"/>
              </w:rPr>
              <w:t>228</w:t>
            </w:r>
          </w:hyperlink>
        </w:p>
        <w:p>
          <w:pPr>
            <w:pStyle w:val="Contents5"/>
            <w:tabs>
              <w:tab w:val="clear" w:pos="7892"/>
              <w:tab w:val="right" w:pos="9026" w:leader="dot"/>
            </w:tabs>
            <w:rPr/>
          </w:pPr>
          <w:hyperlink w:anchor="__RefHeading___Toc3420052_581953129">
            <w:r>
              <w:rPr>
                <w:webHidden/>
                <w:rStyle w:val="IndexLink"/>
              </w:rPr>
              <w:t>5</w:t>
            </w:r>
            <w:r>
              <w:rPr>
                <w:rStyle w:val="IndexLink"/>
                <w:rtl w:val="true"/>
              </w:rPr>
              <w:t>-</w:t>
            </w:r>
            <w:r>
              <w:rPr>
                <w:rStyle w:val="IndexLink"/>
                <w:rtl w:val="true"/>
              </w:rPr>
              <w:t>صاحب جواهر</w:t>
            </w:r>
            <w:r>
              <w:rPr>
                <w:rStyle w:val="IndexLink"/>
                <w:rtl w:val="true"/>
              </w:rPr>
              <w:tab/>
            </w:r>
            <w:r>
              <w:rPr>
                <w:rStyle w:val="IndexLink"/>
              </w:rPr>
              <w:t>229</w:t>
            </w:r>
          </w:hyperlink>
        </w:p>
        <w:p>
          <w:pPr>
            <w:pStyle w:val="Contents5"/>
            <w:tabs>
              <w:tab w:val="clear" w:pos="7892"/>
              <w:tab w:val="right" w:pos="9026" w:leader="dot"/>
            </w:tabs>
            <w:rPr/>
          </w:pPr>
          <w:hyperlink w:anchor="__RefHeading___Toc3420054_581953129">
            <w:r>
              <w:rPr>
                <w:webHidden/>
                <w:rStyle w:val="IndexLink"/>
              </w:rPr>
              <w:t>6</w:t>
            </w:r>
            <w:r>
              <w:rPr>
                <w:rStyle w:val="IndexLink"/>
                <w:rtl w:val="true"/>
              </w:rPr>
              <w:t>-</w:t>
            </w:r>
            <w:r>
              <w:rPr>
                <w:rStyle w:val="IndexLink"/>
                <w:rtl w:val="true"/>
              </w:rPr>
              <w:t>سید عبدالحسین موسوی لاری</w:t>
            </w:r>
            <w:r>
              <w:rPr>
                <w:rStyle w:val="IndexLink"/>
                <w:rtl w:val="true"/>
              </w:rPr>
              <w:tab/>
            </w:r>
            <w:r>
              <w:rPr>
                <w:rStyle w:val="IndexLink"/>
              </w:rPr>
              <w:t>230</w:t>
            </w:r>
          </w:hyperlink>
        </w:p>
        <w:p>
          <w:pPr>
            <w:pStyle w:val="Contents5"/>
            <w:tabs>
              <w:tab w:val="clear" w:pos="7892"/>
              <w:tab w:val="right" w:pos="9026" w:leader="dot"/>
            </w:tabs>
            <w:rPr/>
          </w:pPr>
          <w:hyperlink w:anchor="__RefHeading___Toc3420056_581953129">
            <w:r>
              <w:rPr>
                <w:webHidden/>
                <w:rStyle w:val="IndexLink"/>
              </w:rPr>
              <w:t>7</w:t>
            </w:r>
            <w:r>
              <w:rPr>
                <w:rStyle w:val="IndexLink"/>
                <w:rtl w:val="true"/>
              </w:rPr>
              <w:t>-</w:t>
            </w:r>
            <w:r>
              <w:rPr>
                <w:rStyle w:val="IndexLink"/>
                <w:rtl w:val="true"/>
              </w:rPr>
              <w:t>علامه مظفر</w:t>
            </w:r>
            <w:r>
              <w:rPr>
                <w:rStyle w:val="IndexLink"/>
                <w:rtl w:val="true"/>
              </w:rPr>
              <w:tab/>
            </w:r>
            <w:r>
              <w:rPr>
                <w:rStyle w:val="IndexLink"/>
              </w:rPr>
              <w:t>231</w:t>
            </w:r>
          </w:hyperlink>
        </w:p>
        <w:p>
          <w:pPr>
            <w:pStyle w:val="Contents4"/>
            <w:tabs>
              <w:tab w:val="clear" w:pos="8176"/>
              <w:tab w:val="right" w:pos="9026" w:leader="dot"/>
            </w:tabs>
            <w:rPr/>
          </w:pPr>
          <w:hyperlink w:anchor="__RefHeading___Toc3420058_581953129">
            <w:r>
              <w:rPr>
                <w:webHidden/>
                <w:rStyle w:val="IndexLink"/>
                <w:rtl w:val="true"/>
              </w:rPr>
              <w:t>فقهای معاصر</w:t>
            </w:r>
            <w:r>
              <w:rPr>
                <w:rStyle w:val="IndexLink"/>
                <w:rtl w:val="true"/>
              </w:rPr>
              <w:tab/>
            </w:r>
            <w:r>
              <w:rPr>
                <w:rStyle w:val="IndexLink"/>
              </w:rPr>
              <w:t>231</w:t>
            </w:r>
          </w:hyperlink>
        </w:p>
        <w:p>
          <w:pPr>
            <w:pStyle w:val="Contents5"/>
            <w:tabs>
              <w:tab w:val="clear" w:pos="7892"/>
              <w:tab w:val="right" w:pos="9026" w:leader="dot"/>
            </w:tabs>
            <w:rPr/>
          </w:pPr>
          <w:hyperlink w:anchor="__RefHeading___Toc3420060_581953129">
            <w:r>
              <w:rPr>
                <w:webHidden/>
                <w:rStyle w:val="IndexLink"/>
              </w:rPr>
              <w:t>1</w:t>
            </w:r>
            <w:r>
              <w:rPr>
                <w:rStyle w:val="IndexLink"/>
                <w:rtl w:val="true"/>
              </w:rPr>
              <w:t>-</w:t>
            </w:r>
            <w:r>
              <w:rPr>
                <w:rStyle w:val="IndexLink"/>
                <w:rtl w:val="true"/>
              </w:rPr>
              <w:t>امام خمینی</w:t>
            </w:r>
            <w:r>
              <w:rPr>
                <w:rStyle w:val="IndexLink"/>
                <w:rtl w:val="true"/>
              </w:rPr>
              <w:tab/>
            </w:r>
            <w:r>
              <w:rPr>
                <w:rStyle w:val="IndexLink"/>
              </w:rPr>
              <w:t>231</w:t>
            </w:r>
          </w:hyperlink>
        </w:p>
        <w:p>
          <w:pPr>
            <w:pStyle w:val="Contents5"/>
            <w:tabs>
              <w:tab w:val="clear" w:pos="7892"/>
              <w:tab w:val="right" w:pos="9026" w:leader="dot"/>
            </w:tabs>
            <w:rPr/>
          </w:pPr>
          <w:hyperlink w:anchor="__RefHeading___Toc3420062_581953129">
            <w:r>
              <w:rPr>
                <w:webHidden/>
                <w:rStyle w:val="IndexLink"/>
              </w:rPr>
              <w:t>2</w:t>
            </w:r>
            <w:r>
              <w:rPr>
                <w:rStyle w:val="IndexLink"/>
                <w:rtl w:val="true"/>
              </w:rPr>
              <w:t>-</w:t>
            </w:r>
            <w:r>
              <w:rPr>
                <w:rStyle w:val="IndexLink"/>
                <w:rtl w:val="true"/>
              </w:rPr>
              <w:t>سید ابوالقاسم خویی</w:t>
            </w:r>
            <w:r>
              <w:rPr>
                <w:rStyle w:val="IndexLink"/>
                <w:rtl w:val="true"/>
              </w:rPr>
              <w:tab/>
            </w:r>
            <w:r>
              <w:rPr>
                <w:rStyle w:val="IndexLink"/>
              </w:rPr>
              <w:t>232</w:t>
            </w:r>
          </w:hyperlink>
        </w:p>
        <w:p>
          <w:pPr>
            <w:pStyle w:val="Contents5"/>
            <w:tabs>
              <w:tab w:val="clear" w:pos="7892"/>
              <w:tab w:val="right" w:pos="9026" w:leader="dot"/>
            </w:tabs>
            <w:rPr/>
          </w:pPr>
          <w:hyperlink w:anchor="__RefHeading___Toc3420064_581953129">
            <w:r>
              <w:rPr>
                <w:webHidden/>
                <w:rStyle w:val="IndexLink"/>
              </w:rPr>
              <w:t>3</w:t>
            </w:r>
            <w:r>
              <w:rPr>
                <w:rStyle w:val="IndexLink"/>
                <w:rtl w:val="true"/>
              </w:rPr>
              <w:t>-</w:t>
            </w:r>
            <w:r>
              <w:rPr>
                <w:rStyle w:val="IndexLink"/>
                <w:rtl w:val="true"/>
              </w:rPr>
              <w:t>سید محمدرضا گلپایگانی</w:t>
            </w:r>
            <w:r>
              <w:rPr>
                <w:rStyle w:val="IndexLink"/>
                <w:rtl w:val="true"/>
              </w:rPr>
              <w:tab/>
            </w:r>
            <w:r>
              <w:rPr>
                <w:rStyle w:val="IndexLink"/>
              </w:rPr>
              <w:t>233</w:t>
            </w:r>
          </w:hyperlink>
        </w:p>
        <w:p>
          <w:pPr>
            <w:pStyle w:val="Contents5"/>
            <w:tabs>
              <w:tab w:val="clear" w:pos="7892"/>
              <w:tab w:val="right" w:pos="9026" w:leader="dot"/>
            </w:tabs>
            <w:rPr/>
          </w:pPr>
          <w:hyperlink w:anchor="__RefHeading___Toc3420066_581953129">
            <w:r>
              <w:rPr>
                <w:webHidden/>
                <w:rStyle w:val="IndexLink"/>
              </w:rPr>
              <w:t>4</w:t>
            </w:r>
            <w:r>
              <w:rPr>
                <w:rStyle w:val="IndexLink"/>
                <w:rtl w:val="true"/>
              </w:rPr>
              <w:t>-</w:t>
            </w:r>
            <w:r>
              <w:rPr>
                <w:rStyle w:val="IndexLink"/>
                <w:rtl w:val="true"/>
              </w:rPr>
              <w:t>سید محمدصادق روحانی</w:t>
            </w:r>
            <w:r>
              <w:rPr>
                <w:rStyle w:val="IndexLink"/>
                <w:rtl w:val="true"/>
              </w:rPr>
              <w:tab/>
            </w:r>
            <w:r>
              <w:rPr>
                <w:rStyle w:val="IndexLink"/>
              </w:rPr>
              <w:t>234</w:t>
            </w:r>
          </w:hyperlink>
        </w:p>
        <w:p>
          <w:pPr>
            <w:pStyle w:val="Contents4"/>
            <w:tabs>
              <w:tab w:val="clear" w:pos="8176"/>
              <w:tab w:val="right" w:pos="9026" w:leader="dot"/>
            </w:tabs>
            <w:rPr/>
          </w:pPr>
          <w:hyperlink w:anchor="__RefHeading___Toc3420068_581953129">
            <w:r>
              <w:rPr>
                <w:webHidden/>
                <w:rStyle w:val="IndexLink"/>
                <w:rtl w:val="true"/>
              </w:rPr>
              <w:t>استفتائات</w:t>
            </w:r>
            <w:r>
              <w:rPr>
                <w:rStyle w:val="IndexLink"/>
                <w:rtl w:val="true"/>
              </w:rPr>
              <w:tab/>
            </w:r>
            <w:r>
              <w:rPr>
                <w:rStyle w:val="IndexLink"/>
              </w:rPr>
              <w:t>234</w:t>
            </w:r>
          </w:hyperlink>
        </w:p>
        <w:p>
          <w:pPr>
            <w:pStyle w:val="Contents5"/>
            <w:tabs>
              <w:tab w:val="clear" w:pos="7892"/>
              <w:tab w:val="right" w:pos="9026" w:leader="dot"/>
            </w:tabs>
            <w:rPr/>
          </w:pPr>
          <w:hyperlink w:anchor="__RefHeading___Toc3420070_581953129">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3420072_581953129">
            <w:r>
              <w:rPr>
                <w:webHidden/>
                <w:rStyle w:val="IndexLink"/>
              </w:rPr>
              <w:t>1</w:t>
            </w:r>
            <w:r>
              <w:rPr>
                <w:rStyle w:val="IndexLink"/>
                <w:rtl w:val="true"/>
              </w:rPr>
              <w:t>-</w:t>
            </w:r>
            <w:r>
              <w:rPr>
                <w:rStyle w:val="IndexLink"/>
                <w:rtl w:val="true"/>
              </w:rPr>
              <w:t>شیخ جواد تبریزی</w:t>
            </w:r>
            <w:r>
              <w:rPr>
                <w:rStyle w:val="IndexLink"/>
                <w:rtl w:val="true"/>
              </w:rPr>
              <w:tab/>
            </w:r>
            <w:r>
              <w:rPr>
                <w:rStyle w:val="IndexLink"/>
              </w:rPr>
              <w:t>235</w:t>
            </w:r>
          </w:hyperlink>
        </w:p>
        <w:p>
          <w:pPr>
            <w:pStyle w:val="Contents5"/>
            <w:tabs>
              <w:tab w:val="clear" w:pos="7892"/>
              <w:tab w:val="right" w:pos="9026" w:leader="dot"/>
            </w:tabs>
            <w:rPr/>
          </w:pPr>
          <w:hyperlink w:anchor="__RefHeading___Toc3420074_581953129">
            <w:r>
              <w:rPr>
                <w:webHidden/>
                <w:rStyle w:val="IndexLink"/>
              </w:rPr>
              <w:t>2</w:t>
            </w:r>
            <w:r>
              <w:rPr>
                <w:rStyle w:val="IndexLink"/>
                <w:rtl w:val="true"/>
              </w:rPr>
              <w:t>-</w:t>
            </w:r>
            <w:r>
              <w:rPr>
                <w:rStyle w:val="IndexLink"/>
                <w:rtl w:val="true"/>
              </w:rPr>
              <w:t>مقام معظم رهبری</w:t>
            </w:r>
            <w:r>
              <w:rPr>
                <w:rStyle w:val="IndexLink"/>
                <w:rtl w:val="true"/>
              </w:rPr>
              <w:tab/>
            </w:r>
            <w:r>
              <w:rPr>
                <w:rStyle w:val="IndexLink"/>
              </w:rPr>
              <w:t>235</w:t>
            </w:r>
          </w:hyperlink>
        </w:p>
        <w:p>
          <w:pPr>
            <w:pStyle w:val="Contents5"/>
            <w:tabs>
              <w:tab w:val="clear" w:pos="7892"/>
              <w:tab w:val="right" w:pos="9026" w:leader="dot"/>
            </w:tabs>
            <w:rPr/>
          </w:pPr>
          <w:hyperlink w:anchor="__RefHeading___Toc3420076_581953129">
            <w:r>
              <w:rPr>
                <w:webHidden/>
                <w:rStyle w:val="IndexLink"/>
              </w:rPr>
              <w:t>3</w:t>
            </w:r>
            <w:r>
              <w:rPr>
                <w:rStyle w:val="IndexLink"/>
                <w:rtl w:val="true"/>
              </w:rPr>
              <w:t>-</w:t>
            </w:r>
            <w:r>
              <w:rPr>
                <w:rStyle w:val="IndexLink"/>
                <w:rtl w:val="true"/>
              </w:rPr>
              <w:t>ناصر مکارم شیرازی</w:t>
            </w:r>
            <w:r>
              <w:rPr>
                <w:rStyle w:val="IndexLink"/>
                <w:rtl w:val="true"/>
              </w:rPr>
              <w:tab/>
            </w:r>
            <w:r>
              <w:rPr>
                <w:rStyle w:val="IndexLink"/>
              </w:rPr>
              <w:t>235</w:t>
            </w:r>
          </w:hyperlink>
        </w:p>
        <w:p>
          <w:pPr>
            <w:pStyle w:val="Contents5"/>
            <w:tabs>
              <w:tab w:val="clear" w:pos="7892"/>
              <w:tab w:val="right" w:pos="9026" w:leader="dot"/>
            </w:tabs>
            <w:rPr/>
          </w:pPr>
          <w:hyperlink w:anchor="__RefHeading___Toc3420078_581953129">
            <w:r>
              <w:rPr>
                <w:webHidden/>
                <w:rStyle w:val="IndexLink"/>
              </w:rPr>
              <w:t>4</w:t>
            </w:r>
            <w:r>
              <w:rPr>
                <w:rStyle w:val="IndexLink"/>
                <w:rtl w:val="true"/>
              </w:rPr>
              <w:t>-</w:t>
            </w:r>
            <w:r>
              <w:rPr>
                <w:rStyle w:val="IndexLink"/>
                <w:rtl w:val="true"/>
              </w:rPr>
              <w:t>سید عبدالکریم موسوی اردبیلی</w:t>
            </w:r>
            <w:r>
              <w:rPr>
                <w:rStyle w:val="IndexLink"/>
                <w:rtl w:val="true"/>
              </w:rPr>
              <w:tab/>
            </w:r>
            <w:r>
              <w:rPr>
                <w:rStyle w:val="IndexLink"/>
              </w:rPr>
              <w:t>235</w:t>
            </w:r>
          </w:hyperlink>
        </w:p>
        <w:p>
          <w:pPr>
            <w:pStyle w:val="Contents5"/>
            <w:tabs>
              <w:tab w:val="clear" w:pos="7892"/>
              <w:tab w:val="right" w:pos="9026" w:leader="dot"/>
            </w:tabs>
            <w:rPr/>
          </w:pPr>
          <w:hyperlink w:anchor="__RefHeading___Toc3420080_581953129">
            <w:r>
              <w:rPr>
                <w:webHidden/>
                <w:rStyle w:val="IndexLink"/>
              </w:rPr>
              <w:t>5</w:t>
            </w:r>
            <w:r>
              <w:rPr>
                <w:rStyle w:val="IndexLink"/>
                <w:rtl w:val="true"/>
              </w:rPr>
              <w:t>-</w:t>
            </w:r>
            <w:r>
              <w:rPr>
                <w:rStyle w:val="IndexLink"/>
                <w:rtl w:val="true"/>
              </w:rPr>
              <w:t>حسین نوری همدانی</w:t>
            </w:r>
            <w:r>
              <w:rPr>
                <w:rStyle w:val="IndexLink"/>
                <w:rtl w:val="true"/>
              </w:rPr>
              <w:tab/>
            </w:r>
            <w:r>
              <w:rPr>
                <w:rStyle w:val="IndexLink"/>
              </w:rPr>
              <w:t>236</w:t>
            </w:r>
          </w:hyperlink>
        </w:p>
        <w:p>
          <w:pPr>
            <w:pStyle w:val="Contents3"/>
            <w:tabs>
              <w:tab w:val="clear" w:pos="8459"/>
              <w:tab w:val="right" w:pos="9026" w:leader="dot"/>
            </w:tabs>
            <w:rPr/>
          </w:pPr>
          <w:hyperlink w:anchor="__RefHeading___Toc3420082_581953129">
            <w:r>
              <w:rPr>
                <w:webHidden/>
                <w:rStyle w:val="IndexLink"/>
              </w:rPr>
              <w:t>2</w:t>
            </w:r>
            <w:r>
              <w:rPr>
                <w:rStyle w:val="IndexLink"/>
                <w:rtl w:val="true"/>
              </w:rPr>
              <w:t>-</w:t>
            </w:r>
            <w:r>
              <w:rPr>
                <w:rStyle w:val="IndexLink"/>
                <w:rtl w:val="true"/>
              </w:rPr>
              <w:t>دلایل دیدگاه جواز اقامه حدود</w:t>
            </w:r>
            <w:r>
              <w:rPr>
                <w:rStyle w:val="IndexLink"/>
                <w:rtl w:val="true"/>
              </w:rPr>
              <w:tab/>
            </w:r>
            <w:r>
              <w:rPr>
                <w:rStyle w:val="IndexLink"/>
              </w:rPr>
              <w:t>237</w:t>
            </w:r>
          </w:hyperlink>
        </w:p>
        <w:p>
          <w:pPr>
            <w:pStyle w:val="Contents4"/>
            <w:tabs>
              <w:tab w:val="clear" w:pos="8176"/>
              <w:tab w:val="right" w:pos="9026" w:leader="dot"/>
            </w:tabs>
            <w:rPr/>
          </w:pPr>
          <w:hyperlink w:anchor="__RefHeading___Toc3420084_581953129">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3420086_581953129">
            <w:r>
              <w:rPr>
                <w:webHidden/>
                <w:rStyle w:val="IndexLink"/>
                <w:rtl w:val="true"/>
              </w:rPr>
              <w:t>دلایل تحلیلی</w:t>
            </w:r>
            <w:r>
              <w:rPr>
                <w:rStyle w:val="IndexLink"/>
                <w:rtl w:val="true"/>
              </w:rPr>
              <w:tab/>
            </w:r>
            <w:r>
              <w:rPr>
                <w:rStyle w:val="IndexLink"/>
              </w:rPr>
              <w:t>237</w:t>
            </w:r>
          </w:hyperlink>
        </w:p>
        <w:p>
          <w:pPr>
            <w:pStyle w:val="Contents5"/>
            <w:tabs>
              <w:tab w:val="clear" w:pos="7892"/>
              <w:tab w:val="right" w:pos="9026" w:leader="dot"/>
            </w:tabs>
            <w:rPr/>
          </w:pPr>
          <w:hyperlink w:anchor="__RefHeading___Toc3420088_581953129">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3420090_581953129">
            <w:r>
              <w:rPr>
                <w:webHidden/>
                <w:rStyle w:val="IndexLink"/>
              </w:rPr>
              <w:t>1</w:t>
            </w:r>
            <w:r>
              <w:rPr>
                <w:rStyle w:val="IndexLink"/>
                <w:rtl w:val="true"/>
              </w:rPr>
              <w:t>-</w:t>
            </w:r>
            <w:r>
              <w:rPr>
                <w:rStyle w:val="IndexLink"/>
                <w:rtl w:val="true"/>
              </w:rPr>
              <w:t>مبغوضیت تعطیلی حدود</w:t>
            </w:r>
            <w:r>
              <w:rPr>
                <w:rStyle w:val="IndexLink"/>
                <w:rtl w:val="true"/>
              </w:rPr>
              <w:tab/>
            </w:r>
            <w:r>
              <w:rPr>
                <w:rStyle w:val="IndexLink"/>
              </w:rPr>
              <w:t>237</w:t>
            </w:r>
          </w:hyperlink>
        </w:p>
        <w:p>
          <w:pPr>
            <w:pStyle w:val="Contents6"/>
            <w:tabs>
              <w:tab w:val="clear" w:pos="7609"/>
              <w:tab w:val="right" w:pos="9026" w:leader="dot"/>
            </w:tabs>
            <w:rPr/>
          </w:pPr>
          <w:hyperlink w:anchor="__RefHeading___Toc3420092_581953129">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3420094_581953129">
            <w:r>
              <w:rPr>
                <w:webHidden/>
                <w:rStyle w:val="IndexLink"/>
                <w:rtl w:val="true"/>
              </w:rPr>
              <w:t>الف</w:t>
            </w:r>
            <w:r>
              <w:rPr>
                <w:rStyle w:val="IndexLink"/>
                <w:rtl w:val="true"/>
              </w:rPr>
              <w:t>)</w:t>
            </w:r>
            <w:r>
              <w:rPr>
                <w:rStyle w:val="IndexLink"/>
                <w:rtl w:val="true"/>
              </w:rPr>
              <w:t>تبیین استدلال</w:t>
            </w:r>
            <w:r>
              <w:rPr>
                <w:rStyle w:val="IndexLink"/>
                <w:rtl w:val="true"/>
              </w:rPr>
              <w:tab/>
            </w:r>
            <w:r>
              <w:rPr>
                <w:rStyle w:val="IndexLink"/>
              </w:rPr>
              <w:t>238</w:t>
            </w:r>
          </w:hyperlink>
        </w:p>
        <w:p>
          <w:pPr>
            <w:pStyle w:val="Contents6"/>
            <w:tabs>
              <w:tab w:val="clear" w:pos="7609"/>
              <w:tab w:val="right" w:pos="9026" w:leader="dot"/>
            </w:tabs>
            <w:rPr/>
          </w:pPr>
          <w:hyperlink w:anchor="__RefHeading___Toc3420096_581953129">
            <w:r>
              <w:rPr>
                <w:webHidden/>
                <w:rStyle w:val="IndexLink"/>
                <w:rtl w:val="true"/>
              </w:rPr>
              <w:t>ب</w:t>
            </w:r>
            <w:r>
              <w:rPr>
                <w:rStyle w:val="IndexLink"/>
                <w:rtl w:val="true"/>
              </w:rPr>
              <w:t>)</w:t>
            </w:r>
            <w:r>
              <w:rPr>
                <w:rStyle w:val="IndexLink"/>
                <w:rtl w:val="true"/>
              </w:rPr>
              <w:t>اشکال‌ها</w:t>
            </w:r>
            <w:r>
              <w:rPr>
                <w:rStyle w:val="IndexLink"/>
                <w:rtl w:val="true"/>
              </w:rPr>
              <w:tab/>
            </w:r>
            <w:r>
              <w:rPr>
                <w:rStyle w:val="IndexLink"/>
              </w:rPr>
              <w:t>238</w:t>
            </w:r>
          </w:hyperlink>
        </w:p>
        <w:p>
          <w:pPr>
            <w:pStyle w:val="Contents6"/>
            <w:tabs>
              <w:tab w:val="clear" w:pos="7609"/>
              <w:tab w:val="right" w:pos="9026" w:leader="dot"/>
            </w:tabs>
            <w:rPr/>
          </w:pPr>
          <w:hyperlink w:anchor="__RefHeading___Toc3420098_581953129">
            <w:r>
              <w:rPr>
                <w:webHidden/>
                <w:rStyle w:val="IndexLink"/>
                <w:rtl w:val="true"/>
              </w:rPr>
              <w:t>یکم</w:t>
            </w:r>
            <w:r>
              <w:rPr>
                <w:rStyle w:val="IndexLink"/>
                <w:rtl w:val="true"/>
              </w:rPr>
              <w:t>)</w:t>
            </w:r>
            <w:r>
              <w:rPr>
                <w:rStyle w:val="IndexLink"/>
                <w:rtl w:val="true"/>
              </w:rPr>
              <w:t>عدم تلازم تعطیلی حدود و انتشار مفاسد</w:t>
            </w:r>
            <w:r>
              <w:rPr>
                <w:rStyle w:val="IndexLink"/>
                <w:rtl w:val="true"/>
              </w:rPr>
              <w:tab/>
            </w:r>
            <w:r>
              <w:rPr>
                <w:rStyle w:val="IndexLink"/>
              </w:rPr>
              <w:t>238</w:t>
            </w:r>
          </w:hyperlink>
        </w:p>
        <w:p>
          <w:pPr>
            <w:pStyle w:val="Contents6"/>
            <w:tabs>
              <w:tab w:val="clear" w:pos="7609"/>
              <w:tab w:val="right" w:pos="9026" w:leader="dot"/>
            </w:tabs>
            <w:rPr/>
          </w:pPr>
          <w:hyperlink w:anchor="__RefHeading___Toc3420100_581953129">
            <w:r>
              <w:rPr>
                <w:webHidden/>
                <w:rStyle w:val="IndexLink"/>
                <w:rtl w:val="true"/>
              </w:rPr>
              <w:t>دوم</w:t>
            </w:r>
            <w:r>
              <w:rPr>
                <w:rStyle w:val="IndexLink"/>
                <w:rtl w:val="true"/>
              </w:rPr>
              <w:t>)</w:t>
            </w:r>
            <w:r>
              <w:rPr>
                <w:rStyle w:val="IndexLink"/>
                <w:rtl w:val="true"/>
              </w:rPr>
              <w:t>تعارض با لزوم حفظ نفوس محترمه</w:t>
            </w:r>
            <w:r>
              <w:rPr>
                <w:rStyle w:val="IndexLink"/>
                <w:rtl w:val="true"/>
              </w:rPr>
              <w:tab/>
            </w:r>
            <w:r>
              <w:rPr>
                <w:rStyle w:val="IndexLink"/>
              </w:rPr>
              <w:t>238</w:t>
            </w:r>
          </w:hyperlink>
        </w:p>
        <w:p>
          <w:pPr>
            <w:pStyle w:val="Contents5"/>
            <w:tabs>
              <w:tab w:val="clear" w:pos="7892"/>
              <w:tab w:val="right" w:pos="9026" w:leader="dot"/>
            </w:tabs>
            <w:rPr/>
          </w:pPr>
          <w:hyperlink w:anchor="__RefHeading___Toc3420102_581953129">
            <w:r>
              <w:rPr>
                <w:webHidden/>
                <w:rStyle w:val="IndexLink"/>
              </w:rPr>
              <w:t>2</w:t>
            </w:r>
            <w:r>
              <w:rPr>
                <w:rStyle w:val="IndexLink"/>
                <w:rtl w:val="true"/>
              </w:rPr>
              <w:t>-</w:t>
            </w:r>
            <w:r>
              <w:rPr>
                <w:rStyle w:val="IndexLink"/>
                <w:rtl w:val="true"/>
              </w:rPr>
              <w:t>اختلال نظام</w:t>
            </w:r>
            <w:r>
              <w:rPr>
                <w:rStyle w:val="IndexLink"/>
                <w:rtl w:val="true"/>
              </w:rPr>
              <w:tab/>
            </w:r>
            <w:r>
              <w:rPr>
                <w:rStyle w:val="IndexLink"/>
              </w:rPr>
              <w:t>239</w:t>
            </w:r>
          </w:hyperlink>
        </w:p>
        <w:p>
          <w:pPr>
            <w:pStyle w:val="Contents6"/>
            <w:tabs>
              <w:tab w:val="clear" w:pos="7609"/>
              <w:tab w:val="right" w:pos="9026" w:leader="dot"/>
            </w:tabs>
            <w:rPr/>
          </w:pPr>
          <w:hyperlink w:anchor="__RefHeading___Toc3420104_581953129">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3420106_581953129">
            <w:r>
              <w:rPr>
                <w:webHidden/>
                <w:rStyle w:val="IndexLink"/>
                <w:rtl w:val="true"/>
              </w:rPr>
              <w:t>الف</w:t>
            </w:r>
            <w:r>
              <w:rPr>
                <w:rStyle w:val="IndexLink"/>
                <w:rtl w:val="true"/>
              </w:rPr>
              <w:t>)</w:t>
            </w:r>
            <w:r>
              <w:rPr>
                <w:rStyle w:val="IndexLink"/>
                <w:rtl w:val="true"/>
              </w:rPr>
              <w:t>دیدگاه فقها</w:t>
            </w:r>
            <w:r>
              <w:rPr>
                <w:rStyle w:val="IndexLink"/>
                <w:rtl w:val="true"/>
              </w:rPr>
              <w:tab/>
            </w:r>
            <w:r>
              <w:rPr>
                <w:rStyle w:val="IndexLink"/>
              </w:rPr>
              <w:t>240</w:t>
            </w:r>
          </w:hyperlink>
        </w:p>
        <w:p>
          <w:pPr>
            <w:pStyle w:val="Contents6"/>
            <w:tabs>
              <w:tab w:val="clear" w:pos="7609"/>
              <w:tab w:val="right" w:pos="9026" w:leader="dot"/>
            </w:tabs>
            <w:rPr/>
          </w:pPr>
          <w:hyperlink w:anchor="__RefHeading___Toc3420108_581953129">
            <w:r>
              <w:rPr>
                <w:webHidden/>
                <w:rStyle w:val="IndexLink"/>
                <w:rtl w:val="true"/>
              </w:rPr>
              <w:t>ب</w:t>
            </w:r>
            <w:r>
              <w:rPr>
                <w:rStyle w:val="IndexLink"/>
                <w:rtl w:val="true"/>
              </w:rPr>
              <w:t>)</w:t>
            </w:r>
            <w:r>
              <w:rPr>
                <w:rStyle w:val="IndexLink"/>
                <w:rtl w:val="true"/>
              </w:rPr>
              <w:t>مفهوم حفظ و اختلال نظام</w:t>
            </w:r>
            <w:r>
              <w:rPr>
                <w:rStyle w:val="IndexLink"/>
                <w:rtl w:val="true"/>
              </w:rPr>
              <w:tab/>
            </w:r>
            <w:r>
              <w:rPr>
                <w:rStyle w:val="IndexLink"/>
              </w:rPr>
              <w:t>241</w:t>
            </w:r>
          </w:hyperlink>
        </w:p>
        <w:p>
          <w:pPr>
            <w:pStyle w:val="Contents6"/>
            <w:tabs>
              <w:tab w:val="clear" w:pos="7609"/>
              <w:tab w:val="right" w:pos="9026" w:leader="dot"/>
            </w:tabs>
            <w:rPr/>
          </w:pPr>
          <w:hyperlink w:anchor="__RefHeading___Toc3420110_581953129">
            <w:r>
              <w:rPr>
                <w:webHidden/>
                <w:rStyle w:val="IndexLink"/>
                <w:rtl w:val="true"/>
              </w:rPr>
              <w:t>ج</w:t>
            </w:r>
            <w:r>
              <w:rPr>
                <w:rStyle w:val="IndexLink"/>
                <w:rtl w:val="true"/>
              </w:rPr>
              <w:t>)</w:t>
            </w:r>
            <w:r>
              <w:rPr>
                <w:rStyle w:val="IndexLink"/>
                <w:rtl w:val="true"/>
              </w:rPr>
              <w:t>حکم شرعی حفظ نظام</w:t>
            </w:r>
            <w:r>
              <w:rPr>
                <w:rStyle w:val="IndexLink"/>
                <w:rtl w:val="true"/>
              </w:rPr>
              <w:tab/>
            </w:r>
            <w:r>
              <w:rPr>
                <w:rStyle w:val="IndexLink"/>
              </w:rPr>
              <w:t>244</w:t>
            </w:r>
          </w:hyperlink>
        </w:p>
        <w:p>
          <w:pPr>
            <w:pStyle w:val="Contents6"/>
            <w:tabs>
              <w:tab w:val="clear" w:pos="7609"/>
              <w:tab w:val="right" w:pos="9026" w:leader="dot"/>
            </w:tabs>
            <w:rPr/>
          </w:pPr>
          <w:hyperlink w:anchor="__RefHeading___Toc3420112_581953129">
            <w:r>
              <w:rPr>
                <w:webHidden/>
                <w:rStyle w:val="IndexLink"/>
                <w:rtl w:val="true"/>
              </w:rPr>
              <w:t>د</w:t>
            </w:r>
            <w:r>
              <w:rPr>
                <w:rStyle w:val="IndexLink"/>
                <w:rtl w:val="true"/>
              </w:rPr>
              <w:t>)</w:t>
            </w:r>
            <w:r>
              <w:rPr>
                <w:rStyle w:val="IndexLink"/>
                <w:rtl w:val="true"/>
              </w:rPr>
              <w:t>نقد و بررسی</w:t>
            </w:r>
            <w:r>
              <w:rPr>
                <w:rStyle w:val="IndexLink"/>
                <w:rtl w:val="true"/>
              </w:rPr>
              <w:tab/>
            </w:r>
            <w:r>
              <w:rPr>
                <w:rStyle w:val="IndexLink"/>
              </w:rPr>
              <w:t>245</w:t>
            </w:r>
          </w:hyperlink>
        </w:p>
        <w:p>
          <w:pPr>
            <w:pStyle w:val="Contents5"/>
            <w:tabs>
              <w:tab w:val="clear" w:pos="7892"/>
              <w:tab w:val="right" w:pos="9026" w:leader="dot"/>
            </w:tabs>
            <w:rPr/>
          </w:pPr>
          <w:hyperlink w:anchor="__RefHeading___Toc3420114_581953129">
            <w:r>
              <w:rPr>
                <w:webHidden/>
                <w:rStyle w:val="IndexLink"/>
              </w:rPr>
              <w:t>3</w:t>
            </w:r>
            <w:r>
              <w:rPr>
                <w:rStyle w:val="IndexLink"/>
                <w:rtl w:val="true"/>
              </w:rPr>
              <w:t>-</w:t>
            </w:r>
            <w:r>
              <w:rPr>
                <w:rStyle w:val="IndexLink"/>
                <w:rtl w:val="true"/>
              </w:rPr>
              <w:t>وجود فلسفه و مصلحت تشریع حدود</w:t>
            </w:r>
            <w:r>
              <w:rPr>
                <w:rStyle w:val="IndexLink"/>
                <w:rtl w:val="true"/>
              </w:rPr>
              <w:tab/>
            </w:r>
            <w:r>
              <w:rPr>
                <w:rStyle w:val="IndexLink"/>
              </w:rPr>
              <w:t>245</w:t>
            </w:r>
          </w:hyperlink>
        </w:p>
        <w:p>
          <w:pPr>
            <w:pStyle w:val="Contents6"/>
            <w:tabs>
              <w:tab w:val="clear" w:pos="7609"/>
              <w:tab w:val="right" w:pos="9026" w:leader="dot"/>
            </w:tabs>
            <w:rPr/>
          </w:pPr>
          <w:hyperlink w:anchor="__RefHeading___Toc3420116_581953129">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3420118_581953129">
            <w:r>
              <w:rPr>
                <w:webHidden/>
                <w:rStyle w:val="IndexLink"/>
                <w:rtl w:val="true"/>
              </w:rPr>
              <w:t>الف</w:t>
            </w:r>
            <w:r>
              <w:rPr>
                <w:rStyle w:val="IndexLink"/>
                <w:rtl w:val="true"/>
              </w:rPr>
              <w:t>)</w:t>
            </w:r>
            <w:r>
              <w:rPr>
                <w:rStyle w:val="IndexLink"/>
                <w:rtl w:val="true"/>
              </w:rPr>
              <w:t>دیدگاه فقها</w:t>
            </w:r>
            <w:r>
              <w:rPr>
                <w:rStyle w:val="IndexLink"/>
                <w:rtl w:val="true"/>
              </w:rPr>
              <w:tab/>
            </w:r>
            <w:r>
              <w:rPr>
                <w:rStyle w:val="IndexLink"/>
              </w:rPr>
              <w:t>247</w:t>
            </w:r>
          </w:hyperlink>
        </w:p>
        <w:p>
          <w:pPr>
            <w:pStyle w:val="Contents6"/>
            <w:tabs>
              <w:tab w:val="clear" w:pos="7609"/>
              <w:tab w:val="right" w:pos="9026" w:leader="dot"/>
            </w:tabs>
            <w:rPr/>
          </w:pPr>
          <w:hyperlink w:anchor="__RefHeading___Toc3420120_581953129">
            <w:r>
              <w:rPr>
                <w:webHidden/>
                <w:rStyle w:val="IndexLink"/>
                <w:rtl w:val="true"/>
              </w:rPr>
              <w:t>اشاره</w:t>
            </w:r>
            <w:r>
              <w:rPr>
                <w:rStyle w:val="IndexLink"/>
                <w:rtl w:val="true"/>
              </w:rPr>
              <w:tab/>
            </w:r>
            <w:r>
              <w:rPr>
                <w:rStyle w:val="IndexLink"/>
              </w:rPr>
              <w:t>247</w:t>
            </w:r>
          </w:hyperlink>
        </w:p>
        <w:p>
          <w:pPr>
            <w:pStyle w:val="Contents6"/>
            <w:tabs>
              <w:tab w:val="clear" w:pos="7609"/>
              <w:tab w:val="right" w:pos="9026" w:leader="dot"/>
            </w:tabs>
            <w:rPr/>
          </w:pPr>
          <w:hyperlink w:anchor="__RefHeading___Toc3420122_581953129">
            <w:r>
              <w:rPr>
                <w:webHidden/>
                <w:rStyle w:val="IndexLink"/>
                <w:rtl w:val="true"/>
              </w:rPr>
              <w:t>یکم</w:t>
            </w:r>
            <w:r>
              <w:rPr>
                <w:rStyle w:val="IndexLink"/>
                <w:rtl w:val="true"/>
              </w:rPr>
              <w:t>)</w:t>
            </w:r>
            <w:r>
              <w:rPr>
                <w:rStyle w:val="IndexLink"/>
                <w:rtl w:val="true"/>
              </w:rPr>
              <w:t>لزوم نصب فردی خاص و عدم کفایت مصلحت صرف</w:t>
            </w:r>
            <w:r>
              <w:rPr>
                <w:rStyle w:val="IndexLink"/>
                <w:rtl w:val="true"/>
              </w:rPr>
              <w:tab/>
            </w:r>
            <w:r>
              <w:rPr>
                <w:rStyle w:val="IndexLink"/>
              </w:rPr>
              <w:t>248</w:t>
            </w:r>
          </w:hyperlink>
        </w:p>
        <w:p>
          <w:pPr>
            <w:pStyle w:val="Contents6"/>
            <w:tabs>
              <w:tab w:val="clear" w:pos="7609"/>
              <w:tab w:val="right" w:pos="9026" w:leader="dot"/>
            </w:tabs>
            <w:rPr/>
          </w:pPr>
          <w:hyperlink w:anchor="__RefHeading___Toc3420124_581953129">
            <w:r>
              <w:rPr>
                <w:webHidden/>
                <w:rStyle w:val="IndexLink"/>
                <w:rtl w:val="true"/>
              </w:rPr>
              <w:t>دوم</w:t>
            </w:r>
            <w:r>
              <w:rPr>
                <w:rStyle w:val="IndexLink"/>
                <w:rtl w:val="true"/>
              </w:rPr>
              <w:t>)</w:t>
            </w:r>
            <w:r>
              <w:rPr>
                <w:rStyle w:val="IndexLink"/>
                <w:rtl w:val="true"/>
              </w:rPr>
              <w:t>تعطیلی حدود بعد از رحلت رسول الله صلّی الله علیه و آله</w:t>
            </w:r>
            <w:r>
              <w:rPr>
                <w:rStyle w:val="IndexLink"/>
                <w:rtl w:val="true"/>
              </w:rPr>
              <w:tab/>
            </w:r>
            <w:r>
              <w:rPr>
                <w:rStyle w:val="IndexLink"/>
              </w:rPr>
              <w:t>249</w:t>
            </w:r>
          </w:hyperlink>
        </w:p>
        <w:p>
          <w:pPr>
            <w:pStyle w:val="Contents6"/>
            <w:tabs>
              <w:tab w:val="clear" w:pos="7609"/>
              <w:tab w:val="right" w:pos="9026" w:leader="dot"/>
            </w:tabs>
            <w:rPr/>
          </w:pPr>
          <w:hyperlink w:anchor="__RefHeading___Toc3420126_581953129">
            <w:r>
              <w:rPr>
                <w:webHidden/>
                <w:rStyle w:val="IndexLink"/>
                <w:rtl w:val="true"/>
              </w:rPr>
              <w:t>ب</w:t>
            </w:r>
            <w:r>
              <w:rPr>
                <w:rStyle w:val="IndexLink"/>
                <w:rtl w:val="true"/>
              </w:rPr>
              <w:t>)</w:t>
            </w:r>
            <w:r>
              <w:rPr>
                <w:rStyle w:val="IndexLink"/>
                <w:rtl w:val="true"/>
              </w:rPr>
              <w:t>روش دیگر استدلال</w:t>
            </w:r>
            <w:r>
              <w:rPr>
                <w:rStyle w:val="IndexLink"/>
                <w:rtl w:val="true"/>
              </w:rPr>
              <w:tab/>
            </w:r>
            <w:r>
              <w:rPr>
                <w:rStyle w:val="IndexLink"/>
              </w:rPr>
              <w:t>249</w:t>
            </w:r>
          </w:hyperlink>
        </w:p>
        <w:p>
          <w:pPr>
            <w:pStyle w:val="Contents6"/>
            <w:tabs>
              <w:tab w:val="clear" w:pos="7609"/>
              <w:tab w:val="right" w:pos="9026" w:leader="dot"/>
            </w:tabs>
            <w:rPr/>
          </w:pPr>
          <w:hyperlink w:anchor="__RefHeading___Toc3420128_581953129">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3420130_581953129">
            <w:r>
              <w:rPr>
                <w:webHidden/>
                <w:rStyle w:val="IndexLink"/>
                <w:rtl w:val="true"/>
              </w:rPr>
              <w:t>نقد و بررسی</w:t>
            </w:r>
            <w:r>
              <w:rPr>
                <w:rStyle w:val="IndexLink"/>
                <w:rtl w:val="true"/>
              </w:rPr>
              <w:tab/>
            </w:r>
            <w:r>
              <w:rPr>
                <w:rStyle w:val="IndexLink"/>
              </w:rPr>
              <w:t>250</w:t>
            </w:r>
          </w:hyperlink>
        </w:p>
        <w:p>
          <w:pPr>
            <w:pStyle w:val="Contents5"/>
            <w:tabs>
              <w:tab w:val="clear" w:pos="7892"/>
              <w:tab w:val="right" w:pos="9026" w:leader="dot"/>
            </w:tabs>
            <w:rPr/>
          </w:pPr>
          <w:hyperlink w:anchor="__RefHeading___Toc3420132_581953129">
            <w:r>
              <w:rPr>
                <w:webHidden/>
                <w:rStyle w:val="IndexLink"/>
              </w:rPr>
              <w:t>4</w:t>
            </w:r>
            <w:r>
              <w:rPr>
                <w:rStyle w:val="IndexLink"/>
                <w:rtl w:val="true"/>
              </w:rPr>
              <w:t>-</w:t>
            </w:r>
            <w:r>
              <w:rPr>
                <w:rStyle w:val="IndexLink"/>
                <w:rtl w:val="true"/>
              </w:rPr>
              <w:t>استناد به ولایت حسبه</w:t>
            </w:r>
            <w:r>
              <w:rPr>
                <w:rStyle w:val="IndexLink"/>
                <w:rtl w:val="true"/>
              </w:rPr>
              <w:tab/>
            </w:r>
            <w:r>
              <w:rPr>
                <w:rStyle w:val="IndexLink"/>
              </w:rPr>
              <w:t>250</w:t>
            </w:r>
          </w:hyperlink>
        </w:p>
        <w:p>
          <w:pPr>
            <w:pStyle w:val="Contents6"/>
            <w:tabs>
              <w:tab w:val="clear" w:pos="7609"/>
              <w:tab w:val="right" w:pos="9026" w:leader="dot"/>
            </w:tabs>
            <w:rPr/>
          </w:pPr>
          <w:hyperlink w:anchor="__RefHeading___Toc3420134_581953129">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3420136_581953129">
            <w:r>
              <w:rPr>
                <w:webHidden/>
                <w:rStyle w:val="IndexLink"/>
                <w:rtl w:val="true"/>
              </w:rPr>
              <w:t>الف</w:t>
            </w:r>
            <w:r>
              <w:rPr>
                <w:rStyle w:val="IndexLink"/>
                <w:rtl w:val="true"/>
              </w:rPr>
              <w:t>)</w:t>
            </w:r>
            <w:r>
              <w:rPr>
                <w:rStyle w:val="IndexLink"/>
                <w:rtl w:val="true"/>
              </w:rPr>
              <w:t>مفهوم‌شناسی حسبه</w:t>
            </w:r>
            <w:r>
              <w:rPr>
                <w:rStyle w:val="IndexLink"/>
                <w:rtl w:val="true"/>
              </w:rPr>
              <w:tab/>
            </w:r>
            <w:r>
              <w:rPr>
                <w:rStyle w:val="IndexLink"/>
              </w:rPr>
              <w:t>251</w:t>
            </w:r>
          </w:hyperlink>
        </w:p>
        <w:p>
          <w:pPr>
            <w:pStyle w:val="Contents6"/>
            <w:tabs>
              <w:tab w:val="clear" w:pos="7609"/>
              <w:tab w:val="right" w:pos="9026" w:leader="dot"/>
            </w:tabs>
            <w:rPr/>
          </w:pPr>
          <w:hyperlink w:anchor="__RefHeading___Toc3420138_581953129">
            <w:r>
              <w:rPr>
                <w:webHidden/>
                <w:rStyle w:val="IndexLink"/>
                <w:rtl w:val="true"/>
              </w:rPr>
              <w:t>ب</w:t>
            </w:r>
            <w:r>
              <w:rPr>
                <w:rStyle w:val="IndexLink"/>
                <w:rtl w:val="true"/>
              </w:rPr>
              <w:t>)</w:t>
            </w:r>
            <w:r>
              <w:rPr>
                <w:rStyle w:val="IndexLink"/>
                <w:rtl w:val="true"/>
              </w:rPr>
              <w:t>ولایت حسبه و اقامه حدود</w:t>
            </w:r>
            <w:r>
              <w:rPr>
                <w:rStyle w:val="IndexLink"/>
                <w:rtl w:val="true"/>
              </w:rPr>
              <w:tab/>
            </w:r>
            <w:r>
              <w:rPr>
                <w:rStyle w:val="IndexLink"/>
              </w:rPr>
              <w:t>254</w:t>
            </w:r>
          </w:hyperlink>
        </w:p>
        <w:p>
          <w:pPr>
            <w:pStyle w:val="Contents6"/>
            <w:tabs>
              <w:tab w:val="clear" w:pos="7609"/>
              <w:tab w:val="right" w:pos="9026" w:leader="dot"/>
            </w:tabs>
            <w:rPr/>
          </w:pPr>
          <w:hyperlink w:anchor="__RefHeading___Toc3420140_581953129">
            <w:r>
              <w:rPr>
                <w:webHidden/>
                <w:rStyle w:val="IndexLink"/>
                <w:rtl w:val="true"/>
              </w:rPr>
              <w:t>ج</w:t>
            </w:r>
            <w:r>
              <w:rPr>
                <w:rStyle w:val="IndexLink"/>
                <w:rtl w:val="true"/>
              </w:rPr>
              <w:t>)</w:t>
            </w:r>
            <w:r>
              <w:rPr>
                <w:rStyle w:val="IndexLink"/>
                <w:rtl w:val="true"/>
              </w:rPr>
              <w:t>اشکال‌ها</w:t>
            </w:r>
            <w:r>
              <w:rPr>
                <w:rStyle w:val="IndexLink"/>
                <w:rtl w:val="true"/>
              </w:rPr>
              <w:tab/>
            </w:r>
            <w:r>
              <w:rPr>
                <w:rStyle w:val="IndexLink"/>
              </w:rPr>
              <w:t>255</w:t>
            </w:r>
          </w:hyperlink>
        </w:p>
        <w:p>
          <w:pPr>
            <w:pStyle w:val="Contents6"/>
            <w:tabs>
              <w:tab w:val="clear" w:pos="7609"/>
              <w:tab w:val="right" w:pos="9026" w:leader="dot"/>
            </w:tabs>
            <w:rPr/>
          </w:pPr>
          <w:hyperlink w:anchor="__RefHeading___Toc3420142_581953129">
            <w:r>
              <w:rPr>
                <w:webHidden/>
                <w:rStyle w:val="IndexLink"/>
                <w:rtl w:val="true"/>
              </w:rPr>
              <w:t>یکم</w:t>
            </w:r>
            <w:r>
              <w:rPr>
                <w:rStyle w:val="IndexLink"/>
                <w:rtl w:val="true"/>
              </w:rPr>
              <w:t>)</w:t>
            </w:r>
            <w:r>
              <w:rPr>
                <w:rStyle w:val="IndexLink"/>
                <w:rtl w:val="true"/>
              </w:rPr>
              <w:t>احتمال اختصاص به معصوم</w:t>
            </w:r>
            <w:r>
              <w:rPr>
                <w:rStyle w:val="IndexLink"/>
                <w:rtl w:val="true"/>
              </w:rPr>
              <w:tab/>
            </w:r>
            <w:r>
              <w:rPr>
                <w:rStyle w:val="IndexLink"/>
              </w:rPr>
              <w:t>255</w:t>
            </w:r>
          </w:hyperlink>
        </w:p>
        <w:p>
          <w:pPr>
            <w:pStyle w:val="Contents6"/>
            <w:tabs>
              <w:tab w:val="clear" w:pos="7609"/>
              <w:tab w:val="right" w:pos="9026" w:leader="dot"/>
            </w:tabs>
            <w:rPr/>
          </w:pPr>
          <w:hyperlink w:anchor="__RefHeading___Toc3420144_581953129">
            <w:r>
              <w:rPr>
                <w:webHidden/>
                <w:rStyle w:val="IndexLink"/>
                <w:rtl w:val="true"/>
              </w:rPr>
              <w:t>دوم</w:t>
            </w:r>
            <w:r>
              <w:rPr>
                <w:rStyle w:val="IndexLink"/>
                <w:rtl w:val="true"/>
              </w:rPr>
              <w:t>)</w:t>
            </w:r>
            <w:r>
              <w:rPr>
                <w:rStyle w:val="IndexLink"/>
                <w:rtl w:val="true"/>
              </w:rPr>
              <w:t>مفروغ نبودن مشروعیت</w:t>
            </w:r>
            <w:r>
              <w:rPr>
                <w:rStyle w:val="IndexLink"/>
                <w:rtl w:val="true"/>
              </w:rPr>
              <w:tab/>
            </w:r>
            <w:r>
              <w:rPr>
                <w:rStyle w:val="IndexLink"/>
              </w:rPr>
              <w:t>256</w:t>
            </w:r>
          </w:hyperlink>
        </w:p>
        <w:p>
          <w:pPr>
            <w:pStyle w:val="Contents6"/>
            <w:tabs>
              <w:tab w:val="clear" w:pos="7609"/>
              <w:tab w:val="right" w:pos="9026" w:leader="dot"/>
            </w:tabs>
            <w:rPr/>
          </w:pPr>
          <w:hyperlink w:anchor="__RefHeading___Toc3420146_581953129">
            <w:r>
              <w:rPr>
                <w:webHidden/>
                <w:rStyle w:val="IndexLink"/>
                <w:rtl w:val="true"/>
              </w:rPr>
              <w:t>سوم</w:t>
            </w:r>
            <w:r>
              <w:rPr>
                <w:rStyle w:val="IndexLink"/>
                <w:rtl w:val="true"/>
              </w:rPr>
              <w:t>)</w:t>
            </w:r>
            <w:r>
              <w:rPr>
                <w:rStyle w:val="IndexLink"/>
                <w:rtl w:val="true"/>
              </w:rPr>
              <w:t>لزوم تصدی مؤمنان عادل در صورت نبود فقیه</w:t>
            </w:r>
            <w:r>
              <w:rPr>
                <w:rStyle w:val="IndexLink"/>
                <w:rtl w:val="true"/>
              </w:rPr>
              <w:tab/>
            </w:r>
            <w:r>
              <w:rPr>
                <w:rStyle w:val="IndexLink"/>
              </w:rPr>
              <w:t>256</w:t>
            </w:r>
          </w:hyperlink>
        </w:p>
        <w:p>
          <w:pPr>
            <w:pStyle w:val="Contents5"/>
            <w:tabs>
              <w:tab w:val="clear" w:pos="7892"/>
              <w:tab w:val="right" w:pos="9026" w:leader="dot"/>
            </w:tabs>
            <w:rPr/>
          </w:pPr>
          <w:hyperlink w:anchor="__RefHeading___Toc3420148_581953129">
            <w:r>
              <w:rPr>
                <w:webHidden/>
                <w:rStyle w:val="IndexLink"/>
              </w:rPr>
              <w:t>5</w:t>
            </w:r>
            <w:r>
              <w:rPr>
                <w:rStyle w:val="IndexLink"/>
                <w:rtl w:val="true"/>
              </w:rPr>
              <w:t>-</w:t>
            </w:r>
            <w:r>
              <w:rPr>
                <w:rStyle w:val="IndexLink"/>
                <w:rtl w:val="true"/>
              </w:rPr>
              <w:t>تئوری عدالت</w:t>
            </w:r>
            <w:r>
              <w:rPr>
                <w:rStyle w:val="IndexLink"/>
                <w:rtl w:val="true"/>
              </w:rPr>
              <w:tab/>
            </w:r>
            <w:r>
              <w:rPr>
                <w:rStyle w:val="IndexLink"/>
              </w:rPr>
              <w:t>258</w:t>
            </w:r>
          </w:hyperlink>
        </w:p>
        <w:p>
          <w:pPr>
            <w:pStyle w:val="Contents4"/>
            <w:tabs>
              <w:tab w:val="clear" w:pos="8176"/>
              <w:tab w:val="right" w:pos="9026" w:leader="dot"/>
            </w:tabs>
            <w:rPr/>
          </w:pPr>
          <w:hyperlink w:anchor="__RefHeading___Toc3420150_581953129">
            <w:r>
              <w:rPr>
                <w:webHidden/>
                <w:rStyle w:val="IndexLink"/>
                <w:rtl w:val="true"/>
              </w:rPr>
              <w:t>دلایل نقلی</w:t>
            </w:r>
            <w:r>
              <w:rPr>
                <w:rStyle w:val="IndexLink"/>
                <w:rtl w:val="true"/>
              </w:rPr>
              <w:tab/>
            </w:r>
            <w:r>
              <w:rPr>
                <w:rStyle w:val="IndexLink"/>
              </w:rPr>
              <w:t>259</w:t>
            </w:r>
          </w:hyperlink>
        </w:p>
        <w:p>
          <w:pPr>
            <w:pStyle w:val="Contents5"/>
            <w:tabs>
              <w:tab w:val="clear" w:pos="7892"/>
              <w:tab w:val="right" w:pos="9026" w:leader="dot"/>
            </w:tabs>
            <w:rPr/>
          </w:pPr>
          <w:hyperlink w:anchor="__RefHeading___Toc3420152_581953129">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3420154_581953129">
            <w:r>
              <w:rPr>
                <w:webHidden/>
                <w:rStyle w:val="IndexLink"/>
              </w:rPr>
              <w:t>1</w:t>
            </w:r>
            <w:r>
              <w:rPr>
                <w:rStyle w:val="IndexLink"/>
                <w:rtl w:val="true"/>
              </w:rPr>
              <w:t>-</w:t>
            </w:r>
            <w:r>
              <w:rPr>
                <w:rStyle w:val="IndexLink"/>
                <w:rtl w:val="true"/>
              </w:rPr>
              <w:t>اطلاق ازمانی ادله حدود</w:t>
            </w:r>
            <w:r>
              <w:rPr>
                <w:rStyle w:val="IndexLink"/>
                <w:rtl w:val="true"/>
              </w:rPr>
              <w:tab/>
            </w:r>
            <w:r>
              <w:rPr>
                <w:rStyle w:val="IndexLink"/>
              </w:rPr>
              <w:t>259</w:t>
            </w:r>
          </w:hyperlink>
        </w:p>
        <w:p>
          <w:pPr>
            <w:pStyle w:val="Contents6"/>
            <w:tabs>
              <w:tab w:val="clear" w:pos="7609"/>
              <w:tab w:val="right" w:pos="9026" w:leader="dot"/>
            </w:tabs>
            <w:rPr/>
          </w:pPr>
          <w:hyperlink w:anchor="__RefHeading___Toc3420156_581953129">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3420158_581953129">
            <w:r>
              <w:rPr>
                <w:webHidden/>
                <w:rStyle w:val="IndexLink"/>
                <w:rtl w:val="true"/>
              </w:rPr>
              <w:t>الف</w:t>
            </w:r>
            <w:r>
              <w:rPr>
                <w:rStyle w:val="IndexLink"/>
                <w:rtl w:val="true"/>
              </w:rPr>
              <w:t>)</w:t>
            </w:r>
            <w:r>
              <w:rPr>
                <w:rStyle w:val="IndexLink"/>
                <w:rtl w:val="true"/>
              </w:rPr>
              <w:t>دیدگاه فقها</w:t>
            </w:r>
            <w:r>
              <w:rPr>
                <w:rStyle w:val="IndexLink"/>
                <w:rtl w:val="true"/>
              </w:rPr>
              <w:tab/>
            </w:r>
            <w:r>
              <w:rPr>
                <w:rStyle w:val="IndexLink"/>
              </w:rPr>
              <w:t>260</w:t>
            </w:r>
          </w:hyperlink>
        </w:p>
        <w:p>
          <w:pPr>
            <w:pStyle w:val="Contents6"/>
            <w:tabs>
              <w:tab w:val="clear" w:pos="7609"/>
              <w:tab w:val="right" w:pos="9026" w:leader="dot"/>
            </w:tabs>
            <w:rPr/>
          </w:pPr>
          <w:hyperlink w:anchor="__RefHeading___Toc3420160_581953129">
            <w:r>
              <w:rPr>
                <w:webHidden/>
                <w:rStyle w:val="IndexLink"/>
                <w:rtl w:val="true"/>
              </w:rPr>
              <w:t>ب</w:t>
            </w:r>
            <w:r>
              <w:rPr>
                <w:rStyle w:val="IndexLink"/>
                <w:rtl w:val="true"/>
              </w:rPr>
              <w:t>)</w:t>
            </w:r>
            <w:r>
              <w:rPr>
                <w:rStyle w:val="IndexLink"/>
                <w:rtl w:val="true"/>
              </w:rPr>
              <w:t>نقد و بررسی</w:t>
            </w:r>
            <w:r>
              <w:rPr>
                <w:rStyle w:val="IndexLink"/>
                <w:rtl w:val="true"/>
              </w:rPr>
              <w:tab/>
            </w:r>
            <w:r>
              <w:rPr>
                <w:rStyle w:val="IndexLink"/>
              </w:rPr>
              <w:t>261</w:t>
            </w:r>
          </w:hyperlink>
        </w:p>
        <w:p>
          <w:pPr>
            <w:pStyle w:val="Contents6"/>
            <w:tabs>
              <w:tab w:val="clear" w:pos="7609"/>
              <w:tab w:val="right" w:pos="9026" w:leader="dot"/>
            </w:tabs>
            <w:rPr/>
          </w:pPr>
          <w:hyperlink w:anchor="__RefHeading___Toc3420162_581953129">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3420164_581953129">
            <w:r>
              <w:rPr>
                <w:webHidden/>
                <w:rStyle w:val="IndexLink"/>
                <w:rtl w:val="true"/>
              </w:rPr>
              <w:t>یکم</w:t>
            </w:r>
            <w:r>
              <w:rPr>
                <w:rStyle w:val="IndexLink"/>
                <w:rtl w:val="true"/>
              </w:rPr>
              <w:t>)</w:t>
            </w:r>
            <w:r>
              <w:rPr>
                <w:rStyle w:val="IndexLink"/>
                <w:rtl w:val="true"/>
              </w:rPr>
              <w:t>مخاطب اطلاقات</w:t>
            </w:r>
            <w:r>
              <w:rPr>
                <w:rStyle w:val="IndexLink"/>
                <w:rtl w:val="true"/>
              </w:rPr>
              <w:tab/>
            </w:r>
            <w:r>
              <w:rPr>
                <w:rStyle w:val="IndexLink"/>
              </w:rPr>
              <w:t>262</w:t>
            </w:r>
          </w:hyperlink>
        </w:p>
        <w:p>
          <w:pPr>
            <w:pStyle w:val="Contents6"/>
            <w:tabs>
              <w:tab w:val="clear" w:pos="7609"/>
              <w:tab w:val="right" w:pos="9026" w:leader="dot"/>
            </w:tabs>
            <w:rPr/>
          </w:pPr>
          <w:hyperlink w:anchor="__RefHeading___Toc3420166_581953129">
            <w:r>
              <w:rPr>
                <w:webHidden/>
                <w:rStyle w:val="IndexLink"/>
                <w:rtl w:val="true"/>
              </w:rPr>
              <w:t>دوم</w:t>
            </w:r>
            <w:r>
              <w:rPr>
                <w:rStyle w:val="IndexLink"/>
                <w:rtl w:val="true"/>
              </w:rPr>
              <w:t>)</w:t>
            </w:r>
            <w:r>
              <w:rPr>
                <w:rStyle w:val="IndexLink"/>
                <w:rtl w:val="true"/>
              </w:rPr>
              <w:t>قدر متیقن بودن فقیه</w:t>
            </w:r>
            <w:r>
              <w:rPr>
                <w:rStyle w:val="IndexLink"/>
                <w:rtl w:val="true"/>
              </w:rPr>
              <w:tab/>
            </w:r>
            <w:r>
              <w:rPr>
                <w:rStyle w:val="IndexLink"/>
              </w:rPr>
              <w:t>264</w:t>
            </w:r>
          </w:hyperlink>
        </w:p>
        <w:p>
          <w:pPr>
            <w:pStyle w:val="Contents6"/>
            <w:tabs>
              <w:tab w:val="clear" w:pos="7609"/>
              <w:tab w:val="right" w:pos="9026" w:leader="dot"/>
            </w:tabs>
            <w:rPr/>
          </w:pPr>
          <w:hyperlink w:anchor="__RefHeading___Toc3420168_581953129">
            <w:r>
              <w:rPr>
                <w:webHidden/>
                <w:rStyle w:val="IndexLink"/>
                <w:rtl w:val="true"/>
              </w:rPr>
              <w:t>اشکال عدم تأثیر</w:t>
            </w:r>
            <w:r>
              <w:rPr>
                <w:rStyle w:val="IndexLink"/>
                <w:rtl w:val="true"/>
              </w:rPr>
              <w:t>«</w:t>
            </w:r>
            <w:r>
              <w:rPr>
                <w:rStyle w:val="IndexLink"/>
                <w:rtl w:val="true"/>
              </w:rPr>
              <w:t>فقاهت بما هو فقاهت</w:t>
            </w:r>
            <w:r>
              <w:rPr>
                <w:rStyle w:val="IndexLink"/>
                <w:rtl w:val="true"/>
              </w:rPr>
              <w:t>»</w:t>
            </w:r>
            <w:r>
              <w:rPr>
                <w:rStyle w:val="IndexLink"/>
                <w:rtl w:val="true"/>
              </w:rPr>
              <w:t>در تصدی و ولایت</w:t>
            </w:r>
            <w:r>
              <w:rPr>
                <w:rStyle w:val="IndexLink"/>
                <w:rtl w:val="true"/>
              </w:rPr>
              <w:tab/>
            </w:r>
            <w:r>
              <w:rPr>
                <w:rStyle w:val="IndexLink"/>
              </w:rPr>
              <w:t>265</w:t>
            </w:r>
          </w:hyperlink>
        </w:p>
        <w:p>
          <w:pPr>
            <w:pStyle w:val="Contents6"/>
            <w:tabs>
              <w:tab w:val="clear" w:pos="7609"/>
              <w:tab w:val="right" w:pos="9026" w:leader="dot"/>
            </w:tabs>
            <w:rPr/>
          </w:pPr>
          <w:hyperlink w:anchor="__RefHeading___Toc3420170_581953129">
            <w:r>
              <w:rPr>
                <w:webHidden/>
                <w:rStyle w:val="IndexLink"/>
                <w:rtl w:val="true"/>
              </w:rPr>
              <w:t>سوم</w:t>
            </w:r>
            <w:r>
              <w:rPr>
                <w:rStyle w:val="IndexLink"/>
                <w:rtl w:val="true"/>
              </w:rPr>
              <w:t>)</w:t>
            </w:r>
            <w:r>
              <w:rPr>
                <w:rStyle w:val="IndexLink"/>
                <w:rtl w:val="true"/>
              </w:rPr>
              <w:t>عدم وصول بیان در اختصاص به فقها</w:t>
            </w:r>
            <w:r>
              <w:rPr>
                <w:rStyle w:val="IndexLink"/>
                <w:rtl w:val="true"/>
              </w:rPr>
              <w:tab/>
            </w:r>
            <w:r>
              <w:rPr>
                <w:rStyle w:val="IndexLink"/>
              </w:rPr>
              <w:t>266</w:t>
            </w:r>
          </w:hyperlink>
        </w:p>
        <w:p>
          <w:pPr>
            <w:pStyle w:val="Contents5"/>
            <w:tabs>
              <w:tab w:val="clear" w:pos="7892"/>
              <w:tab w:val="right" w:pos="9026" w:leader="dot"/>
            </w:tabs>
            <w:rPr/>
          </w:pPr>
          <w:hyperlink w:anchor="__RefHeading___Toc3420172_581953129">
            <w:r>
              <w:rPr>
                <w:webHidden/>
                <w:rStyle w:val="IndexLink"/>
              </w:rPr>
              <w:t>2</w:t>
            </w:r>
            <w:r>
              <w:rPr>
                <w:rStyle w:val="IndexLink"/>
                <w:rtl w:val="true"/>
              </w:rPr>
              <w:t>-</w:t>
            </w:r>
            <w:r>
              <w:rPr>
                <w:rStyle w:val="IndexLink"/>
                <w:rtl w:val="true"/>
              </w:rPr>
              <w:t>روایت حفص بن غیاث</w:t>
            </w:r>
            <w:r>
              <w:rPr>
                <w:rStyle w:val="IndexLink"/>
                <w:rtl w:val="true"/>
              </w:rPr>
              <w:tab/>
            </w:r>
            <w:r>
              <w:rPr>
                <w:rStyle w:val="IndexLink"/>
              </w:rPr>
              <w:t>267</w:t>
            </w:r>
          </w:hyperlink>
        </w:p>
        <w:p>
          <w:pPr>
            <w:pStyle w:val="Contents6"/>
            <w:tabs>
              <w:tab w:val="clear" w:pos="7609"/>
              <w:tab w:val="right" w:pos="9026" w:leader="dot"/>
            </w:tabs>
            <w:rPr/>
          </w:pPr>
          <w:hyperlink w:anchor="__RefHeading___Toc3420174_581953129">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3420176_581953129">
            <w:r>
              <w:rPr>
                <w:webHidden/>
                <w:rStyle w:val="IndexLink"/>
                <w:rtl w:val="true"/>
              </w:rPr>
              <w:t>الف</w:t>
            </w:r>
            <w:r>
              <w:rPr>
                <w:rStyle w:val="IndexLink"/>
                <w:rtl w:val="true"/>
              </w:rPr>
              <w:t>)</w:t>
            </w:r>
            <w:r>
              <w:rPr>
                <w:rStyle w:val="IndexLink"/>
                <w:rtl w:val="true"/>
              </w:rPr>
              <w:t>بررسی سند روایت</w:t>
            </w:r>
            <w:r>
              <w:rPr>
                <w:rStyle w:val="IndexLink"/>
                <w:rtl w:val="true"/>
              </w:rPr>
              <w:tab/>
            </w:r>
            <w:r>
              <w:rPr>
                <w:rStyle w:val="IndexLink"/>
              </w:rPr>
              <w:t>267</w:t>
            </w:r>
          </w:hyperlink>
        </w:p>
        <w:p>
          <w:pPr>
            <w:pStyle w:val="Contents6"/>
            <w:tabs>
              <w:tab w:val="clear" w:pos="7609"/>
              <w:tab w:val="right" w:pos="9026" w:leader="dot"/>
            </w:tabs>
            <w:rPr/>
          </w:pPr>
          <w:hyperlink w:anchor="__RefHeading___Toc3420178_581953129">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3420180_581953129">
            <w:r>
              <w:rPr>
                <w:webHidden/>
                <w:rStyle w:val="IndexLink"/>
                <w:rtl w:val="true"/>
              </w:rPr>
              <w:t>قاسم بن محمد اصفهانی</w:t>
            </w:r>
            <w:r>
              <w:rPr>
                <w:rStyle w:val="IndexLink"/>
                <w:rtl w:val="true"/>
              </w:rPr>
              <w:tab/>
            </w:r>
            <w:r>
              <w:rPr>
                <w:rStyle w:val="IndexLink"/>
              </w:rPr>
              <w:t>268</w:t>
            </w:r>
          </w:hyperlink>
        </w:p>
        <w:p>
          <w:pPr>
            <w:pStyle w:val="Contents6"/>
            <w:tabs>
              <w:tab w:val="clear" w:pos="7609"/>
              <w:tab w:val="right" w:pos="9026" w:leader="dot"/>
            </w:tabs>
            <w:rPr/>
          </w:pPr>
          <w:hyperlink w:anchor="__RefHeading___Toc3420182_581953129">
            <w:r>
              <w:rPr>
                <w:webHidden/>
                <w:rStyle w:val="IndexLink"/>
                <w:rtl w:val="true"/>
              </w:rPr>
              <w:t>سلیمان بن داوود منقری</w:t>
            </w:r>
            <w:r>
              <w:rPr>
                <w:rStyle w:val="IndexLink"/>
                <w:rtl w:val="true"/>
              </w:rPr>
              <w:tab/>
            </w:r>
            <w:r>
              <w:rPr>
                <w:rStyle w:val="IndexLink"/>
              </w:rPr>
              <w:t>269</w:t>
            </w:r>
          </w:hyperlink>
        </w:p>
        <w:p>
          <w:pPr>
            <w:pStyle w:val="Contents6"/>
            <w:tabs>
              <w:tab w:val="clear" w:pos="7609"/>
              <w:tab w:val="right" w:pos="9026" w:leader="dot"/>
            </w:tabs>
            <w:rPr/>
          </w:pPr>
          <w:hyperlink w:anchor="__RefHeading___Toc3420184_581953129">
            <w:r>
              <w:rPr>
                <w:webHidden/>
                <w:rStyle w:val="IndexLink"/>
                <w:rtl w:val="true"/>
              </w:rPr>
              <w:t>حفص بن غیاث</w:t>
            </w:r>
            <w:r>
              <w:rPr>
                <w:rStyle w:val="IndexLink"/>
                <w:rtl w:val="true"/>
              </w:rPr>
              <w:tab/>
            </w:r>
            <w:r>
              <w:rPr>
                <w:rStyle w:val="IndexLink"/>
              </w:rPr>
              <w:t>270</w:t>
            </w:r>
          </w:hyperlink>
        </w:p>
        <w:p>
          <w:pPr>
            <w:pStyle w:val="Contents6"/>
            <w:tabs>
              <w:tab w:val="clear" w:pos="7609"/>
              <w:tab w:val="right" w:pos="9026" w:leader="dot"/>
            </w:tabs>
            <w:rPr/>
          </w:pPr>
          <w:hyperlink w:anchor="__RefHeading___Toc3420186_581953129">
            <w:r>
              <w:rPr>
                <w:webHidden/>
                <w:rStyle w:val="IndexLink"/>
                <w:rtl w:val="true"/>
              </w:rPr>
              <w:t>نتیجه نهایی</w:t>
            </w:r>
            <w:r>
              <w:rPr>
                <w:rStyle w:val="IndexLink"/>
                <w:rtl w:val="true"/>
              </w:rPr>
              <w:tab/>
            </w:r>
            <w:r>
              <w:rPr>
                <w:rStyle w:val="IndexLink"/>
              </w:rPr>
              <w:t>273</w:t>
            </w:r>
          </w:hyperlink>
        </w:p>
        <w:p>
          <w:pPr>
            <w:pStyle w:val="Contents6"/>
            <w:tabs>
              <w:tab w:val="clear" w:pos="7609"/>
              <w:tab w:val="right" w:pos="9026" w:leader="dot"/>
            </w:tabs>
            <w:rPr/>
          </w:pPr>
          <w:hyperlink w:anchor="__RefHeading___Toc3420188_581953129">
            <w:r>
              <w:rPr>
                <w:webHidden/>
                <w:rStyle w:val="IndexLink"/>
                <w:rtl w:val="true"/>
              </w:rPr>
              <w:t>ب</w:t>
            </w:r>
            <w:r>
              <w:rPr>
                <w:rStyle w:val="IndexLink"/>
                <w:rtl w:val="true"/>
              </w:rPr>
              <w:t>)</w:t>
            </w:r>
            <w:r>
              <w:rPr>
                <w:rStyle w:val="IndexLink"/>
                <w:rtl w:val="true"/>
              </w:rPr>
              <w:t>بررسی دلالت روایت</w:t>
            </w:r>
            <w:r>
              <w:rPr>
                <w:rStyle w:val="IndexLink"/>
                <w:rtl w:val="true"/>
              </w:rPr>
              <w:tab/>
            </w:r>
            <w:r>
              <w:rPr>
                <w:rStyle w:val="IndexLink"/>
              </w:rPr>
              <w:t>274</w:t>
            </w:r>
          </w:hyperlink>
        </w:p>
        <w:p>
          <w:pPr>
            <w:pStyle w:val="Contents6"/>
            <w:tabs>
              <w:tab w:val="clear" w:pos="7609"/>
              <w:tab w:val="right" w:pos="9026" w:leader="dot"/>
            </w:tabs>
            <w:rPr/>
          </w:pPr>
          <w:hyperlink w:anchor="__RefHeading___Toc3420190_581953129">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3420192_581953129">
            <w:r>
              <w:rPr>
                <w:webHidden/>
                <w:rStyle w:val="IndexLink"/>
                <w:rtl w:val="true"/>
              </w:rPr>
              <w:t>اشکال‌های دلالی</w:t>
            </w:r>
            <w:r>
              <w:rPr>
                <w:rStyle w:val="IndexLink"/>
                <w:rtl w:val="true"/>
              </w:rPr>
              <w:tab/>
            </w:r>
            <w:r>
              <w:rPr>
                <w:rStyle w:val="IndexLink"/>
              </w:rPr>
              <w:t>274</w:t>
            </w:r>
          </w:hyperlink>
        </w:p>
        <w:p>
          <w:pPr>
            <w:pStyle w:val="Contents6"/>
            <w:tabs>
              <w:tab w:val="clear" w:pos="7609"/>
              <w:tab w:val="right" w:pos="9026" w:leader="dot"/>
            </w:tabs>
            <w:rPr/>
          </w:pPr>
          <w:hyperlink w:anchor="__RefHeading___Toc3420194_581953129">
            <w:r>
              <w:rPr>
                <w:webHidden/>
                <w:rStyle w:val="IndexLink"/>
                <w:rtl w:val="true"/>
              </w:rPr>
              <w:t>بررسی اشکال‌ها</w:t>
            </w:r>
            <w:r>
              <w:rPr>
                <w:rStyle w:val="IndexLink"/>
                <w:rtl w:val="true"/>
              </w:rPr>
              <w:tab/>
            </w:r>
            <w:r>
              <w:rPr>
                <w:rStyle w:val="IndexLink"/>
              </w:rPr>
              <w:t>275</w:t>
            </w:r>
          </w:hyperlink>
        </w:p>
        <w:p>
          <w:pPr>
            <w:pStyle w:val="Contents5"/>
            <w:tabs>
              <w:tab w:val="clear" w:pos="7892"/>
              <w:tab w:val="right" w:pos="9026" w:leader="dot"/>
            </w:tabs>
            <w:rPr/>
          </w:pPr>
          <w:hyperlink w:anchor="__RefHeading___Toc3420196_581953129">
            <w:r>
              <w:rPr>
                <w:webHidden/>
                <w:rStyle w:val="IndexLink"/>
              </w:rPr>
              <w:t>3</w:t>
            </w:r>
            <w:r>
              <w:rPr>
                <w:rStyle w:val="IndexLink"/>
                <w:rtl w:val="true"/>
              </w:rPr>
              <w:t>-</w:t>
            </w:r>
            <w:r>
              <w:rPr>
                <w:rStyle w:val="IndexLink"/>
                <w:rtl w:val="true"/>
              </w:rPr>
              <w:t>مقبوله عمر بن حنظله</w:t>
            </w:r>
            <w:r>
              <w:rPr>
                <w:rStyle w:val="IndexLink"/>
                <w:rtl w:val="true"/>
              </w:rPr>
              <w:tab/>
            </w:r>
            <w:r>
              <w:rPr>
                <w:rStyle w:val="IndexLink"/>
              </w:rPr>
              <w:t>276</w:t>
            </w:r>
          </w:hyperlink>
        </w:p>
        <w:p>
          <w:pPr>
            <w:pStyle w:val="Contents6"/>
            <w:tabs>
              <w:tab w:val="clear" w:pos="7609"/>
              <w:tab w:val="right" w:pos="9026" w:leader="dot"/>
            </w:tabs>
            <w:rPr/>
          </w:pPr>
          <w:hyperlink w:anchor="__RefHeading___Toc3420198_581953129">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3420200_581953129">
            <w:r>
              <w:rPr>
                <w:webHidden/>
                <w:rStyle w:val="IndexLink"/>
                <w:rtl w:val="true"/>
              </w:rPr>
              <w:t>الف</w:t>
            </w:r>
            <w:r>
              <w:rPr>
                <w:rStyle w:val="IndexLink"/>
                <w:rtl w:val="true"/>
              </w:rPr>
              <w:t>)</w:t>
            </w:r>
            <w:r>
              <w:rPr>
                <w:rStyle w:val="IndexLink"/>
                <w:rtl w:val="true"/>
              </w:rPr>
              <w:t>بررسی سند روایت</w:t>
            </w:r>
            <w:r>
              <w:rPr>
                <w:rStyle w:val="IndexLink"/>
                <w:rtl w:val="true"/>
              </w:rPr>
              <w:tab/>
            </w:r>
            <w:r>
              <w:rPr>
                <w:rStyle w:val="IndexLink"/>
              </w:rPr>
              <w:t>278</w:t>
            </w:r>
          </w:hyperlink>
        </w:p>
        <w:p>
          <w:pPr>
            <w:pStyle w:val="Contents6"/>
            <w:tabs>
              <w:tab w:val="clear" w:pos="7609"/>
              <w:tab w:val="right" w:pos="9026" w:leader="dot"/>
            </w:tabs>
            <w:rPr/>
          </w:pPr>
          <w:hyperlink w:anchor="__RefHeading___Toc3420202_581953129">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3420204_581953129">
            <w:r>
              <w:rPr>
                <w:webHidden/>
                <w:rStyle w:val="IndexLink"/>
                <w:rtl w:val="true"/>
              </w:rPr>
              <w:t>محمد بن یحیی</w:t>
            </w:r>
            <w:r>
              <w:rPr>
                <w:rStyle w:val="IndexLink"/>
                <w:rtl w:val="true"/>
              </w:rPr>
              <w:tab/>
            </w:r>
            <w:r>
              <w:rPr>
                <w:rStyle w:val="IndexLink"/>
              </w:rPr>
              <w:t>279</w:t>
            </w:r>
          </w:hyperlink>
        </w:p>
        <w:p>
          <w:pPr>
            <w:pStyle w:val="Contents6"/>
            <w:tabs>
              <w:tab w:val="clear" w:pos="7609"/>
              <w:tab w:val="right" w:pos="9026" w:leader="dot"/>
            </w:tabs>
            <w:rPr/>
          </w:pPr>
          <w:hyperlink w:anchor="__RefHeading___Toc3420206_581953129">
            <w:r>
              <w:rPr>
                <w:webHidden/>
                <w:rStyle w:val="IndexLink"/>
                <w:rtl w:val="true"/>
              </w:rPr>
              <w:t>محمد بن الحسین</w:t>
            </w:r>
            <w:r>
              <w:rPr>
                <w:rStyle w:val="IndexLink"/>
                <w:rtl w:val="true"/>
              </w:rPr>
              <w:tab/>
            </w:r>
            <w:r>
              <w:rPr>
                <w:rStyle w:val="IndexLink"/>
              </w:rPr>
              <w:t>279</w:t>
            </w:r>
          </w:hyperlink>
        </w:p>
        <w:p>
          <w:pPr>
            <w:pStyle w:val="Contents6"/>
            <w:tabs>
              <w:tab w:val="clear" w:pos="7609"/>
              <w:tab w:val="right" w:pos="9026" w:leader="dot"/>
            </w:tabs>
            <w:rPr/>
          </w:pPr>
          <w:hyperlink w:anchor="__RefHeading___Toc3420208_581953129">
            <w:r>
              <w:rPr>
                <w:webHidden/>
                <w:rStyle w:val="IndexLink"/>
                <w:rtl w:val="true"/>
              </w:rPr>
              <w:t>صفوان</w:t>
            </w:r>
            <w:r>
              <w:rPr>
                <w:rStyle w:val="IndexLink"/>
                <w:rtl w:val="true"/>
              </w:rPr>
              <w:tab/>
            </w:r>
            <w:r>
              <w:rPr>
                <w:rStyle w:val="IndexLink"/>
              </w:rPr>
              <w:t>280</w:t>
            </w:r>
          </w:hyperlink>
        </w:p>
        <w:p>
          <w:pPr>
            <w:pStyle w:val="Contents6"/>
            <w:tabs>
              <w:tab w:val="clear" w:pos="7609"/>
              <w:tab w:val="right" w:pos="9026" w:leader="dot"/>
            </w:tabs>
            <w:rPr/>
          </w:pPr>
          <w:hyperlink w:anchor="__RefHeading___Toc3420210_581953129">
            <w:r>
              <w:rPr>
                <w:webHidden/>
                <w:rStyle w:val="IndexLink"/>
                <w:rtl w:val="true"/>
              </w:rPr>
              <w:t>محمد بن عیسی</w:t>
            </w:r>
            <w:r>
              <w:rPr>
                <w:rStyle w:val="IndexLink"/>
                <w:rtl w:val="true"/>
              </w:rPr>
              <w:tab/>
            </w:r>
            <w:r>
              <w:rPr>
                <w:rStyle w:val="IndexLink"/>
              </w:rPr>
              <w:t>280</w:t>
            </w:r>
          </w:hyperlink>
        </w:p>
        <w:p>
          <w:pPr>
            <w:pStyle w:val="Contents6"/>
            <w:tabs>
              <w:tab w:val="clear" w:pos="7609"/>
              <w:tab w:val="right" w:pos="9026" w:leader="dot"/>
            </w:tabs>
            <w:rPr/>
          </w:pPr>
          <w:hyperlink w:anchor="__RefHeading___Toc3420212_581953129">
            <w:r>
              <w:rPr>
                <w:webHidden/>
                <w:rStyle w:val="IndexLink"/>
                <w:rtl w:val="true"/>
              </w:rPr>
              <w:t>داوود بن حصین</w:t>
            </w:r>
            <w:r>
              <w:rPr>
                <w:rStyle w:val="IndexLink"/>
                <w:rtl w:val="true"/>
              </w:rPr>
              <w:tab/>
            </w:r>
            <w:r>
              <w:rPr>
                <w:rStyle w:val="IndexLink"/>
              </w:rPr>
              <w:t>281</w:t>
            </w:r>
          </w:hyperlink>
        </w:p>
        <w:p>
          <w:pPr>
            <w:pStyle w:val="Contents6"/>
            <w:tabs>
              <w:tab w:val="clear" w:pos="7609"/>
              <w:tab w:val="right" w:pos="9026" w:leader="dot"/>
            </w:tabs>
            <w:rPr/>
          </w:pPr>
          <w:hyperlink w:anchor="__RefHeading___Toc3420214_581953129">
            <w:r>
              <w:rPr>
                <w:webHidden/>
                <w:rStyle w:val="IndexLink"/>
                <w:rtl w:val="true"/>
              </w:rPr>
              <w:t>عمر بن حنظله</w:t>
            </w:r>
            <w:r>
              <w:rPr>
                <w:rStyle w:val="IndexLink"/>
                <w:rtl w:val="true"/>
              </w:rPr>
              <w:tab/>
            </w:r>
            <w:r>
              <w:rPr>
                <w:rStyle w:val="IndexLink"/>
              </w:rPr>
              <w:t>282</w:t>
            </w:r>
          </w:hyperlink>
        </w:p>
        <w:p>
          <w:pPr>
            <w:pStyle w:val="Contents6"/>
            <w:tabs>
              <w:tab w:val="clear" w:pos="7609"/>
              <w:tab w:val="right" w:pos="9026" w:leader="dot"/>
            </w:tabs>
            <w:rPr/>
          </w:pPr>
          <w:hyperlink w:anchor="__RefHeading___Toc3420216_581953129">
            <w:r>
              <w:rPr>
                <w:webHidden/>
                <w:rStyle w:val="IndexLink"/>
                <w:rtl w:val="true"/>
              </w:rPr>
              <w:t>ب</w:t>
            </w:r>
            <w:r>
              <w:rPr>
                <w:rStyle w:val="IndexLink"/>
                <w:rtl w:val="true"/>
              </w:rPr>
              <w:t>)</w:t>
            </w:r>
            <w:r>
              <w:rPr>
                <w:rStyle w:val="IndexLink"/>
                <w:rtl w:val="true"/>
              </w:rPr>
              <w:t>بررسی دلالت روایت</w:t>
            </w:r>
            <w:r>
              <w:rPr>
                <w:rStyle w:val="IndexLink"/>
                <w:rtl w:val="true"/>
              </w:rPr>
              <w:tab/>
            </w:r>
            <w:r>
              <w:rPr>
                <w:rStyle w:val="IndexLink"/>
              </w:rPr>
              <w:t>284</w:t>
            </w:r>
          </w:hyperlink>
        </w:p>
        <w:p>
          <w:pPr>
            <w:pStyle w:val="Contents6"/>
            <w:tabs>
              <w:tab w:val="clear" w:pos="7609"/>
              <w:tab w:val="right" w:pos="9026" w:leader="dot"/>
            </w:tabs>
            <w:rPr/>
          </w:pPr>
          <w:hyperlink w:anchor="__RefHeading___Toc3420218_581953129">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3420220_581953129">
            <w:r>
              <w:rPr>
                <w:webHidden/>
                <w:rStyle w:val="IndexLink"/>
                <w:rtl w:val="true"/>
              </w:rPr>
              <w:t>یکم</w:t>
            </w:r>
            <w:r>
              <w:rPr>
                <w:rStyle w:val="IndexLink"/>
                <w:rtl w:val="true"/>
              </w:rPr>
              <w:t>)</w:t>
            </w:r>
            <w:r>
              <w:rPr>
                <w:rStyle w:val="IndexLink"/>
                <w:rtl w:val="true"/>
              </w:rPr>
              <w:t>روش‌های استدلال</w:t>
            </w:r>
            <w:r>
              <w:rPr>
                <w:rStyle w:val="IndexLink"/>
                <w:rtl w:val="true"/>
              </w:rPr>
              <w:tab/>
            </w:r>
            <w:r>
              <w:rPr>
                <w:rStyle w:val="IndexLink"/>
              </w:rPr>
              <w:t>286</w:t>
            </w:r>
          </w:hyperlink>
        </w:p>
        <w:p>
          <w:pPr>
            <w:pStyle w:val="Contents6"/>
            <w:tabs>
              <w:tab w:val="clear" w:pos="7609"/>
              <w:tab w:val="right" w:pos="9026" w:leader="dot"/>
            </w:tabs>
            <w:rPr/>
          </w:pPr>
          <w:hyperlink w:anchor="__RefHeading___Toc3420222_581953129">
            <w:r>
              <w:rPr>
                <w:webHidden/>
                <w:rStyle w:val="IndexLink"/>
                <w:rtl w:val="true"/>
              </w:rPr>
              <w:t>روش نخست</w:t>
            </w:r>
            <w:r>
              <w:rPr>
                <w:rStyle w:val="IndexLink"/>
                <w:rtl w:val="true"/>
              </w:rPr>
              <w:tab/>
            </w:r>
            <w:r>
              <w:rPr>
                <w:rStyle w:val="IndexLink"/>
              </w:rPr>
              <w:t>286</w:t>
            </w:r>
          </w:hyperlink>
        </w:p>
        <w:p>
          <w:pPr>
            <w:pStyle w:val="Contents6"/>
            <w:tabs>
              <w:tab w:val="clear" w:pos="7609"/>
              <w:tab w:val="right" w:pos="9026" w:leader="dot"/>
            </w:tabs>
            <w:rPr/>
          </w:pPr>
          <w:hyperlink w:anchor="__RefHeading___Toc3420224_581953129">
            <w:r>
              <w:rPr>
                <w:webHidden/>
                <w:rStyle w:val="IndexLink"/>
                <w:rtl w:val="true"/>
              </w:rPr>
              <w:t>روش دوم</w:t>
            </w:r>
            <w:r>
              <w:rPr>
                <w:rStyle w:val="IndexLink"/>
                <w:rtl w:val="true"/>
              </w:rPr>
              <w:tab/>
            </w:r>
            <w:r>
              <w:rPr>
                <w:rStyle w:val="IndexLink"/>
              </w:rPr>
              <w:t>286</w:t>
            </w:r>
          </w:hyperlink>
        </w:p>
        <w:p>
          <w:pPr>
            <w:pStyle w:val="Contents6"/>
            <w:tabs>
              <w:tab w:val="clear" w:pos="7609"/>
              <w:tab w:val="right" w:pos="9026" w:leader="dot"/>
            </w:tabs>
            <w:rPr/>
          </w:pPr>
          <w:hyperlink w:anchor="__RefHeading___Toc3420226_581953129">
            <w:r>
              <w:rPr>
                <w:webHidden/>
                <w:rStyle w:val="IndexLink"/>
                <w:rtl w:val="true"/>
              </w:rPr>
              <w:t>روش سوم</w:t>
            </w:r>
            <w:r>
              <w:rPr>
                <w:rStyle w:val="IndexLink"/>
                <w:rtl w:val="true"/>
              </w:rPr>
              <w:tab/>
            </w:r>
            <w:r>
              <w:rPr>
                <w:rStyle w:val="IndexLink"/>
              </w:rPr>
              <w:t>287</w:t>
            </w:r>
          </w:hyperlink>
        </w:p>
        <w:p>
          <w:pPr>
            <w:pStyle w:val="Contents6"/>
            <w:tabs>
              <w:tab w:val="clear" w:pos="7609"/>
              <w:tab w:val="right" w:pos="9026" w:leader="dot"/>
            </w:tabs>
            <w:rPr/>
          </w:pPr>
          <w:hyperlink w:anchor="__RefHeading___Toc3420228_581953129">
            <w:r>
              <w:rPr>
                <w:webHidden/>
                <w:rStyle w:val="IndexLink"/>
                <w:rtl w:val="true"/>
              </w:rPr>
              <w:t>روش چهارم</w:t>
            </w:r>
            <w:r>
              <w:rPr>
                <w:rStyle w:val="IndexLink"/>
                <w:rtl w:val="true"/>
              </w:rPr>
              <w:tab/>
            </w:r>
            <w:r>
              <w:rPr>
                <w:rStyle w:val="IndexLink"/>
              </w:rPr>
              <w:t>287</w:t>
            </w:r>
          </w:hyperlink>
        </w:p>
        <w:p>
          <w:pPr>
            <w:pStyle w:val="Contents6"/>
            <w:tabs>
              <w:tab w:val="clear" w:pos="7609"/>
              <w:tab w:val="right" w:pos="9026" w:leader="dot"/>
            </w:tabs>
            <w:rPr/>
          </w:pPr>
          <w:hyperlink w:anchor="__RefHeading___Toc3420230_581953129">
            <w:r>
              <w:rPr>
                <w:webHidden/>
                <w:rStyle w:val="IndexLink"/>
                <w:rtl w:val="true"/>
              </w:rPr>
              <w:t>دوم</w:t>
            </w:r>
            <w:r>
              <w:rPr>
                <w:rStyle w:val="IndexLink"/>
                <w:rtl w:val="true"/>
              </w:rPr>
              <w:t>)</w:t>
            </w:r>
            <w:r>
              <w:rPr>
                <w:rStyle w:val="IndexLink"/>
                <w:rtl w:val="true"/>
              </w:rPr>
              <w:t>اشکال‌های دلالی</w:t>
            </w:r>
            <w:r>
              <w:rPr>
                <w:rStyle w:val="IndexLink"/>
                <w:rtl w:val="true"/>
              </w:rPr>
              <w:tab/>
            </w:r>
            <w:r>
              <w:rPr>
                <w:rStyle w:val="IndexLink"/>
              </w:rPr>
              <w:t>288</w:t>
            </w:r>
          </w:hyperlink>
        </w:p>
        <w:p>
          <w:pPr>
            <w:pStyle w:val="Contents6"/>
            <w:tabs>
              <w:tab w:val="clear" w:pos="7609"/>
              <w:tab w:val="right" w:pos="9026" w:leader="dot"/>
            </w:tabs>
            <w:rPr/>
          </w:pPr>
          <w:hyperlink w:anchor="__RefHeading___Toc3420232_581953129">
            <w:r>
              <w:rPr>
                <w:webHidden/>
                <w:rStyle w:val="IndexLink"/>
                <w:rtl w:val="true"/>
              </w:rPr>
              <w:t>سوم</w:t>
            </w:r>
            <w:r>
              <w:rPr>
                <w:rStyle w:val="IndexLink"/>
                <w:rtl w:val="true"/>
              </w:rPr>
              <w:t>)</w:t>
            </w:r>
            <w:r>
              <w:rPr>
                <w:rStyle w:val="IndexLink"/>
                <w:rtl w:val="true"/>
              </w:rPr>
              <w:t>عدم ظهور درباره اقامه حدود</w:t>
            </w:r>
            <w:r>
              <w:rPr>
                <w:rStyle w:val="IndexLink"/>
                <w:rtl w:val="true"/>
              </w:rPr>
              <w:tab/>
            </w:r>
            <w:r>
              <w:rPr>
                <w:rStyle w:val="IndexLink"/>
              </w:rPr>
              <w:t>288</w:t>
            </w:r>
          </w:hyperlink>
        </w:p>
        <w:p>
          <w:pPr>
            <w:pStyle w:val="Contents6"/>
            <w:tabs>
              <w:tab w:val="clear" w:pos="7609"/>
              <w:tab w:val="right" w:pos="9026" w:leader="dot"/>
            </w:tabs>
            <w:rPr/>
          </w:pPr>
          <w:hyperlink w:anchor="__RefHeading___Toc3420234_581953129">
            <w:r>
              <w:rPr>
                <w:webHidden/>
                <w:rStyle w:val="IndexLink"/>
                <w:rtl w:val="true"/>
              </w:rPr>
              <w:t>چهارم</w:t>
            </w:r>
            <w:r>
              <w:rPr>
                <w:rStyle w:val="IndexLink"/>
                <w:rtl w:val="true"/>
              </w:rPr>
              <w:t>)</w:t>
            </w:r>
            <w:r>
              <w:rPr>
                <w:rStyle w:val="IndexLink"/>
                <w:rtl w:val="true"/>
              </w:rPr>
              <w:t>عدم کاربرد حکومت به معنای ولایت در زبان عربی</w:t>
            </w:r>
            <w:r>
              <w:rPr>
                <w:rStyle w:val="IndexLink"/>
                <w:rtl w:val="true"/>
              </w:rPr>
              <w:tab/>
            </w:r>
            <w:r>
              <w:rPr>
                <w:rStyle w:val="IndexLink"/>
              </w:rPr>
              <w:t>289</w:t>
            </w:r>
          </w:hyperlink>
        </w:p>
        <w:p>
          <w:pPr>
            <w:pStyle w:val="Contents5"/>
            <w:tabs>
              <w:tab w:val="clear" w:pos="7892"/>
              <w:tab w:val="right" w:pos="9026" w:leader="dot"/>
            </w:tabs>
            <w:rPr/>
          </w:pPr>
          <w:hyperlink w:anchor="__RefHeading___Toc3420236_581953129">
            <w:r>
              <w:rPr>
                <w:webHidden/>
                <w:rStyle w:val="IndexLink"/>
              </w:rPr>
              <w:t>4</w:t>
            </w:r>
            <w:r>
              <w:rPr>
                <w:rStyle w:val="IndexLink"/>
                <w:rtl w:val="true"/>
              </w:rPr>
              <w:t>-</w:t>
            </w:r>
            <w:r>
              <w:rPr>
                <w:rStyle w:val="IndexLink"/>
                <w:rtl w:val="true"/>
              </w:rPr>
              <w:t>معتبره ابی‌خدیجه سالم بن مکرم الجمال</w:t>
            </w:r>
            <w:r>
              <w:rPr>
                <w:rStyle w:val="IndexLink"/>
                <w:rtl w:val="true"/>
              </w:rPr>
              <w:tab/>
            </w:r>
            <w:r>
              <w:rPr>
                <w:rStyle w:val="IndexLink"/>
              </w:rPr>
              <w:t>289</w:t>
            </w:r>
          </w:hyperlink>
        </w:p>
        <w:p>
          <w:pPr>
            <w:pStyle w:val="Contents6"/>
            <w:tabs>
              <w:tab w:val="clear" w:pos="7609"/>
              <w:tab w:val="right" w:pos="9026" w:leader="dot"/>
            </w:tabs>
            <w:rPr/>
          </w:pPr>
          <w:hyperlink w:anchor="__RefHeading___Toc3420238_581953129">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3420240_581953129">
            <w:r>
              <w:rPr>
                <w:webHidden/>
                <w:rStyle w:val="IndexLink"/>
                <w:rtl w:val="true"/>
              </w:rPr>
              <w:t>الف</w:t>
            </w:r>
            <w:r>
              <w:rPr>
                <w:rStyle w:val="IndexLink"/>
                <w:rtl w:val="true"/>
              </w:rPr>
              <w:t>)</w:t>
            </w:r>
            <w:r>
              <w:rPr>
                <w:rStyle w:val="IndexLink"/>
                <w:rtl w:val="true"/>
              </w:rPr>
              <w:t>بررسی سند روایت</w:t>
            </w:r>
            <w:r>
              <w:rPr>
                <w:rStyle w:val="IndexLink"/>
                <w:rtl w:val="true"/>
              </w:rPr>
              <w:tab/>
            </w:r>
            <w:r>
              <w:rPr>
                <w:rStyle w:val="IndexLink"/>
              </w:rPr>
              <w:t>290</w:t>
            </w:r>
          </w:hyperlink>
        </w:p>
        <w:p>
          <w:pPr>
            <w:pStyle w:val="Contents6"/>
            <w:tabs>
              <w:tab w:val="clear" w:pos="7609"/>
              <w:tab w:val="right" w:pos="9026" w:leader="dot"/>
            </w:tabs>
            <w:rPr/>
          </w:pPr>
          <w:hyperlink w:anchor="__RefHeading___Toc3420242_581953129">
            <w:r>
              <w:rPr>
                <w:webHidden/>
                <w:rStyle w:val="IndexLink"/>
                <w:rtl w:val="true"/>
              </w:rPr>
              <w:t>ب</w:t>
            </w:r>
            <w:r>
              <w:rPr>
                <w:rStyle w:val="IndexLink"/>
                <w:rtl w:val="true"/>
              </w:rPr>
              <w:t>)</w:t>
            </w:r>
            <w:r>
              <w:rPr>
                <w:rStyle w:val="IndexLink"/>
                <w:rtl w:val="true"/>
              </w:rPr>
              <w:t>بررسی دلالت روایت</w:t>
            </w:r>
            <w:r>
              <w:rPr>
                <w:rStyle w:val="IndexLink"/>
                <w:rtl w:val="true"/>
              </w:rPr>
              <w:tab/>
            </w:r>
            <w:r>
              <w:rPr>
                <w:rStyle w:val="IndexLink"/>
              </w:rPr>
              <w:t>291</w:t>
            </w:r>
          </w:hyperlink>
        </w:p>
        <w:p>
          <w:pPr>
            <w:pStyle w:val="Contents6"/>
            <w:tabs>
              <w:tab w:val="clear" w:pos="7609"/>
              <w:tab w:val="right" w:pos="9026" w:leader="dot"/>
            </w:tabs>
            <w:rPr/>
          </w:pPr>
          <w:hyperlink w:anchor="__RefHeading___Toc3420244_581953129">
            <w:r>
              <w:rPr>
                <w:webHidden/>
                <w:rStyle w:val="IndexLink"/>
                <w:rtl w:val="true"/>
              </w:rPr>
              <w:t>چگونگی استدلال</w:t>
            </w:r>
            <w:r>
              <w:rPr>
                <w:rStyle w:val="IndexLink"/>
                <w:rtl w:val="true"/>
              </w:rPr>
              <w:tab/>
            </w:r>
            <w:r>
              <w:rPr>
                <w:rStyle w:val="IndexLink"/>
              </w:rPr>
              <w:t>291</w:t>
            </w:r>
          </w:hyperlink>
        </w:p>
        <w:p>
          <w:pPr>
            <w:pStyle w:val="Contents6"/>
            <w:tabs>
              <w:tab w:val="clear" w:pos="7609"/>
              <w:tab w:val="right" w:pos="9026" w:leader="dot"/>
            </w:tabs>
            <w:rPr/>
          </w:pPr>
          <w:hyperlink w:anchor="__RefHeading___Toc3420246_581953129">
            <w:r>
              <w:rPr>
                <w:webHidden/>
                <w:rStyle w:val="IndexLink"/>
                <w:rtl w:val="true"/>
              </w:rPr>
              <w:t>اقامه حدود توسط قضات</w:t>
            </w:r>
            <w:r>
              <w:rPr>
                <w:rStyle w:val="IndexLink"/>
                <w:rtl w:val="true"/>
              </w:rPr>
              <w:tab/>
            </w:r>
            <w:r>
              <w:rPr>
                <w:rStyle w:val="IndexLink"/>
              </w:rPr>
              <w:t>292</w:t>
            </w:r>
          </w:hyperlink>
        </w:p>
        <w:p>
          <w:pPr>
            <w:pStyle w:val="Contents6"/>
            <w:tabs>
              <w:tab w:val="clear" w:pos="7609"/>
              <w:tab w:val="right" w:pos="9026" w:leader="dot"/>
            </w:tabs>
            <w:rPr/>
          </w:pPr>
          <w:hyperlink w:anchor="__RefHeading___Toc3420248_581953129">
            <w:r>
              <w:rPr>
                <w:webHidden/>
                <w:rStyle w:val="IndexLink"/>
                <w:rtl w:val="true"/>
              </w:rPr>
              <w:t>روایت</w:t>
            </w:r>
            <w:r>
              <w:rPr>
                <w:rStyle w:val="IndexLink"/>
                <w:rtl w:val="true"/>
              </w:rPr>
              <w:t>«</w:t>
            </w:r>
            <w:r>
              <w:rPr>
                <w:rStyle w:val="IndexLink"/>
                <w:rtl w:val="true"/>
              </w:rPr>
              <w:t>ابی‌عقبة</w:t>
            </w:r>
            <w:r>
              <w:rPr>
                <w:rStyle w:val="IndexLink"/>
                <w:rtl w:val="true"/>
              </w:rPr>
              <w:t>»</w:t>
              <w:tab/>
            </w:r>
            <w:r>
              <w:rPr>
                <w:rStyle w:val="IndexLink"/>
              </w:rPr>
              <w:t>292</w:t>
            </w:r>
          </w:hyperlink>
        </w:p>
        <w:p>
          <w:pPr>
            <w:pStyle w:val="Contents6"/>
            <w:tabs>
              <w:tab w:val="clear" w:pos="7609"/>
              <w:tab w:val="right" w:pos="9026" w:leader="dot"/>
            </w:tabs>
            <w:rPr/>
          </w:pPr>
          <w:hyperlink w:anchor="__RefHeading___Toc3420250_581953129">
            <w:r>
              <w:rPr>
                <w:webHidden/>
                <w:rStyle w:val="IndexLink"/>
                <w:rtl w:val="true"/>
              </w:rPr>
              <w:t>موثّقه ابی‌مریم</w:t>
            </w:r>
            <w:r>
              <w:rPr>
                <w:rStyle w:val="IndexLink"/>
                <w:rtl w:val="true"/>
              </w:rPr>
              <w:tab/>
            </w:r>
            <w:r>
              <w:rPr>
                <w:rStyle w:val="IndexLink"/>
              </w:rPr>
              <w:t>293</w:t>
            </w:r>
          </w:hyperlink>
        </w:p>
        <w:p>
          <w:pPr>
            <w:pStyle w:val="Contents6"/>
            <w:tabs>
              <w:tab w:val="clear" w:pos="7609"/>
              <w:tab w:val="right" w:pos="9026" w:leader="dot"/>
            </w:tabs>
            <w:rPr/>
          </w:pPr>
          <w:hyperlink w:anchor="__RefHeading___Toc3420252_581953129">
            <w:r>
              <w:rPr>
                <w:webHidden/>
                <w:rStyle w:val="IndexLink"/>
                <w:rtl w:val="true"/>
              </w:rPr>
              <w:t>اشکال یکم</w:t>
            </w:r>
            <w:r>
              <w:rPr>
                <w:rStyle w:val="IndexLink"/>
                <w:rtl w:val="true"/>
              </w:rPr>
              <w:t>:</w:t>
            </w:r>
            <w:r>
              <w:rPr>
                <w:rStyle w:val="IndexLink"/>
                <w:rtl w:val="true"/>
              </w:rPr>
              <w:t>اختصاص روایت به باب قضا</w:t>
            </w:r>
            <w:r>
              <w:rPr>
                <w:rStyle w:val="IndexLink"/>
                <w:rtl w:val="true"/>
              </w:rPr>
              <w:tab/>
            </w:r>
            <w:r>
              <w:rPr>
                <w:rStyle w:val="IndexLink"/>
              </w:rPr>
              <w:t>295</w:t>
            </w:r>
          </w:hyperlink>
        </w:p>
        <w:p>
          <w:pPr>
            <w:pStyle w:val="Contents6"/>
            <w:tabs>
              <w:tab w:val="clear" w:pos="7609"/>
              <w:tab w:val="right" w:pos="9026" w:leader="dot"/>
            </w:tabs>
            <w:rPr/>
          </w:pPr>
          <w:hyperlink w:anchor="__RefHeading___Toc3420254_581953129">
            <w:r>
              <w:rPr>
                <w:webHidden/>
                <w:rStyle w:val="IndexLink"/>
                <w:rtl w:val="true"/>
              </w:rPr>
              <w:t>اشکال دوم</w:t>
            </w:r>
            <w:r>
              <w:rPr>
                <w:rStyle w:val="IndexLink"/>
                <w:rtl w:val="true"/>
              </w:rPr>
              <w:t>:</w:t>
            </w:r>
            <w:r>
              <w:rPr>
                <w:rStyle w:val="IndexLink"/>
                <w:rtl w:val="true"/>
              </w:rPr>
              <w:t>اختصاص به قاضی تحکیم</w:t>
            </w:r>
            <w:r>
              <w:rPr>
                <w:rStyle w:val="IndexLink"/>
                <w:rtl w:val="true"/>
              </w:rPr>
              <w:tab/>
            </w:r>
            <w:r>
              <w:rPr>
                <w:rStyle w:val="IndexLink"/>
              </w:rPr>
              <w:t>295</w:t>
            </w:r>
          </w:hyperlink>
        </w:p>
        <w:p>
          <w:pPr>
            <w:pStyle w:val="Contents6"/>
            <w:tabs>
              <w:tab w:val="clear" w:pos="7609"/>
              <w:tab w:val="right" w:pos="9026" w:leader="dot"/>
            </w:tabs>
            <w:rPr/>
          </w:pPr>
          <w:hyperlink w:anchor="__RefHeading___Toc3420256_581953129">
            <w:r>
              <w:rPr>
                <w:webHidden/>
                <w:rStyle w:val="IndexLink"/>
                <w:rtl w:val="true"/>
              </w:rPr>
              <w:t>اشکال سوم</w:t>
            </w:r>
            <w:r>
              <w:rPr>
                <w:rStyle w:val="IndexLink"/>
                <w:rtl w:val="true"/>
              </w:rPr>
              <w:t>.</w:t>
            </w:r>
            <w:r>
              <w:rPr>
                <w:rStyle w:val="IndexLink"/>
                <w:rtl w:val="true"/>
              </w:rPr>
              <w:t>ثبوت ولایت برای مجتهد متجزی</w:t>
            </w:r>
            <w:r>
              <w:rPr>
                <w:rStyle w:val="IndexLink"/>
                <w:rtl w:val="true"/>
              </w:rPr>
              <w:tab/>
            </w:r>
            <w:r>
              <w:rPr>
                <w:rStyle w:val="IndexLink"/>
              </w:rPr>
              <w:t>296</w:t>
            </w:r>
          </w:hyperlink>
        </w:p>
        <w:p>
          <w:pPr>
            <w:pStyle w:val="Contents5"/>
            <w:tabs>
              <w:tab w:val="clear" w:pos="7892"/>
              <w:tab w:val="right" w:pos="9026" w:leader="dot"/>
            </w:tabs>
            <w:rPr/>
          </w:pPr>
          <w:hyperlink w:anchor="__RefHeading___Toc3420258_581953129">
            <w:r>
              <w:rPr>
                <w:webHidden/>
                <w:rStyle w:val="IndexLink"/>
              </w:rPr>
              <w:t>5</w:t>
            </w:r>
            <w:r>
              <w:rPr>
                <w:rStyle w:val="IndexLink"/>
                <w:rtl w:val="true"/>
              </w:rPr>
              <w:t>-</w:t>
            </w:r>
            <w:r>
              <w:rPr>
                <w:rStyle w:val="IndexLink"/>
                <w:rtl w:val="true"/>
              </w:rPr>
              <w:t>توقیع شریف حضرت صاحب الزمان عجّل الله تعالی فرجه الشریف به اسحاق بن یعقوب</w:t>
            </w:r>
            <w:r>
              <w:rPr>
                <w:rStyle w:val="IndexLink"/>
                <w:rtl w:val="true"/>
              </w:rPr>
              <w:tab/>
            </w:r>
            <w:r>
              <w:rPr>
                <w:rStyle w:val="IndexLink"/>
              </w:rPr>
              <w:t>297</w:t>
            </w:r>
          </w:hyperlink>
        </w:p>
        <w:p>
          <w:pPr>
            <w:pStyle w:val="Contents6"/>
            <w:tabs>
              <w:tab w:val="clear" w:pos="7609"/>
              <w:tab w:val="right" w:pos="9026" w:leader="dot"/>
            </w:tabs>
            <w:rPr/>
          </w:pPr>
          <w:hyperlink w:anchor="__RefHeading___Toc3420260_581953129">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3420262_581953129">
            <w:r>
              <w:rPr>
                <w:webHidden/>
                <w:rStyle w:val="IndexLink"/>
                <w:rtl w:val="true"/>
              </w:rPr>
              <w:t>یکم</w:t>
            </w:r>
            <w:r>
              <w:rPr>
                <w:rStyle w:val="IndexLink"/>
                <w:rtl w:val="true"/>
              </w:rPr>
              <w:t>.</w:t>
            </w:r>
            <w:r>
              <w:rPr>
                <w:rStyle w:val="IndexLink"/>
                <w:rtl w:val="true"/>
              </w:rPr>
              <w:t>بررسی سند توقیع شریف</w:t>
            </w:r>
            <w:r>
              <w:rPr>
                <w:rStyle w:val="IndexLink"/>
                <w:rtl w:val="true"/>
              </w:rPr>
              <w:tab/>
            </w:r>
            <w:r>
              <w:rPr>
                <w:rStyle w:val="IndexLink"/>
              </w:rPr>
              <w:t>298</w:t>
            </w:r>
          </w:hyperlink>
        </w:p>
        <w:p>
          <w:pPr>
            <w:pStyle w:val="Contents6"/>
            <w:tabs>
              <w:tab w:val="clear" w:pos="7609"/>
              <w:tab w:val="right" w:pos="9026" w:leader="dot"/>
            </w:tabs>
            <w:rPr/>
          </w:pPr>
          <w:hyperlink w:anchor="__RefHeading___Toc3420264_581953129">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3420266_581953129">
            <w:r>
              <w:rPr>
                <w:webHidden/>
                <w:rStyle w:val="IndexLink"/>
                <w:rtl w:val="true"/>
              </w:rPr>
              <w:t>مجهول بودن اسحاق بن یعقوب</w:t>
            </w:r>
            <w:r>
              <w:rPr>
                <w:rStyle w:val="IndexLink"/>
                <w:rtl w:val="true"/>
              </w:rPr>
              <w:tab/>
            </w:r>
            <w:r>
              <w:rPr>
                <w:rStyle w:val="IndexLink"/>
              </w:rPr>
              <w:t>299</w:t>
            </w:r>
          </w:hyperlink>
        </w:p>
        <w:p>
          <w:pPr>
            <w:pStyle w:val="Contents6"/>
            <w:tabs>
              <w:tab w:val="clear" w:pos="7609"/>
              <w:tab w:val="right" w:pos="9026" w:leader="dot"/>
            </w:tabs>
            <w:rPr/>
          </w:pPr>
          <w:hyperlink w:anchor="__RefHeading___Toc3420268_581953129">
            <w:r>
              <w:rPr>
                <w:webHidden/>
                <w:rStyle w:val="IndexLink"/>
                <w:rtl w:val="true"/>
              </w:rPr>
              <w:t>عدم اعتماد کافی</w:t>
            </w:r>
            <w:r>
              <w:rPr>
                <w:rStyle w:val="IndexLink"/>
                <w:rtl w:val="true"/>
              </w:rPr>
              <w:tab/>
            </w:r>
            <w:r>
              <w:rPr>
                <w:rStyle w:val="IndexLink"/>
              </w:rPr>
              <w:t>301</w:t>
            </w:r>
          </w:hyperlink>
        </w:p>
        <w:p>
          <w:pPr>
            <w:pStyle w:val="Contents6"/>
            <w:tabs>
              <w:tab w:val="clear" w:pos="7609"/>
              <w:tab w:val="right" w:pos="9026" w:leader="dot"/>
            </w:tabs>
            <w:rPr/>
          </w:pPr>
          <w:hyperlink w:anchor="__RefHeading___Toc3420270_581953129">
            <w:r>
              <w:rPr>
                <w:webHidden/>
                <w:rStyle w:val="IndexLink"/>
                <w:rtl w:val="true"/>
              </w:rPr>
              <w:t>دوم</w:t>
            </w:r>
            <w:r>
              <w:rPr>
                <w:rStyle w:val="IndexLink"/>
                <w:rtl w:val="true"/>
              </w:rPr>
              <w:t>.</w:t>
            </w:r>
            <w:r>
              <w:rPr>
                <w:rStyle w:val="IndexLink"/>
                <w:rtl w:val="true"/>
              </w:rPr>
              <w:t>بررسی دلالت توقیع</w:t>
            </w:r>
            <w:r>
              <w:rPr>
                <w:rStyle w:val="IndexLink"/>
                <w:rtl w:val="true"/>
              </w:rPr>
              <w:tab/>
            </w:r>
            <w:r>
              <w:rPr>
                <w:rStyle w:val="IndexLink"/>
              </w:rPr>
              <w:t>302</w:t>
            </w:r>
          </w:hyperlink>
        </w:p>
        <w:p>
          <w:pPr>
            <w:pStyle w:val="Contents6"/>
            <w:tabs>
              <w:tab w:val="clear" w:pos="7609"/>
              <w:tab w:val="right" w:pos="9026" w:leader="dot"/>
            </w:tabs>
            <w:rPr/>
          </w:pPr>
          <w:hyperlink w:anchor="__RefHeading___Toc3420272_581953129">
            <w:r>
              <w:rPr>
                <w:webHidden/>
                <w:rStyle w:val="IndexLink"/>
                <w:rtl w:val="true"/>
              </w:rPr>
              <w:t>چگونگی استدلال</w:t>
            </w:r>
            <w:r>
              <w:rPr>
                <w:rStyle w:val="IndexLink"/>
                <w:rtl w:val="true"/>
              </w:rPr>
              <w:tab/>
            </w:r>
            <w:r>
              <w:rPr>
                <w:rStyle w:val="IndexLink"/>
              </w:rPr>
              <w:t>302</w:t>
            </w:r>
          </w:hyperlink>
        </w:p>
        <w:p>
          <w:pPr>
            <w:pStyle w:val="Contents6"/>
            <w:tabs>
              <w:tab w:val="clear" w:pos="7609"/>
              <w:tab w:val="right" w:pos="9026" w:leader="dot"/>
            </w:tabs>
            <w:rPr/>
          </w:pPr>
          <w:hyperlink w:anchor="__RefHeading___Toc3420274_581953129">
            <w:r>
              <w:rPr>
                <w:webHidden/>
                <w:rStyle w:val="IndexLink"/>
                <w:rtl w:val="true"/>
              </w:rPr>
              <w:t>اشکال یکم</w:t>
            </w:r>
            <w:r>
              <w:rPr>
                <w:rStyle w:val="IndexLink"/>
                <w:rtl w:val="true"/>
              </w:rPr>
              <w:t>:</w:t>
            </w:r>
            <w:r>
              <w:rPr>
                <w:rStyle w:val="IndexLink"/>
                <w:rtl w:val="true"/>
              </w:rPr>
              <w:t>اختصاص به احکام شرعیه</w:t>
            </w:r>
            <w:r>
              <w:rPr>
                <w:rStyle w:val="IndexLink"/>
                <w:rtl w:val="true"/>
              </w:rPr>
              <w:tab/>
            </w:r>
            <w:r>
              <w:rPr>
                <w:rStyle w:val="IndexLink"/>
              </w:rPr>
              <w:t>303</w:t>
            </w:r>
          </w:hyperlink>
        </w:p>
        <w:p>
          <w:pPr>
            <w:pStyle w:val="Contents6"/>
            <w:tabs>
              <w:tab w:val="clear" w:pos="7609"/>
              <w:tab w:val="right" w:pos="9026" w:leader="dot"/>
            </w:tabs>
            <w:rPr/>
          </w:pPr>
          <w:hyperlink w:anchor="__RefHeading___Toc3420276_581953129">
            <w:r>
              <w:rPr>
                <w:webHidden/>
                <w:rStyle w:val="IndexLink"/>
                <w:rtl w:val="true"/>
              </w:rPr>
              <w:t>اشکال دوم</w:t>
            </w:r>
            <w:r>
              <w:rPr>
                <w:rStyle w:val="IndexLink"/>
                <w:rtl w:val="true"/>
              </w:rPr>
              <w:t>:</w:t>
            </w:r>
            <w:r>
              <w:rPr>
                <w:rStyle w:val="IndexLink"/>
                <w:rtl w:val="true"/>
              </w:rPr>
              <w:t>اضطراب متن</w:t>
            </w:r>
            <w:r>
              <w:rPr>
                <w:rStyle w:val="IndexLink"/>
                <w:rtl w:val="true"/>
              </w:rPr>
              <w:tab/>
            </w:r>
            <w:r>
              <w:rPr>
                <w:rStyle w:val="IndexLink"/>
              </w:rPr>
              <w:t>305</w:t>
            </w:r>
          </w:hyperlink>
        </w:p>
        <w:p>
          <w:pPr>
            <w:pStyle w:val="Contents6"/>
            <w:tabs>
              <w:tab w:val="clear" w:pos="7609"/>
              <w:tab w:val="right" w:pos="9026" w:leader="dot"/>
            </w:tabs>
            <w:rPr/>
          </w:pPr>
          <w:hyperlink w:anchor="__RefHeading___Toc3420278_581953129">
            <w:r>
              <w:rPr>
                <w:webHidden/>
                <w:rStyle w:val="IndexLink"/>
                <w:rtl w:val="true"/>
              </w:rPr>
              <w:t>اشکال سوم</w:t>
            </w:r>
            <w:r>
              <w:rPr>
                <w:rStyle w:val="IndexLink"/>
                <w:rtl w:val="true"/>
              </w:rPr>
              <w:t>:</w:t>
            </w:r>
            <w:r>
              <w:rPr>
                <w:rStyle w:val="IndexLink"/>
                <w:rtl w:val="true"/>
              </w:rPr>
              <w:t>عدم اختصاص راویان احادیث به فقها</w:t>
            </w:r>
            <w:r>
              <w:rPr>
                <w:rStyle w:val="IndexLink"/>
                <w:rtl w:val="true"/>
              </w:rPr>
              <w:tab/>
            </w:r>
            <w:r>
              <w:rPr>
                <w:rStyle w:val="IndexLink"/>
              </w:rPr>
              <w:t>305</w:t>
            </w:r>
          </w:hyperlink>
        </w:p>
        <w:p>
          <w:pPr>
            <w:pStyle w:val="Contents6"/>
            <w:tabs>
              <w:tab w:val="clear" w:pos="7609"/>
              <w:tab w:val="right" w:pos="9026" w:leader="dot"/>
            </w:tabs>
            <w:rPr/>
          </w:pPr>
          <w:hyperlink w:anchor="__RefHeading___Toc3420280_581953129">
            <w:r>
              <w:rPr>
                <w:webHidden/>
                <w:rStyle w:val="IndexLink"/>
                <w:rtl w:val="true"/>
              </w:rPr>
              <w:t>اشکال چهارم</w:t>
            </w:r>
            <w:r>
              <w:rPr>
                <w:rStyle w:val="IndexLink"/>
                <w:rtl w:val="true"/>
              </w:rPr>
              <w:t>:</w:t>
            </w:r>
            <w:r>
              <w:rPr>
                <w:rStyle w:val="IndexLink"/>
                <w:rtl w:val="true"/>
              </w:rPr>
              <w:t>اختصاص توقیع به امور تبلیغ دین</w:t>
            </w:r>
            <w:r>
              <w:rPr>
                <w:rStyle w:val="IndexLink"/>
                <w:rtl w:val="true"/>
              </w:rPr>
              <w:tab/>
            </w:r>
            <w:r>
              <w:rPr>
                <w:rStyle w:val="IndexLink"/>
              </w:rPr>
              <w:t>307</w:t>
            </w:r>
          </w:hyperlink>
        </w:p>
        <w:p>
          <w:pPr>
            <w:pStyle w:val="Contents6"/>
            <w:tabs>
              <w:tab w:val="clear" w:pos="7609"/>
              <w:tab w:val="right" w:pos="9026" w:leader="dot"/>
            </w:tabs>
            <w:rPr/>
          </w:pPr>
          <w:hyperlink w:anchor="__RefHeading___Toc3420282_581953129">
            <w:r>
              <w:rPr>
                <w:webHidden/>
                <w:rStyle w:val="IndexLink"/>
                <w:rtl w:val="true"/>
              </w:rPr>
              <w:t>اشکال ششم</w:t>
            </w:r>
            <w:r>
              <w:rPr>
                <w:rStyle w:val="IndexLink"/>
                <w:rtl w:val="true"/>
              </w:rPr>
              <w:t>:</w:t>
            </w:r>
            <w:r>
              <w:rPr>
                <w:rStyle w:val="IndexLink"/>
                <w:rtl w:val="true"/>
              </w:rPr>
              <w:t>عدم دلالت بر نصب</w:t>
            </w:r>
            <w:r>
              <w:rPr>
                <w:rStyle w:val="IndexLink"/>
                <w:rtl w:val="true"/>
              </w:rPr>
              <w:tab/>
            </w:r>
            <w:r>
              <w:rPr>
                <w:rStyle w:val="IndexLink"/>
              </w:rPr>
              <w:t>308</w:t>
            </w:r>
          </w:hyperlink>
        </w:p>
        <w:p>
          <w:pPr>
            <w:pStyle w:val="Contents5"/>
            <w:tabs>
              <w:tab w:val="clear" w:pos="7892"/>
              <w:tab w:val="right" w:pos="9026" w:leader="dot"/>
            </w:tabs>
            <w:rPr/>
          </w:pPr>
          <w:hyperlink w:anchor="__RefHeading___Toc3420284_581953129">
            <w:r>
              <w:rPr>
                <w:webHidden/>
                <w:rStyle w:val="IndexLink"/>
              </w:rPr>
              <w:t>6</w:t>
            </w:r>
            <w:r>
              <w:rPr>
                <w:rStyle w:val="IndexLink"/>
                <w:rtl w:val="true"/>
              </w:rPr>
              <w:t>-</w:t>
            </w:r>
            <w:r>
              <w:rPr>
                <w:rStyle w:val="IndexLink"/>
                <w:rtl w:val="true"/>
              </w:rPr>
              <w:t>دیگر روایات</w:t>
            </w:r>
            <w:r>
              <w:rPr>
                <w:rStyle w:val="IndexLink"/>
                <w:rtl w:val="true"/>
              </w:rPr>
              <w:tab/>
            </w:r>
            <w:r>
              <w:rPr>
                <w:rStyle w:val="IndexLink"/>
              </w:rPr>
              <w:t>308</w:t>
            </w:r>
          </w:hyperlink>
        </w:p>
        <w:p>
          <w:pPr>
            <w:pStyle w:val="Contents6"/>
            <w:tabs>
              <w:tab w:val="clear" w:pos="7609"/>
              <w:tab w:val="right" w:pos="9026" w:leader="dot"/>
            </w:tabs>
            <w:rPr/>
          </w:pPr>
          <w:hyperlink w:anchor="__RefHeading___Toc3420286_581953129">
            <w:r>
              <w:rPr>
                <w:webHidden/>
                <w:rStyle w:val="IndexLink"/>
                <w:rtl w:val="true"/>
              </w:rPr>
              <w:t>الف</w:t>
            </w:r>
            <w:r>
              <w:rPr>
                <w:rStyle w:val="IndexLink"/>
                <w:rtl w:val="true"/>
              </w:rPr>
              <w:t>)</w:t>
            </w:r>
            <w:r>
              <w:rPr>
                <w:rStyle w:val="IndexLink"/>
                <w:rtl w:val="true"/>
              </w:rPr>
              <w:t>روایات منع از تعطیل حدود</w:t>
            </w:r>
            <w:r>
              <w:rPr>
                <w:rStyle w:val="IndexLink"/>
                <w:rtl w:val="true"/>
              </w:rPr>
              <w:tab/>
            </w:r>
            <w:r>
              <w:rPr>
                <w:rStyle w:val="IndexLink"/>
              </w:rPr>
              <w:t>308</w:t>
            </w:r>
          </w:hyperlink>
        </w:p>
        <w:p>
          <w:pPr>
            <w:pStyle w:val="Contents6"/>
            <w:tabs>
              <w:tab w:val="clear" w:pos="7609"/>
              <w:tab w:val="right" w:pos="9026" w:leader="dot"/>
            </w:tabs>
            <w:rPr/>
          </w:pPr>
          <w:hyperlink w:anchor="__RefHeading___Toc3420288_581953129">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3420290_581953129">
            <w:r>
              <w:rPr>
                <w:webHidden/>
                <w:rStyle w:val="IndexLink"/>
                <w:rtl w:val="true"/>
              </w:rPr>
              <w:t>سند روایات</w:t>
            </w:r>
            <w:r>
              <w:rPr>
                <w:rStyle w:val="IndexLink"/>
                <w:rtl w:val="true"/>
              </w:rPr>
              <w:tab/>
            </w:r>
            <w:r>
              <w:rPr>
                <w:rStyle w:val="IndexLink"/>
              </w:rPr>
              <w:t>309</w:t>
            </w:r>
          </w:hyperlink>
        </w:p>
        <w:p>
          <w:pPr>
            <w:pStyle w:val="Contents6"/>
            <w:tabs>
              <w:tab w:val="clear" w:pos="7609"/>
              <w:tab w:val="right" w:pos="9026" w:leader="dot"/>
            </w:tabs>
            <w:rPr/>
          </w:pPr>
          <w:hyperlink w:anchor="__RefHeading___Toc3420292_581953129">
            <w:r>
              <w:rPr>
                <w:webHidden/>
                <w:rStyle w:val="IndexLink"/>
                <w:rtl w:val="true"/>
              </w:rPr>
              <w:t>چگونگی استدلال</w:t>
            </w:r>
            <w:r>
              <w:rPr>
                <w:rStyle w:val="IndexLink"/>
                <w:rtl w:val="true"/>
              </w:rPr>
              <w:tab/>
            </w:r>
            <w:r>
              <w:rPr>
                <w:rStyle w:val="IndexLink"/>
              </w:rPr>
              <w:t>311</w:t>
            </w:r>
          </w:hyperlink>
        </w:p>
        <w:p>
          <w:pPr>
            <w:pStyle w:val="Contents6"/>
            <w:tabs>
              <w:tab w:val="clear" w:pos="7609"/>
              <w:tab w:val="right" w:pos="9026" w:leader="dot"/>
            </w:tabs>
            <w:rPr/>
          </w:pPr>
          <w:hyperlink w:anchor="__RefHeading___Toc3420294_581953129">
            <w:r>
              <w:rPr>
                <w:webHidden/>
                <w:rStyle w:val="IndexLink"/>
                <w:rtl w:val="true"/>
              </w:rPr>
              <w:t>نقد و بررسی</w:t>
            </w:r>
            <w:r>
              <w:rPr>
                <w:rStyle w:val="IndexLink"/>
                <w:rtl w:val="true"/>
              </w:rPr>
              <w:tab/>
            </w:r>
            <w:r>
              <w:rPr>
                <w:rStyle w:val="IndexLink"/>
              </w:rPr>
              <w:t>311</w:t>
            </w:r>
          </w:hyperlink>
        </w:p>
        <w:p>
          <w:pPr>
            <w:pStyle w:val="Contents6"/>
            <w:tabs>
              <w:tab w:val="clear" w:pos="7609"/>
              <w:tab w:val="right" w:pos="9026" w:leader="dot"/>
            </w:tabs>
            <w:rPr/>
          </w:pPr>
          <w:hyperlink w:anchor="__RefHeading___Toc3420296_581953129">
            <w:r>
              <w:rPr>
                <w:webHidden/>
                <w:rStyle w:val="IndexLink"/>
                <w:rtl w:val="true"/>
              </w:rPr>
              <w:t>ب</w:t>
            </w:r>
            <w:r>
              <w:rPr>
                <w:rStyle w:val="IndexLink"/>
                <w:rtl w:val="true"/>
              </w:rPr>
              <w:t>)</w:t>
            </w:r>
            <w:r>
              <w:rPr>
                <w:rStyle w:val="IndexLink"/>
                <w:rtl w:val="true"/>
              </w:rPr>
              <w:t>روایات اهمیت اجرای حدود</w:t>
            </w:r>
            <w:r>
              <w:rPr>
                <w:rStyle w:val="IndexLink"/>
                <w:rtl w:val="true"/>
              </w:rPr>
              <w:tab/>
            </w:r>
            <w:r>
              <w:rPr>
                <w:rStyle w:val="IndexLink"/>
              </w:rPr>
              <w:t>311</w:t>
            </w:r>
          </w:hyperlink>
        </w:p>
        <w:p>
          <w:pPr>
            <w:pStyle w:val="Contents6"/>
            <w:tabs>
              <w:tab w:val="clear" w:pos="7609"/>
              <w:tab w:val="right" w:pos="9026" w:leader="dot"/>
            </w:tabs>
            <w:rPr/>
          </w:pPr>
          <w:hyperlink w:anchor="__RefHeading___Toc3420298_581953129">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3420300_581953129">
            <w:r>
              <w:rPr>
                <w:webHidden/>
                <w:rStyle w:val="IndexLink"/>
                <w:rtl w:val="true"/>
              </w:rPr>
              <w:t>چگونگی استدلال</w:t>
            </w:r>
            <w:r>
              <w:rPr>
                <w:rStyle w:val="IndexLink"/>
                <w:rtl w:val="true"/>
              </w:rPr>
              <w:tab/>
            </w:r>
            <w:r>
              <w:rPr>
                <w:rStyle w:val="IndexLink"/>
              </w:rPr>
              <w:t>312</w:t>
            </w:r>
          </w:hyperlink>
        </w:p>
        <w:p>
          <w:pPr>
            <w:pStyle w:val="Contents6"/>
            <w:tabs>
              <w:tab w:val="clear" w:pos="7609"/>
              <w:tab w:val="right" w:pos="9026" w:leader="dot"/>
            </w:tabs>
            <w:rPr/>
          </w:pPr>
          <w:hyperlink w:anchor="__RefHeading___Toc3420302_581953129">
            <w:r>
              <w:rPr>
                <w:webHidden/>
                <w:rStyle w:val="IndexLink"/>
                <w:rtl w:val="true"/>
              </w:rPr>
              <w:t>نقد و بررسی</w:t>
            </w:r>
            <w:r>
              <w:rPr>
                <w:rStyle w:val="IndexLink"/>
                <w:rtl w:val="true"/>
              </w:rPr>
              <w:tab/>
            </w:r>
            <w:r>
              <w:rPr>
                <w:rStyle w:val="IndexLink"/>
              </w:rPr>
              <w:t>312</w:t>
            </w:r>
          </w:hyperlink>
        </w:p>
        <w:p>
          <w:pPr>
            <w:pStyle w:val="Contents6"/>
            <w:tabs>
              <w:tab w:val="clear" w:pos="7609"/>
              <w:tab w:val="right" w:pos="9026" w:leader="dot"/>
            </w:tabs>
            <w:rPr/>
          </w:pPr>
          <w:hyperlink w:anchor="__RefHeading___Toc3420304_581953129">
            <w:r>
              <w:rPr>
                <w:webHidden/>
                <w:rStyle w:val="IndexLink"/>
                <w:rtl w:val="true"/>
              </w:rPr>
              <w:t>ج</w:t>
            </w:r>
            <w:r>
              <w:rPr>
                <w:rStyle w:val="IndexLink"/>
                <w:rtl w:val="true"/>
              </w:rPr>
              <w:t>)</w:t>
            </w:r>
            <w:r>
              <w:rPr>
                <w:rStyle w:val="IndexLink"/>
                <w:rtl w:val="true"/>
              </w:rPr>
              <w:t>روایت ابی‌عبیده</w:t>
            </w:r>
            <w:r>
              <w:rPr>
                <w:rStyle w:val="IndexLink"/>
                <w:rtl w:val="true"/>
              </w:rPr>
              <w:tab/>
            </w:r>
            <w:r>
              <w:rPr>
                <w:rStyle w:val="IndexLink"/>
              </w:rPr>
              <w:t>312</w:t>
            </w:r>
          </w:hyperlink>
        </w:p>
        <w:p>
          <w:pPr>
            <w:pStyle w:val="Contents6"/>
            <w:tabs>
              <w:tab w:val="clear" w:pos="7609"/>
              <w:tab w:val="right" w:pos="9026" w:leader="dot"/>
            </w:tabs>
            <w:rPr/>
          </w:pPr>
          <w:hyperlink w:anchor="__RefHeading___Toc3420306_581953129">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3420308_581953129">
            <w:r>
              <w:rPr>
                <w:webHidden/>
                <w:rStyle w:val="IndexLink"/>
                <w:rtl w:val="true"/>
              </w:rPr>
              <w:t>چگونگی استدلال</w:t>
            </w:r>
            <w:r>
              <w:rPr>
                <w:rStyle w:val="IndexLink"/>
                <w:rtl w:val="true"/>
              </w:rPr>
              <w:tab/>
            </w:r>
            <w:r>
              <w:rPr>
                <w:rStyle w:val="IndexLink"/>
              </w:rPr>
              <w:t>313</w:t>
            </w:r>
          </w:hyperlink>
        </w:p>
        <w:p>
          <w:pPr>
            <w:pStyle w:val="Contents6"/>
            <w:tabs>
              <w:tab w:val="clear" w:pos="7609"/>
              <w:tab w:val="right" w:pos="9026" w:leader="dot"/>
            </w:tabs>
            <w:rPr/>
          </w:pPr>
          <w:hyperlink w:anchor="__RefHeading___Toc3420310_581953129">
            <w:r>
              <w:rPr>
                <w:webHidden/>
                <w:rStyle w:val="IndexLink"/>
                <w:rtl w:val="true"/>
              </w:rPr>
              <w:t>نقد و بررسی</w:t>
            </w:r>
            <w:r>
              <w:rPr>
                <w:rStyle w:val="IndexLink"/>
                <w:rtl w:val="true"/>
              </w:rPr>
              <w:tab/>
            </w:r>
            <w:r>
              <w:rPr>
                <w:rStyle w:val="IndexLink"/>
              </w:rPr>
              <w:t>313</w:t>
            </w:r>
          </w:hyperlink>
        </w:p>
        <w:p>
          <w:pPr>
            <w:pStyle w:val="Contents6"/>
            <w:tabs>
              <w:tab w:val="clear" w:pos="7609"/>
              <w:tab w:val="right" w:pos="9026" w:leader="dot"/>
            </w:tabs>
            <w:rPr/>
          </w:pPr>
          <w:hyperlink w:anchor="__RefHeading___Toc3420312_581953129">
            <w:r>
              <w:rPr>
                <w:webHidden/>
                <w:rStyle w:val="IndexLink"/>
                <w:rtl w:val="true"/>
              </w:rPr>
              <w:t>د</w:t>
            </w:r>
            <w:r>
              <w:rPr>
                <w:rStyle w:val="IndexLink"/>
                <w:rtl w:val="true"/>
              </w:rPr>
              <w:t>)</w:t>
            </w:r>
            <w:r>
              <w:rPr>
                <w:rStyle w:val="IndexLink"/>
                <w:rtl w:val="true"/>
              </w:rPr>
              <w:t>نبوی مشهور</w:t>
            </w:r>
            <w:r>
              <w:rPr>
                <w:rStyle w:val="IndexLink"/>
                <w:rtl w:val="true"/>
              </w:rPr>
              <w:t>:«</w:t>
            </w:r>
            <w:r>
              <w:rPr>
                <w:rStyle w:val="IndexLink"/>
                <w:rtl w:val="true"/>
              </w:rPr>
              <w:t>علماء امتی کانبیاء بنی اسرائیل</w:t>
            </w:r>
            <w:r>
              <w:rPr>
                <w:rStyle w:val="IndexLink"/>
                <w:rtl w:val="true"/>
              </w:rPr>
              <w:t>»</w:t>
              <w:tab/>
            </w:r>
            <w:r>
              <w:rPr>
                <w:rStyle w:val="IndexLink"/>
              </w:rPr>
              <w:t>314</w:t>
            </w:r>
          </w:hyperlink>
        </w:p>
        <w:p>
          <w:pPr>
            <w:pStyle w:val="Contents6"/>
            <w:tabs>
              <w:tab w:val="clear" w:pos="7609"/>
              <w:tab w:val="right" w:pos="9026" w:leader="dot"/>
            </w:tabs>
            <w:rPr/>
          </w:pPr>
          <w:hyperlink w:anchor="__RefHeading___Toc3420314_581953129">
            <w:r>
              <w:rPr>
                <w:webHidden/>
                <w:rStyle w:val="IndexLink"/>
                <w:rtl w:val="true"/>
              </w:rPr>
              <w:t>ه</w:t>
            </w:r>
            <w:r>
              <w:rPr>
                <w:rStyle w:val="IndexLink"/>
                <w:rtl w:val="true"/>
              </w:rPr>
              <w:t>)</w:t>
            </w:r>
            <w:r>
              <w:rPr>
                <w:rStyle w:val="IndexLink"/>
                <w:rtl w:val="true"/>
              </w:rPr>
              <w:t>حدیث اللهم ارحم خلفائی</w:t>
            </w:r>
            <w:r>
              <w:rPr>
                <w:rStyle w:val="IndexLink"/>
                <w:rtl w:val="true"/>
              </w:rPr>
              <w:tab/>
            </w:r>
            <w:r>
              <w:rPr>
                <w:rStyle w:val="IndexLink"/>
              </w:rPr>
              <w:t>315</w:t>
            </w:r>
          </w:hyperlink>
        </w:p>
        <w:p>
          <w:pPr>
            <w:pStyle w:val="Contents6"/>
            <w:tabs>
              <w:tab w:val="clear" w:pos="7609"/>
              <w:tab w:val="right" w:pos="9026" w:leader="dot"/>
            </w:tabs>
            <w:rPr/>
          </w:pPr>
          <w:hyperlink w:anchor="__RefHeading___Toc3420316_581953129">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3420318_581953129">
            <w:r>
              <w:rPr>
                <w:webHidden/>
                <w:rStyle w:val="IndexLink"/>
                <w:rtl w:val="true"/>
              </w:rPr>
              <w:t>چگونگی استدلال</w:t>
            </w:r>
            <w:r>
              <w:rPr>
                <w:rStyle w:val="IndexLink"/>
                <w:rtl w:val="true"/>
              </w:rPr>
              <w:tab/>
            </w:r>
            <w:r>
              <w:rPr>
                <w:rStyle w:val="IndexLink"/>
              </w:rPr>
              <w:t>315</w:t>
            </w:r>
          </w:hyperlink>
        </w:p>
        <w:p>
          <w:pPr>
            <w:pStyle w:val="Contents6"/>
            <w:tabs>
              <w:tab w:val="clear" w:pos="7609"/>
              <w:tab w:val="right" w:pos="9026" w:leader="dot"/>
            </w:tabs>
            <w:rPr/>
          </w:pPr>
          <w:hyperlink w:anchor="__RefHeading___Toc3420320_581953129">
            <w:r>
              <w:rPr>
                <w:webHidden/>
                <w:rStyle w:val="IndexLink"/>
                <w:rtl w:val="true"/>
              </w:rPr>
              <w:t>نقد و بررسی</w:t>
            </w:r>
            <w:r>
              <w:rPr>
                <w:rStyle w:val="IndexLink"/>
                <w:rtl w:val="true"/>
              </w:rPr>
              <w:tab/>
            </w:r>
            <w:r>
              <w:rPr>
                <w:rStyle w:val="IndexLink"/>
              </w:rPr>
              <w:t>315</w:t>
            </w:r>
          </w:hyperlink>
        </w:p>
        <w:p>
          <w:pPr>
            <w:pStyle w:val="Contents6"/>
            <w:tabs>
              <w:tab w:val="clear" w:pos="7609"/>
              <w:tab w:val="right" w:pos="9026" w:leader="dot"/>
            </w:tabs>
            <w:rPr/>
          </w:pPr>
          <w:hyperlink w:anchor="__RefHeading___Toc3420322_581953129">
            <w:r>
              <w:rPr>
                <w:webHidden/>
                <w:rStyle w:val="IndexLink"/>
                <w:rtl w:val="true"/>
              </w:rPr>
              <w:t>و</w:t>
            </w:r>
            <w:r>
              <w:rPr>
                <w:rStyle w:val="IndexLink"/>
                <w:rtl w:val="true"/>
              </w:rPr>
              <w:t>)</w:t>
            </w:r>
            <w:r>
              <w:rPr>
                <w:rStyle w:val="IndexLink"/>
                <w:rtl w:val="true"/>
              </w:rPr>
              <w:t>روایت</w:t>
            </w:r>
            <w:r>
              <w:rPr>
                <w:rStyle w:val="IndexLink"/>
                <w:rtl w:val="true"/>
              </w:rPr>
              <w:t>«</w:t>
            </w:r>
            <w:r>
              <w:rPr>
                <w:rStyle w:val="IndexLink"/>
                <w:rtl w:val="true"/>
              </w:rPr>
              <w:t>مجاری الامور</w:t>
            </w:r>
            <w:r>
              <w:rPr>
                <w:rStyle w:val="IndexLink"/>
                <w:rtl w:val="true"/>
              </w:rPr>
              <w:t>»</w:t>
              <w:tab/>
            </w:r>
            <w:r>
              <w:rPr>
                <w:rStyle w:val="IndexLink"/>
              </w:rPr>
              <w:t>316</w:t>
            </w:r>
          </w:hyperlink>
        </w:p>
        <w:p>
          <w:pPr>
            <w:pStyle w:val="Contents6"/>
            <w:tabs>
              <w:tab w:val="clear" w:pos="7609"/>
              <w:tab w:val="right" w:pos="9026" w:leader="dot"/>
            </w:tabs>
            <w:rPr/>
          </w:pPr>
          <w:hyperlink w:anchor="__RefHeading___Toc3420324_581953129">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3420326_581953129">
            <w:r>
              <w:rPr>
                <w:webHidden/>
                <w:rStyle w:val="IndexLink"/>
                <w:rtl w:val="true"/>
              </w:rPr>
              <w:t>چگونگی استدلال</w:t>
            </w:r>
            <w:r>
              <w:rPr>
                <w:rStyle w:val="IndexLink"/>
                <w:rtl w:val="true"/>
              </w:rPr>
              <w:tab/>
            </w:r>
            <w:r>
              <w:rPr>
                <w:rStyle w:val="IndexLink"/>
              </w:rPr>
              <w:t>316</w:t>
            </w:r>
          </w:hyperlink>
        </w:p>
        <w:p>
          <w:pPr>
            <w:pStyle w:val="Contents6"/>
            <w:tabs>
              <w:tab w:val="clear" w:pos="7609"/>
              <w:tab w:val="right" w:pos="9026" w:leader="dot"/>
            </w:tabs>
            <w:rPr/>
          </w:pPr>
          <w:hyperlink w:anchor="__RefHeading___Toc3420328_581953129">
            <w:r>
              <w:rPr>
                <w:webHidden/>
                <w:rStyle w:val="IndexLink"/>
                <w:rtl w:val="true"/>
              </w:rPr>
              <w:t>نقد و بررسی</w:t>
            </w:r>
            <w:r>
              <w:rPr>
                <w:rStyle w:val="IndexLink"/>
                <w:rtl w:val="true"/>
              </w:rPr>
              <w:tab/>
            </w:r>
            <w:r>
              <w:rPr>
                <w:rStyle w:val="IndexLink"/>
              </w:rPr>
              <w:t>317</w:t>
            </w:r>
          </w:hyperlink>
        </w:p>
        <w:p>
          <w:pPr>
            <w:pStyle w:val="Contents6"/>
            <w:tabs>
              <w:tab w:val="clear" w:pos="7609"/>
              <w:tab w:val="right" w:pos="9026" w:leader="dot"/>
            </w:tabs>
            <w:rPr/>
          </w:pPr>
          <w:hyperlink w:anchor="__RefHeading___Toc3420330_581953129">
            <w:r>
              <w:rPr>
                <w:webHidden/>
                <w:rStyle w:val="IndexLink"/>
                <w:rtl w:val="true"/>
              </w:rPr>
              <w:t>ز</w:t>
            </w:r>
            <w:r>
              <w:rPr>
                <w:rStyle w:val="IndexLink"/>
                <w:rtl w:val="true"/>
              </w:rPr>
              <w:t>)</w:t>
            </w:r>
            <w:r>
              <w:rPr>
                <w:rStyle w:val="IndexLink"/>
                <w:rtl w:val="true"/>
              </w:rPr>
              <w:t>برداشت نراقی از مجموع روایات</w:t>
            </w:r>
            <w:r>
              <w:rPr>
                <w:rStyle w:val="IndexLink"/>
                <w:rtl w:val="true"/>
              </w:rPr>
              <w:tab/>
            </w:r>
            <w:r>
              <w:rPr>
                <w:rStyle w:val="IndexLink"/>
              </w:rPr>
              <w:t>317</w:t>
            </w:r>
          </w:hyperlink>
        </w:p>
        <w:p>
          <w:pPr>
            <w:pStyle w:val="Contents6"/>
            <w:tabs>
              <w:tab w:val="clear" w:pos="7609"/>
              <w:tab w:val="right" w:pos="9026" w:leader="dot"/>
            </w:tabs>
            <w:rPr/>
          </w:pPr>
          <w:hyperlink w:anchor="__RefHeading___Toc3420332_581953129">
            <w:r>
              <w:rPr>
                <w:webHidden/>
                <w:rStyle w:val="IndexLink"/>
                <w:rtl w:val="true"/>
              </w:rPr>
              <w:t>ح</w:t>
            </w:r>
            <w:r>
              <w:rPr>
                <w:rStyle w:val="IndexLink"/>
                <w:rtl w:val="true"/>
              </w:rPr>
              <w:t>)</w:t>
            </w:r>
            <w:r>
              <w:rPr>
                <w:rStyle w:val="IndexLink"/>
                <w:rtl w:val="true"/>
              </w:rPr>
              <w:t>جمع بندی روایات</w:t>
            </w:r>
            <w:r>
              <w:rPr>
                <w:rStyle w:val="IndexLink"/>
                <w:rtl w:val="true"/>
              </w:rPr>
              <w:tab/>
            </w:r>
            <w:r>
              <w:rPr>
                <w:rStyle w:val="IndexLink"/>
              </w:rPr>
              <w:t>318</w:t>
            </w:r>
          </w:hyperlink>
        </w:p>
        <w:p>
          <w:pPr>
            <w:pStyle w:val="Contents3"/>
            <w:tabs>
              <w:tab w:val="clear" w:pos="8459"/>
              <w:tab w:val="right" w:pos="9026" w:leader="dot"/>
            </w:tabs>
            <w:rPr/>
          </w:pPr>
          <w:hyperlink w:anchor="__RefHeading___Toc3420334_581953129">
            <w:r>
              <w:rPr>
                <w:webHidden/>
                <w:rStyle w:val="IndexLink"/>
              </w:rPr>
              <w:t>3</w:t>
            </w:r>
            <w:r>
              <w:rPr>
                <w:rStyle w:val="IndexLink"/>
                <w:rtl w:val="true"/>
              </w:rPr>
              <w:t>-</w:t>
            </w:r>
            <w:r>
              <w:rPr>
                <w:rStyle w:val="IndexLink"/>
                <w:rtl w:val="true"/>
              </w:rPr>
              <w:t>متصدی اقامه حدود</w:t>
            </w:r>
            <w:r>
              <w:rPr>
                <w:rStyle w:val="IndexLink"/>
                <w:rtl w:val="true"/>
              </w:rPr>
              <w:tab/>
            </w:r>
            <w:r>
              <w:rPr>
                <w:rStyle w:val="IndexLink"/>
              </w:rPr>
              <w:t>320</w:t>
            </w:r>
          </w:hyperlink>
        </w:p>
        <w:p>
          <w:pPr>
            <w:pStyle w:val="Contents4"/>
            <w:tabs>
              <w:tab w:val="clear" w:pos="8176"/>
              <w:tab w:val="right" w:pos="9026" w:leader="dot"/>
            </w:tabs>
            <w:rPr/>
          </w:pPr>
          <w:hyperlink w:anchor="__RefHeading___Toc3420336_581953129">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3420338_581953129">
            <w:r>
              <w:rPr>
                <w:webHidden/>
                <w:rStyle w:val="IndexLink"/>
                <w:rtl w:val="true"/>
              </w:rPr>
              <w:t>عموم مردم</w:t>
            </w:r>
            <w:r>
              <w:rPr>
                <w:rStyle w:val="IndexLink"/>
                <w:rtl w:val="true"/>
              </w:rPr>
              <w:tab/>
            </w:r>
            <w:r>
              <w:rPr>
                <w:rStyle w:val="IndexLink"/>
              </w:rPr>
              <w:t>320</w:t>
            </w:r>
          </w:hyperlink>
        </w:p>
        <w:p>
          <w:pPr>
            <w:pStyle w:val="Contents5"/>
            <w:tabs>
              <w:tab w:val="clear" w:pos="7892"/>
              <w:tab w:val="right" w:pos="9026" w:leader="dot"/>
            </w:tabs>
            <w:rPr/>
          </w:pPr>
          <w:hyperlink w:anchor="__RefHeading___Toc3420340_581953129">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3420342_581953129">
            <w:r>
              <w:rPr>
                <w:webHidden/>
                <w:rStyle w:val="IndexLink"/>
              </w:rPr>
              <w:t>1</w:t>
            </w:r>
            <w:r>
              <w:rPr>
                <w:rStyle w:val="IndexLink"/>
                <w:rtl w:val="true"/>
              </w:rPr>
              <w:t>-</w:t>
            </w:r>
            <w:r>
              <w:rPr>
                <w:rStyle w:val="IndexLink"/>
                <w:rtl w:val="true"/>
              </w:rPr>
              <w:t>اقامه حدود در جرایم خاص</w:t>
            </w:r>
            <w:r>
              <w:rPr>
                <w:rStyle w:val="IndexLink"/>
                <w:rtl w:val="true"/>
              </w:rPr>
              <w:tab/>
            </w:r>
            <w:r>
              <w:rPr>
                <w:rStyle w:val="IndexLink"/>
              </w:rPr>
              <w:t>320</w:t>
            </w:r>
          </w:hyperlink>
        </w:p>
        <w:p>
          <w:pPr>
            <w:pStyle w:val="Contents6"/>
            <w:tabs>
              <w:tab w:val="clear" w:pos="7609"/>
              <w:tab w:val="right" w:pos="9026" w:leader="dot"/>
            </w:tabs>
            <w:rPr/>
          </w:pPr>
          <w:hyperlink w:anchor="__RefHeading___Toc3420344_581953129">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3420346_581953129">
            <w:r>
              <w:rPr>
                <w:webHidden/>
                <w:rStyle w:val="IndexLink"/>
                <w:rtl w:val="true"/>
              </w:rPr>
              <w:t>الف</w:t>
            </w:r>
            <w:r>
              <w:rPr>
                <w:rStyle w:val="IndexLink"/>
                <w:rtl w:val="true"/>
              </w:rPr>
              <w:t>)</w:t>
            </w:r>
            <w:r>
              <w:rPr>
                <w:rStyle w:val="IndexLink"/>
                <w:rtl w:val="true"/>
              </w:rPr>
              <w:t>ساب النبی و الائمه</w:t>
            </w:r>
            <w:r>
              <w:rPr>
                <w:rStyle w:val="IndexLink"/>
                <w:rtl w:val="true"/>
              </w:rPr>
              <w:tab/>
            </w:r>
            <w:r>
              <w:rPr>
                <w:rStyle w:val="IndexLink"/>
              </w:rPr>
              <w:t>321</w:t>
            </w:r>
          </w:hyperlink>
        </w:p>
        <w:p>
          <w:pPr>
            <w:pStyle w:val="Contents6"/>
            <w:tabs>
              <w:tab w:val="clear" w:pos="7609"/>
              <w:tab w:val="right" w:pos="9026" w:leader="dot"/>
            </w:tabs>
            <w:rPr/>
          </w:pPr>
          <w:hyperlink w:anchor="__RefHeading___Toc3420348_581953129">
            <w:r>
              <w:rPr>
                <w:webHidden/>
                <w:rStyle w:val="IndexLink"/>
                <w:rtl w:val="true"/>
              </w:rPr>
              <w:t>ب</w:t>
            </w:r>
            <w:r>
              <w:rPr>
                <w:rStyle w:val="IndexLink"/>
                <w:rtl w:val="true"/>
              </w:rPr>
              <w:t>)</w:t>
            </w:r>
            <w:r>
              <w:rPr>
                <w:rStyle w:val="IndexLink"/>
                <w:rtl w:val="true"/>
              </w:rPr>
              <w:t>مدعی نبوت</w:t>
            </w:r>
            <w:r>
              <w:rPr>
                <w:rStyle w:val="IndexLink"/>
                <w:rtl w:val="true"/>
              </w:rPr>
              <w:tab/>
            </w:r>
            <w:r>
              <w:rPr>
                <w:rStyle w:val="IndexLink"/>
              </w:rPr>
              <w:t>322</w:t>
            </w:r>
          </w:hyperlink>
        </w:p>
        <w:p>
          <w:pPr>
            <w:pStyle w:val="Contents6"/>
            <w:tabs>
              <w:tab w:val="clear" w:pos="7609"/>
              <w:tab w:val="right" w:pos="9026" w:leader="dot"/>
            </w:tabs>
            <w:rPr/>
          </w:pPr>
          <w:hyperlink w:anchor="__RefHeading___Toc3420350_581953129">
            <w:r>
              <w:rPr>
                <w:webHidden/>
                <w:rStyle w:val="IndexLink"/>
                <w:rtl w:val="true"/>
              </w:rPr>
              <w:t>ج</w:t>
            </w:r>
            <w:r>
              <w:rPr>
                <w:rStyle w:val="IndexLink"/>
                <w:rtl w:val="true"/>
              </w:rPr>
              <w:t>)</w:t>
            </w:r>
            <w:r>
              <w:rPr>
                <w:rStyle w:val="IndexLink"/>
                <w:rtl w:val="true"/>
              </w:rPr>
              <w:t>قتل در فراش</w:t>
            </w:r>
            <w:r>
              <w:rPr>
                <w:rStyle w:val="IndexLink"/>
                <w:rtl w:val="true"/>
              </w:rPr>
              <w:tab/>
            </w:r>
            <w:r>
              <w:rPr>
                <w:rStyle w:val="IndexLink"/>
              </w:rPr>
              <w:t>322</w:t>
            </w:r>
          </w:hyperlink>
        </w:p>
        <w:p>
          <w:pPr>
            <w:pStyle w:val="Contents5"/>
            <w:tabs>
              <w:tab w:val="clear" w:pos="7892"/>
              <w:tab w:val="right" w:pos="9026" w:leader="dot"/>
            </w:tabs>
            <w:rPr/>
          </w:pPr>
          <w:hyperlink w:anchor="__RefHeading___Toc3420352_581953129">
            <w:r>
              <w:rPr>
                <w:webHidden/>
                <w:rStyle w:val="IndexLink"/>
              </w:rPr>
              <w:t>2</w:t>
            </w:r>
            <w:r>
              <w:rPr>
                <w:rStyle w:val="IndexLink"/>
                <w:rtl w:val="true"/>
              </w:rPr>
              <w:t>-</w:t>
            </w:r>
            <w:r>
              <w:rPr>
                <w:rStyle w:val="IndexLink"/>
                <w:rtl w:val="true"/>
              </w:rPr>
              <w:t>اقامه حدود در همه جرایم</w:t>
            </w:r>
            <w:r>
              <w:rPr>
                <w:rStyle w:val="IndexLink"/>
                <w:rtl w:val="true"/>
              </w:rPr>
              <w:tab/>
            </w:r>
            <w:r>
              <w:rPr>
                <w:rStyle w:val="IndexLink"/>
              </w:rPr>
              <w:t>324</w:t>
            </w:r>
          </w:hyperlink>
        </w:p>
        <w:p>
          <w:pPr>
            <w:pStyle w:val="Contents6"/>
            <w:tabs>
              <w:tab w:val="clear" w:pos="7609"/>
              <w:tab w:val="right" w:pos="9026" w:leader="dot"/>
            </w:tabs>
            <w:rPr/>
          </w:pPr>
          <w:hyperlink w:anchor="__RefHeading___Toc3420354_581953129">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3420356_581953129">
            <w:r>
              <w:rPr>
                <w:webHidden/>
                <w:rStyle w:val="IndexLink"/>
                <w:rtl w:val="true"/>
              </w:rPr>
              <w:t>الف</w:t>
            </w:r>
            <w:r>
              <w:rPr>
                <w:rStyle w:val="IndexLink"/>
                <w:rtl w:val="true"/>
              </w:rPr>
              <w:t>)</w:t>
            </w:r>
            <w:r>
              <w:rPr>
                <w:rStyle w:val="IndexLink"/>
                <w:rtl w:val="true"/>
              </w:rPr>
              <w:t>اقامه حد بر عبد</w:t>
            </w:r>
            <w:r>
              <w:rPr>
                <w:rStyle w:val="IndexLink"/>
                <w:rtl w:val="true"/>
              </w:rPr>
              <w:tab/>
            </w:r>
            <w:r>
              <w:rPr>
                <w:rStyle w:val="IndexLink"/>
              </w:rPr>
              <w:t>324</w:t>
            </w:r>
          </w:hyperlink>
        </w:p>
        <w:p>
          <w:pPr>
            <w:pStyle w:val="Contents6"/>
            <w:tabs>
              <w:tab w:val="clear" w:pos="7609"/>
              <w:tab w:val="right" w:pos="9026" w:leader="dot"/>
            </w:tabs>
            <w:rPr/>
          </w:pPr>
          <w:hyperlink w:anchor="__RefHeading___Toc3420358_581953129">
            <w:r>
              <w:rPr>
                <w:webHidden/>
                <w:rStyle w:val="IndexLink"/>
                <w:rtl w:val="true"/>
              </w:rPr>
              <w:t>ب</w:t>
            </w:r>
            <w:r>
              <w:rPr>
                <w:rStyle w:val="IndexLink"/>
                <w:rtl w:val="true"/>
              </w:rPr>
              <w:t>)</w:t>
            </w:r>
            <w:r>
              <w:rPr>
                <w:rStyle w:val="IndexLink"/>
                <w:rtl w:val="true"/>
              </w:rPr>
              <w:t>اقامه حد بر ولد و زوجه</w:t>
            </w:r>
            <w:r>
              <w:rPr>
                <w:rStyle w:val="IndexLink"/>
                <w:rtl w:val="true"/>
              </w:rPr>
              <w:tab/>
            </w:r>
            <w:r>
              <w:rPr>
                <w:rStyle w:val="IndexLink"/>
              </w:rPr>
              <w:t>325</w:t>
            </w:r>
          </w:hyperlink>
        </w:p>
        <w:p>
          <w:pPr>
            <w:pStyle w:val="Contents6"/>
            <w:tabs>
              <w:tab w:val="clear" w:pos="7609"/>
              <w:tab w:val="right" w:pos="9026" w:leader="dot"/>
            </w:tabs>
            <w:rPr/>
          </w:pPr>
          <w:hyperlink w:anchor="__RefHeading___Toc3420360_581953129">
            <w:r>
              <w:rPr>
                <w:webHidden/>
                <w:rStyle w:val="IndexLink"/>
                <w:rtl w:val="true"/>
              </w:rPr>
              <w:t>ج</w:t>
            </w:r>
            <w:r>
              <w:rPr>
                <w:rStyle w:val="IndexLink"/>
                <w:rtl w:val="true"/>
              </w:rPr>
              <w:t>)</w:t>
            </w:r>
            <w:r>
              <w:rPr>
                <w:rStyle w:val="IndexLink"/>
                <w:rtl w:val="true"/>
              </w:rPr>
              <w:t>اقامه حد از سوی ظالمین</w:t>
            </w:r>
            <w:r>
              <w:rPr>
                <w:rStyle w:val="IndexLink"/>
                <w:rtl w:val="true"/>
              </w:rPr>
              <w:tab/>
            </w:r>
            <w:r>
              <w:rPr>
                <w:rStyle w:val="IndexLink"/>
              </w:rPr>
              <w:t>326</w:t>
            </w:r>
          </w:hyperlink>
        </w:p>
        <w:p>
          <w:pPr>
            <w:pStyle w:val="Contents4"/>
            <w:tabs>
              <w:tab w:val="clear" w:pos="8176"/>
              <w:tab w:val="right" w:pos="9026" w:leader="dot"/>
            </w:tabs>
            <w:rPr/>
          </w:pPr>
          <w:hyperlink w:anchor="__RefHeading___Toc3420362_581953129">
            <w:r>
              <w:rPr>
                <w:webHidden/>
                <w:rStyle w:val="IndexLink"/>
                <w:rtl w:val="true"/>
              </w:rPr>
              <w:t>حاکم جور</w:t>
            </w:r>
            <w:r>
              <w:rPr>
                <w:rStyle w:val="IndexLink"/>
                <w:rtl w:val="true"/>
              </w:rPr>
              <w:tab/>
            </w:r>
            <w:r>
              <w:rPr>
                <w:rStyle w:val="IndexLink"/>
              </w:rPr>
              <w:t>327</w:t>
            </w:r>
          </w:hyperlink>
        </w:p>
        <w:p>
          <w:pPr>
            <w:pStyle w:val="Contents5"/>
            <w:tabs>
              <w:tab w:val="clear" w:pos="7892"/>
              <w:tab w:val="right" w:pos="9026" w:leader="dot"/>
            </w:tabs>
            <w:rPr/>
          </w:pPr>
          <w:hyperlink w:anchor="__RefHeading___Toc3420364_581953129">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3420366_581953129">
            <w:r>
              <w:rPr>
                <w:webHidden/>
                <w:rStyle w:val="IndexLink"/>
              </w:rPr>
              <w:t>1</w:t>
            </w:r>
            <w:r>
              <w:rPr>
                <w:rStyle w:val="IndexLink"/>
                <w:rtl w:val="true"/>
              </w:rPr>
              <w:t>-</w:t>
            </w:r>
            <w:r>
              <w:rPr>
                <w:rStyle w:val="IndexLink"/>
                <w:rtl w:val="true"/>
              </w:rPr>
              <w:t>تعریف حاکم جور</w:t>
            </w:r>
            <w:r>
              <w:rPr>
                <w:rStyle w:val="IndexLink"/>
                <w:rtl w:val="true"/>
              </w:rPr>
              <w:tab/>
            </w:r>
            <w:r>
              <w:rPr>
                <w:rStyle w:val="IndexLink"/>
              </w:rPr>
              <w:t>327</w:t>
            </w:r>
          </w:hyperlink>
        </w:p>
        <w:p>
          <w:pPr>
            <w:pStyle w:val="Contents5"/>
            <w:tabs>
              <w:tab w:val="clear" w:pos="7892"/>
              <w:tab w:val="right" w:pos="9026" w:leader="dot"/>
            </w:tabs>
            <w:rPr/>
          </w:pPr>
          <w:hyperlink w:anchor="__RefHeading___Toc3420368_581953129">
            <w:r>
              <w:rPr>
                <w:webHidden/>
                <w:rStyle w:val="IndexLink"/>
              </w:rPr>
              <w:t>2</w:t>
            </w:r>
            <w:r>
              <w:rPr>
                <w:rStyle w:val="IndexLink"/>
                <w:rtl w:val="true"/>
              </w:rPr>
              <w:t>-</w:t>
            </w:r>
            <w:r>
              <w:rPr>
                <w:rStyle w:val="IndexLink"/>
                <w:rtl w:val="true"/>
              </w:rPr>
              <w:t>دلایل مشروعیت اقامه حدود توسط حاکم جور</w:t>
            </w:r>
            <w:r>
              <w:rPr>
                <w:rStyle w:val="IndexLink"/>
                <w:rtl w:val="true"/>
              </w:rPr>
              <w:tab/>
            </w:r>
            <w:r>
              <w:rPr>
                <w:rStyle w:val="IndexLink"/>
              </w:rPr>
              <w:t>328</w:t>
            </w:r>
          </w:hyperlink>
        </w:p>
        <w:p>
          <w:pPr>
            <w:pStyle w:val="Contents6"/>
            <w:tabs>
              <w:tab w:val="clear" w:pos="7609"/>
              <w:tab w:val="right" w:pos="9026" w:leader="dot"/>
            </w:tabs>
            <w:rPr/>
          </w:pPr>
          <w:hyperlink w:anchor="__RefHeading___Toc3420370_581953129">
            <w:r>
              <w:rPr>
                <w:webHidden/>
                <w:rStyle w:val="IndexLink"/>
                <w:rtl w:val="true"/>
              </w:rPr>
              <w:t>اشاره</w:t>
            </w:r>
            <w:r>
              <w:rPr>
                <w:rStyle w:val="IndexLink"/>
                <w:rtl w:val="true"/>
              </w:rPr>
              <w:tab/>
            </w:r>
            <w:r>
              <w:rPr>
                <w:rStyle w:val="IndexLink"/>
              </w:rPr>
              <w:t>328</w:t>
            </w:r>
          </w:hyperlink>
        </w:p>
        <w:p>
          <w:pPr>
            <w:pStyle w:val="Contents6"/>
            <w:tabs>
              <w:tab w:val="clear" w:pos="7609"/>
              <w:tab w:val="right" w:pos="9026" w:leader="dot"/>
            </w:tabs>
            <w:rPr/>
          </w:pPr>
          <w:hyperlink w:anchor="__RefHeading___Toc3420372_581953129">
            <w:r>
              <w:rPr>
                <w:webHidden/>
                <w:rStyle w:val="IndexLink"/>
                <w:rtl w:val="true"/>
              </w:rPr>
              <w:t>الف</w:t>
            </w:r>
            <w:r>
              <w:rPr>
                <w:rStyle w:val="IndexLink"/>
                <w:rtl w:val="true"/>
              </w:rPr>
              <w:t>)</w:t>
            </w:r>
            <w:r>
              <w:rPr>
                <w:rStyle w:val="IndexLink"/>
                <w:rtl w:val="true"/>
              </w:rPr>
              <w:t>عدم اختصاص واژه امام به معصومان علیهم السلام</w:t>
            </w:r>
            <w:r>
              <w:rPr>
                <w:rStyle w:val="IndexLink"/>
                <w:rtl w:val="true"/>
              </w:rPr>
              <w:tab/>
            </w:r>
            <w:r>
              <w:rPr>
                <w:rStyle w:val="IndexLink"/>
              </w:rPr>
              <w:t>328</w:t>
            </w:r>
          </w:hyperlink>
        </w:p>
        <w:p>
          <w:pPr>
            <w:pStyle w:val="Contents6"/>
            <w:tabs>
              <w:tab w:val="clear" w:pos="7609"/>
              <w:tab w:val="right" w:pos="9026" w:leader="dot"/>
            </w:tabs>
            <w:rPr/>
          </w:pPr>
          <w:hyperlink w:anchor="__RefHeading___Toc3420374_581953129">
            <w:r>
              <w:rPr>
                <w:webHidden/>
                <w:rStyle w:val="IndexLink"/>
                <w:rtl w:val="true"/>
              </w:rPr>
              <w:t>چگونگی استدلال</w:t>
            </w:r>
            <w:r>
              <w:rPr>
                <w:rStyle w:val="IndexLink"/>
                <w:rtl w:val="true"/>
              </w:rPr>
              <w:tab/>
            </w:r>
            <w:r>
              <w:rPr>
                <w:rStyle w:val="IndexLink"/>
              </w:rPr>
              <w:t>328</w:t>
            </w:r>
          </w:hyperlink>
        </w:p>
        <w:p>
          <w:pPr>
            <w:pStyle w:val="Contents6"/>
            <w:tabs>
              <w:tab w:val="clear" w:pos="7609"/>
              <w:tab w:val="right" w:pos="9026" w:leader="dot"/>
            </w:tabs>
            <w:rPr/>
          </w:pPr>
          <w:hyperlink w:anchor="__RefHeading___Toc3420376_581953129">
            <w:r>
              <w:rPr>
                <w:webHidden/>
                <w:rStyle w:val="IndexLink"/>
                <w:rtl w:val="true"/>
              </w:rPr>
              <w:t>نقد و بررسی</w:t>
            </w:r>
            <w:r>
              <w:rPr>
                <w:rStyle w:val="IndexLink"/>
                <w:rtl w:val="true"/>
              </w:rPr>
              <w:tab/>
            </w:r>
            <w:r>
              <w:rPr>
                <w:rStyle w:val="IndexLink"/>
              </w:rPr>
              <w:t>329</w:t>
            </w:r>
          </w:hyperlink>
        </w:p>
        <w:p>
          <w:pPr>
            <w:pStyle w:val="Contents6"/>
            <w:tabs>
              <w:tab w:val="clear" w:pos="7609"/>
              <w:tab w:val="right" w:pos="9026" w:leader="dot"/>
            </w:tabs>
            <w:rPr/>
          </w:pPr>
          <w:hyperlink w:anchor="__RefHeading___Toc3420378_581953129">
            <w:r>
              <w:rPr>
                <w:webHidden/>
                <w:rStyle w:val="IndexLink"/>
                <w:rtl w:val="true"/>
              </w:rPr>
              <w:t>ب</w:t>
            </w:r>
            <w:r>
              <w:rPr>
                <w:rStyle w:val="IndexLink"/>
                <w:rtl w:val="true"/>
              </w:rPr>
              <w:t>)</w:t>
            </w:r>
            <w:r>
              <w:rPr>
                <w:rStyle w:val="IndexLink"/>
                <w:rtl w:val="true"/>
              </w:rPr>
              <w:t>سیره عملی معصومان</w:t>
            </w:r>
            <w:r>
              <w:rPr>
                <w:rStyle w:val="IndexLink"/>
                <w:rtl w:val="true"/>
              </w:rPr>
              <w:tab/>
            </w:r>
            <w:r>
              <w:rPr>
                <w:rStyle w:val="IndexLink"/>
              </w:rPr>
              <w:t>330</w:t>
            </w:r>
          </w:hyperlink>
        </w:p>
        <w:p>
          <w:pPr>
            <w:pStyle w:val="Contents6"/>
            <w:tabs>
              <w:tab w:val="clear" w:pos="7609"/>
              <w:tab w:val="right" w:pos="9026" w:leader="dot"/>
            </w:tabs>
            <w:rPr/>
          </w:pPr>
          <w:hyperlink w:anchor="__RefHeading___Toc3420380_581953129">
            <w:r>
              <w:rPr>
                <w:webHidden/>
                <w:rStyle w:val="IndexLink"/>
                <w:rtl w:val="true"/>
              </w:rPr>
              <w:t>چگونگی استدلال</w:t>
            </w:r>
            <w:r>
              <w:rPr>
                <w:rStyle w:val="IndexLink"/>
                <w:rtl w:val="true"/>
              </w:rPr>
              <w:tab/>
            </w:r>
            <w:r>
              <w:rPr>
                <w:rStyle w:val="IndexLink"/>
              </w:rPr>
              <w:t>330</w:t>
            </w:r>
          </w:hyperlink>
        </w:p>
        <w:p>
          <w:pPr>
            <w:pStyle w:val="Contents6"/>
            <w:tabs>
              <w:tab w:val="clear" w:pos="7609"/>
              <w:tab w:val="right" w:pos="9026" w:leader="dot"/>
            </w:tabs>
            <w:rPr/>
          </w:pPr>
          <w:hyperlink w:anchor="__RefHeading___Toc3420382_581953129">
            <w:r>
              <w:rPr>
                <w:webHidden/>
                <w:rStyle w:val="IndexLink"/>
                <w:rtl w:val="true"/>
              </w:rPr>
              <w:t>نقدو بررسی</w:t>
            </w:r>
            <w:r>
              <w:rPr>
                <w:rStyle w:val="IndexLink"/>
                <w:rtl w:val="true"/>
              </w:rPr>
              <w:tab/>
            </w:r>
            <w:r>
              <w:rPr>
                <w:rStyle w:val="IndexLink"/>
              </w:rPr>
              <w:t>331</w:t>
            </w:r>
          </w:hyperlink>
        </w:p>
        <w:p>
          <w:pPr>
            <w:pStyle w:val="Contents6"/>
            <w:tabs>
              <w:tab w:val="clear" w:pos="7609"/>
              <w:tab w:val="right" w:pos="9026" w:leader="dot"/>
            </w:tabs>
            <w:rPr/>
          </w:pPr>
          <w:hyperlink w:anchor="__RefHeading___Toc3420384_581953129">
            <w:r>
              <w:rPr>
                <w:webHidden/>
                <w:rStyle w:val="IndexLink"/>
                <w:rtl w:val="true"/>
              </w:rPr>
              <w:t>ج</w:t>
            </w:r>
            <w:r>
              <w:rPr>
                <w:rStyle w:val="IndexLink"/>
                <w:rtl w:val="true"/>
              </w:rPr>
              <w:t>)</w:t>
            </w:r>
            <w:r>
              <w:rPr>
                <w:rStyle w:val="IndexLink"/>
                <w:rtl w:val="true"/>
              </w:rPr>
              <w:t>منع از تعطیل حدود</w:t>
            </w:r>
            <w:r>
              <w:rPr>
                <w:rStyle w:val="IndexLink"/>
                <w:rtl w:val="true"/>
              </w:rPr>
              <w:tab/>
            </w:r>
            <w:r>
              <w:rPr>
                <w:rStyle w:val="IndexLink"/>
              </w:rPr>
              <w:t>331</w:t>
            </w:r>
          </w:hyperlink>
        </w:p>
        <w:p>
          <w:pPr>
            <w:pStyle w:val="Contents6"/>
            <w:tabs>
              <w:tab w:val="clear" w:pos="7609"/>
              <w:tab w:val="right" w:pos="9026" w:leader="dot"/>
            </w:tabs>
            <w:rPr/>
          </w:pPr>
          <w:hyperlink w:anchor="__RefHeading___Toc3420386_581953129">
            <w:r>
              <w:rPr>
                <w:webHidden/>
                <w:rStyle w:val="IndexLink"/>
                <w:rtl w:val="true"/>
              </w:rPr>
              <w:t>چگونگی استدلال</w:t>
            </w:r>
            <w:r>
              <w:rPr>
                <w:rStyle w:val="IndexLink"/>
                <w:rtl w:val="true"/>
              </w:rPr>
              <w:tab/>
            </w:r>
            <w:r>
              <w:rPr>
                <w:rStyle w:val="IndexLink"/>
              </w:rPr>
              <w:t>331</w:t>
            </w:r>
          </w:hyperlink>
        </w:p>
        <w:p>
          <w:pPr>
            <w:pStyle w:val="Contents6"/>
            <w:tabs>
              <w:tab w:val="clear" w:pos="7609"/>
              <w:tab w:val="right" w:pos="9026" w:leader="dot"/>
            </w:tabs>
            <w:rPr/>
          </w:pPr>
          <w:hyperlink w:anchor="__RefHeading___Toc3420388_581953129">
            <w:r>
              <w:rPr>
                <w:webHidden/>
                <w:rStyle w:val="IndexLink"/>
                <w:rtl w:val="true"/>
              </w:rPr>
              <w:t>نقد و بررسی</w:t>
            </w:r>
            <w:r>
              <w:rPr>
                <w:rStyle w:val="IndexLink"/>
                <w:rtl w:val="true"/>
              </w:rPr>
              <w:tab/>
            </w:r>
            <w:r>
              <w:rPr>
                <w:rStyle w:val="IndexLink"/>
              </w:rPr>
              <w:t>333</w:t>
            </w:r>
          </w:hyperlink>
        </w:p>
        <w:p>
          <w:pPr>
            <w:pStyle w:val="Contents4"/>
            <w:tabs>
              <w:tab w:val="clear" w:pos="8176"/>
              <w:tab w:val="right" w:pos="9026" w:leader="dot"/>
            </w:tabs>
            <w:rPr/>
          </w:pPr>
          <w:hyperlink w:anchor="__RefHeading___Toc3420390_581953129">
            <w:r>
              <w:rPr>
                <w:webHidden/>
                <w:rStyle w:val="IndexLink"/>
                <w:rtl w:val="true"/>
              </w:rPr>
              <w:t>فقیه یا ولی فقیه</w:t>
            </w:r>
            <w:r>
              <w:rPr>
                <w:rStyle w:val="IndexLink"/>
                <w:rtl w:val="true"/>
              </w:rPr>
              <w:tab/>
            </w:r>
            <w:r>
              <w:rPr>
                <w:rStyle w:val="IndexLink"/>
              </w:rPr>
              <w:t>334</w:t>
            </w:r>
          </w:hyperlink>
        </w:p>
        <w:p>
          <w:pPr>
            <w:pStyle w:val="Contents2"/>
            <w:tabs>
              <w:tab w:val="clear" w:pos="8743"/>
              <w:tab w:val="right" w:pos="9026" w:leader="dot"/>
            </w:tabs>
            <w:rPr/>
          </w:pPr>
          <w:hyperlink w:anchor="__RefHeading___Toc3420392_581953129">
            <w:r>
              <w:rPr>
                <w:webHidden/>
                <w:rStyle w:val="IndexLink"/>
                <w:rtl w:val="true"/>
              </w:rPr>
              <w:t>نتایج تحقیق</w:t>
            </w:r>
            <w:r>
              <w:rPr>
                <w:rStyle w:val="IndexLink"/>
                <w:rtl w:val="true"/>
              </w:rPr>
              <w:tab/>
            </w:r>
            <w:r>
              <w:rPr>
                <w:rStyle w:val="IndexLink"/>
              </w:rPr>
              <w:t>340</w:t>
            </w:r>
          </w:hyperlink>
        </w:p>
        <w:p>
          <w:pPr>
            <w:pStyle w:val="Contents2"/>
            <w:tabs>
              <w:tab w:val="clear" w:pos="8743"/>
              <w:tab w:val="right" w:pos="9026" w:leader="dot"/>
            </w:tabs>
            <w:rPr/>
          </w:pPr>
          <w:hyperlink w:anchor="__RefHeading___Toc3420394_581953129">
            <w:r>
              <w:rPr>
                <w:webHidden/>
                <w:rStyle w:val="IndexLink"/>
                <w:rtl w:val="true"/>
              </w:rPr>
              <w:t>پیشنهادها</w:t>
            </w:r>
            <w:r>
              <w:rPr>
                <w:rStyle w:val="IndexLink"/>
                <w:rtl w:val="true"/>
              </w:rPr>
              <w:tab/>
            </w:r>
            <w:r>
              <w:rPr>
                <w:rStyle w:val="IndexLink"/>
              </w:rPr>
              <w:t>344</w:t>
            </w:r>
          </w:hyperlink>
        </w:p>
        <w:p>
          <w:pPr>
            <w:pStyle w:val="Contents3"/>
            <w:tabs>
              <w:tab w:val="clear" w:pos="8459"/>
              <w:tab w:val="right" w:pos="9026" w:leader="dot"/>
            </w:tabs>
            <w:rPr/>
          </w:pPr>
          <w:hyperlink w:anchor="__RefHeading___Toc3420396_581953129">
            <w:r>
              <w:rPr>
                <w:webHidden/>
                <w:rStyle w:val="IndexLink"/>
                <w:rtl w:val="true"/>
              </w:rPr>
              <w:t>پژوهشی</w:t>
            </w:r>
            <w:r>
              <w:rPr>
                <w:rStyle w:val="IndexLink"/>
                <w:rtl w:val="true"/>
              </w:rPr>
              <w:tab/>
            </w:r>
            <w:r>
              <w:rPr>
                <w:rStyle w:val="IndexLink"/>
              </w:rPr>
              <w:t>344</w:t>
            </w:r>
          </w:hyperlink>
        </w:p>
        <w:p>
          <w:pPr>
            <w:pStyle w:val="Contents3"/>
            <w:tabs>
              <w:tab w:val="clear" w:pos="8459"/>
              <w:tab w:val="right" w:pos="9026" w:leader="dot"/>
            </w:tabs>
            <w:rPr/>
          </w:pPr>
          <w:hyperlink w:anchor="__RefHeading___Toc3420398_581953129">
            <w:r>
              <w:rPr>
                <w:webHidden/>
                <w:rStyle w:val="IndexLink"/>
                <w:rtl w:val="true"/>
              </w:rPr>
              <w:t>اجرایی</w:t>
            </w:r>
            <w:r>
              <w:rPr>
                <w:rStyle w:val="IndexLink"/>
                <w:rtl w:val="true"/>
              </w:rPr>
              <w:t>-</w:t>
            </w:r>
            <w:r>
              <w:rPr>
                <w:rStyle w:val="IndexLink"/>
                <w:rtl w:val="true"/>
              </w:rPr>
              <w:t>قانونی</w:t>
            </w:r>
            <w:r>
              <w:rPr>
                <w:rStyle w:val="IndexLink"/>
                <w:rtl w:val="true"/>
              </w:rPr>
              <w:tab/>
            </w:r>
            <w:r>
              <w:rPr>
                <w:rStyle w:val="IndexLink"/>
              </w:rPr>
              <w:t>345</w:t>
            </w:r>
          </w:hyperlink>
        </w:p>
        <w:p>
          <w:pPr>
            <w:pStyle w:val="Contents2"/>
            <w:tabs>
              <w:tab w:val="clear" w:pos="8743"/>
              <w:tab w:val="right" w:pos="9026" w:leader="dot"/>
            </w:tabs>
            <w:rPr/>
          </w:pPr>
          <w:hyperlink w:anchor="__RefHeading___Toc3420400_581953129">
            <w:r>
              <w:rPr>
                <w:webHidden/>
                <w:rStyle w:val="IndexLink"/>
                <w:rtl w:val="true"/>
              </w:rPr>
              <w:t>کتابنامه</w:t>
            </w:r>
            <w:r>
              <w:rPr>
                <w:rStyle w:val="IndexLink"/>
                <w:rtl w:val="true"/>
              </w:rPr>
              <w:tab/>
            </w:r>
            <w:r>
              <w:rPr>
                <w:rStyle w:val="IndexLink"/>
              </w:rPr>
              <w:t>346</w:t>
            </w:r>
          </w:hyperlink>
        </w:p>
        <w:p>
          <w:pPr>
            <w:pStyle w:val="Contents3"/>
            <w:tabs>
              <w:tab w:val="clear" w:pos="8459"/>
              <w:tab w:val="right" w:pos="9026" w:leader="dot"/>
            </w:tabs>
            <w:rPr/>
          </w:pPr>
          <w:hyperlink w:anchor="__RefHeading___Toc3420402_581953129">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3420404_581953129">
            <w:r>
              <w:rPr>
                <w:webHidden/>
                <w:rStyle w:val="IndexLink"/>
                <w:rtl w:val="true"/>
              </w:rPr>
              <w:t>مقالات</w:t>
            </w:r>
            <w:r>
              <w:rPr>
                <w:rStyle w:val="IndexLink"/>
                <w:rtl w:val="true"/>
              </w:rPr>
              <w:tab/>
            </w:r>
            <w:r>
              <w:rPr>
                <w:rStyle w:val="IndexLink"/>
              </w:rPr>
              <w:t>364</w:t>
            </w:r>
          </w:hyperlink>
        </w:p>
        <w:p>
          <w:pPr>
            <w:pStyle w:val="Contents3"/>
            <w:tabs>
              <w:tab w:val="clear" w:pos="8459"/>
              <w:tab w:val="right" w:pos="9026" w:leader="dot"/>
            </w:tabs>
            <w:rPr/>
          </w:pPr>
          <w:hyperlink w:anchor="__RefHeading___Toc3420406_581953129">
            <w:r>
              <w:rPr>
                <w:webHidden/>
                <w:rStyle w:val="IndexLink"/>
                <w:rtl w:val="true"/>
              </w:rPr>
              <w:t>منابع اینترنتی</w:t>
            </w:r>
            <w:r>
              <w:rPr>
                <w:rStyle w:val="IndexLink"/>
                <w:rtl w:val="true"/>
              </w:rPr>
              <w:tab/>
            </w:r>
            <w:r>
              <w:rPr>
                <w:rStyle w:val="IndexLink"/>
              </w:rPr>
              <w:t>367</w:t>
            </w:r>
          </w:hyperlink>
        </w:p>
        <w:p>
          <w:pPr>
            <w:pStyle w:val="Contents3"/>
            <w:tabs>
              <w:tab w:val="clear" w:pos="8459"/>
              <w:tab w:val="right" w:pos="9026" w:leader="dot"/>
            </w:tabs>
            <w:rPr/>
          </w:pPr>
          <w:hyperlink w:anchor="__RefHeading___Toc3420408_581953129">
            <w:r>
              <w:rPr>
                <w:webHidden/>
                <w:rStyle w:val="IndexLink"/>
                <w:rtl w:val="true"/>
              </w:rPr>
              <w:t>نرم افزارها</w:t>
            </w:r>
            <w:r>
              <w:rPr>
                <w:rStyle w:val="IndexLink"/>
                <w:rtl w:val="true"/>
              </w:rPr>
              <w:tab/>
            </w:r>
            <w:r>
              <w:rPr>
                <w:rStyle w:val="IndexLink"/>
              </w:rPr>
              <w:t>368</w:t>
            </w:r>
          </w:hyperlink>
        </w:p>
        <w:p>
          <w:pPr>
            <w:pStyle w:val="Contents3"/>
            <w:tabs>
              <w:tab w:val="clear" w:pos="8459"/>
              <w:tab w:val="right" w:pos="9026" w:leader="dot"/>
            </w:tabs>
            <w:rPr/>
          </w:pPr>
          <w:hyperlink w:anchor="__RefHeading___Toc3420410_581953129">
            <w:r>
              <w:rPr>
                <w:webHidden/>
                <w:rStyle w:val="IndexLink"/>
              </w:rPr>
              <w:t>ABSTRACT</w:t>
            </w:r>
            <w:r>
              <w:rPr>
                <w:rStyle w:val="IndexLink"/>
                <w:rtl w:val="true"/>
              </w:rPr>
              <w:tab/>
            </w:r>
            <w:r>
              <w:rPr>
                <w:rStyle w:val="IndexLink"/>
              </w:rPr>
              <w:t>369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64_43274"/>
      <w:bookmarkStart w:id="1" w:name="pg5664_43274"/>
      <w:bookmarkEnd w:id="1"/>
    </w:p>
    <w:p>
      <w:pPr>
        <w:pStyle w:val="Heading2"/>
        <w:numPr>
          <w:ilvl w:val="1"/>
          <w:numId w:val="1"/>
        </w:numPr>
        <w:rPr/>
      </w:pPr>
      <w:bookmarkStart w:id="2" w:name="pg5664_43274"/>
      <w:bookmarkStart w:id="3" w:name="__RefHeading___Toc341956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باقر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اقامه حدود و تعزیرات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سیدباقر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تدوین متون پژوهشی؛ </w:t>
      </w:r>
      <w:r>
        <w:rPr>
          <w:rFonts w:ascii="IRNazanin" w:hAnsi="IRNazanin" w:eastAsia="IRNazanin"/>
          <w:color w:val="111111"/>
          <w:sz w:val="28"/>
          <w:sz w:val="28"/>
          <w:szCs w:val="28"/>
          <w:lang w:bidi="fa-IR"/>
        </w:rPr>
        <w:t>۹۳۶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تعزیرات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۳۶۵۳۶۹۶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19570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مشروعیت اقامه حدود و تعزیرات در عصر غیبت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سیدباقر محمدی</w:t>
      </w:r>
      <w:bookmarkStart w:id="7" w:name="pg5664_43278"/>
    </w:p>
    <w:p>
      <w:pPr>
        <w:pStyle w:val="Heading2"/>
        <w:numPr>
          <w:ilvl w:val="1"/>
          <w:numId w:val="1"/>
        </w:numPr>
        <w:rPr/>
      </w:pPr>
      <w:bookmarkStart w:id="8" w:name="__RefHeading___Toc3419572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 پیروزی انقلاب شکوهمند اسلامی و در عصر جهانی‌شدن ارتباطات،پرسش‌ها و چالش‌های نوینی در حوزه علوم انسانی فراروی اندیشمندان مسلمان قرار گرفت که همه به نوعی برخاسته از مسئولیت دشوار حکومت در این عصر است؛دورانی که پای‌بندی به دین و سنت در مدیریت همه‌جانبه کشورها بسیار چالش‌برانگیز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ازاین‌رو،مطالعات و پژوهش‌های به‌روز،جامع،منسجم و کاربردی در حوزه دین،بر اساس معیارهای معتبر جهانی و عمق و اصالت اندیشه‌های ناب،بایسته و ضروری است و جلوگیری از انحراف‌های فکری و تربیتی پژوهندگان حوزه دین،مهم و مورد عنایت تمامی بنیان‌گذاران این شجره طیبه،به‌ویژه معمار بزرگ انقلاب اسلامی،امام خمینی رحمة الله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این رسالت خطیر و در مسیر نشر معارف ناب محمّدی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با عنوان مشروعیت اقامه حدود و تعزیرات در عصر غیبت حاصل پژوهش فاضل گرامی جناب آقای سید باقر محمدی،کوششی است در به ثمر رساندن گوشه‌ای از این اهداف متعالی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لازم می‌دانیم تلاش همه عزیزانی را که در نشر این کتاب سهمی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گزارده،صاحبان فضل و معرفت را به یاری بخوانیم تا ما را از دیدگاه‌های سازنده خویش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آله</w:t>
      </w:r>
      <w:bookmarkStart w:id="10" w:name="pg5664_43280"/>
    </w:p>
    <w:p>
      <w:pPr>
        <w:pStyle w:val="Heading2"/>
        <w:numPr>
          <w:ilvl w:val="1"/>
          <w:numId w:val="1"/>
        </w:numPr>
        <w:rPr/>
      </w:pPr>
      <w:bookmarkStart w:id="11" w:name="__RefHeading___Toc3419574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و مبانی تصوریه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حد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شناسی حد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واژه حد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اصلی واژه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اصطلاح‌شناسی حد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در متون دینی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در قرآن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در اصطلاح روایی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خاص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عقوبت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تعزیر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قصاص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جمع‌بندی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در اصطلاح فقهی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فقهای شیعه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فقهای اهل سنت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جرایم حدی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جرایم حدی در فقه اهل سنت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جرایم حدی در فقه شیعه </w:t>
      </w:r>
      <w:r>
        <w:rPr>
          <w:rFonts w:eastAsia="IRNazanin" w:cs="IRNazanin"/>
          <w:color w:val="111111"/>
          <w:sz w:val="28"/>
          <w:szCs w:val="28"/>
          <w:lang w:bidi="fa-IR"/>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تعزیر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واژه‌شناسی تعزیر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اصطلاح‌شناسی تعزیر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تعزیر در متون دینی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تعزیر در قرآن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تعزیر در روایات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تعزیر در اصطلاح فقهی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فقهای شیعه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فقهای اهل سنت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تفاوت‌های حدود و تعزیرات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لحاظ ویژگی‌های کمّی و کیفی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لحاظ موضوع،نوع عقوبت و میزان مجازات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موجبات فقهی اعمال تعزیر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ارتکاب معصیت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خاص در روایت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فقدان شرایط اقامه حد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حد معین ندارد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ارتکاب گناهان کبیره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مکمل در جرایم حدی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اخلال در واجب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مفسده انگیز و خلاف مصالح عمومی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مشروعیت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واژه‌شناسی مشروعیت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اصطلاح‌شناسی مشروعیت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مشروعیت در فصل مجوّزان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مشروعیت در کلام مانعان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عصر غیبت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واژه‌شناسی غیبت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اصطلاح‌شناسی غیبت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در اندیشه کلامی شیعه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غیبت در ادبیات فقهی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لزوم عصمت امام </w:t>
      </w:r>
      <w:r>
        <w:rPr>
          <w:rFonts w:eastAsia="IRNazanin" w:cs="IRNazanin"/>
          <w:color w:val="111111"/>
          <w:sz w:val="28"/>
          <w:szCs w:val="28"/>
          <w:lang w:bidi="fa-IR"/>
        </w:rPr>
        <w:t>75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عدم ولایت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اصل عدم ولایت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نگرش فقها به اصل عدم ولایت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اصل عدم ولایت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انسان‌ها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مفهوم ولایت فقیه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ولایت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فقیه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اختیارات ولی فقیه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مقیده فقیه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تصرف در قضا،فتوا و امور حسبه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در چارچوب احکام فرعی الهی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مطلقه فقیه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سابقه اجرای حدود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دیگر کشورهای اسلامی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عدم جواز اقامه حدود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 دیدگاه عدم جواز اقامه حدود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پیش از محقق حلی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قطب‌الدین راوندی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تا مقدس اردبیلی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آبی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المحققین </w:t>
      </w:r>
      <w:r>
        <w:rPr>
          <w:rFonts w:eastAsia="IRNazanin" w:cs="IRNazanin"/>
          <w:color w:val="111111"/>
          <w:sz w:val="28"/>
          <w:szCs w:val="28"/>
          <w:lang w:bidi="fa-IR"/>
        </w:rPr>
        <w:t>111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ابی‌جمهور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متأخر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 تا معاصران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فقهای مشروطه‌خواه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فقهای معاصر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احمد خوانساری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شیرازی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 دیدگاه عدم جواز اقامه حدود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دلایل تحلیلی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شرایط اجتماعی خاص،برای اجرای حدود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انسان کامل در رأس مدیریت اجتماعی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توحیدی و مدینه فاضله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زمینه‌های اجتماعی جرم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جامع‌نگری به احکام تربیتی اسلام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حجیت خبر واحد در احکام شدید کیفری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دیدگاه‌های متناقض در حجیت خبر واحد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حجیت خبر واحد،به صورت مطلق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حجیت خبر واحد،به صورت مطلق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حجیت خبر عادل امامی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حجیت خبر موثوق الصدور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دیدگاه‌ها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عدم حجیت خبر واحد در احکام شدید کیفری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شبهه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نکته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نگارنده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تعطیل برخی حدود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تمایز میان احکام قضایی و احکام کلی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دلایل نقلی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منقول از ابن‌ادریس و ابن‌زهره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احتمال‌ها در تفسیر ظاهر کلام ابن‌ادریس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احتمالات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اقامه حدود به معصومان علیه السلام و نایبان خاص </w:t>
      </w:r>
      <w:r>
        <w:rPr>
          <w:rFonts w:eastAsia="IRNazanin" w:cs="IRNazanin"/>
          <w:color w:val="111111"/>
          <w:sz w:val="28"/>
          <w:szCs w:val="28"/>
          <w:lang w:bidi="fa-IR"/>
        </w:rPr>
        <w:t>146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اقامه حدود از سوی معصومان علیهم السلام،نایبان خاص و نایبان عام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جواز تصدی از سوی ستمگران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درباره تفویض و عدم تفویض این منصب به فقها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اشعثیات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سند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اشکال‌های سندی کتاب اشعثیات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نبودن نویسنده کتاب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اشعث کوفی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اسماعیل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موسی علیه 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 و مشهور نبودن اشعثیات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نقل بحار و وسایل به دلیل عدم اعتماد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تطابق کتاب موجود با نقل شیخ و نجاشی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در ابواب و تعداد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با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همخوانی با روایات اهل سنت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دلالت واژگان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لایصلح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امام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دلالی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درأ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 و قاعده درأ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مستند روایی قاعده درأ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عهدنامه مالک اشتر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عوالی اللئالی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رجال‌شناسی و درایت حدیث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صدوق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عهدنامه مالک اشتر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درأ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گستره شمول شبهه‌ها در روایت درأ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ملاک در شبهه،ظن یا احتمال </w:t>
      </w:r>
      <w:r>
        <w:rPr>
          <w:rFonts w:eastAsia="IRNazanin" w:cs="IRNazanin"/>
          <w:color w:val="111111"/>
          <w:sz w:val="28"/>
          <w:szCs w:val="28"/>
          <w:lang w:bidi="fa-IR"/>
        </w:rPr>
        <w:t>196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در بدیهیات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مفهوم کلی قاعده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در دماء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کیفرهای جایگزین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اقامه تعزیرات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دیدگاه فقها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دیدگاه جواز اقامه حدود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دیدگاه عدم جواز اقامه حدود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جواز اقامه حدود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 دیدگاه جواز اقامه حدود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متقدمین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متأخرین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ابن‌فهد حلی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متأخرِ متأخرین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نراقی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عبدالحسین موسوی لاری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مظفر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فقهای معاصر </w:t>
      </w:r>
      <w:r>
        <w:rPr>
          <w:rFonts w:eastAsia="IRNazanin" w:cs="IRNazanin"/>
          <w:color w:val="111111"/>
          <w:sz w:val="28"/>
          <w:szCs w:val="28"/>
          <w:lang w:bidi="fa-IR"/>
        </w:rPr>
        <w:t>227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ابوالقاسم خویی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محمدرضا گلپایگانی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محمدصادق روحانی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جواد تبریزی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مکارم شیرازی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عبدالکریم موسوی اردبیلی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نوری همدانی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 دیدگاه جواز اقامه حدود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دلایل تحلیلی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مبغوضیت تعطیلی حدود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استدلال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اشکال‌ها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تلازم تعطیلی حدود و انتشار مفاسد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تعارض با لزوم حفظ نفوس محترمه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اختلال نظام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فقها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حفظ و اختلال نظام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شرعی حفظ نظام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فلسفه و مصلحت تشریع حدود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فقها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نصب فردی خاص و عدم کفایت مصلحت صرف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تعطیلی حدود بعد از رحلت رسول الله صلّی الله علیه و آله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دیگر استدلال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 به ولایت حسبه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مفهوم‌شناسی حسبه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حسبه و اقامه حدود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اشکال‌ها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اختصاص به معصوم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مفروغ نبودن مشروعیت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تصدی مؤمنان عادل در صورت نبود فقیه </w:t>
      </w:r>
      <w:r>
        <w:rPr>
          <w:rFonts w:eastAsia="IRNazanin" w:cs="IRNazanin"/>
          <w:color w:val="111111"/>
          <w:sz w:val="28"/>
          <w:szCs w:val="28"/>
          <w:lang w:bidi="fa-IR"/>
        </w:rPr>
        <w:t>252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تئوری عدالت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دلایل نقلی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ازمانی ادله حدود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فقها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 اطلاقات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متیقن بودن فقیه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اشکال عدم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 بما هو 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تصدی و ولایت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وصول بیان در اختصاص به فقها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حفص بن غیاث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مقبوله عمر بن حنظله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معتبره ابی‌خدیجه سالم بن مکرم الجمال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توقیع شریف حضرت صاحب الزمان عجّل الله تعالی فرجه الشریف به اسحاق بن یعقوب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روایات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منع از تعطیل حدود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اهمیت اجرای حدود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ابی‌عبیده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کانبیاء بنی اسرائیل</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اللهم ارحم خلفائی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 نراقی از مجموع روایات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بندی روایات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متصدی اقامه حدود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عموم مردم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حدود در جرایم خاص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 النبی و الائمه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مدعی نبوت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در فراش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حدود در همه جرایم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حد بر عبد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حد بر ولد و زوجه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حد از سوی ظالمین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حاکم جور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حاکم جور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 مشروعیت اقامه حدود توسط حاکم جور </w:t>
      </w:r>
      <w:r>
        <w:rPr>
          <w:rFonts w:eastAsia="IRNazanin" w:cs="IRNazanin"/>
          <w:color w:val="111111"/>
          <w:sz w:val="28"/>
          <w:szCs w:val="28"/>
          <w:lang w:bidi="fa-IR"/>
        </w:rPr>
        <w:t>325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اختصاص واژه امام به معصومان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چگونگی استدلال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عملی معصومان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چگونگی استدلال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نقدو بررسی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از تعطیل حدود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چگونگی استدلال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فقیه یا ولی فقیه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نتایج تحقیق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پیشنهادها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منابع اینترنتی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نرم‌افزارها </w:t>
      </w:r>
      <w:r>
        <w:rPr>
          <w:rFonts w:eastAsia="IRNazanin" w:cs="IRNazanin"/>
          <w:color w:val="111111"/>
          <w:sz w:val="28"/>
          <w:szCs w:val="28"/>
          <w:lang w:bidi="fa-IR"/>
        </w:rPr>
        <w:t>365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Abstract 367</w:t>
      </w:r>
      <w:bookmarkStart w:id="13" w:name="pg5664_43290"/>
    </w:p>
    <w:p>
      <w:pPr>
        <w:pStyle w:val="Heading2"/>
        <w:numPr>
          <w:ilvl w:val="1"/>
          <w:numId w:val="1"/>
        </w:numPr>
        <w:rPr/>
      </w:pPr>
      <w:bookmarkStart w:id="14" w:name="__RefHeading___Toc3419576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وجود مجازات‌ها و جریمه‌هایی برای بر هم زنندگان نظم عمومی برای حفظ نظام اجتماعی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جزایی اسلام،نهاد حدود و تعزیرات برای همین منظور تشریع شده است،ولی این نهاد تنها وقتی کارا و مؤثر خواهد بود که به اجرا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منوط به وجود کسی است که شرعاً بر اجرای حدود و تعزیرات ولایت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اصول اولیه فقه شیعه،هیچ فردی بر دیگری ولایت ندارد و ولایت مخصوص خدا و کسانی است که خدا به آنها تفویض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اقسام ولایت،ولایت در اجرای حدود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اهل سنت،هر کس شئون امامت و حکومت را به دست گیرد،می‌تواند حدود الهی را اقامه نماید،اما با توجه با اینکه از دیدگاه فقه شیعه،حکومت باید در اصل به معصوم علیه السلام سپرده شود،در زمان غیبت معصوم علیه السلام این پرسش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اجرای حدود در زمان غیبت مشروعیت دارد یا خیر؟می‌دانیم که پیشوایان معصوم علیهم السلام در برخی امور از جمله تصدی اصل حکومت،به فقهای جامع‌شرایط نیابت داده‌اند،ولی نمی‌دانیم اجرای حدود نیز از همین امور است یا خیر</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پاسخ‌گویی به این مسئله،به‌ویژه در شرایط فعلی و پس از برقراری حکومت اسلامی در جمهوری اسلامی ایران اهمیت ویژه‌ای دارد؛زیرا شخصی که در رأس حکومت اسلامی قرار گرفته،ولی فقیه است،نه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اصل مشروعیت اجرای مجازات‌های اسلامی،به‌ویژه حدود از سوی غیرمعصوم همچنان</w:t>
      </w:r>
    </w:p>
    <w:p>
      <w:pPr>
        <w:pStyle w:val="BookText"/>
        <w:rPr/>
      </w:pPr>
      <w:r>
        <w:rPr>
          <w:rFonts w:ascii="IRNazanin" w:hAnsi="IRNazanin" w:eastAsia="IRNazanin"/>
          <w:color w:val="111111"/>
          <w:sz w:val="28"/>
          <w:sz w:val="28"/>
          <w:szCs w:val="28"/>
          <w:rtl w:val="true"/>
          <w:lang w:bidi="fa-IR"/>
        </w:rPr>
        <w:t>مورد بحث و مناقشه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این مسئله هنگامی آشکارتر می‌شود که بدانیم یکی از مهم‌ترین دلایل برخی مخالفت‌های بین‌المللی با بعضی از کشورهای اسلامی،اجرای حدود اسلامی در آن کشورهاست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این اعتراض‌های بین‌المللی از سوی برخی صاحب‌نظران داخلی تقویت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صاحب‌نظران مشروع نبودن اجرای حدود را در زمان غیبت،دلیل همنوایی خود با مخالفت‌های خارجی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دلیل،ضروری است با نگاهی فقهی و دقیق به بررسی ابعاد این مسئله بپردازیم؛چراکه حل این مسئله در کنار برطرف کردن برخی شبهه‌ها،می‌تواند تأثیر انکارناپذیری بر روابط خارجی کشورهای اسلامی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فقهای متقدم در کتاب امر به معروف و نهی از منکر،و فقهای معاصر در بحث ولایت فقیه این مسئله را طرح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فقیهی که به این بحث اشاره کرده،شیخ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کتاب مقنعه همراه با اینکه ولایت فقیه را پذیرفته،اجرای حدود الهی را برای فقها جایز دانسته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بعد از ایشان نیز این موضوع مورد توجه فقها بوده و مخالفان و موافقانی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همچنان همچون بحثی فرعی در کتاب امر به معروف و نهی از منکر مطرح بوده،پس از بیان مراتب امر به معروف بدان پرداخته می‌شده 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احمد نراقی نخستین فقیهی است که ولایت فقیه را در قالب یک تئوری مدوّن ارائه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عائده پنجاه و چهارم کتاب معروف خود،عوائد الایام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 و ولایت فقیه را به اثبات رسانید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ضمن همین بحث،وی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الحدود و التعزیرات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یکی از ولایات فقیه برشمرد و به بررسی و اثبات این ولایت نیز مبادرت ورزید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بعد از نراقی توجه فقها بیش از پیش به نظریه ولایت فقیه معطوف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و 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بی‌نصیب نماند و برخی شاگردان نراقی در نوشته‌های خود به این بحث اشاره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بن</w:t>
      </w:r>
    </w:p>
    <w:p>
      <w:pPr>
        <w:pStyle w:val="BookText"/>
        <w:rPr/>
      </w:pPr>
      <w:r>
        <w:rPr>
          <w:rFonts w:ascii="IRNazanin" w:hAnsi="IRNazanin" w:eastAsia="IRNazanin"/>
          <w:color w:val="111111"/>
          <w:sz w:val="28"/>
          <w:sz w:val="28"/>
          <w:szCs w:val="28"/>
          <w:rtl w:val="true"/>
          <w:lang w:bidi="fa-IR"/>
        </w:rPr>
        <w:t>عبدالعزیز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رساله‌ای با عنوان النبیه فی وظایف الفقیه مقام چهارم این رساله را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و اساسی‌ترین محور مباحث این رساله نیز اقامه حدود در زمان غیبت به‌دست فقهاست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نخستین رساله مستقل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همین ایام به قلم سید محمدباقر شفتی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شفتی در این رساله،آرای فقهای پیشین را گرد آوری،دسته‌بندی و در برخی موارد تحلیل کرده است و در نهایت،خود ایشان ادله‌ای برای اثبات ولایت فقها بر اقامه حدود،ارائه نموده که عمدتاً دربرگیرنده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امتیازهای این اثر فقهی،موشکافی‌های نگارنده در سند روایات و مباحث دقیق رجالی در سلسله راویان احادیث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شفتی،کتاب مستقلی در این موضوع نوشته نشد،ولی در مجامع فقهی که در این ایام و پس از آن به نگارش درآمد،سهمی نیز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یافت و بزرگانی از فقها به اثبات یا رد ولایت فقیه بر اقامه حدود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مدافع اجرای حدود در زمان غیبت،صاحب جواهر است؛ </w:t>
      </w:r>
      <w:r>
        <w:rPr>
          <w:rStyle w:val="FootnoteAnchor"/>
          <w:rtl w:val="true"/>
        </w:rPr>
        <w:footnoteReference w:id="7"/>
      </w:r>
      <w:r>
        <w:rPr>
          <w:rFonts w:ascii="IRNazanin" w:hAnsi="IRNazanin" w:eastAsia="IRNazanin"/>
          <w:color w:val="111111"/>
          <w:sz w:val="28"/>
          <w:sz w:val="28"/>
          <w:szCs w:val="28"/>
          <w:rtl w:val="true"/>
          <w:lang w:bidi="fa-IR"/>
        </w:rPr>
        <w:t>در حالی که سید احمد خوانساری در جامع المدارک به شدت با نظر ایشان به مخالفت برخاست و نقدهای مهمی بر نظریه اجرای حدود در زمان غیبت وارد کرد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هرچند این نقدها از دید تیزبین و موشکافانه فقیهانی چون آیت‌اله خویی،پنهان نماند و باز در محک نقد و داوری قرار گرفت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وجود این که پس از برپایی نظام اسلامی،توجه ویژه به این مسئله ضروری می‌نمود،کار قابل توجهی در این زمینه صورت نگرفته و تنها برخی از فقها و حقوق‌دانان در آثار خود به این بحث اشاره کرده‌اند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به‌رغم این تلاش‌ها،به نظر می‌رسد ضروری است این موضوع بیشتر مورد بحث و بررسی قرار گیرد تا در کنار جمع‌آوری همه ادله و نقدها،با دیدی ژرف‌تر بدان نگریسته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در نظر دارد در کنار بررسی فرضیه تحقیق،پشتوانه علمی استواری برای متولیان اجرای حدود فراهم آورد و با تأیید نقش حاکم اسلامی در اجرای احکام جزایی اسلام،بتواند به شبهه‌های فقهی درباره موضوع تحقیق،پاسخ مناسب ارائه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آشنایی با دیدگاه‌ها و نوآوری‌های فقیهان در بحث مشروعیت اقامه حدود و تعزیرات،از دیگر اهداف تحقیق است تا از این رهگذر بتوان با تأکید بر کارآیی حقوق کیفری اسلام،به‌ویژه حدود و تعزیرات در دوران معاصر،برای تحکیم حکومت اسلامی،از طریق فراهم آوردن زمینه‌های علمی دفاع از شریعت اسلامی و اثبات کارآیی آن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سه بخش سامان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به کلیات اختصاص یافته،مباحث مفهوم‌شناسی و پیشینه را 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بخش بعدی بر اساس دیدگاه‌های موجود در موضوع مورد تحقیق سامان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دو دیدگاه عمده در مسئله اقامه حدود در عصر غیبت وجود دارد،مناسب دیدیم همه تحلیل‌ها و مباحث نظری در چارچوب همین دو دیدگاه ارائه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 در بخش دوم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عدم جواز اقامه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طرح مبانی،دلایل و نظریه‌پردازان دیدگاه عدم جواز پرداخته‌ایم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 این نوشتار،مبانی دلایل جواز اقامه حدود را بررسی می‌کند و در نهایت می‌کوشد پس از زدودن هر گونه اشکال،به نتیجه‌گیری برسد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وظیفه خود می‌دانم از همه اساتید بزرگواری که در تحصیل علم،خود را مرهون زحمات بی‌دریغ ایشان می‌دانم،به‌ویژه اساتید و اعضای هیئت علمی گروه فقه قضایی قدردانی کنم و بیش از همه از استاد گرامی حضرت حجت‌الاسلام و المسلمین دکتر وحدتی که در طول تحصیل،جرعه‌های زلال معارف اهل بیت علیهم السلام را بر ما عرضه داشتند و راهنمایی این‌جانب را در نگارش این کتاب پذیرفتند،سپاسگزاری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زحمات استاد ارجمند حضرت حجت‌الاسلام و المسلمین دکتر ارسطا که مشاوره بنده را عهده داشتند،صمیمانه تشکر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همه کسانی که در به ثمر رسیدن این پژوهش نقشی داشته‌اند،صمیمانه تشکر و قدردانی کرده،توفیقات روزافزون ایشان را از ذات باری‌تعالی خواهانم</w:t>
      </w:r>
      <w:r>
        <w:rPr>
          <w:rFonts w:eastAsia="IRNazanin" w:cs="IRNazanin"/>
          <w:color w:val="111111"/>
          <w:sz w:val="28"/>
          <w:szCs w:val="28"/>
          <w:rtl w:val="true"/>
          <w:lang w:bidi="fa-IR"/>
        </w:rPr>
        <w:t>.</w:t>
      </w:r>
      <w:bookmarkStart w:id="16" w:name="pg5664_43294"/>
    </w:p>
    <w:p>
      <w:pPr>
        <w:pStyle w:val="Heading2"/>
        <w:numPr>
          <w:ilvl w:val="1"/>
          <w:numId w:val="1"/>
        </w:numPr>
        <w:rPr/>
      </w:pPr>
      <w:bookmarkStart w:id="17" w:name="__RefHeading___Toc3419578_581953129"/>
      <w:bookmarkStart w:id="18" w:name="_Toc6"/>
      <w:bookmarkEnd w:id="16"/>
      <w:bookmarkEnd w:id="17"/>
      <w:r>
        <w:rPr>
          <w:rtl w:val="true"/>
        </w:rPr>
        <w:t>بخش اول</w:t>
      </w:r>
      <w:r>
        <w:rPr>
          <w:rtl w:val="true"/>
        </w:rPr>
        <w:t>:</w:t>
      </w:r>
      <w:r>
        <w:rPr>
          <w:rtl w:val="true"/>
        </w:rPr>
        <w:t>مفاهیم و مبانی تصوریه</w:t>
      </w:r>
      <w:bookmarkEnd w:id="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419580_581953129"/>
      <w:bookmarkStart w:id="20" w:name="_Toc7"/>
      <w:bookmarkEnd w:id="19"/>
      <w:r>
        <w:rPr>
          <w:rtl w:val="true"/>
        </w:rPr>
        <w:t>اشاره</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آغازین بخش این نوشتار،در سه فصل به بیان مفاهیم و کلیاتی می‌پردازیم که شناخت هرچه بیشتر موضوع،منوط به بازشناسی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 با عنوان مفاهیم،به بیان مفاهیمی اختصاص دارد که در عنوان تحقیق و نیز جای جای این اثر به کار می‌آیند و به همین دلیل،درک صحیح موضوع،وابسته به شناخت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فصل به مبانی تحقیق اشاره دارد و بنیان‌هایی را که فرضیه تحقیق بر آن استوار است،ارائه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 نیز با عنوان پیشینه اجرای حدود،می‌کوشد خواننده محترم را به گذشته‌های دور بَرَد و او را با واکنش پیشینیان در برابر جرایم حدی آشنا کند و تجربه‌هایی را که پیشینیان اندوخته‌اند،بر ما عرضه نماید و از این رهگذر،روشن سازد چگونه شرایط زمانی و مکانی بر موضوع اقامه حدود،سایه افکنده،آن را متأثر کرده است</w:t>
      </w:r>
      <w:r>
        <w:rPr>
          <w:rFonts w:eastAsia="IRNazanin" w:cs="IRNazanin"/>
          <w:color w:val="111111"/>
          <w:sz w:val="28"/>
          <w:szCs w:val="28"/>
          <w:rtl w:val="true"/>
          <w:lang w:bidi="fa-IR"/>
        </w:rPr>
        <w:t>.</w:t>
      </w:r>
      <w:bookmarkStart w:id="21" w:name="pg5664_43296"/>
    </w:p>
    <w:p>
      <w:pPr>
        <w:pStyle w:val="Heading3"/>
        <w:numPr>
          <w:ilvl w:val="2"/>
          <w:numId w:val="1"/>
        </w:numPr>
        <w:rPr/>
      </w:pPr>
      <w:bookmarkStart w:id="22" w:name="__RefHeading___Toc3419582_581953129"/>
      <w:bookmarkStart w:id="23" w:name="_Toc8"/>
      <w:bookmarkEnd w:id="21"/>
      <w:bookmarkEnd w:id="22"/>
      <w:r>
        <w:rPr/>
        <w:t>1</w:t>
      </w:r>
      <w:r>
        <w:rPr>
          <w:rtl w:val="true"/>
        </w:rPr>
        <w:t>-</w:t>
      </w:r>
      <w:r>
        <w:rPr>
          <w:rtl w:val="true"/>
        </w:rPr>
        <w:t>مفاهیم</w:t>
      </w:r>
      <w:bookmarkEnd w:id="23"/>
    </w:p>
    <w:p>
      <w:pPr>
        <w:pStyle w:val="Heading4"/>
        <w:numPr>
          <w:ilvl w:val="3"/>
          <w:numId w:val="1"/>
        </w:numPr>
        <w:rPr/>
      </w:pPr>
      <w:bookmarkStart w:id="24" w:name="__RefHeading___Toc3419584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مفاهیم</w:t>
      </w:r>
    </w:p>
    <w:p>
      <w:pPr>
        <w:pStyle w:val="BookText"/>
        <w:rPr/>
      </w:pPr>
      <w:r>
        <w:rPr>
          <w:rFonts w:ascii="IRNazanin" w:hAnsi="IRNazanin" w:eastAsia="IRNazanin"/>
          <w:color w:val="111111"/>
          <w:sz w:val="28"/>
          <w:sz w:val="28"/>
          <w:szCs w:val="28"/>
          <w:rtl w:val="true"/>
          <w:lang w:bidi="fa-IR"/>
        </w:rPr>
        <w:t>در این فصل که شامل دو مطلب می‌شود،مفاهیم مورد بحث به دو دسته مفاهیم به کار رفته در عنوان تحقیق،و مفاهیم مرتبط دسته‌بندی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این فصل که به بررسی اجزای عنوان تحقیق اختصاص دارد،به بررسی مفهومی واژگانِ حد،تعزیر،مشروعیت و عصر غیبت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دوم نیز با عنوان مفاهیم مرتبط،بررسی واژگانِ جرم و مجازات را هدف قرار داده است</w:t>
      </w:r>
      <w:r>
        <w:rPr>
          <w:rFonts w:eastAsia="IRNazanin" w:cs="IRNazanin"/>
          <w:color w:val="111111"/>
          <w:sz w:val="28"/>
          <w:szCs w:val="28"/>
          <w:rtl w:val="true"/>
          <w:lang w:bidi="fa-IR"/>
        </w:rPr>
        <w:t>.</w:t>
      </w:r>
    </w:p>
    <w:p>
      <w:pPr>
        <w:pStyle w:val="Heading4"/>
        <w:numPr>
          <w:ilvl w:val="3"/>
          <w:numId w:val="1"/>
        </w:numPr>
        <w:rPr/>
      </w:pPr>
      <w:bookmarkStart w:id="26" w:name="__RefHeading___Toc3419586_581953129"/>
      <w:bookmarkStart w:id="27" w:name="_Toc10"/>
      <w:bookmarkEnd w:id="26"/>
      <w:r>
        <w:rPr>
          <w:rtl w:val="true"/>
        </w:rPr>
        <w:t>حد</w:t>
      </w:r>
      <w:bookmarkEnd w:id="27"/>
    </w:p>
    <w:p>
      <w:pPr>
        <w:pStyle w:val="Heading5"/>
        <w:numPr>
          <w:ilvl w:val="4"/>
          <w:numId w:val="1"/>
        </w:numPr>
        <w:rPr/>
      </w:pPr>
      <w:bookmarkStart w:id="28" w:name="__RefHeading___Toc3419588_581953129"/>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واژه حد از واژگان بسیار پرکاربرد در مباحث جزایی و کیفری و فقه و روایات جزایی است و بسیاری از اصول و قواعدی جزایی،به‌گونه‌ای با این واژه در ارتباط‌اند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این،مهم‌ترین و کلیدی‌ترین واژه این نوشتار نیز همین واژه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رو،ضروری است مفهوم آن به طور کامل کاوش شود و نکات مهم آن استخراج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منظور،در این بحث ابتدا به واژه‌شناسی و اصطلاح‌شناسی حدود می‌پردازیم و مفهوم آن را از دید لغت‌شناسان،روایات و فقها بررسی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منظور بازشناسی و درک بهتر این مفهوم،به بررسی انواع جرایم حدی می‌پردازیم و در نهایت،وجوه تمایز این مفهوم را از دیگر مفاهیم مشابه ارائه می‌نماییم تا بدون هیچ اشتباه و التباسی مفهوم حدود روشن گردد</w:t>
      </w:r>
      <w:r>
        <w:rPr>
          <w:rFonts w:eastAsia="IRNazanin" w:cs="IRNazanin"/>
          <w:color w:val="111111"/>
          <w:sz w:val="28"/>
          <w:szCs w:val="28"/>
          <w:rtl w:val="true"/>
          <w:lang w:bidi="fa-IR"/>
        </w:rPr>
        <w:t>.</w:t>
      </w:r>
    </w:p>
    <w:p>
      <w:pPr>
        <w:pStyle w:val="Heading5"/>
        <w:numPr>
          <w:ilvl w:val="4"/>
          <w:numId w:val="1"/>
        </w:numPr>
        <w:rPr/>
      </w:pPr>
      <w:bookmarkStart w:id="30" w:name="__RefHeading___Toc3419590_581953129"/>
      <w:bookmarkStart w:id="31" w:name="_Toc12"/>
      <w:bookmarkEnd w:id="30"/>
      <w:r>
        <w:rPr/>
        <w:t>1</w:t>
      </w:r>
      <w:r>
        <w:rPr>
          <w:rtl w:val="true"/>
        </w:rPr>
        <w:t>-</w:t>
      </w:r>
      <w:r>
        <w:rPr>
          <w:rtl w:val="true"/>
        </w:rPr>
        <w:t>واژه شناسی حد</w:t>
      </w:r>
      <w:bookmarkEnd w:id="31"/>
    </w:p>
    <w:p>
      <w:pPr>
        <w:pStyle w:val="Heading6"/>
        <w:numPr>
          <w:ilvl w:val="5"/>
          <w:numId w:val="1"/>
        </w:numPr>
        <w:rPr/>
      </w:pPr>
      <w:bookmarkStart w:id="32" w:name="__RefHeading___Toc3419592_581953129"/>
      <w:bookmarkStart w:id="33" w:name="_Toc13"/>
      <w:bookmarkEnd w:id="32"/>
      <w:r>
        <w:rPr>
          <w:rtl w:val="true"/>
        </w:rPr>
        <w:t>اشاره</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بسیاری از واژه‌ها از مفهوم اولیه خود نقل پیدا کرده‌اند و چه‌بسا به مرور</w:t>
      </w:r>
      <w:bookmarkStart w:id="34" w:name="pg5664_43297"/>
    </w:p>
    <w:p>
      <w:pPr>
        <w:pStyle w:val="BookText"/>
        <w:rPr/>
      </w:pPr>
      <w:bookmarkEnd w:id="34"/>
      <w:r>
        <w:rPr>
          <w:rFonts w:ascii="IRNazanin" w:hAnsi="IRNazanin" w:eastAsia="IRNazanin"/>
          <w:color w:val="111111"/>
          <w:sz w:val="28"/>
          <w:sz w:val="28"/>
          <w:szCs w:val="28"/>
          <w:rtl w:val="true"/>
          <w:lang w:bidi="fa-IR"/>
        </w:rPr>
        <w:t>زمان دارای مفهومی خاص در علم خاصی شده باشند،اما بی‌گمان این مفاهیم نو همچنان ارتباطی وثیق با مفاهیم اولیه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رو،فهم دقیق بار معنایی یک واژه،مستلزم دانستن معنای لغوی،شناخت ریشه اشتقاقی و مشتقات آن است</w:t>
      </w:r>
      <w:r>
        <w:rPr>
          <w:rFonts w:eastAsia="IRNazanin" w:cs="IRNazanin"/>
          <w:color w:val="111111"/>
          <w:sz w:val="28"/>
          <w:szCs w:val="28"/>
          <w:rtl w:val="true"/>
          <w:lang w:bidi="fa-IR"/>
        </w:rPr>
        <w:t>.</w:t>
      </w:r>
    </w:p>
    <w:p>
      <w:pPr>
        <w:pStyle w:val="Heading6"/>
        <w:numPr>
          <w:ilvl w:val="5"/>
          <w:numId w:val="1"/>
        </w:numPr>
        <w:rPr/>
      </w:pPr>
      <w:bookmarkStart w:id="35" w:name="__RefHeading___Toc3419594_581953129"/>
      <w:bookmarkStart w:id="36" w:name="_Toc14"/>
      <w:bookmarkEnd w:id="35"/>
      <w:r>
        <w:rPr>
          <w:rtl w:val="true"/>
        </w:rPr>
        <w:t>الف</w:t>
      </w:r>
      <w:r>
        <w:rPr>
          <w:rtl w:val="true"/>
        </w:rPr>
        <w:t>)</w:t>
      </w:r>
      <w:r>
        <w:rPr>
          <w:rtl w:val="true"/>
        </w:rPr>
        <w:t>ریشه واژه حد</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الفاظ مشترک است که یا از حدَّ یحَد به معنای غضبناک شدن، </w:t>
      </w:r>
      <w:r>
        <w:rPr>
          <w:rStyle w:val="FootnoteAnchor"/>
          <w:rtl w:val="true"/>
        </w:rPr>
        <w:footnoteReference w:id="10"/>
      </w:r>
      <w:r>
        <w:rPr>
          <w:rFonts w:ascii="IRNazanin" w:hAnsi="IRNazanin" w:eastAsia="IRNazanin"/>
          <w:color w:val="111111"/>
          <w:sz w:val="28"/>
          <w:sz w:val="28"/>
          <w:szCs w:val="28"/>
          <w:rtl w:val="true"/>
          <w:lang w:bidi="fa-IR"/>
        </w:rPr>
        <w:t>و یا از حدَّ یحُد در معانی متعددی ریشه گرفته،در این معانی گوناگون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متمایز کردن،حد و مرز ساختن،تیز کردن،منصرف کردن،بازداشتن از انجام کار،اجرای حدود الهی،پوشیدن لباس سیاه و عزاداری کردن در سوگ عزیزان</w:t>
      </w:r>
      <w:r>
        <w:rPr>
          <w:rFonts w:eastAsia="IRNazanin" w:cs="IRNazanin"/>
          <w:color w:val="111111"/>
          <w:sz w:val="28"/>
          <w:szCs w:val="28"/>
          <w:rtl w:val="true"/>
          <w:lang w:bidi="fa-IR"/>
        </w:rPr>
        <w:t xml:space="preserve">. </w:t>
      </w:r>
      <w:r>
        <w:rPr>
          <w:rStyle w:val="FootnoteAnchor"/>
          <w:rtl w:val="true"/>
        </w:rPr>
        <w:footnoteReference w:id="11"/>
      </w:r>
    </w:p>
    <w:p>
      <w:pPr>
        <w:pStyle w:val="Heading6"/>
        <w:numPr>
          <w:ilvl w:val="5"/>
          <w:numId w:val="1"/>
        </w:numPr>
        <w:rPr/>
      </w:pPr>
      <w:bookmarkStart w:id="37" w:name="__RefHeading___Toc3419596_581953129"/>
      <w:bookmarkStart w:id="38" w:name="_Toc15"/>
      <w:bookmarkEnd w:id="37"/>
      <w:r>
        <w:rPr>
          <w:rtl w:val="true"/>
        </w:rPr>
        <w:t>ب</w:t>
      </w:r>
      <w:r>
        <w:rPr>
          <w:rtl w:val="true"/>
        </w:rPr>
        <w:t>)</w:t>
      </w:r>
      <w:r>
        <w:rPr>
          <w:rtl w:val="true"/>
        </w:rPr>
        <w:t>معنای اصلی واژه</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متعددی دارد،واژه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اسمی نیز در معانی متعددی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معانی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و حبس، </w:t>
      </w:r>
      <w:r>
        <w:rPr>
          <w:rStyle w:val="FootnoteAnchor"/>
          <w:rtl w:val="true"/>
        </w:rPr>
        <w:footnoteReference w:id="12"/>
      </w:r>
      <w:r>
        <w:rPr>
          <w:rFonts w:ascii="IRNazanin" w:hAnsi="IRNazanin" w:eastAsia="IRNazanin"/>
          <w:color w:val="111111"/>
          <w:sz w:val="28"/>
          <w:sz w:val="28"/>
          <w:szCs w:val="28"/>
          <w:rtl w:val="true"/>
          <w:lang w:bidi="fa-IR"/>
        </w:rPr>
        <w:t xml:space="preserve">حایل یا فاصل میان دو چیز، </w:t>
      </w:r>
      <w:r>
        <w:rPr>
          <w:rStyle w:val="FootnoteAnchor"/>
          <w:rtl w:val="true"/>
        </w:rPr>
        <w:footnoteReference w:id="13"/>
      </w:r>
      <w:r>
        <w:rPr>
          <w:rFonts w:ascii="IRNazanin" w:hAnsi="IRNazanin" w:eastAsia="IRNazanin"/>
          <w:color w:val="111111"/>
          <w:sz w:val="28"/>
          <w:sz w:val="28"/>
          <w:szCs w:val="28"/>
          <w:rtl w:val="true"/>
          <w:lang w:bidi="fa-IR"/>
        </w:rPr>
        <w:t xml:space="preserve">مکان،ناحیه،سوی،جانب، </w:t>
      </w:r>
      <w:r>
        <w:rPr>
          <w:rStyle w:val="FootnoteAnchor"/>
          <w:rtl w:val="true"/>
        </w:rPr>
        <w:footnoteReference w:id="14"/>
      </w:r>
      <w:r>
        <w:rPr>
          <w:rFonts w:ascii="IRNazanin" w:hAnsi="IRNazanin" w:eastAsia="IRNazanin"/>
          <w:color w:val="111111"/>
          <w:sz w:val="28"/>
          <w:sz w:val="28"/>
          <w:szCs w:val="28"/>
          <w:rtl w:val="true"/>
          <w:lang w:bidi="fa-IR"/>
        </w:rPr>
        <w:t xml:space="preserve">نهایت هر چیز، </w:t>
      </w:r>
      <w:r>
        <w:rPr>
          <w:rStyle w:val="FootnoteAnchor"/>
          <w:rtl w:val="true"/>
        </w:rPr>
        <w:footnoteReference w:id="15"/>
      </w:r>
      <w:r>
        <w:rPr>
          <w:rFonts w:ascii="IRNazanin" w:hAnsi="IRNazanin" w:eastAsia="IRNazanin"/>
          <w:color w:val="111111"/>
          <w:sz w:val="28"/>
          <w:sz w:val="28"/>
          <w:szCs w:val="28"/>
          <w:rtl w:val="true"/>
          <w:lang w:bidi="fa-IR"/>
        </w:rPr>
        <w:t xml:space="preserve">حکم شرعی، </w:t>
      </w:r>
      <w:r>
        <w:rPr>
          <w:rStyle w:val="FootnoteAnchor"/>
          <w:rtl w:val="true"/>
        </w:rPr>
        <w:footnoteReference w:id="16"/>
      </w:r>
      <w:r>
        <w:rPr>
          <w:rFonts w:ascii="IRNazanin" w:hAnsi="IRNazanin" w:eastAsia="IRNazanin"/>
          <w:color w:val="111111"/>
          <w:sz w:val="28"/>
          <w:sz w:val="28"/>
          <w:szCs w:val="28"/>
          <w:rtl w:val="true"/>
          <w:lang w:bidi="fa-IR"/>
        </w:rPr>
        <w:t xml:space="preserve">عقوبتی که گناهکار را از بازگشت به گناه بازمی‌دارد و موجب تأدیب و عبرت دیگران می‌شود، </w:t>
      </w:r>
      <w:r>
        <w:rPr>
          <w:rStyle w:val="FootnoteAnchor"/>
          <w:rtl w:val="true"/>
        </w:rPr>
        <w:footnoteReference w:id="17"/>
      </w:r>
      <w:r>
        <w:rPr>
          <w:rFonts w:ascii="IRNazanin" w:hAnsi="IRNazanin" w:eastAsia="IRNazanin"/>
          <w:color w:val="111111"/>
          <w:sz w:val="28"/>
          <w:sz w:val="28"/>
          <w:szCs w:val="28"/>
          <w:rtl w:val="true"/>
          <w:lang w:bidi="fa-IR"/>
        </w:rPr>
        <w:t xml:space="preserve">پیوسته،چسبنده، </w:t>
      </w:r>
      <w:r>
        <w:rPr>
          <w:rStyle w:val="FootnoteAnchor"/>
          <w:rtl w:val="true"/>
        </w:rPr>
        <w:footnoteReference w:id="18"/>
      </w:r>
      <w:r>
        <w:rPr>
          <w:rFonts w:ascii="IRNazanin" w:hAnsi="IRNazanin" w:eastAsia="IRNazanin"/>
          <w:color w:val="111111"/>
          <w:sz w:val="28"/>
          <w:sz w:val="28"/>
          <w:szCs w:val="28"/>
          <w:rtl w:val="true"/>
          <w:lang w:bidi="fa-IR"/>
        </w:rPr>
        <w:t xml:space="preserve">صلابت و استواری، </w:t>
      </w:r>
      <w:r>
        <w:rPr>
          <w:rStyle w:val="FootnoteAnchor"/>
          <w:rtl w:val="true"/>
        </w:rPr>
        <w:footnoteReference w:id="19"/>
      </w:r>
      <w:r>
        <w:rPr>
          <w:rFonts w:ascii="IRNazanin" w:hAnsi="IRNazanin" w:eastAsia="IRNazanin"/>
          <w:color w:val="111111"/>
          <w:sz w:val="28"/>
          <w:sz w:val="28"/>
          <w:szCs w:val="28"/>
          <w:rtl w:val="true"/>
          <w:lang w:bidi="fa-IR"/>
        </w:rPr>
        <w:t xml:space="preserve">منتهای هر شیء،نقطه‌ای که آن چیز بدان منتهی می‌شود و از آن فراتر نمی‌رود، </w:t>
      </w:r>
      <w:r>
        <w:rPr>
          <w:rStyle w:val="FootnoteAnchor"/>
          <w:rtl w:val="true"/>
        </w:rPr>
        <w:footnoteReference w:id="20"/>
      </w:r>
      <w:r>
        <w:rPr>
          <w:rFonts w:ascii="IRNazanin" w:hAnsi="IRNazanin" w:eastAsia="IRNazanin"/>
          <w:color w:val="111111"/>
          <w:sz w:val="28"/>
          <w:sz w:val="28"/>
          <w:szCs w:val="28"/>
          <w:rtl w:val="true"/>
          <w:lang w:bidi="fa-IR"/>
        </w:rPr>
        <w:t>سختی و شدت و</w:t>
      </w:r>
    </w:p>
    <w:p>
      <w:pPr>
        <w:pStyle w:val="BookText"/>
        <w:rPr/>
      </w:pPr>
      <w:r>
        <w:rPr>
          <w:rFonts w:ascii="IRNazanin" w:hAnsi="IRNazanin" w:eastAsia="IRNazanin"/>
          <w:color w:val="111111"/>
          <w:sz w:val="28"/>
          <w:sz w:val="28"/>
          <w:szCs w:val="28"/>
          <w:rtl w:val="true"/>
          <w:lang w:bidi="fa-IR"/>
        </w:rPr>
        <w:t xml:space="preserve">هیبت مرد از خشم، </w:t>
      </w:r>
      <w:r>
        <w:rPr>
          <w:rStyle w:val="FootnoteAnchor"/>
          <w:rtl w:val="true"/>
        </w:rPr>
        <w:footnoteReference w:id="21"/>
      </w:r>
      <w:r>
        <w:rPr>
          <w:rFonts w:ascii="IRNazanin" w:hAnsi="IRNazanin" w:eastAsia="IRNazanin"/>
          <w:color w:val="111111"/>
          <w:sz w:val="28"/>
          <w:sz w:val="28"/>
          <w:szCs w:val="28"/>
          <w:rtl w:val="true"/>
          <w:lang w:bidi="fa-IR"/>
        </w:rPr>
        <w:t xml:space="preserve">تیزنای شمشیر و مانند آن، </w:t>
      </w:r>
      <w:r>
        <w:rPr>
          <w:rStyle w:val="FootnoteAnchor"/>
          <w:rtl w:val="true"/>
        </w:rPr>
        <w:footnoteReference w:id="22"/>
      </w:r>
      <w:r>
        <w:rPr>
          <w:rFonts w:ascii="IRNazanin" w:hAnsi="IRNazanin" w:eastAsia="IRNazanin"/>
          <w:color w:val="111111"/>
          <w:sz w:val="28"/>
          <w:sz w:val="28"/>
          <w:szCs w:val="28"/>
          <w:rtl w:val="true"/>
          <w:lang w:bidi="fa-IR"/>
        </w:rPr>
        <w:t>تندی و تیزی شراب</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به‌راستی کدام‌یک از این معانی،معنای اصلی و حقیقی این واژه است تا دیگر معانی مجازی پنداشته شود؟آیا می‌توان جامعی در نظر گرفت و همه این معانی را به آن برگرداند؟</w:t>
      </w:r>
    </w:p>
    <w:p>
      <w:pPr>
        <w:pStyle w:val="BookText"/>
        <w:rPr/>
      </w:pPr>
      <w:r>
        <w:rPr>
          <w:rFonts w:ascii="IRNazanin" w:hAnsi="IRNazanin" w:eastAsia="IRNazanin"/>
          <w:color w:val="111111"/>
          <w:sz w:val="28"/>
          <w:sz w:val="28"/>
          <w:szCs w:val="28"/>
          <w:rtl w:val="true"/>
          <w:lang w:bidi="fa-IR"/>
        </w:rPr>
        <w:t>برخی از لغت‌شناسان معنای اصلی این واژه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می‌دانند، </w:t>
      </w:r>
      <w:r>
        <w:rPr>
          <w:rStyle w:val="FootnoteAnchor"/>
          <w:rtl w:val="true"/>
        </w:rPr>
        <w:footnoteReference w:id="24"/>
      </w:r>
      <w:r>
        <w:rPr>
          <w:rFonts w:ascii="IRNazanin" w:hAnsi="IRNazanin" w:eastAsia="IRNazanin"/>
          <w:color w:val="111111"/>
          <w:sz w:val="28"/>
          <w:sz w:val="28"/>
          <w:szCs w:val="28"/>
          <w:rtl w:val="true"/>
          <w:lang w:bidi="fa-IR"/>
        </w:rPr>
        <w:t>ولی بعضی اصل آن را شدت و حدّت دانسته،بر اساس آن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بنابراین،حدود،منصرف است به احکامی که در آنها الزام است؛چه واجب باشند چه حرام،و این به مناسبت مفهوم حدّت و تندی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برخی دیگر از اهل لغت بیش از یک معنای حقیقی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فصل</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انتهای شیء</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را برای این واژه برشمرده‌اند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می‌رسد بازگشت همه این معانی به منع و مانع بودن است و فاصل و انتهای شیء نیز به همان منع برمی‌گردد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دقت در 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تسمیه آنها به خوبی این دیدگاه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تیزبین و دقیق از آن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مخفی شدن دیدنی‌ها را منع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فَبَصَرُکَ الْیَوْمَ حَدِیدٌ</w:t>
      </w:r>
      <w:r>
        <w:rPr>
          <w:rFonts w:eastAsia="IRNazanin" w:cs="IRNazanin"/>
          <w:color w:val="111111"/>
          <w:sz w:val="28"/>
          <w:szCs w:val="28"/>
          <w:rtl w:val="true"/>
          <w:lang w:bidi="fa-IR"/>
        </w:rPr>
        <w:t xml:space="preserve">» . </w:t>
      </w:r>
      <w:r>
        <w:rPr>
          <w:rStyle w:val="FootnoteAnchor"/>
          <w:rtl w:val="true"/>
        </w:rPr>
        <w:footnoteReference w:id="29"/>
      </w:r>
      <w:r>
        <w:rPr>
          <w:rFonts w:ascii="IRNazanin" w:hAnsi="IRNazanin" w:eastAsia="IRNazanin"/>
          <w:color w:val="111111"/>
          <w:sz w:val="28"/>
          <w:sz w:val="28"/>
          <w:szCs w:val="28"/>
          <w:rtl w:val="true"/>
          <w:lang w:bidi="fa-IR"/>
        </w:rPr>
        <w:t>به زبان گویا و سخنگو از آن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از آدمی دفاع می‌کند و از مغلوب شدن در گفت‌وگو مانع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مجازات‌های حدی نیز از آن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مرتکب را از ارتکاب دوباره جرم و دیگران را از آغاز به جرم بازمی‌دارد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هر چند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است،نمی‌توان انکار کرد که نوعی از تعیین و مقدر بودن نیز در معنای آن دیده می‌شود</w:t>
      </w:r>
      <w:r>
        <w:rPr>
          <w:rFonts w:eastAsia="IRNazanin" w:cs="IRNazanin"/>
          <w:color w:val="111111"/>
          <w:sz w:val="28"/>
          <w:szCs w:val="28"/>
          <w:rtl w:val="true"/>
          <w:lang w:bidi="fa-IR"/>
        </w:rPr>
        <w:t>.</w:t>
      </w:r>
      <w:bookmarkStart w:id="39" w:name="pg5664_43299"/>
    </w:p>
    <w:p>
      <w:pPr>
        <w:pStyle w:val="BookText"/>
        <w:rPr/>
      </w:pPr>
      <w:bookmarkEnd w:id="39"/>
      <w:r>
        <w:rPr>
          <w:rFonts w:ascii="IRNazanin" w:hAnsi="IRNazanin" w:eastAsia="IRNazanin"/>
          <w:color w:val="111111"/>
          <w:sz w:val="28"/>
          <w:sz w:val="28"/>
          <w:szCs w:val="28"/>
          <w:rtl w:val="true"/>
          <w:lang w:bidi="fa-IR"/>
        </w:rPr>
        <w:t>با توجه به ارتباط اصطلاحات فقهی با معانی لغوی،پذیرش هر کدام از دیدگاه‌های فوق می‌تواند تفسیری خاص از ماهیت حدود ارائه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 حد 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بدانیم،آنچه ماهیت مجازات‌های حدی را تشکیل می‌دهد،شدید بودن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حد را در اصل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بدانیم،آنچه بیش از همه در مفهوم حد نمایان است،بازدارندگی و نقش آن در اصلاح و تربیت فرد و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تعیین و تحدید را معنای اصلی بدانیم،مقدر بودن حدود آن را از دیگر مجازات‌های اسلامی متمایز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دیدگاه دیگری نیز درباره اصل واژه حد قابل طرح است؛شاید بتوان حد را مشترک لفظی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اساس،این واژه سه معنای اصلی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حدّت،منع و رد،معین و محدود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پذیرش این نظریه می‌توان تفسیری خاص از ماهیت حدود ارائه داد و گفت واژه حد به نوعی وامدار هر سه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حد مجازاتی است شدید،معین،مقدر و در عین حال بازدارنده و اصلاحی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علومی چون منطق </w:t>
      </w:r>
      <w:r>
        <w:rPr>
          <w:rStyle w:val="FootnoteAnchor"/>
          <w:rtl w:val="true"/>
        </w:rPr>
        <w:footnoteReference w:id="31"/>
      </w:r>
      <w:r>
        <w:rPr>
          <w:rFonts w:ascii="IRNazanin" w:hAnsi="IRNazanin" w:eastAsia="IRNazanin"/>
          <w:color w:val="111111"/>
          <w:sz w:val="28"/>
          <w:sz w:val="28"/>
          <w:szCs w:val="28"/>
          <w:rtl w:val="true"/>
          <w:lang w:bidi="fa-IR"/>
        </w:rPr>
        <w:t>و ریاضی نیز برای تعریف مفاهیمی خاص به کار می‌رود که این مفاهیم با مفهوم لغوی حد بی‌ارتباط نیست</w:t>
      </w:r>
      <w:r>
        <w:rPr>
          <w:rFonts w:eastAsia="IRNazanin" w:cs="IRNazanin"/>
          <w:color w:val="111111"/>
          <w:sz w:val="28"/>
          <w:szCs w:val="28"/>
          <w:rtl w:val="true"/>
          <w:lang w:bidi="fa-IR"/>
        </w:rPr>
        <w:t xml:space="preserve">. </w:t>
      </w:r>
      <w:r>
        <w:rPr>
          <w:rStyle w:val="FootnoteAnchor"/>
          <w:rtl w:val="true"/>
        </w:rPr>
        <w:footnoteReference w:id="32"/>
      </w:r>
    </w:p>
    <w:p>
      <w:pPr>
        <w:pStyle w:val="Heading5"/>
        <w:numPr>
          <w:ilvl w:val="4"/>
          <w:numId w:val="1"/>
        </w:numPr>
        <w:rPr/>
      </w:pPr>
      <w:bookmarkStart w:id="40" w:name="__RefHeading___Toc3419598_581953129"/>
      <w:bookmarkStart w:id="41" w:name="_Toc16"/>
      <w:bookmarkEnd w:id="40"/>
      <w:r>
        <w:rPr/>
        <w:t>2</w:t>
      </w:r>
      <w:r>
        <w:rPr>
          <w:rtl w:val="true"/>
        </w:rPr>
        <w:t>-</w:t>
      </w:r>
      <w:r>
        <w:rPr>
          <w:rtl w:val="true"/>
        </w:rPr>
        <w:t>اصطلاح‌شناسی حد</w:t>
      </w:r>
      <w:bookmarkEnd w:id="41"/>
    </w:p>
    <w:p>
      <w:pPr>
        <w:pStyle w:val="Heading6"/>
        <w:numPr>
          <w:ilvl w:val="5"/>
          <w:numId w:val="1"/>
        </w:numPr>
        <w:rPr/>
      </w:pPr>
      <w:bookmarkStart w:id="42" w:name="__RefHeading___Toc3419600_581953129"/>
      <w:bookmarkStart w:id="43" w:name="_Toc17"/>
      <w:bookmarkEnd w:id="42"/>
      <w:r>
        <w:rPr>
          <w:rtl w:val="true"/>
        </w:rPr>
        <w:t>الف</w:t>
      </w:r>
      <w:r>
        <w:rPr>
          <w:rtl w:val="true"/>
        </w:rPr>
        <w:t>)</w:t>
      </w:r>
      <w:r>
        <w:rPr>
          <w:rtl w:val="true"/>
        </w:rPr>
        <w:t>حد در متون دینی</w:t>
      </w:r>
      <w:bookmarkEnd w:id="43"/>
    </w:p>
    <w:p>
      <w:pPr>
        <w:pStyle w:val="Heading6"/>
        <w:numPr>
          <w:ilvl w:val="5"/>
          <w:numId w:val="1"/>
        </w:numPr>
        <w:rPr/>
      </w:pPr>
      <w:bookmarkStart w:id="44" w:name="__RefHeading___Toc3419602_581953129"/>
      <w:bookmarkStart w:id="45" w:name="_Toc18"/>
      <w:bookmarkEnd w:id="44"/>
      <w:r>
        <w:rPr>
          <w:rtl w:val="true"/>
        </w:rPr>
        <w:t>اشاره</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سخن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و روایات همین معنایی</w:t>
      </w:r>
      <w:bookmarkStart w:id="46" w:name="pg5664_43300"/>
    </w:p>
    <w:p>
      <w:pPr>
        <w:pStyle w:val="BookText"/>
        <w:rPr/>
      </w:pPr>
      <w:bookmarkEnd w:id="46"/>
      <w:r>
        <w:rPr>
          <w:rFonts w:ascii="IRNazanin" w:hAnsi="IRNazanin" w:eastAsia="IRNazanin"/>
          <w:color w:val="111111"/>
          <w:sz w:val="28"/>
          <w:sz w:val="28"/>
          <w:szCs w:val="28"/>
          <w:rtl w:val="true"/>
          <w:lang w:bidi="fa-IR"/>
        </w:rPr>
        <w:t>است که مورد تسالم فقهاست؟به عبارت دیگر،آیا واژه حد از معنای لغوی به یک معنای خاص محدود منتقل گردیده،به اصطلاح در این معنا حقیقت شرعی شده است؟</w:t>
      </w:r>
    </w:p>
    <w:p>
      <w:pPr>
        <w:pStyle w:val="BookText"/>
        <w:rPr/>
      </w:pPr>
      <w:r>
        <w:rPr>
          <w:rFonts w:ascii="IRNazanin" w:hAnsi="IRNazanin" w:eastAsia="IRNazanin"/>
          <w:color w:val="111111"/>
          <w:sz w:val="28"/>
          <w:sz w:val="28"/>
          <w:szCs w:val="28"/>
          <w:rtl w:val="true"/>
          <w:lang w:bidi="fa-IR"/>
        </w:rPr>
        <w:t>می‌دانیم که زمانی یک واژه در معنای ثانوی حقیقت شرعی می‌شود که در زمان شارع در چنین معنایی به‌کار رفته و به قدری ذهن مردم با آن معنا انس یافته باشد که بدون آوردن قرینه،به مجرد کاربرد آن واژه،معنای دوم به ذهن تبادر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مطلب در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یا خیر؟</w:t>
      </w:r>
    </w:p>
    <w:p>
      <w:pPr>
        <w:pStyle w:val="Heading6"/>
        <w:numPr>
          <w:ilvl w:val="5"/>
          <w:numId w:val="1"/>
        </w:numPr>
        <w:rPr/>
      </w:pPr>
      <w:bookmarkStart w:id="47" w:name="__RefHeading___Toc3419604_581953129"/>
      <w:bookmarkStart w:id="48" w:name="_Toc19"/>
      <w:bookmarkEnd w:id="47"/>
      <w:r>
        <w:rPr>
          <w:rtl w:val="true"/>
        </w:rPr>
        <w:t>یکم</w:t>
      </w:r>
      <w:r>
        <w:rPr>
          <w:rtl w:val="true"/>
        </w:rPr>
        <w:t>)</w:t>
      </w:r>
      <w:r>
        <w:rPr>
          <w:rtl w:val="true"/>
        </w:rPr>
        <w:t>حد در قرآن</w:t>
      </w:r>
      <w:bookmarkEnd w:id="48"/>
    </w:p>
    <w:p>
      <w:pPr>
        <w:pStyle w:val="BookText"/>
        <w:rPr/>
      </w:pPr>
      <w:r>
        <w:rPr>
          <w:rFonts w:ascii="IRNazanin" w:hAnsi="IRNazanin" w:eastAsia="IRNazanin"/>
          <w:color w:val="111111"/>
          <w:sz w:val="28"/>
          <w:sz w:val="28"/>
          <w:szCs w:val="28"/>
          <w:rtl w:val="true"/>
          <w:lang w:bidi="fa-IR"/>
        </w:rPr>
        <w:t>در مجموع واژه حد چهارده بار در نه آیه قرآن به‌صورت جمع،یعنی حدود به‌کار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در همه آیاتی که واژه حدود در آن آمده،آن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کسی که به این حدود تعدی کند،به حدود خدا تعدی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به معنای مجازات و عقوبت گناهکار نیست،بلکه به معنای احکام الله و اوامر و نواهی الهی بوده،بیشتر برای بیان حد و مرز </w:t>
      </w:r>
      <w:r>
        <w:rPr>
          <w:rStyle w:val="FootnoteAnchor"/>
          <w:rtl w:val="true"/>
        </w:rPr>
        <w:footnoteReference w:id="33"/>
      </w:r>
      <w:r>
        <w:rPr>
          <w:rFonts w:ascii="IRNazanin" w:hAnsi="IRNazanin" w:eastAsia="IRNazanin"/>
          <w:color w:val="111111"/>
          <w:sz w:val="28"/>
          <w:sz w:val="28"/>
          <w:szCs w:val="28"/>
          <w:rtl w:val="true"/>
          <w:lang w:bidi="fa-IR"/>
        </w:rPr>
        <w:t>رفتارها،اختیارات و دخالت‌های آدمیان در ارتباط با یکدیگر است و بیشترین مواردی که در قرآن از آن یاد شده،درباره روابط مرد و زن به عنوان زن و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پس از ذکر قسمت‌هایی از احکام روزه و اعتکاف،از این احکام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است؛مرز میان حلال و حرام،و از نزدیک شدن به این حدود و مرزها بر حذر داشته است؛چرا که نزدیک شدن به مرز،وسوسه‌انگیز است و گاه سبب می‌شود آدمی بر اثر طغیان شهوت یا گرفتار شدن به اشتباه از آن بگذرد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مواردی اشاره دارد که نادیده گرفتن آنها به‌ویژه هنگام طلاق،می‌تواند تعدی به حقوق زن در مقام همسر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افزون بر روابط زن و مرد،همچنین نگهداری دقیق از اموال یتیمان و چگونگی تقسیم ارث میان بازماندگان را حدود دانسته و از تعدی این حدود منع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دیگری نیز که به‌عنوان حدود در قرآن طرح شده،باز به زوایای دیگری از همین مسائل اشاره دارد</w:t>
      </w:r>
      <w:r>
        <w:rPr>
          <w:rFonts w:eastAsia="IRNazanin" w:cs="IRNazanin"/>
          <w:color w:val="111111"/>
          <w:sz w:val="28"/>
          <w:szCs w:val="28"/>
          <w:rtl w:val="true"/>
          <w:lang w:bidi="fa-IR"/>
        </w:rPr>
        <w:t>.</w:t>
      </w:r>
      <w:bookmarkStart w:id="49" w:name="pg5664_43301"/>
    </w:p>
    <w:p>
      <w:pPr>
        <w:pStyle w:val="BookText"/>
        <w:rPr/>
      </w:pPr>
      <w:bookmarkEnd w:id="49"/>
      <w:r>
        <w:rPr>
          <w:rFonts w:ascii="IRNazanin" w:hAnsi="IRNazanin" w:eastAsia="IRNazanin"/>
          <w:color w:val="111111"/>
          <w:sz w:val="28"/>
          <w:sz w:val="28"/>
          <w:szCs w:val="28"/>
          <w:rtl w:val="true"/>
          <w:lang w:bidi="fa-IR"/>
        </w:rPr>
        <w:t>از نگاه دینی و بنا به تعریف‌های متون مقدس،در میان انواع روابطی که آدمیان با هم دارند،رابطه زن و شوهر با هم،نزدیک‌ترین و درهم تنیده‌ترین رابطه‌ها شمرده شده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بدیهی است هر اندازه روابط آدم‌ها به هم نزدیک‌تر و در هم تنیده‌تر باشد،امکان تجاوز آنان به یکدیگر نیز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قرآن از عرب‌هایی که در پنهان‌کاری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نفاق شدیدتری از دیگران به سر می‌برند،این است که علت دوام چنین مناسباتی،آگاه نبودن آنان از حدودی است که خدا بر پیامبر نازل کرده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در آیه اول،سوره طلاق،آنجا که از متارکه میان زن و مرد سخن رفته،آمده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خانه‌هایشان بیرون نکنید و بیرون نروند،مگر آنکه مرتکب فحشای آشکار شده باشند،و این حدود خداست،و کسی که به حدود خدا تعدی کند،به نفس خویش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حد در اصل به معنای منع و فصل است،گویا همه حدود شرعی و احکام الهی میان حلال و حرام جدایی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نکته ظریفی در این آیات به چشم می‌خورد؛برخی از این احکام و نواهی نظیر فواحش چنان اهمیتی دارند که از نزدیک شدن به آنها نهی شده،ولی در دیگر حدود الهی،صرفاً تعدی آنها مورد توجه و نهی قرار گرفته است</w:t>
      </w:r>
      <w:r>
        <w:rPr>
          <w:rFonts w:eastAsia="IRNazanin" w:cs="IRNazanin"/>
          <w:color w:val="111111"/>
          <w:sz w:val="28"/>
          <w:szCs w:val="28"/>
          <w:rtl w:val="true"/>
          <w:lang w:bidi="fa-IR"/>
        </w:rPr>
        <w:t xml:space="preserve">. </w:t>
      </w:r>
      <w:r>
        <w:rPr>
          <w:rStyle w:val="FootnoteAnchor"/>
          <w:rtl w:val="true"/>
        </w:rPr>
        <w:footnoteReference w:id="36"/>
      </w:r>
    </w:p>
    <w:p>
      <w:pPr>
        <w:pStyle w:val="Heading6"/>
        <w:numPr>
          <w:ilvl w:val="5"/>
          <w:numId w:val="1"/>
        </w:numPr>
        <w:rPr/>
      </w:pPr>
      <w:bookmarkStart w:id="50" w:name="__RefHeading___Toc3419606_581953129"/>
      <w:bookmarkStart w:id="51" w:name="_Toc20"/>
      <w:bookmarkEnd w:id="50"/>
      <w:r>
        <w:rPr>
          <w:rtl w:val="true"/>
        </w:rPr>
        <w:t>دوم</w:t>
      </w:r>
      <w:r>
        <w:rPr>
          <w:rtl w:val="true"/>
        </w:rPr>
        <w:t>)</w:t>
      </w:r>
      <w:r>
        <w:rPr>
          <w:rtl w:val="true"/>
        </w:rPr>
        <w:t>حد در اصطلاح روایی</w:t>
      </w:r>
      <w:bookmarkEnd w:id="51"/>
    </w:p>
    <w:p>
      <w:pPr>
        <w:pStyle w:val="BookText"/>
        <w:rPr/>
      </w:pPr>
      <w:r>
        <w:rPr>
          <w:rFonts w:ascii="IRNazanin" w:hAnsi="IRNazanin" w:eastAsia="IRNazanin"/>
          <w:color w:val="111111"/>
          <w:sz w:val="28"/>
          <w:sz w:val="28"/>
          <w:szCs w:val="28"/>
          <w:rtl w:val="true"/>
          <w:lang w:bidi="fa-IR"/>
        </w:rPr>
        <w:t>از دیدگاه روایات نیز حد،صرفاً به‌معنای مجازات معین و مشخص نیامده،بلکه به معانی متعدد آمده است؛مثل حقوق و الدین،شرب خمر و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بر آن‌اند که در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معنا در روایات به کار رفته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معین شرعی مثل حد زنا و سرقت؛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عقوبت؛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نامعین شرعی؛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برخی دیگر مدعی‌اند در مجموع در متون دینی،حد سه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احکام 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معناست فرمایش الهی در قرآن کریم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اطلاق از این‌روست که احکام الهی مردم را از ارتکاب چیزی که به ضرر دین و دنیای آنهاست،منع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احکامی که به دلیل ترس از رنج و درد حاصل،به سبب زدن،کشتن،تبعید کردن و نظایر آنها مردم را از ارتکاب معصیب منع می‌کنند؛چه معین و مقدر باشند یا اینکه به نظر حاکم شرع موکول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دوم،مقید به‌صورتی است که شرعاً معین و مقدر باشد،در مقابل تعزیر که نامقدر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میان همه روایات،تنها آن دسته از آنها مورد توجه ماست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به معنای یکی از انواع عقوبت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شناسایی این رویات،می‌توان آنها را در چند دسته ذیل طبقه‌بندی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معین شرعی به کار رفته؛</w:t>
      </w:r>
    </w:p>
    <w:p>
      <w:pPr>
        <w:pStyle w:val="BookText"/>
        <w:rPr/>
      </w:pPr>
      <w:r>
        <w:rPr>
          <w:rFonts w:ascii="IRNazanin" w:hAnsi="IRNazanin" w:eastAsia="IRNazanin"/>
          <w:color w:val="111111"/>
          <w:sz w:val="28"/>
          <w:sz w:val="28"/>
          <w:szCs w:val="28"/>
          <w:rtl w:val="true"/>
          <w:lang w:bidi="fa-IR"/>
        </w:rPr>
        <w:t>روایاتی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عقوبت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حدود،قصاص،دیات و تعزیرات به کار رفته؛</w:t>
      </w:r>
    </w:p>
    <w:p>
      <w:pPr>
        <w:pStyle w:val="BookText"/>
        <w:rPr/>
      </w:pPr>
      <w:r>
        <w:rPr>
          <w:rFonts w:ascii="IRNazanin" w:hAnsi="IRNazanin" w:eastAsia="IRNazanin"/>
          <w:color w:val="111111"/>
          <w:sz w:val="28"/>
          <w:sz w:val="28"/>
          <w:szCs w:val="28"/>
          <w:rtl w:val="true"/>
          <w:lang w:bidi="fa-IR"/>
        </w:rPr>
        <w:t>روایاتی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به معنایی اعم از حد خاص و تعزیر به کار رفته؛</w:t>
      </w:r>
    </w:p>
    <w:p>
      <w:pPr>
        <w:pStyle w:val="BookText"/>
        <w:rPr/>
      </w:pPr>
      <w:r>
        <w:rPr>
          <w:rFonts w:ascii="IRNazanin" w:hAnsi="IRNazanin" w:eastAsia="IRNazanin"/>
          <w:color w:val="111111"/>
          <w:sz w:val="28"/>
          <w:sz w:val="28"/>
          <w:szCs w:val="28"/>
          <w:rtl w:val="true"/>
          <w:lang w:bidi="fa-IR"/>
        </w:rPr>
        <w:t>روایاتی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به معنایی اعم از حد خاص،تعزیر و قصاص به کار رفته؛</w:t>
      </w:r>
    </w:p>
    <w:p>
      <w:pPr>
        <w:pStyle w:val="BookText"/>
        <w:rPr/>
      </w:pPr>
      <w:r>
        <w:rPr>
          <w:rFonts w:ascii="IRNazanin" w:hAnsi="IRNazanin" w:eastAsia="IRNazanin"/>
          <w:color w:val="111111"/>
          <w:sz w:val="28"/>
          <w:sz w:val="28"/>
          <w:szCs w:val="28"/>
          <w:rtl w:val="true"/>
          <w:lang w:bidi="fa-IR"/>
        </w:rPr>
        <w:t>روایاتی که هیچ قرینه خاصی بر تعیین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وجود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یک از معانی فوق،روایات متعددی قابل بررسی است که به منظور پرهیز از تطویل در هر معنا فقط به ذکر یک یا دو روایت بسنده می‌کنیم</w:t>
      </w:r>
      <w:r>
        <w:rPr>
          <w:rFonts w:eastAsia="IRNazanin" w:cs="IRNazanin"/>
          <w:color w:val="111111"/>
          <w:sz w:val="28"/>
          <w:szCs w:val="28"/>
          <w:rtl w:val="true"/>
          <w:lang w:bidi="fa-IR"/>
        </w:rPr>
        <w:t>.</w:t>
      </w:r>
      <w:bookmarkStart w:id="52" w:name="pg5664_43303"/>
    </w:p>
    <w:p>
      <w:pPr>
        <w:pStyle w:val="Heading6"/>
        <w:numPr>
          <w:ilvl w:val="5"/>
          <w:numId w:val="1"/>
        </w:numPr>
        <w:rPr/>
      </w:pPr>
      <w:bookmarkStart w:id="53" w:name="__RefHeading___Toc3419608_581953129"/>
      <w:bookmarkStart w:id="54" w:name="_Toc21"/>
      <w:bookmarkEnd w:id="52"/>
      <w:bookmarkEnd w:id="53"/>
      <w:r>
        <w:rPr>
          <w:rtl w:val="true"/>
        </w:rPr>
        <w:t>سوم</w:t>
      </w:r>
      <w:r>
        <w:rPr>
          <w:rtl w:val="true"/>
        </w:rPr>
        <w:t>)</w:t>
      </w:r>
      <w:r>
        <w:rPr>
          <w:rtl w:val="true"/>
        </w:rPr>
        <w:t>حد خاص</w:t>
      </w:r>
      <w:bookmarkEnd w:id="54"/>
    </w:p>
    <w:p>
      <w:pPr>
        <w:pStyle w:val="BookText"/>
        <w:rPr/>
      </w:pPr>
      <w:r>
        <w:rPr>
          <w:rFonts w:ascii="IRNazanin" w:hAnsi="IRNazanin" w:eastAsia="IRNazanin"/>
          <w:color w:val="111111"/>
          <w:sz w:val="28"/>
          <w:sz w:val="28"/>
          <w:szCs w:val="28"/>
          <w:rtl w:val="true"/>
          <w:lang w:bidi="fa-IR"/>
        </w:rPr>
        <w:t>در برخی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مقابله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عقوبت معین شرعی به کار رفته است؛مثل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إسحاق بن عمّار عن أبی عبداللّه علیه السلام انّه قال آکل المیتة و الدم و لحم الخنزیر علیهم أدّب فإن عاد 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 یوءدّب؟قال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یوءدب و لیس علیهم حدّ؛ </w:t>
      </w:r>
      <w:r>
        <w:rPr>
          <w:rStyle w:val="FootnoteAnchor"/>
          <w:rtl w:val="true"/>
        </w:rPr>
        <w:footnoteReference w:id="39"/>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مردارخوار و کسی که خون و گوشت خوک می‌خورد،تأدیب می‌شود و اگر برای مرتبه دوم نیز انجام دهد،تأدیب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پرسیدم اگر برای مرتبه دوم انجام دهد،تأدیب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 می‌شود و حد بر آنان جاری نمی‌شود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فی الوسائل عن التهذیب باسناده عن جعفربن بشیر عن معلی بن عثمان عن ابی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قتله القصاص او الحد لم یکن له دیة</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قصاص یا حد کشته شود،دیه‌ای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حد بر قصاص در این روایت،مغایرت این دو را می‌رساند و واژه قتل در روایت،در عقوبت شدید ظهور دارد؛لذا شامل تعزیر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در خصوص ثبوت دیه در قتل ناشی از تعزیر بین فقها اختلاف است</w:t>
      </w:r>
      <w:r>
        <w:rPr>
          <w:rFonts w:eastAsia="IRNazanin" w:cs="IRNazanin"/>
          <w:color w:val="111111"/>
          <w:sz w:val="28"/>
          <w:szCs w:val="28"/>
          <w:rtl w:val="true"/>
          <w:lang w:bidi="fa-IR"/>
        </w:rPr>
        <w:t xml:space="preserve">. </w:t>
      </w:r>
      <w:r>
        <w:rPr>
          <w:rStyle w:val="FootnoteAnchor"/>
          <w:rtl w:val="true"/>
        </w:rPr>
        <w:footnoteReference w:id="42"/>
      </w:r>
    </w:p>
    <w:p>
      <w:pPr>
        <w:pStyle w:val="Heading6"/>
        <w:numPr>
          <w:ilvl w:val="5"/>
          <w:numId w:val="1"/>
        </w:numPr>
        <w:rPr/>
      </w:pPr>
      <w:bookmarkStart w:id="55" w:name="__RefHeading___Toc3419610_581953129"/>
      <w:bookmarkStart w:id="56" w:name="_Toc22"/>
      <w:bookmarkEnd w:id="55"/>
      <w:r>
        <w:rPr>
          <w:rtl w:val="true"/>
        </w:rPr>
        <w:t>چهارم</w:t>
      </w:r>
      <w:r>
        <w:rPr>
          <w:rtl w:val="true"/>
        </w:rPr>
        <w:t>)</w:t>
      </w:r>
      <w:r>
        <w:rPr>
          <w:rtl w:val="true"/>
        </w:rPr>
        <w:t>مطلق عقوبت</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حنان بن سدیر،قال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یقام فی الأرض أزکی فیها من مطر أربعین لیلة و أیامها</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که در زمین اقامه شود،از بارانی که چهل شبانه روز بر آن ببارد،بهتر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شمول حد در این روایت و روایات مشابه آن،بر تعزیر روشن است،مگر اینکه گفته شود شامل شدن حد بر تعزیر در این روایات،از نظر لفظی ممنوع است و ممکن است شمول</w:t>
      </w:r>
    </w:p>
    <w:p>
      <w:pPr>
        <w:pStyle w:val="BookText"/>
        <w:rPr/>
      </w:pPr>
      <w:r>
        <w:rPr>
          <w:rFonts w:ascii="IRNazanin" w:hAnsi="IRNazanin" w:eastAsia="IRNazanin"/>
          <w:color w:val="111111"/>
          <w:sz w:val="28"/>
          <w:sz w:val="28"/>
          <w:szCs w:val="28"/>
          <w:rtl w:val="true"/>
          <w:lang w:bidi="fa-IR"/>
        </w:rPr>
        <w:t>آن از باب الغای خصوصیت باشد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اما به نظر می‌رسد اگر شمول لفظی حد را بر تعزیر نپذیریم،نتوان در این روایات الغای خصوصیت کرد؛چرا که اهمیت فوق العاده‌ای که این روایات برای اجرای حدود برشمرده‌اند،با اجرای حدود به معنای خاص آن سازگارتر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جعل لکلّ شیء حدّاً و جعل علی من تعدّی حدّاً من حدود اللّه عزّ وجلّ حدّاً و جعل ما دون الأربعة الشهداء مستوراً علی المسلمین</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هر چیزی حد قرار داده و برای هر کس که از حدّی از حدود الهی تجاوز کند نیز حد قرار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چهار نفر ببینند،از مسلمانان پوشیده داشته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دو بار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اولین واژه در معنای مطلق احکام الهی استعمال شده،و دومین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مطلق عقوبت به کار رفته است</w:t>
      </w:r>
      <w:r>
        <w:rPr>
          <w:rFonts w:eastAsia="IRNazanin" w:cs="IRNazanin"/>
          <w:color w:val="111111"/>
          <w:sz w:val="28"/>
          <w:szCs w:val="28"/>
          <w:rtl w:val="true"/>
          <w:lang w:bidi="fa-IR"/>
        </w:rPr>
        <w:t xml:space="preserve">. </w:t>
      </w:r>
      <w:r>
        <w:rPr>
          <w:rStyle w:val="FootnoteAnchor"/>
          <w:rtl w:val="true"/>
        </w:rPr>
        <w:footnoteReference w:id="46"/>
      </w:r>
      <w:bookmarkStart w:id="57" w:name="pg5664_43305"/>
    </w:p>
    <w:p>
      <w:pPr>
        <w:pStyle w:val="Heading6"/>
        <w:numPr>
          <w:ilvl w:val="5"/>
          <w:numId w:val="1"/>
        </w:numPr>
        <w:rPr/>
      </w:pPr>
      <w:bookmarkStart w:id="58" w:name="__RefHeading___Toc3419612_581953129"/>
      <w:bookmarkStart w:id="59" w:name="_Toc23"/>
      <w:bookmarkEnd w:id="57"/>
      <w:bookmarkEnd w:id="58"/>
      <w:r>
        <w:rPr>
          <w:rtl w:val="true"/>
        </w:rPr>
        <w:t>پنجم</w:t>
      </w:r>
      <w:r>
        <w:rPr>
          <w:rtl w:val="true"/>
        </w:rPr>
        <w:t>)</w:t>
      </w:r>
      <w:r>
        <w:rPr>
          <w:rtl w:val="true"/>
        </w:rPr>
        <w:t>اعم از تعزیر</w:t>
      </w:r>
      <w:bookmarkEnd w:id="59"/>
    </w:p>
    <w:p>
      <w:pPr>
        <w:pStyle w:val="BookText"/>
        <w:rPr/>
      </w:pPr>
      <w:r>
        <w:rPr>
          <w:rFonts w:ascii="IRNazanin" w:hAnsi="IRNazanin" w:eastAsia="IRNazanin"/>
          <w:color w:val="111111"/>
          <w:sz w:val="28"/>
          <w:sz w:val="28"/>
          <w:szCs w:val="28"/>
          <w:rtl w:val="true"/>
          <w:lang w:bidi="fa-IR"/>
        </w:rPr>
        <w:t>عن الحلبی 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أتی بغلام و جاریة لم یدرکا لایبطل حداً من حدود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یضرب؟قال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یأخذ السوط بیده من وسط أو من ثلثه ثم یضرب به علی قدر أسنانهم و لایبطل حداً من حدود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پسر و دختر غیربالغ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آن حضرت می‌آوردند،آن حضرت حدّی از حدود الهی را باطل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آنان را حد می‌زد؟امام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تازیانه یا یک سوم آن را می‌گرفت و به اندازه سنّشان آنان را حد می‌زد و نمی‌گذاشت حدّی از حدود الهی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درباره مجازات اطفال بزهکار نیز واژه حد به‌کار رفته است،در حالی که صغار بزهکار هرگز مجازات معین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ندارند،بلکه مجازات آنان تعزیر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بنابراین،حد در این روایت به معنای مجازات نامعین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بوده،تازیانه زدن هم به‌عنوان تعزیر صورت گرفته،ولی امام آن را مصداق حد قرار داده است</w:t>
      </w:r>
      <w:r>
        <w:rPr>
          <w:rFonts w:eastAsia="IRNazanin" w:cs="IRNazanin"/>
          <w:color w:val="111111"/>
          <w:sz w:val="28"/>
          <w:szCs w:val="28"/>
          <w:rtl w:val="true"/>
          <w:lang w:bidi="fa-IR"/>
        </w:rPr>
        <w:t>.</w:t>
      </w:r>
    </w:p>
    <w:p>
      <w:pPr>
        <w:pStyle w:val="Heading6"/>
        <w:numPr>
          <w:ilvl w:val="5"/>
          <w:numId w:val="1"/>
        </w:numPr>
        <w:rPr/>
      </w:pPr>
      <w:bookmarkStart w:id="60" w:name="__RefHeading___Toc3419614_581953129"/>
      <w:bookmarkStart w:id="61" w:name="_Toc24"/>
      <w:bookmarkEnd w:id="60"/>
      <w:r>
        <w:rPr>
          <w:rtl w:val="true"/>
        </w:rPr>
        <w:t>ششم</w:t>
      </w:r>
      <w:r>
        <w:rPr>
          <w:rtl w:val="true"/>
        </w:rPr>
        <w:t>)</w:t>
      </w:r>
      <w:r>
        <w:rPr>
          <w:rtl w:val="true"/>
        </w:rPr>
        <w:t>اعم از قصاص</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الوسائل عن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الحسن بن محبوب عن ابی ایوب عن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اقر علی نفسه عندالامام بحق حد من حدود الله مرة واحدة حرا کان او عبدا،حرة کانت او امة،فعلی الامام ان یقیم الحد علیه للذی اقر به علی نفسه کائنا من کان الا الزانی المحصن فانه لایرجمه حتی یشهد علیه اربعة شهداء فاذا شهدوا ضربه الحد ماة جلدة ثم یرجمه،قال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اقر علی نفسه عند الامام بحق حد من حدود الله فی حقوق المسلمین فلیس علی الامام ان یقیم علیه الحد الذی اقر به عنده حتی یحضر صاحب الحق او ولیه فیطالبه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بعض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اباعبدالله،فما هذه الحدود التی اذا اقربها عند الامام مرة واحدة علی نفسه اقیم علیه الحد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اقر علی نفسه عند الامام بسرقة قطعه فهذا من حقوق الله و اذا اقر علی نفسه انه شرب خمرا حده فهذا من حقوق الله و اذا اقر علی نفسه بالزنا و هو غیر محصن فهذا من حقوق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حقوق المسلمین فاذا اقر علی نفسه عند الامام بفریة لم یحده حتی یحضر صاحب</w:t>
      </w:r>
      <w:bookmarkStart w:id="62" w:name="pg5664_43306"/>
    </w:p>
    <w:p>
      <w:pPr>
        <w:pStyle w:val="BookText"/>
        <w:rPr/>
      </w:pPr>
      <w:bookmarkEnd w:id="62"/>
      <w:r>
        <w:rPr>
          <w:rFonts w:ascii="IRNazanin" w:hAnsi="IRNazanin" w:eastAsia="IRNazanin"/>
          <w:color w:val="111111"/>
          <w:sz w:val="28"/>
          <w:sz w:val="28"/>
          <w:szCs w:val="28"/>
          <w:rtl w:val="true"/>
          <w:lang w:bidi="fa-IR"/>
        </w:rPr>
        <w:t>الفریة او ولیه و اذا اقر بقتل رجل لم یقتله حتی یحضر اولیاء المقتول فیطالبوا بدم صاحبهم</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ابوایوب به نقل از فضیل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کس،مرد باشد یا زن،آزاد باشد یا بنده،یک بار نزد امام اقرار کند که حدی از حدود خداوند بر اوست،امام باید حدی را که شخص علیه خودش اقرار کرده،بر او جاری کند هر کس باشد،مگر زناکار مُحصن که امام او را رجم نمی‌کند،مگر چهار نفر علیه او شهادت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آنان،ابتدا او را صد تازیانه حد می‌زند،سپس رجم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نزد امام اقرار کند حدی از حدود خداوند در خصوص حقوق مسلمانان بر اوست،امام نمی‌تواند حدی را که به آن اقرار کرده،بر او اقامه کند،مگر اینکه صاحب آن حق یا ولی او حاضر شود و حق خود را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به حضرت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حدودی که هر گاه شخص یک بار نزد امام به آنها علیه خود اقرار کند بر او جاری می‌شود کدام است؟امام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 نزد امام اقرار به سرقت کند،امام دست او را قطع می‌کند؛چون حد سرقت از حقوق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هرگاه شخص به شراب خواری اقرار کند،امام او را حدمی زند؛چون از مصادیق حق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 غیرمحصن اقرار به زنا کند،امام او را حد می‌زند؛زیرا این نیز ازحقوق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حقوق مسلمین،هرگاه شخص نزد امام اقرار کند که بر کسی افترا بسته است،امام بر او حد جاری نمی‌کند تا صاحب آن حق،یعنی کسی که به او افترا زده شده یا ولی او حاضر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 نزد امام به کشتن کسی اقرار کند،امام او را نمی‌کشد تا اولیای مقتول حاضر شوند و خون او را مطالبه کنند</w:t>
      </w:r>
      <w:r>
        <w:rPr>
          <w:rFonts w:eastAsia="IRNazanin" w:cs="IRNazanin"/>
          <w:color w:val="111111"/>
          <w:sz w:val="28"/>
          <w:szCs w:val="28"/>
          <w:rtl w:val="true"/>
          <w:lang w:bidi="fa-IR"/>
        </w:rPr>
        <w:t>.</w:t>
      </w:r>
    </w:p>
    <w:p>
      <w:pPr>
        <w:pStyle w:val="Heading6"/>
        <w:numPr>
          <w:ilvl w:val="5"/>
          <w:numId w:val="1"/>
        </w:numPr>
        <w:rPr/>
      </w:pPr>
      <w:bookmarkStart w:id="63" w:name="__RefHeading___Toc3419616_581953129"/>
      <w:bookmarkStart w:id="64" w:name="_Toc25"/>
      <w:bookmarkEnd w:id="63"/>
      <w:r>
        <w:rPr>
          <w:rtl w:val="true"/>
        </w:rPr>
        <w:t>هفتم</w:t>
      </w:r>
      <w:r>
        <w:rPr>
          <w:rtl w:val="true"/>
        </w:rPr>
        <w:t>)</w:t>
      </w:r>
      <w:r>
        <w:rPr>
          <w:rtl w:val="true"/>
        </w:rPr>
        <w:t>جمع‌بندی</w:t>
      </w:r>
      <w:bookmarkEnd w:id="6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روشن گردید که در روایات،حد در بیش از یک معنا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در بسیاری از روایات،حد به صورت مطلق و بدون هیچ قرینه‌ای بر تعیین یکی از معانی فوق استعمال شده است؛نظیر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إبراهیم،عن أبیه،عن النوفلی،عن السکونی،عن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یشفعن أحد فی حد إذا بلغ الامام،فإنه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،واشفع فیما لم یبلغ الامام إذا رأیت الندم،واشفع عند الامام فی غیر الحد مع الرجوع من المشفوع له،ولا یشفع فی حق امرئ مسلم ولا غیره إلا بإذنه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نکته قابل توجه در این روایات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روایات به حدود به معنای خاص اصطلاحی اختصاص دارند یا تعزیرات را نیز در برمی‌گیرند و تعزیرات نیز داخل در احکام آنها می‌گردد؟صاحب جواهر در این باره می‌گوید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بگوییم داخل می‌شود،به سبب اطلاق حدّ بر مطلق مجازات در بسیاری از روایات،مانند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لکل شیء حدّاً و لمن جاوز الحدّ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بگوییم داخل نمی‌شود؛چنان‌که از ظاهر کلمات اصحاب در این بحث و درباره کسی که اعتراف کند به حدّی و آن را تبیین نکند،برمی‌آید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ظهور لفظ حدّ،عرفاً در چیزی که مقدارش معین و محدود است و به دلیل روایاتی مانند روایت حمّاد بن عثمان که از امام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تعزیر چقدر است؟امام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حد،و دیگر روایاتی که بر مغایرت حد با تعزیر از نظر مفهوم دلالت می‌کند؛حتی برخی از این روایات،به‌صراحت مغایرت این دو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اطلاق حد بر معنایی که شامل تعزیر نیز می‌شود،قابل انکار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بنابراین،در احکام مخالف با اصول و عمومات،شاید اقتصار بر حد به معنای 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که مغایر با تعزیر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تعزیر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قوّت نباشد،مگر در جایی که از فحوای کلام یا غیر آن فهمیده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 به معنای عام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اساس،مندرج نبودن قصاص در اطلاق حد نیز تقویت می‌شود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 در هیچ‌کدام از معانی فوق نگشته،اصل عدم نقل نیز کاربرد آن را در روایات به معنای حد اصطلاحی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رو،بر اساس قواعد لغوی و اصولی شایسته است حد را در روایات اخیر بر معنای لغوی حمل کنیم</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با توجه به اینکه در میان معانی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عقوبت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 لغوی این واژه نیز می‌باشد،حمل واژه حد در این روایات بر این معنا،خالی از وجه نیست؛به‌ویژه پس از مفروغ دانستن به کار نرفتن آن در مطلق احکام یا معانی لغوی همچون منع و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بنابراین،هرچند نظر صاحب جواهر در اکتفا به قدر متیقن موافق احتیاط است،حمل بر معنای خاص حدود آن هم بدون قرینه،امری است مخالف اطلاق الفاظ روایات؛مگر آنکه همان‌گونه که صاحب جواهر فرمودند،ظهور واژه حد را در شیء محدود معین بپذیریم و بگوییم آنچه مقدر و محدود نیست،عرفاً حد نامیده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ناگفته پیداست بسیاری از روایاتی که ذکر آنها گذشت،این ظهور را برنمی‌تابند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به‌علاوه،شاید بتوان در روایاتی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فهمیده می‌شود،تردید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کاربردها،مجرد تطبیق عنوان حد بر برخی از افراد مجازات‌های اسلامی نیست؟آیا صرف انطباق کلی بر فرد،دلیل بر این است که مراد از حد در شرع،مجازات معین است و دیگر استعمالات مجازی است؟به عبارت روشن‌تر،می‌توان گفت با ملاحظه مجموع این روایات و دیگر اخبار،به نظر می‌رسد حد به معنای مطلق مجازات است و در اثر کثرت استعمال در آن زمان،در این معنا حقیقت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استعمال آن در خصوص مجازات معین یا غیرمعین از باب انطباق کلی بر یکی از مصادیق و افراد است؛وگرنه،هیچ شاهد قرآن و روایی وجود ندارد که ثابت کند لفظ حد در معنای مجازات معینه حقیقت است و در دیگر معانی،مجازی است و اراده آن از این لفظ نیاز به قرینه دارد</w:t>
      </w:r>
      <w:r>
        <w:rPr>
          <w:rFonts w:eastAsia="IRNazanin" w:cs="IRNazanin"/>
          <w:color w:val="111111"/>
          <w:sz w:val="28"/>
          <w:szCs w:val="28"/>
          <w:rtl w:val="true"/>
          <w:lang w:bidi="fa-IR"/>
        </w:rPr>
        <w:t xml:space="preserve">». </w:t>
      </w:r>
      <w:r>
        <w:rPr>
          <w:rStyle w:val="FootnoteAnchor"/>
          <w:rtl w:val="true"/>
        </w:rPr>
        <w:footnoteReference w:id="52"/>
      </w:r>
      <w:bookmarkStart w:id="65" w:name="pg5664_43309"/>
    </w:p>
    <w:p>
      <w:pPr>
        <w:pStyle w:val="BookText"/>
        <w:rPr/>
      </w:pPr>
      <w:bookmarkEnd w:id="65"/>
      <w:r>
        <w:rPr>
          <w:rFonts w:ascii="IRNazanin" w:hAnsi="IRNazanin" w:eastAsia="IRNazanin"/>
          <w:color w:val="111111"/>
          <w:sz w:val="28"/>
          <w:sz w:val="28"/>
          <w:szCs w:val="28"/>
          <w:rtl w:val="true"/>
          <w:lang w:bidi="fa-IR"/>
        </w:rPr>
        <w:t>بنابراین،به نظر نگارنده واژه حد را در روایات باید بر مطلق مجازات و عقوبت حمل کرد،مگر اینکه قرینه‌ای بر دیگر معانی وجود داشته باشد</w:t>
      </w:r>
      <w:r>
        <w:rPr>
          <w:rFonts w:eastAsia="IRNazanin" w:cs="IRNazanin"/>
          <w:color w:val="111111"/>
          <w:sz w:val="28"/>
          <w:szCs w:val="28"/>
          <w:rtl w:val="true"/>
          <w:lang w:bidi="fa-IR"/>
        </w:rPr>
        <w:t>.</w:t>
      </w:r>
    </w:p>
    <w:p>
      <w:pPr>
        <w:pStyle w:val="Heading6"/>
        <w:numPr>
          <w:ilvl w:val="5"/>
          <w:numId w:val="1"/>
        </w:numPr>
        <w:rPr/>
      </w:pPr>
      <w:bookmarkStart w:id="66" w:name="__RefHeading___Toc3419618_581953129"/>
      <w:bookmarkStart w:id="67" w:name="_Toc26"/>
      <w:bookmarkEnd w:id="66"/>
      <w:r>
        <w:rPr>
          <w:rtl w:val="true"/>
        </w:rPr>
        <w:t>ب</w:t>
      </w:r>
      <w:r>
        <w:rPr>
          <w:rtl w:val="true"/>
        </w:rPr>
        <w:t>)</w:t>
      </w:r>
      <w:r>
        <w:rPr>
          <w:rtl w:val="true"/>
        </w:rPr>
        <w:t>حد در اصطلاح فقهی</w:t>
      </w:r>
      <w:bookmarkEnd w:id="67"/>
    </w:p>
    <w:p>
      <w:pPr>
        <w:pStyle w:val="Heading6"/>
        <w:numPr>
          <w:ilvl w:val="5"/>
          <w:numId w:val="1"/>
        </w:numPr>
        <w:rPr/>
      </w:pPr>
      <w:bookmarkStart w:id="68" w:name="__RefHeading___Toc3419620_581953129"/>
      <w:bookmarkStart w:id="69" w:name="_Toc27"/>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فقهای شیعه و سنی از همان آغاز معمولاً کتاب مستقلی را به مباحث حدود اختصاص می‌دادند،ولی عمدتاً بدون ارائه تعریفی از حد به سراغ جرایم حدی می‌رفتند و تک تک آنها را بررسی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جای رویکرد مفهومی،رویکرد شمارشی را برگزیده و صرفاً به شمارش این حدود،بدون توجه به مفهوم حد مبادرت 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دلیل،تا قرن‌های هفتم و هشتم هجری،مفهوم حد در اصطلاح فقهی چندان مورد توجه فقها قرار نگرفت و شاید پر بیراه نباشد اگر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ما حدود،حقیقت شرعیه ندارد آن‌سان که تا قرن هشتم حقیقت متشرعه نداشته و از آن به بعد،حقیقت فقهیه یافته و فقها عمدتاً به تعریف حدود پرداخته‌اند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دست‌کم در خصوص فقهای شیعه این مسئله به تحقیق به اثبات رسیده است؛زیرا نخستین تعریفی که از حد در کتاب‌های شیعه یافتیم،به شرایع محقق حلی،از فقهای قرن هفتم بازمی‌گردد</w:t>
      </w:r>
      <w:r>
        <w:rPr>
          <w:rFonts w:eastAsia="IRNazanin" w:cs="IRNazanin"/>
          <w:color w:val="111111"/>
          <w:sz w:val="28"/>
          <w:szCs w:val="28"/>
          <w:rtl w:val="true"/>
          <w:lang w:bidi="fa-IR"/>
        </w:rPr>
        <w:t>.</w:t>
      </w:r>
    </w:p>
    <w:p>
      <w:pPr>
        <w:pStyle w:val="Heading6"/>
        <w:numPr>
          <w:ilvl w:val="5"/>
          <w:numId w:val="1"/>
        </w:numPr>
        <w:rPr/>
      </w:pPr>
      <w:bookmarkStart w:id="70" w:name="__RefHeading___Toc3419622_581953129"/>
      <w:bookmarkStart w:id="71" w:name="_Toc28"/>
      <w:bookmarkEnd w:id="70"/>
      <w:r>
        <w:rPr>
          <w:rtl w:val="true"/>
        </w:rPr>
        <w:t>یکم</w:t>
      </w:r>
      <w:r>
        <w:rPr>
          <w:rtl w:val="true"/>
        </w:rPr>
        <w:t>)</w:t>
      </w:r>
      <w:r>
        <w:rPr>
          <w:rtl w:val="true"/>
        </w:rPr>
        <w:t>فقهای شیعه</w:t>
      </w:r>
      <w:bookmarkEnd w:id="71"/>
    </w:p>
    <w:p>
      <w:pPr>
        <w:pStyle w:val="BookText"/>
        <w:rPr/>
      </w:pPr>
      <w:r>
        <w:rPr>
          <w:rFonts w:ascii="IRNazanin" w:hAnsi="IRNazanin" w:eastAsia="IRNazanin"/>
          <w:color w:val="111111"/>
          <w:sz w:val="28"/>
          <w:sz w:val="28"/>
          <w:szCs w:val="28"/>
          <w:rtl w:val="true"/>
          <w:lang w:bidi="fa-IR"/>
        </w:rPr>
        <w:t>محقق حلی در تعریف حد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عقوبة مقدرة یسمی حدا و ما لیس کذلک یسمی تعزیرا؛هر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عقوبت مقدر و معینی است،حدّ نامیده می‌شود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شهید ثانی در مسالک بر این تعریف اشکال کرده،آن را مانع اغیار ندانسته است؛چون برخی از اقسام تعزیرات را نیز 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تعزیرات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ماه مبارک رمضان با همسر خود همبستر شود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داشتن زن آزاد با کنیزی ازدواج و پیش از اذن از همسر آزاد با او مجامعت کند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دو نفر که عریان زیر یک پوشش قرار گیرند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انگشت خود بکارت دختری را از بین ببرد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زن و مردی که عریان تحت یک پوشش قرار گیرند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 صاحب جواهر به این اشکال پاسخ گفته،می‌فرماید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شده موارد مزبور جزء تعزیرات شناخته شوند،وجود نص خاص بر اطلاق تعزیر بر این موارد است؛در حالی که امکان دارد مراد از تعزیر در این روایات،مقابل حد نباشد و شاید به همین دلیل است که برخی فقها این موارد را جزء حدود دانسته‌اند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با نادیده گرفتن اشکال صاحب مسالک،همچنان یک اشکال بر تعریف محقق حلی وارد است؛چرا که ایشان جرم حدی را تعریف کرده است،نه حد و مجازات حدی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برخی هر دو اصطلاح را برای حد آورده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همان‌گونه که بر خود جرم اطلاق می‌شود،بر مجازات آن جرم نیز اطلاق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ولی توجه به روایات نشان می‌دهد حد بر مجازات اطلاق می‌شود،نه نفس جرم</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ابن‌فهد حلی در شرح مختصر النافع شاید با توجه به همین اشکال تعریف دیگری را ذکر می‌کند که می‌تواند تصحیح تعریف شرایع به شمار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مقدرة علی فعل ما لایجوز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حد مجازاتی است معین در برابر ارتکاب فعلی که شرعاً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اشکال دوم بر این تعریف وارد نیست؛هر چند اشکال اول همچنان پا برجاست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مسالک خود پس از رد تعریف محقق،حد را این‌گونه تعریف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عقوبتی است خاص،مربوط به رنجاندن بدن،به واسطه روی آوردن مکلف به معصیتی خاص،که شارع مقدار آن را در جمیع افراد آن مشخص کرده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 اساس این تعریف،مجازات‌هایی چون زندان و تبعید که آزردن بدن در آنها وجود ندارد،و نیز مجازات‌هایی که در شرع معین نشده،حد نامیده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قید معصیت خاص که در تعریف شهید ثانی آمده،موارد پنج گانه فوق را از تعریف خارج کرده،اشکال اول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جسم و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ایشان،چندان ضروری به نظر نمی‌رسد؛چرا که عقوبت‌های مقدری که در خود تعریف بدان اشاره شده،همگی جسمی است و بر بدن مجرم اجرا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شهید ثانی به این نکته اشاره داشته باشد که هیچ گاه نباید اجرای حدود موجب صدمه به حیثیت و شخصیت مجرم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دیدگاه،نیکو،پسندیده و مطابق با روایات اسلامی </w:t>
      </w:r>
      <w:r>
        <w:rPr>
          <w:rStyle w:val="FootnoteAnchor"/>
          <w:rtl w:val="true"/>
        </w:rPr>
        <w:footnoteReference w:id="61"/>
      </w:r>
      <w:r>
        <w:rPr>
          <w:rFonts w:ascii="IRNazanin" w:hAnsi="IRNazanin" w:eastAsia="IRNazanin"/>
          <w:color w:val="111111"/>
          <w:sz w:val="28"/>
          <w:sz w:val="28"/>
          <w:szCs w:val="28"/>
          <w:rtl w:val="true"/>
          <w:lang w:bidi="fa-IR"/>
        </w:rPr>
        <w:t>و روح شریعت است؛زیرا از نظر اسلام مجازات وسیله‌ای است برای تطهیر مجرم،نه تحقیر وی</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اما نباید از نظر دور داشت که این نکته ظریف،به کیفیت اجرای حد و نگرش به فلسفه مجازات‌های حدی بازمی‌گردد و بایسته نیست در تعریف حد گنجانده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تعریف فوق را از مسالک نقل کرده،ولی برخی پنداشته‌اند این تعریف متعلق به خود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نیز تعریفی شبیه به تعریف مسالک ارائه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شرعاً مجازاتی است متعلق به رنجاندن بدن که شارع کمیت آن را معین کرده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صاحب ریاض نیز همان تعریف شهید را می‌پذیرد؛با این تفاوت که ایشان قید مکلف را بدان اضافه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شرعاً مجازاتی است متعلق به رنجاندن بدن مکلف،به واسطه ارتکاب معصیتی خاص که شارع مقدار آن مجازات را در همه افراد آن مشخص کرده است</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محقق طباطبایی را بر آن داشته تا قید مکلف را به تعریف اضافه کند،خارج کردن مجازات‌هایی است که با عنوان تأدیب یا تعزیر بر غیر مکلفان،مانند کودکان و مجنونان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این ابتکار صاحب ریاض چندان به‌جا نباشد؛</w:t>
      </w:r>
      <w:bookmarkStart w:id="72" w:name="pg5664_43312"/>
    </w:p>
    <w:p>
      <w:pPr>
        <w:pStyle w:val="BookText"/>
        <w:rPr/>
      </w:pPr>
      <w:bookmarkEnd w:id="72"/>
      <w:r>
        <w:rPr>
          <w:rFonts w:ascii="IRNazanin" w:hAnsi="IRNazanin" w:eastAsia="IRNazanin"/>
          <w:color w:val="111111"/>
          <w:sz w:val="28"/>
          <w:sz w:val="28"/>
          <w:szCs w:val="28"/>
          <w:rtl w:val="true"/>
          <w:lang w:bidi="fa-IR"/>
        </w:rPr>
        <w:t>چون بالغ و عاقل بودن کسی که حد بر او جاری می‌شود،از شرایط اجرای حد است و لزومی ندارد در مقام تعریف،شرایط اجرا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تعریف‌ها،تنها به معین و خاص بودن معصیت اشاره شده،مقدر بودن مجازات حدی قید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لغة هو الذنب وشرعا العقوبة علی ذنوب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در لغت گناه و در شرع مجازاتی است بر گناهان مخصوص</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هرچند این تعریف به فقهای شیعه نسبت داده شده،در میان آنها کسی را نیافتیم که این تعریف را یادآور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برگرفته از آرای فقهای شیعه است،حد این‌گونه تعریف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به مجازاتی گفته می‌شود که نوع و میزان و کیفیت آن در شرع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تعریف با وجود اختصار،گویا و کامل است و تنها نکته قابل ذکر در آن،این است که اگر توجیه صاحب جواهر را نپذیریم،اشکال صاحب مسالک بر تعریف محقق،بر این تعریف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طرح این تعریف‌ها به نظر می‌رسد بتوان حد را این‌گونه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مجازات شرعی معینی است که برای ارتکاب جرایم خاصی وضع شده و شارع نوع،کیفیت و میزان آن را دقیقاً تعیین کرده است</w:t>
      </w:r>
      <w:r>
        <w:rPr>
          <w:rFonts w:eastAsia="IRNazanin" w:cs="IRNazanin"/>
          <w:color w:val="111111"/>
          <w:sz w:val="28"/>
          <w:szCs w:val="28"/>
          <w:rtl w:val="true"/>
          <w:lang w:bidi="fa-IR"/>
        </w:rPr>
        <w:t>».</w:t>
      </w:r>
    </w:p>
    <w:p>
      <w:pPr>
        <w:pStyle w:val="Heading6"/>
        <w:numPr>
          <w:ilvl w:val="5"/>
          <w:numId w:val="1"/>
        </w:numPr>
        <w:rPr/>
      </w:pPr>
      <w:bookmarkStart w:id="73" w:name="__RefHeading___Toc3419624_581953129"/>
      <w:bookmarkStart w:id="74" w:name="_Toc29"/>
      <w:bookmarkEnd w:id="73"/>
      <w:r>
        <w:rPr>
          <w:rtl w:val="true"/>
        </w:rPr>
        <w:t>دوم</w:t>
      </w:r>
      <w:r>
        <w:rPr>
          <w:rtl w:val="true"/>
        </w:rPr>
        <w:t>)</w:t>
      </w:r>
      <w:r>
        <w:rPr>
          <w:rtl w:val="true"/>
        </w:rPr>
        <w:t>فقهای اهل سنت</w:t>
      </w:r>
      <w:bookmarkEnd w:id="74"/>
    </w:p>
    <w:p>
      <w:pPr>
        <w:pStyle w:val="BookText"/>
        <w:rPr/>
      </w:pPr>
      <w:r>
        <w:rPr>
          <w:rFonts w:ascii="IRNazanin" w:hAnsi="IRNazanin" w:eastAsia="IRNazanin"/>
          <w:color w:val="111111"/>
          <w:sz w:val="28"/>
          <w:sz w:val="28"/>
          <w:szCs w:val="28"/>
          <w:rtl w:val="true"/>
          <w:lang w:bidi="fa-IR"/>
        </w:rPr>
        <w:t>در منابع اهل سنت نیز تعریف‌های متفاوتی از حد ارائه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تعریف در کتاب مبسوط سرخسی،از فقهای حنفی در قرن پنجم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تعریف حد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اسم لعقوبة مقدرة تجب حقا لله تعالی</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یکی تعریف‌های متأخرین اهل سنت نیز 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جمع حد است و حد در لغت به معنای منع است و در شریعت هم مجازات‌هایی است که با نص قرآنی یا حدیث نبوی در جرایمی که تعدی به حدود الله است،ثابت می‌گردد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همین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تفسیری خاص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است که حق الله را حق جامعه تفسیر کنیم؛زیرا آنچه خدا بدان امر و آنچه از آن نهی کرده،فقط برای ایجاد جامعه فاضله‌ای بوده است که فضیلت در آن آقایی کند و رذیلت‌ها در آن جامعه مخفی گردد؛به‌گونه‌ای که هر یک از افراد این جامعه بتواند برای انجام واجباتی که به دوش اوست،اقدام نماید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فرغانی از فقهای اهل سنت در هدایه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در لغت به معنای منع است و در شریعت،مجازاتی با اندازه معین است و از حقوق خداوند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بنابراین،قصاص،حد نیست؛چون از حقوق مردم است و از حقوق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 تعزیر،حدّ اطلاق نمی‌شود؛چون مقدار آن معین نیست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نگارنده کتاب تشریع جنایی اسلامی نیز در تعریف و توضیح آن،افزون بر معین بودن،به حق‌الله بودن آن نیز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حد،مجازات معینی است که حق خداوند متعال است،امّا معنای مجازات معین این است که این مجازات محدود و معین است و در نتیجه میزانی کمتر یا بیشتر از مقدار تعیین شده برای آن وجود ندارد،و حق الله بودن آن نیز بدین معناست که این مجازات نه از ناحیه افراد و نه از ناحیه جامعه قابل اسقاط نیست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همین تعریف نیز در کتاب الفقه علی المذاهب الاربعة آورده شده که در آن به هر دو عنصر معین بودن و حق الله بودن اشاره شده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گرچه حق الله بودن یکی از ویژگی‌های حدود است،اینکه از ویژگی‌های استثنا ناشدنی باشد،نیست؛یعنی مورد یا مواردی از جرایم حدودی هستند که جنبه حق‌الناس دارند یا قبل از رفع دعوا به حاکم،جنبه حق الله پیدا نمی‌کنند؛مثل حد قذف که از ناحیه شاکی قابل گذشت است یا حد سرقت،که تا وقتی مسروقٌ منه،دعوای سرقت را نزد حاکم مطرح نکرده،می‌تواند شخص سارق را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تعمیم مطلق حق الله بودن</w:t>
      </w:r>
    </w:p>
    <w:p>
      <w:pPr>
        <w:pStyle w:val="BookText"/>
        <w:rPr/>
      </w:pPr>
      <w:r>
        <w:rPr>
          <w:rFonts w:ascii="IRNazanin" w:hAnsi="IRNazanin" w:eastAsia="IRNazanin"/>
          <w:color w:val="111111"/>
          <w:sz w:val="28"/>
          <w:sz w:val="28"/>
          <w:szCs w:val="28"/>
          <w:rtl w:val="true"/>
          <w:lang w:bidi="fa-IR"/>
        </w:rPr>
        <w:t>حدود نمی‌تواند صحیح باشد؛چون مواردی پیدا می‌شود که حق الله نیست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فقهای حنفی همچون بیشتر فقهای اهل سنت افزون بر مقدر بودن،بر عنصر حق الله بودن حد تأکید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ابن‌نجیم در البحر الرائق که در شرح کنز الدقائق نگاشته،در توضیح بیان مصنف که حد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مجازاتی مقدر برای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تعزیر خارج است؛چرا که مقدر نیست هر چند دارای حداقل و حداکثر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نیز خارج است؛چرا که حق الناس است،نه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گفته شده قصاص هم 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بنابراین،مجازات معین خود دو نوع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که در آن عفو جایز است،قصاص،و غیر آن</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همین نویسنده درباره ماهیت حدود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قبل از فعل موانع هستند و بعد از آن بازدارنده؛بدین معنا که علم به شرعیت این حدود مانع ارتکاب می‌شود و اجرای آنها بعد از ارتکاب عمل،مانع ارتکاب مجدد عمل می‌گردد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 الدر المختار </w:t>
      </w:r>
      <w:r>
        <w:rPr>
          <w:rStyle w:val="FootnoteAnchor"/>
          <w:rtl w:val="true"/>
        </w:rPr>
        <w:footnoteReference w:id="75"/>
      </w:r>
      <w:r>
        <w:rPr>
          <w:rFonts w:ascii="IRNazanin" w:hAnsi="IRNazanin" w:eastAsia="IRNazanin"/>
          <w:color w:val="111111"/>
          <w:sz w:val="28"/>
          <w:sz w:val="28"/>
          <w:szCs w:val="28"/>
          <w:rtl w:val="true"/>
          <w:lang w:bidi="fa-IR"/>
        </w:rPr>
        <w:t xml:space="preserve">و شرح آن </w:t>
      </w:r>
      <w:r>
        <w:rPr>
          <w:rStyle w:val="FootnoteAnchor"/>
          <w:rtl w:val="true"/>
        </w:rPr>
        <w:footnoteReference w:id="76"/>
      </w:r>
      <w:r>
        <w:rPr>
          <w:rFonts w:ascii="IRNazanin" w:hAnsi="IRNazanin" w:eastAsia="IRNazanin"/>
          <w:color w:val="111111"/>
          <w:sz w:val="28"/>
          <w:sz w:val="28"/>
          <w:szCs w:val="28"/>
          <w:rtl w:val="true"/>
          <w:lang w:bidi="fa-IR"/>
        </w:rPr>
        <w:t xml:space="preserve">و مبسوط سرخسی </w:t>
      </w:r>
      <w:r>
        <w:rPr>
          <w:rStyle w:val="FootnoteAnchor"/>
          <w:rtl w:val="true"/>
        </w:rPr>
        <w:footnoteReference w:id="77"/>
      </w:r>
      <w:r>
        <w:rPr>
          <w:rFonts w:ascii="IRNazanin" w:hAnsi="IRNazanin" w:eastAsia="IRNazanin"/>
          <w:color w:val="111111"/>
          <w:sz w:val="28"/>
          <w:sz w:val="28"/>
          <w:szCs w:val="28"/>
          <w:rtl w:val="true"/>
          <w:lang w:bidi="fa-IR"/>
        </w:rPr>
        <w:t>نیز همین تعریف بدون هیچ اختلاف و تغییری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کاشانی نیز ضمن طرح تعریف سابق،وجه تسمیه حد را چنین بیان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صاحب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حد بر او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ارتکاب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bookmarkStart w:id="75" w:name="pg5664_43315"/>
    </w:p>
    <w:p>
      <w:pPr>
        <w:pStyle w:val="BookText"/>
        <w:rPr/>
      </w:pPr>
      <w:bookmarkEnd w:id="75"/>
      <w:r>
        <w:rPr>
          <w:rFonts w:ascii="IRNazanin" w:hAnsi="IRNazanin" w:eastAsia="IRNazanin"/>
          <w:color w:val="111111"/>
          <w:sz w:val="28"/>
          <w:sz w:val="28"/>
          <w:szCs w:val="28"/>
          <w:rtl w:val="true"/>
          <w:lang w:bidi="fa-IR"/>
        </w:rPr>
        <w:t>بازمی‌دارد و کسی که حد را مشاهده می‌کند نیز خود را جای صاحب حد قرار می‌دهد و بدین ترتیب،از ارتکاب معصیت منع می‌نماید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مجموع تعریف‌های پیش گفته،می‌توان مقدّر و معین بودن حد و نیز حق الله بودن آن را ویژگی مهم آن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مقدر بودن حد،این است که شارع مقدس آن را تعیین و مقدارش را مشخص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در اختیار حاکم شرعی قرار نداده تا به میل خود تخفیف دهد یا تشدید کند یا آن را عفو نماید،بلکه به‌گونه‌ای مطلق با آن برخورد کرده و بدون در نظر گرفتن کیفیات مخففه و غیر آن،و بدون توجه به شخصیت مجرم،آن مقدار معین را حکم جرم خاص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حق الله بودن نیز این است که در صورت ارتکاب جرایم حدی،چون به جامعه صدمه وارد شده،نه فقط به فردی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قربانی مستقیم جرم،فرد خاصی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مجازات لطمه‌ای که به جامعه وارد شده در نظر گرفته می‌شود،نه لطمه وارد بر قربانی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بنابراین،مجازات مربوط قابل عفو یا اسقاط و یا تبدیل نیست؛گرچه قربانی جرم گذشت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تفسیر دیگری از حق الله بودن حدود کرد و آن اینکه تعیین مجازات جرم حدی به‌دست قاضی یا قربانی مستقیم جرمِ نیست و نمی‌توان مجازاتی به دلخواه طرفین جرم تعیین کرد،بلکه تعیین مجازات به‌دست شارع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تفسیر با شرح کسانی که حق الله بودن را از ویژگی‌های مختصه حدود می‌دانند، </w:t>
      </w:r>
      <w:r>
        <w:rPr>
          <w:rStyle w:val="FootnoteAnchor"/>
          <w:rtl w:val="true"/>
        </w:rPr>
        <w:footnoteReference w:id="79"/>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w:t>
      </w:r>
    </w:p>
    <w:p>
      <w:pPr>
        <w:pStyle w:val="Heading5"/>
        <w:numPr>
          <w:ilvl w:val="4"/>
          <w:numId w:val="1"/>
        </w:numPr>
        <w:rPr/>
      </w:pPr>
      <w:bookmarkStart w:id="76" w:name="__RefHeading___Toc3419626_581953129"/>
      <w:bookmarkStart w:id="77" w:name="_Toc30"/>
      <w:bookmarkEnd w:id="76"/>
      <w:r>
        <w:rPr/>
        <w:t>3</w:t>
      </w:r>
      <w:r>
        <w:rPr>
          <w:rtl w:val="true"/>
        </w:rPr>
        <w:t>-</w:t>
      </w:r>
      <w:r>
        <w:rPr>
          <w:rtl w:val="true"/>
        </w:rPr>
        <w:t>انواع جرایم حدی</w:t>
      </w:r>
      <w:bookmarkEnd w:id="77"/>
    </w:p>
    <w:p>
      <w:pPr>
        <w:pStyle w:val="Heading6"/>
        <w:numPr>
          <w:ilvl w:val="5"/>
          <w:numId w:val="1"/>
        </w:numPr>
        <w:rPr/>
      </w:pPr>
      <w:bookmarkStart w:id="78" w:name="__RefHeading___Toc3419628_581953129"/>
      <w:bookmarkStart w:id="79" w:name="_Toc31"/>
      <w:bookmarkEnd w:id="78"/>
      <w:r>
        <w:rPr>
          <w:rtl w:val="true"/>
        </w:rPr>
        <w:t>الف</w:t>
      </w:r>
      <w:r>
        <w:rPr>
          <w:rtl w:val="true"/>
        </w:rPr>
        <w:t>)</w:t>
      </w:r>
      <w:r>
        <w:rPr>
          <w:rtl w:val="true"/>
        </w:rPr>
        <w:t>انواع جرایم حدی در فقه اهل سنت</w:t>
      </w:r>
      <w:bookmarkEnd w:id="7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انواع جرایم حدی،دیدگاه‌های مختلفی در کتاب‌های فقهی اهل سنت یافت می‌شود؛گروهی آن را به چهار و گروهی دیگر به هشت نوع تقسیم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علت،اختلاف‌های مبنایی موجود میان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فقها تنها جرایمی را حدی می‌دانند که در کتاب خدا آمده و بعضی دیگر،ذکر آن را در کتاب لازم ندانسته،تنها تعیین مجازات را از ناحیه کتاب یا سنّت،ملاک حدّی بودن جرم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در گروه نخست قرار دارد و بر اساس آن،حدود را در پنج دسته از جرایم محدود می‌کند؛زیرا تنها این پنج دسته به‌عنوان جرایم خطرناک در قرآن کریم مطرح شده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زن و مرد زانی را صد ضربه تازیانه بزنید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مرد و زن دزد را قطع کنید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شراب و قمار و بت‌ها و گروبندی با تیرها پلیدی و کار شیطان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قطاع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جزای کسانی که با خدا و رسول او می‌جنگند و در روی زمین به فساد می‌کوشند آن است که کشته شوند یا بر دارگردند یا دست‌ها و پاهایشان یکی از چپ و یکی از راست بریده شود یا از سرزمین خود تبعید گردند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کسانی که زنان عفیف را به زنا متهم می‌کنند و چهار شاهد نمی‌آورند،هشتاد تازیانه بزنید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اینکه یکی از نویسندگان فقه حنفی،حد قطاع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وجود اینکه قرآنی است،از اسباب وجوب حد ندانسته،در مقابل میان شرب خمر و مستی تفاوت قایل شده و هر کدام را سبب مستقل ثبوت حد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هرچند شرب خمر یا مستی از محرمات دانسته شده،در قرآن به صراحت مجازاتی برای آن تعیین نشده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در مقابل،برخی دیگر از این نویسندگان،سرقت را در کتابی جدای از کتاب حدود بحث و بررسی نموده،قطاع الطریق را بدان ملحق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الفقه علی المذاهب الاربعة جرایم مستوجب حد را با ملاکی که ابوحنیفه در پیش گرفته و با الحاق مجازات محارب به حد سرقت یا قصاص یا تعزیر به چهار نوع زیر دسته‌بندی می‌کند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که لواط هم در همین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میان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سرقت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 که این نیز خود اختلافی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نویسنده در حاشیه کتاب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شافعیه حدود را هفت تا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جراحات،حد بغی،حد ارتداد،حد زنا،حد سرقت،حد مشروبات الکلی و حد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مالکیه بر این 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محاربه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افزوده‌اند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همان است که در قرآن کریم به آنها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زنا،حد سرقت،حد شرب خمر،حد قطاع الطریق و حد 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با تتبع در برخی کتب اهل سنت،به نتایج زیر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 حدود را پنج تا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زنا،حد قذف،حد سرقت،حد قطاع الطریق و حد مشروبات الکلی</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در همین راستا،شافعی و برخی از نویسندگان فقه او،قتال اهل بغی و ارتداد را در کتابی مستقل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قتال اهل البغی و اهل 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مطرح می‌کنند، </w:t>
      </w:r>
      <w:r>
        <w:rPr>
          <w:rStyle w:val="FootnoteAnchor"/>
          <w:rtl w:val="true"/>
        </w:rPr>
        <w:footnoteReference w:id="89"/>
      </w:r>
      <w:r>
        <w:rPr>
          <w:rFonts w:ascii="IRNazanin" w:hAnsi="IRNazanin" w:eastAsia="IRNazanin"/>
          <w:color w:val="111111"/>
          <w:sz w:val="28"/>
          <w:sz w:val="28"/>
          <w:szCs w:val="28"/>
          <w:rtl w:val="true"/>
          <w:lang w:bidi="fa-IR"/>
        </w:rPr>
        <w:t>ولی برخی از نویسندگان به نسبت متأخر شافعی،از بغی و ارتداد ذیل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کرده‌اند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مالکیه از میان این پنج جرم حدی،حد قطاع الطریق را رها کرده،در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محاربه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افزوده و از آن بحث کرده‌اند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 </w:t>
      </w:r>
      <w:r>
        <w:rPr>
          <w:rStyle w:val="FootnoteAnchor"/>
          <w:rtl w:val="true"/>
        </w:rPr>
        <w:footnoteReference w:id="9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التشریع الجنائی الاسلامی با حذف ملحقات زنا و افزودن ارتداد و بغی،جرایم حدی را هفت گروه دانسته،این تقسیم‌بندی را به اکثریت فقها نسبت داده</w:t>
      </w:r>
      <w:bookmarkStart w:id="80" w:name="pg5664_43318"/>
    </w:p>
    <w:p>
      <w:pPr>
        <w:pStyle w:val="BookText"/>
        <w:rPr/>
      </w:pPr>
      <w:bookmarkEnd w:id="8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فقهای ظاهری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عاریه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حدود افزوده،آن را این‌گونه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محاربه،ارتداد،زنا،قذف به زنا،سرقت،انکار عاریه و شرب خمر</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با توجه به موارد فوق،اجمالاً پنج حد مورد اتفاق تمامی فقهای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زنا،قذف،شرب خمر،سرقت و محاربه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کتاب الفقه علی المذاهب الاربعه تنها سه حد را مورد اجماع و اتفاق فقها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زنا،حد قذف و حد سرقت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بنابراین،شرب خمر و محاربه جزء موارد اجماعی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علت این مسئله،اختلافی است که میان فقهای مذاهب اهل سنت در تعیین مجازات شرعی در این موارد وجود دارد</w:t>
      </w:r>
      <w:r>
        <w:rPr>
          <w:rFonts w:eastAsia="IRNazanin" w:cs="IRNazanin"/>
          <w:color w:val="111111"/>
          <w:sz w:val="28"/>
          <w:szCs w:val="28"/>
          <w:rtl w:val="true"/>
          <w:lang w:bidi="fa-IR"/>
        </w:rPr>
        <w:t>.</w:t>
      </w:r>
    </w:p>
    <w:p>
      <w:pPr>
        <w:pStyle w:val="Heading6"/>
        <w:numPr>
          <w:ilvl w:val="5"/>
          <w:numId w:val="1"/>
        </w:numPr>
        <w:rPr/>
      </w:pPr>
      <w:bookmarkStart w:id="81" w:name="__RefHeading___Toc3419630_581953129"/>
      <w:bookmarkStart w:id="82" w:name="_Toc32"/>
      <w:bookmarkEnd w:id="81"/>
      <w:r>
        <w:rPr>
          <w:rtl w:val="true"/>
        </w:rPr>
        <w:t>ب</w:t>
      </w:r>
      <w:r>
        <w:rPr>
          <w:rtl w:val="true"/>
        </w:rPr>
        <w:t>)</w:t>
      </w:r>
      <w:r>
        <w:rPr>
          <w:rtl w:val="true"/>
        </w:rPr>
        <w:t>انواع جرایم حدی در فقه شیعه</w:t>
      </w:r>
      <w:bookmarkEnd w:id="82"/>
    </w:p>
    <w:p>
      <w:pPr>
        <w:pStyle w:val="BookText"/>
        <w:rPr/>
      </w:pPr>
      <w:r>
        <w:rPr>
          <w:rFonts w:ascii="IRNazanin" w:hAnsi="IRNazanin" w:eastAsia="IRNazanin"/>
          <w:color w:val="111111"/>
          <w:sz w:val="28"/>
          <w:sz w:val="28"/>
          <w:szCs w:val="28"/>
          <w:rtl w:val="true"/>
          <w:lang w:bidi="fa-IR"/>
        </w:rPr>
        <w:t>فقهای شیعه نیز در تعیین جرایم حدی و تفکیک آن‌ها از جرایم تعزیری اختلاف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در شرایع تعداد این جرایم را شش جرم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و ما یتبعه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و مساحقه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،القذف،شرب الخمر،السرقة و قطع الطریق</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برخی دیگر از فقها نیز به تبع محقق،جرایم حدی را شش جرم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خمینی،از حدود در شش فصل بحث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یکم در حد زنا،فصل دوم در لواط و سحق و قیادت،فصل سوم در حد قذف،فصل چهارم در حد مسکر،فصل پنجم در حد سرقت،فصل ششم در حد محارب</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حال،کسانی که حدود را شش جرم شمرده‌اند،در ادامه بحثشان موارد دیگری از قبیل ارتداد،وطی بهایم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جرایم حدی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شرح لمعه حدود را در همان شش موردی بررسی کرده که مرحوم محقق در شرائع آورده،و در فصل هفتم،مبحثی با عنوان عقوبت‌های گوناگون آورده که در آن از وطی بهایم،استمنا،ارتداد و دفاع از نفس و حریم بحث گردیده،ولی همچنان محاربه را جزء حدود دانسته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خمینی نیز در ادامه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فی دیگر العقوبات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مجازات مرتد و وطی بهایم و اموات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مسالک به شش جرمی که از سوی محقق آورده شده،دو جرم محاربه،که ذیل بغی جای می‌گیرد،و ارتداد را افزوده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در کتاب‌های قواعد،تحریر و لمعه،تعزیر در عنوان کتاب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کتاب حدود را به هشت مقصد تقسیم کرده،که مقاصد هفتم و هشتم به محاربه و ارتداد اختصاص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مختصر گرچه محقق حلی عنوان کتاب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داده،در مجازات محارب تعبیر حد را به کار برده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ظاهراً صاحب جواهر نیز محاربه و ارتداد را جزء حدود برشمرده،در عین حال همه مواردی را که مجازات مقدر دارند،جزء حدود دانسته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برخی دیگر از فقها نیز بر اساس همین دیدگاه تعداد جرایم حدی را خیلی گسترش داده‌اند و در هر موردی که مجازات مقدری وجود دارد،به وجود جرم حدی قایل شده‌اند؛هر چند بیشتر فقها آن مورد را از تعزیرات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مثال،آیت‌الله خویی تعداد جرایم حدی را شانزده تا دانسته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زنا،لواط،تفخیذ،بوسیدن محرم با شهوت،تزویج ذمیه بر مسلمه بدون اذن مسلمه،سحق،قیادت،قذف،سبّ النبی،ادعای نبوت،سحر،شرب مسکر،سرقت،بیع حر،محاربه و ارتداد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نظر صاحب مسالک در تعداد جرایم 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مشهور فقهای شیعه مطابق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دلیل،قانون‌گذار جمهوری اسلامی ایران نیز در تدوین قانون مجازات‌های اسلامی همین رأی را برگزیده و در کتاب حدود،هشت جرم حدی را در هشت باب با عناوین حد زنا،حد لواط،مساحقه،قوادی،قذف،حد مسکر،محاربه و افساد فی الارض و حد سرقت،به عنوان جرایم حدی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قانون‌گذار در ماده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اسلامی،سارق مسلح و قطاع الطریق را هر گاه با اسلحه امنیت مردم یا جاده را به هم بزنند،به محاربه ملحق کرده است</w:t>
      </w:r>
      <w:r>
        <w:rPr>
          <w:rFonts w:eastAsia="IRNazanin" w:cs="IRNazanin"/>
          <w:color w:val="111111"/>
          <w:sz w:val="28"/>
          <w:szCs w:val="28"/>
          <w:rtl w:val="true"/>
          <w:lang w:bidi="fa-IR"/>
        </w:rPr>
        <w:t>.</w:t>
      </w:r>
      <w:bookmarkStart w:id="83" w:name="pg5664_43320"/>
    </w:p>
    <w:p>
      <w:pPr>
        <w:pStyle w:val="Heading4"/>
        <w:numPr>
          <w:ilvl w:val="3"/>
          <w:numId w:val="1"/>
        </w:numPr>
        <w:rPr/>
      </w:pPr>
      <w:bookmarkStart w:id="84" w:name="__RefHeading___Toc3419632_581953129"/>
      <w:bookmarkStart w:id="85" w:name="_Toc33"/>
      <w:bookmarkEnd w:id="83"/>
      <w:bookmarkEnd w:id="84"/>
      <w:r>
        <w:rPr>
          <w:rtl w:val="true"/>
        </w:rPr>
        <w:t>تعزیر</w:t>
      </w:r>
      <w:bookmarkEnd w:id="85"/>
    </w:p>
    <w:p>
      <w:pPr>
        <w:pStyle w:val="Heading5"/>
        <w:numPr>
          <w:ilvl w:val="4"/>
          <w:numId w:val="1"/>
        </w:numPr>
        <w:rPr/>
      </w:pPr>
      <w:bookmarkStart w:id="86" w:name="__RefHeading___Toc3419634_581953129"/>
      <w:bookmarkStart w:id="87" w:name="_Toc34"/>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برای شناخت مفهوم تعزیر نیز ابتدا به واژه‌شناسی و شناخت مفاهیم لغوی،فقهی و کاربرد آن در روایات می‌پردازیم و در ادامه،تفاوت‌های حدود و تعزیرات را به‌منظور بازشناسی و تمایز این دومفهوم بررسی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پایان،از موجبات فقهی اعمال تعزیر بحث می‌نماییم تا موارد ثبوت تعزیر در فقه اسلامی شناخته شده،ضمن تمایز آن از مفاهیم نوپیدا،ملاک‌هایی که موجب رخ کردن این مفهوم می‌شود،عرضه گردد</w:t>
      </w:r>
      <w:r>
        <w:rPr>
          <w:rFonts w:eastAsia="IRNazanin" w:cs="IRNazanin"/>
          <w:color w:val="111111"/>
          <w:sz w:val="28"/>
          <w:szCs w:val="28"/>
          <w:rtl w:val="true"/>
          <w:lang w:bidi="fa-IR"/>
        </w:rPr>
        <w:t>.</w:t>
      </w:r>
    </w:p>
    <w:p>
      <w:pPr>
        <w:pStyle w:val="Heading5"/>
        <w:numPr>
          <w:ilvl w:val="4"/>
          <w:numId w:val="1"/>
        </w:numPr>
        <w:rPr/>
      </w:pPr>
      <w:bookmarkStart w:id="88" w:name="__RefHeading___Toc3419636_581953129"/>
      <w:bookmarkStart w:id="89" w:name="_Toc35"/>
      <w:bookmarkEnd w:id="88"/>
      <w:r>
        <w:rPr/>
        <w:t>1</w:t>
      </w:r>
      <w:r>
        <w:rPr>
          <w:rtl w:val="true"/>
        </w:rPr>
        <w:t>-</w:t>
      </w:r>
      <w:r>
        <w:rPr>
          <w:rtl w:val="true"/>
        </w:rPr>
        <w:t>واژه‌شناسی تعزیر</w:t>
      </w:r>
      <w:bookmarkEnd w:id="89"/>
    </w:p>
    <w:p>
      <w:pPr>
        <w:pStyle w:val="BookText"/>
        <w:rPr/>
      </w:pPr>
      <w:r>
        <w:rPr>
          <w:rFonts w:ascii="IRNazanin" w:hAnsi="IRNazanin" w:eastAsia="IRNazanin"/>
          <w:color w:val="111111"/>
          <w:sz w:val="28"/>
          <w:sz w:val="28"/>
          <w:szCs w:val="28"/>
          <w:rtl w:val="true"/>
          <w:lang w:bidi="fa-IR"/>
        </w:rPr>
        <w:t>اجمالاً در آثار بیشتر لغویان،مانند قاموس فیروزآبادی،مفردات راغب،نهایه ابن‌اثیر،جمهرة اللغة ابن‌درید،مصباح المنیر فیومی،مغرب مطرّزی،مختار الصّحاح،منتهی الارب،معیار اللغة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ضرب دون الحدّ؛تعزیر،زدن کمتر از 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یا با اندکی تفاوت آمده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آنچه از کلمات لغت‌شناسان برمی‌آید این است که ایشان در تبیین تعزیر،دودسته‌اند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معنای اصلی آن‌را یک چیز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نصرت،منع یا تأدیب،و دیگر معانی را بدان برگشت می‌دهند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بدین ترتیب،شاید بتوان گفت واژه تعزیر مشترک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براین باورند که واژه تعزیر،فاقد معنایی جامع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نتیجه،مشترک لفظی است و بیش از یک وضع و یک اصل دارد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برخی هم آن‌را از اضداد دانسته،دارای معانی مختلف و متفاوت مثبت و منفی می‌دانند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معانی مثبت از قبیل تعظیم،تفخیم،نصرت و توقیر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منفی مانند منع،تأدیب،ضرب،لوم و سرزنش که معنای مشترک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نیز به منع بازمی‌گردد؛چرا که نصرت و یاری کسی در مقابل دشمنانش با منع دشمنان از او صورت می‌گیرد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لغت نامه دهخدا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اصلی تعزیر همان منع و رد است و نصرت نیز به این معناست که شما دشمن را از کسی رد می‌کنی و مانع اذیت او توسط دشمن می‌شوی و به تأدیب هم تعزیر اطلاق می‌شود؛چون جانی را از تکرار گناه بازمی‌دارد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نظر می‌رسد تعزیر را،چه به معنای یاری وحمایت کردن یا مجازات کمتر از حد شرعی بدانیم،هر دو معنا به منع و رد بازمی‌گردد؛با این تفاوت که در معنای نخست،آزار دیگران را از او رد می‌نمایی و در معنای دوم،او را از آزردن مردم،بازمی‌داری که این خود نوعی از کمک و نصرت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پرسشی که به نظر می‌رسد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معنای اصلی تعزیر منع باشد،با توجه به اینکه معنای اصلی حد را نیز منع دانستیم،تفاوت معنایی این دو واژه در چیست؟آیا این دو واژه را می‌توان در اصلِ وضع مترادف دانست؟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تفاوت ظریف حد و تعزیر در مقدر و نامقدر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مطرّزی در المغرب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تعزیر،گرچه نوعی مجازات است،ولی حد بر آن اطلاق نمی‌شود؛چون مقدار آن مشخص نیست</w:t>
      </w:r>
      <w:r>
        <w:rPr>
          <w:rFonts w:eastAsia="IRNazanin" w:cs="IRNazanin"/>
          <w:color w:val="111111"/>
          <w:sz w:val="28"/>
          <w:szCs w:val="28"/>
          <w:rtl w:val="true"/>
          <w:lang w:bidi="fa-IR"/>
        </w:rPr>
        <w:t xml:space="preserve">». </w:t>
      </w:r>
      <w:r>
        <w:rPr>
          <w:rStyle w:val="FootnoteAnchor"/>
          <w:rtl w:val="true"/>
        </w:rPr>
        <w:footnoteReference w:id="109"/>
      </w:r>
      <w:bookmarkStart w:id="90" w:name="pg5664_43322"/>
    </w:p>
    <w:p>
      <w:pPr>
        <w:pStyle w:val="BookText"/>
        <w:rPr/>
      </w:pPr>
      <w:bookmarkEnd w:id="90"/>
      <w:r>
        <w:rPr>
          <w:rFonts w:ascii="IRNazanin" w:hAnsi="IRNazanin" w:eastAsia="IRNazanin"/>
          <w:color w:val="111111"/>
          <w:sz w:val="28"/>
          <w:sz w:val="28"/>
          <w:szCs w:val="28"/>
          <w:rtl w:val="true"/>
          <w:lang w:bidi="fa-IR"/>
        </w:rPr>
        <w:t>بنابراین،چنان‌که در معنای حد گذشت،نوعی از تعیین و تحدید در معنای حد نهفته است که آن را از دیگر واژه‌های به‌ظاهر مترادف متمایز می‌سازد</w:t>
      </w:r>
      <w:r>
        <w:rPr>
          <w:rFonts w:eastAsia="IRNazanin" w:cs="IRNazanin"/>
          <w:color w:val="111111"/>
          <w:sz w:val="28"/>
          <w:szCs w:val="28"/>
          <w:rtl w:val="true"/>
          <w:lang w:bidi="fa-IR"/>
        </w:rPr>
        <w:t>.</w:t>
      </w:r>
    </w:p>
    <w:p>
      <w:pPr>
        <w:pStyle w:val="Heading5"/>
        <w:numPr>
          <w:ilvl w:val="4"/>
          <w:numId w:val="1"/>
        </w:numPr>
        <w:rPr/>
      </w:pPr>
      <w:bookmarkStart w:id="91" w:name="__RefHeading___Toc3419638_581953129"/>
      <w:bookmarkStart w:id="92" w:name="_Toc36"/>
      <w:bookmarkEnd w:id="91"/>
      <w:r>
        <w:rPr/>
        <w:t>2</w:t>
      </w:r>
      <w:r>
        <w:rPr>
          <w:rtl w:val="true"/>
        </w:rPr>
        <w:t>-</w:t>
      </w:r>
      <w:r>
        <w:rPr>
          <w:rtl w:val="true"/>
        </w:rPr>
        <w:t>اصطلاح‌شناسی تعزیر</w:t>
      </w:r>
      <w:bookmarkEnd w:id="92"/>
    </w:p>
    <w:p>
      <w:pPr>
        <w:pStyle w:val="Heading6"/>
        <w:numPr>
          <w:ilvl w:val="5"/>
          <w:numId w:val="1"/>
        </w:numPr>
        <w:rPr/>
      </w:pPr>
      <w:bookmarkStart w:id="93" w:name="__RefHeading___Toc3419640_581953129"/>
      <w:bookmarkStart w:id="94" w:name="_Toc37"/>
      <w:bookmarkEnd w:id="93"/>
      <w:r>
        <w:rPr>
          <w:rtl w:val="true"/>
        </w:rPr>
        <w:t>الف</w:t>
      </w:r>
      <w:r>
        <w:rPr>
          <w:rtl w:val="true"/>
        </w:rPr>
        <w:t>)</w:t>
      </w:r>
      <w:r>
        <w:rPr>
          <w:rtl w:val="true"/>
        </w:rPr>
        <w:t>تعزیر در متون دینی</w:t>
      </w:r>
      <w:bookmarkEnd w:id="94"/>
    </w:p>
    <w:p>
      <w:pPr>
        <w:pStyle w:val="Heading6"/>
        <w:numPr>
          <w:ilvl w:val="5"/>
          <w:numId w:val="1"/>
        </w:numPr>
        <w:rPr/>
      </w:pPr>
      <w:bookmarkStart w:id="95" w:name="__RefHeading___Toc3419642_581953129"/>
      <w:bookmarkStart w:id="96" w:name="_Toc38"/>
      <w:bookmarkEnd w:id="95"/>
      <w:r>
        <w:rPr>
          <w:rtl w:val="true"/>
        </w:rPr>
        <w:t>یکم</w:t>
      </w:r>
      <w:r>
        <w:rPr>
          <w:rtl w:val="true"/>
        </w:rPr>
        <w:t>)</w:t>
      </w:r>
      <w:r>
        <w:rPr>
          <w:rtl w:val="true"/>
        </w:rPr>
        <w:t>تعزیر در قرآن</w:t>
      </w:r>
      <w:bookmarkEnd w:id="96"/>
    </w:p>
    <w:p>
      <w:pPr>
        <w:pStyle w:val="BookText"/>
        <w:rPr/>
      </w:pPr>
      <w:r>
        <w:rPr>
          <w:rFonts w:ascii="Amiri" w:hAnsi="Amiri" w:eastAsia="Amiri" w:cs="Amiri"/>
          <w:color w:val="111111"/>
          <w:sz w:val="28"/>
          <w:sz w:val="28"/>
          <w:szCs w:val="28"/>
          <w:rtl w:val="true"/>
          <w:lang w:bidi="ar-SA"/>
        </w:rPr>
        <w:t>در قرآن ریشه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بار ضمن کلمات وَ عَزَّرْتُمُوهُمْ ،وَ عَزَّرُوهُ و وَ تُعَزِّرُوهُ آمده که ظاهراً به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تفخیم و تعظیم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به‌کار رفته است و معنای عقوبت ندارد</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اعراف،تعزیر به معنای نصرت و یاری کردن یا حمایت و یاری کردنی آمده که آمیخته با احترام باشد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در مجمع البحرین طریحی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تعظموه،و فی غیر هذا الموضع،تمنعوه من عزرته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تعزروه تنصروه مرة بعد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التفاسیر تنصره باالسیف،والتعزیر،ضرب دون الحد،و هو اشدالضرب</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از دیدگاه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درسوره فتح،همان تعظیم و تکریم،و در موارد دیگر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برترین معنا را از تعزیر ارائه کرده،آن را به معنای حمایت و یاری کردنی گرفته که با احترام و بزرگداشت آمیخته باشد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وی پس از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یکی از معانی تعزیر می‌شمارد،می‌گوید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نیز به معنای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bookmarkStart w:id="97" w:name="pg5664_43323"/>
    </w:p>
    <w:p>
      <w:pPr>
        <w:pStyle w:val="BookText"/>
        <w:rPr/>
      </w:pPr>
      <w:bookmarkEnd w:id="97"/>
      <w:r>
        <w:rPr>
          <w:rFonts w:ascii="IRNazanin" w:hAnsi="IRNazanin" w:eastAsia="IRNazanin"/>
          <w:color w:val="111111"/>
          <w:sz w:val="28"/>
          <w:sz w:val="28"/>
          <w:szCs w:val="28"/>
          <w:rtl w:val="true"/>
          <w:lang w:bidi="fa-IR"/>
        </w:rPr>
        <w:t>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مقام استدلال به روایت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اخاک ظالماً او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کرده،که در آن بازداشتن از آنچه برای برادر مؤمن زیان‌آور است،نصرت 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بنابراین،با توجه به این که ضرب تعزیری برای تأدیب است و تأدیب نیز نوعی از یاری‌رسانی 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یاری رسانیدن تلقی می‌شود</w:t>
      </w:r>
      <w:r>
        <w:rPr>
          <w:rFonts w:eastAsia="IRNazanin" w:cs="IRNazanin"/>
          <w:color w:val="111111"/>
          <w:sz w:val="28"/>
          <w:szCs w:val="28"/>
          <w:rtl w:val="true"/>
          <w:lang w:bidi="fa-IR"/>
        </w:rPr>
        <w:t>.</w:t>
      </w:r>
    </w:p>
    <w:p>
      <w:pPr>
        <w:pStyle w:val="Heading6"/>
        <w:numPr>
          <w:ilvl w:val="5"/>
          <w:numId w:val="1"/>
        </w:numPr>
        <w:rPr/>
      </w:pPr>
      <w:bookmarkStart w:id="98" w:name="__RefHeading___Toc3419644_581953129"/>
      <w:bookmarkStart w:id="99" w:name="_Toc39"/>
      <w:bookmarkEnd w:id="98"/>
      <w:r>
        <w:rPr>
          <w:rtl w:val="true"/>
        </w:rPr>
        <w:t>دوم</w:t>
      </w:r>
      <w:r>
        <w:rPr>
          <w:rtl w:val="true"/>
        </w:rPr>
        <w:t>)</w:t>
      </w:r>
      <w:r>
        <w:rPr>
          <w:rtl w:val="true"/>
        </w:rPr>
        <w:t>تعزیر در روایات</w:t>
      </w:r>
      <w:bookmarkEnd w:id="99"/>
    </w:p>
    <w:p>
      <w:pPr>
        <w:pStyle w:val="BookText"/>
        <w:rPr/>
      </w:pPr>
      <w:r>
        <w:rPr>
          <w:rFonts w:ascii="IRNazanin" w:hAnsi="IRNazanin" w:eastAsia="IRNazanin"/>
          <w:color w:val="111111"/>
          <w:sz w:val="28"/>
          <w:sz w:val="28"/>
          <w:szCs w:val="28"/>
          <w:rtl w:val="true"/>
          <w:lang w:bidi="fa-IR"/>
        </w:rPr>
        <w:t>در روایات تعزیر در دو معنا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عقوبات نامعین و عقوبات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تعزیر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مجازات‌های نامعین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رفته،مگر در پنج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ماه مبارک رمضان با همسر خود همبستر شود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داشتن زن آزاد با کنیزی ازدواج کند و پیش از اذن از همسر آزاد با او مجامعت کند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دو نفر که عریان زیر یک پوشش قرار گیرند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انگشت خود بکارت دختری را از بین ببرد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زن و مردی که عریان تحت یک پوشش قرار گیرند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صاحب جواهر با پذیرش اطلاق تعزیر بر حد در این روایات،تعزیر بودن موارد فوق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شده موارد مزبور جزء تعزیرات شناخته شوند،وجود نص خاص بر اطلاق تعزیر بر این موارد است؛در حالی که امکان دارد مراد از تعزیر در این روایات،مقابل حد نباشد و شاید به همین دلیل است که برخی فقها این موارد را جزء حدود دانسته‌اند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فقها نیز دو مورد اول را که تعیین دقیق در روایت صورت گرفته،از</w:t>
      </w:r>
    </w:p>
    <w:p>
      <w:pPr>
        <w:pStyle w:val="BookText"/>
        <w:rPr/>
      </w:pPr>
      <w:r>
        <w:rPr>
          <w:rFonts w:ascii="IRNazanin" w:hAnsi="IRNazanin" w:eastAsia="IRNazanin"/>
          <w:color w:val="111111"/>
          <w:sz w:val="28"/>
          <w:sz w:val="28"/>
          <w:szCs w:val="28"/>
          <w:rtl w:val="true"/>
          <w:lang w:bidi="fa-IR"/>
        </w:rPr>
        <w:t>موارد حدود دانسته‌اند،ولی دیگر موارد را همچنان تعزیر می‌دانند؛تعزیری که حدّ اقل و حدّ اکثر آن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بنابراین،مواردی از تعزیر وجود دارد که از طرف شارع تعیین شده است،ولی این پرسش همچنان باقی‌است‌که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مجازات‌های معین جزءحدود شمرده نشده‌اند؟</w:t>
      </w:r>
    </w:p>
    <w:p>
      <w:pPr>
        <w:pStyle w:val="BookText"/>
        <w:rPr/>
      </w:pPr>
      <w:r>
        <w:rPr>
          <w:rFonts w:ascii="IRNazanin" w:hAnsi="IRNazanin" w:eastAsia="IRNazanin"/>
          <w:color w:val="111111"/>
          <w:sz w:val="28"/>
          <w:sz w:val="28"/>
          <w:szCs w:val="28"/>
          <w:rtl w:val="true"/>
          <w:lang w:bidi="fa-IR"/>
        </w:rPr>
        <w:t>یکی از بزرگان در تبیین این روایات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موارد داخل در قاعده تعزیر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حدّ اقل و حدّ اکثر برای مجازات‌ها تعیین شده است،ولی در هر صورت تعیین میزان مجازات به حاکم واگذار شده است و این با تعیین مقدار عقوبت بدون کم و زیادی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البته می‌توان در کنار پذیرش تعزیر بودن موارد فوق،آنها را تعزیر مقدر به حسب روایات نامید؛ </w:t>
      </w:r>
      <w:r>
        <w:rPr>
          <w:rStyle w:val="FootnoteAnchor"/>
          <w:rtl w:val="true"/>
        </w:rPr>
        <w:footnoteReference w:id="121"/>
      </w:r>
      <w:r>
        <w:rPr>
          <w:rFonts w:ascii="IRNazanin" w:hAnsi="IRNazanin" w:eastAsia="IRNazanin"/>
          <w:color w:val="111111"/>
          <w:sz w:val="28"/>
          <w:sz w:val="28"/>
          <w:szCs w:val="28"/>
          <w:rtl w:val="true"/>
          <w:lang w:bidi="fa-IR"/>
        </w:rPr>
        <w:t>بدین معنا که هر چند میزان تعزیر نامشخص و به دست حاکم است،در روایات فوق از باب قضیه فی واقعه میزان مشخص گردیده است و این با وضع غیر این مجازات‌ها با صلاحدید حاکم شرع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فقها معتقدند نیز نحوه تعیین مجازات در این پنج مورد با تعیین آن در حدود تفاوت دارد؛زیرا تعیین در این موارد،به‌عنوان تعیین مصداق است،نه تشریع 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ارتکاب این جرایم،تعزیر است و مصداق تعزیر می‌تواند امور گوناگونی باشد که یکی از آن‌ها در روایات بیان شده است و این به معنای عدم امکان اجرای مجازات دیگری به‌عنوان یکی دیگر از مصادیق تعزیر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دلیل،بسیاری از فقها،از جمله امام خمینی در تحریر الوسیله در این موارد به تعزیر حکم کرده‌اند،اگر چه در مواردی رعایت مجازات معین را احوط می‌دانند؛به خلاف حدود که مجازات معین به عنوان حکم هستند،نه به عنوان مصداق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صورت باید راهی برای تشخیص این که تعیین به عنوان حکم است یا مصداق وجود داشته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افزون بر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 دیگری نیز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عقوبات نامعین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رفته است؛نظیر تأدیب،عذاب،ادب و تعذیب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برخی روایات تنها به ذکر</w:t>
      </w:r>
      <w:bookmarkStart w:id="100" w:name="pg5664_43325"/>
    </w:p>
    <w:p>
      <w:pPr>
        <w:pStyle w:val="BookText"/>
        <w:rPr/>
      </w:pPr>
      <w:bookmarkEnd w:id="100"/>
      <w:r>
        <w:rPr>
          <w:rFonts w:ascii="IRNazanin" w:hAnsi="IRNazanin" w:eastAsia="IRNazanin"/>
          <w:color w:val="111111"/>
          <w:sz w:val="28"/>
          <w:sz w:val="28"/>
          <w:szCs w:val="28"/>
          <w:rtl w:val="true"/>
          <w:lang w:bidi="fa-IR"/>
        </w:rPr>
        <w:t>برخی مصادیق تعزیر مانند ضرب،نفی،حبس،اهانة،اخذ 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تعزیر بسنده شده است</w:t>
      </w:r>
      <w:r>
        <w:rPr>
          <w:rFonts w:eastAsia="IRNazanin" w:cs="IRNazanin"/>
          <w:color w:val="111111"/>
          <w:sz w:val="28"/>
          <w:szCs w:val="28"/>
          <w:rtl w:val="true"/>
          <w:lang w:bidi="fa-IR"/>
        </w:rPr>
        <w:t xml:space="preserve">. </w:t>
      </w:r>
      <w:r>
        <w:rPr>
          <w:rStyle w:val="FootnoteAnchor"/>
          <w:rtl w:val="true"/>
        </w:rPr>
        <w:footnoteReference w:id="122"/>
      </w:r>
    </w:p>
    <w:p>
      <w:pPr>
        <w:pStyle w:val="Heading6"/>
        <w:numPr>
          <w:ilvl w:val="5"/>
          <w:numId w:val="1"/>
        </w:numPr>
        <w:rPr/>
      </w:pPr>
      <w:bookmarkStart w:id="101" w:name="__RefHeading___Toc3419646_581953129"/>
      <w:bookmarkStart w:id="102" w:name="_Toc40"/>
      <w:bookmarkEnd w:id="101"/>
      <w:r>
        <w:rPr>
          <w:rtl w:val="true"/>
        </w:rPr>
        <w:t>ب</w:t>
      </w:r>
      <w:r>
        <w:rPr>
          <w:rtl w:val="true"/>
        </w:rPr>
        <w:t>)</w:t>
      </w:r>
      <w:r>
        <w:rPr>
          <w:rtl w:val="true"/>
        </w:rPr>
        <w:t>تعزیر در اصطلاح فقهی</w:t>
      </w:r>
      <w:bookmarkEnd w:id="102"/>
    </w:p>
    <w:p>
      <w:pPr>
        <w:pStyle w:val="Heading6"/>
        <w:numPr>
          <w:ilvl w:val="5"/>
          <w:numId w:val="1"/>
        </w:numPr>
        <w:rPr/>
      </w:pPr>
      <w:bookmarkStart w:id="103" w:name="__RefHeading___Toc3419648_581953129"/>
      <w:bookmarkStart w:id="104" w:name="_Toc41"/>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کیفرهای نامعین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دیگر،تعزیر عقوبتی است که مقدار آن در شرع معین نشده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ازاین‌رو،رکن اصلی این کیفرها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مقدر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آنهاست </w:t>
      </w:r>
      <w:r>
        <w:rPr>
          <w:rStyle w:val="FootnoteAnchor"/>
          <w:rtl w:val="true"/>
        </w:rPr>
        <w:footnoteReference w:id="124"/>
      </w:r>
      <w:r>
        <w:rPr>
          <w:rFonts w:ascii="IRNazanin" w:hAnsi="IRNazanin" w:eastAsia="IRNazanin"/>
          <w:color w:val="111111"/>
          <w:sz w:val="28"/>
          <w:sz w:val="28"/>
          <w:szCs w:val="28"/>
          <w:rtl w:val="true"/>
          <w:lang w:bidi="fa-IR"/>
        </w:rPr>
        <w:t>و بر این مسئله ادعای اجماع شده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بدین ترتیب،در اصطلاح فقهی،تعزیر کیفری است که چگونگی و اندازه آن معین نیست و حاکم شرع با توجه به مصالح فرد و جامعه،مقتضیات زمان و مکان،شدت جرم و سوابق و ویژگی‌های مجرم آن را تعیین می‌کند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در ادامه به برخی از دیدگاه‌های فقهای شیعه و سنی که مؤید مطالب پیش گفته است،اشاره می‌کنیم</w:t>
      </w:r>
      <w:r>
        <w:rPr>
          <w:rFonts w:eastAsia="IRNazanin" w:cs="IRNazanin"/>
          <w:color w:val="111111"/>
          <w:sz w:val="28"/>
          <w:szCs w:val="28"/>
          <w:rtl w:val="true"/>
          <w:lang w:bidi="fa-IR"/>
        </w:rPr>
        <w:t>.</w:t>
      </w:r>
    </w:p>
    <w:p>
      <w:pPr>
        <w:pStyle w:val="Heading6"/>
        <w:numPr>
          <w:ilvl w:val="5"/>
          <w:numId w:val="1"/>
        </w:numPr>
        <w:rPr/>
      </w:pPr>
      <w:bookmarkStart w:id="105" w:name="__RefHeading___Toc3419650_581953129"/>
      <w:bookmarkStart w:id="106" w:name="_Toc42"/>
      <w:bookmarkEnd w:id="105"/>
      <w:r>
        <w:rPr>
          <w:rtl w:val="true"/>
        </w:rPr>
        <w:t>یکم</w:t>
      </w:r>
      <w:r>
        <w:rPr>
          <w:rtl w:val="true"/>
        </w:rPr>
        <w:t>)</w:t>
      </w:r>
      <w:r>
        <w:rPr>
          <w:rtl w:val="true"/>
        </w:rPr>
        <w:t>فقهای شیعه</w:t>
      </w:r>
      <w:bookmarkEnd w:id="106"/>
    </w:p>
    <w:p>
      <w:pPr>
        <w:pStyle w:val="BookText"/>
        <w:rPr/>
      </w:pPr>
      <w:r>
        <w:rPr>
          <w:rFonts w:ascii="IRNazanin" w:hAnsi="IRNazanin" w:eastAsia="IRNazanin"/>
          <w:color w:val="111111"/>
          <w:sz w:val="28"/>
          <w:sz w:val="28"/>
          <w:szCs w:val="28"/>
          <w:rtl w:val="true"/>
          <w:lang w:bidi="fa-IR"/>
        </w:rPr>
        <w:t>مرحوم محقق حلی در کتاب شرایع الاسلام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ماله عقوبه مقدره یسمی حدا و ما لیس کذالک یسمی تعزیراً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یعنی هر عقوبت و مجازاتی که در شرع اندازه معینی داشته باشد،حد است و آن مجازاتی که این‌گونه نباشد از نوع تعزیر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نیز در مسالک الأفهام تعزیر را این‌گونه تعریف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التعزیر لغه التأدیب و شرعاً عقوبه او أهانه لا تقدیر لها باصل الشرع غالباً؛ </w:t>
      </w:r>
      <w:r>
        <w:rPr>
          <w:rStyle w:val="FootnoteAnchor"/>
          <w:rtl w:val="true"/>
        </w:rPr>
        <w:footnoteReference w:id="128"/>
      </w:r>
      <w:r>
        <w:rPr>
          <w:rFonts w:ascii="IRNazanin" w:hAnsi="IRNazanin" w:eastAsia="IRNazanin"/>
          <w:color w:val="111111"/>
          <w:sz w:val="28"/>
          <w:sz w:val="28"/>
          <w:szCs w:val="28"/>
          <w:rtl w:val="true"/>
          <w:lang w:bidi="fa-IR"/>
        </w:rPr>
        <w:t>تعزیر در لغت به معنای ادب کردن است و در اصطلاح شرع عبارت از عقوبت و اهانتی است که در غالب موارد در اصل شرع برای آن اندازه‌ای تعیین نشده است</w:t>
      </w:r>
      <w:r>
        <w:rPr>
          <w:rFonts w:eastAsia="IRNazanin" w:cs="IRNazanin"/>
          <w:color w:val="111111"/>
          <w:sz w:val="28"/>
          <w:szCs w:val="28"/>
          <w:rtl w:val="true"/>
          <w:lang w:bidi="fa-IR"/>
        </w:rPr>
        <w:t>.</w:t>
      </w:r>
      <w:bookmarkStart w:id="107" w:name="pg5664_43326"/>
    </w:p>
    <w:p>
      <w:pPr>
        <w:pStyle w:val="BookText"/>
        <w:rPr/>
      </w:pPr>
      <w:bookmarkEnd w:id="107"/>
      <w:r>
        <w:rPr>
          <w:rFonts w:ascii="IRNazanin" w:hAnsi="IRNazanin" w:eastAsia="IRNazanin"/>
          <w:color w:val="111111"/>
          <w:sz w:val="28"/>
          <w:sz w:val="28"/>
          <w:szCs w:val="28"/>
          <w:rtl w:val="true"/>
          <w:lang w:bidi="fa-IR"/>
        </w:rPr>
        <w:t>اما صاحب ریاض این قید را زاید دانسته،تعزیر را چنین تعریف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تقدر العقوبة یسمی تعزیرا</w:t>
      </w:r>
      <w:r>
        <w:rPr>
          <w:rFonts w:eastAsia="IRNazanin" w:cs="IRNazanin"/>
          <w:color w:val="111111"/>
          <w:sz w:val="28"/>
          <w:szCs w:val="28"/>
          <w:rtl w:val="true"/>
          <w:lang w:bidi="fa-IR"/>
        </w:rPr>
        <w:t xml:space="preserve">». </w:t>
      </w:r>
      <w:r>
        <w:rPr>
          <w:rStyle w:val="FootnoteAnchor"/>
          <w:rtl w:val="true"/>
        </w:rPr>
        <w:footnoteReference w:id="129"/>
      </w:r>
    </w:p>
    <w:p>
      <w:pPr>
        <w:pStyle w:val="Heading6"/>
        <w:numPr>
          <w:ilvl w:val="5"/>
          <w:numId w:val="1"/>
        </w:numPr>
        <w:rPr/>
      </w:pPr>
      <w:bookmarkStart w:id="108" w:name="__RefHeading___Toc3419652_581953129"/>
      <w:bookmarkStart w:id="109" w:name="_Toc43"/>
      <w:bookmarkEnd w:id="108"/>
      <w:r>
        <w:rPr>
          <w:rtl w:val="true"/>
        </w:rPr>
        <w:t>دوم</w:t>
      </w:r>
      <w:r>
        <w:rPr>
          <w:rtl w:val="true"/>
        </w:rPr>
        <w:t>)</w:t>
      </w:r>
      <w:r>
        <w:rPr>
          <w:rtl w:val="true"/>
        </w:rPr>
        <w:t>فقهای اهل سنت</w:t>
      </w:r>
      <w:bookmarkEnd w:id="109"/>
    </w:p>
    <w:p>
      <w:pPr>
        <w:pStyle w:val="BookText"/>
        <w:rPr/>
      </w:pPr>
      <w:r>
        <w:rPr>
          <w:rFonts w:ascii="IRNazanin" w:hAnsi="IRNazanin" w:eastAsia="IRNazanin"/>
          <w:color w:val="111111"/>
          <w:sz w:val="28"/>
          <w:sz w:val="28"/>
          <w:szCs w:val="28"/>
          <w:rtl w:val="true"/>
          <w:lang w:bidi="fa-IR"/>
        </w:rPr>
        <w:t>ماوردی در احکام السلطانیه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ادب کردن بر گناهانی است که در شرع حدی برای آنها مقرر نشده است و مقدار آن به اختلاف حال و انجام دهنده آن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ابن‌قدامه،از عالمان معروف اهل سنت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مجازات شرعی است که که بر گناهانی وضع می‌شود که حد شرعی خاصی ندارد</w:t>
      </w:r>
      <w:r>
        <w:rPr>
          <w:rFonts w:eastAsia="IRNazanin" w:cs="IRNazanin"/>
          <w:color w:val="111111"/>
          <w:sz w:val="28"/>
          <w:szCs w:val="28"/>
          <w:rtl w:val="true"/>
          <w:lang w:bidi="fa-IR"/>
        </w:rPr>
        <w:t>».</w:t>
      </w:r>
    </w:p>
    <w:p>
      <w:pPr>
        <w:pStyle w:val="Heading5"/>
        <w:numPr>
          <w:ilvl w:val="4"/>
          <w:numId w:val="1"/>
        </w:numPr>
        <w:rPr/>
      </w:pPr>
      <w:bookmarkStart w:id="110" w:name="__RefHeading___Toc3419654_581953129"/>
      <w:bookmarkStart w:id="111" w:name="_Toc44"/>
      <w:bookmarkEnd w:id="110"/>
      <w:r>
        <w:rPr/>
        <w:t>3</w:t>
      </w:r>
      <w:r>
        <w:rPr>
          <w:rtl w:val="true"/>
        </w:rPr>
        <w:t>-</w:t>
      </w:r>
      <w:r>
        <w:rPr>
          <w:rtl w:val="true"/>
        </w:rPr>
        <w:t>تفاوت‌های حدود و تعزیرات</w:t>
      </w:r>
      <w:bookmarkEnd w:id="111"/>
    </w:p>
    <w:p>
      <w:pPr>
        <w:pStyle w:val="Heading6"/>
        <w:numPr>
          <w:ilvl w:val="5"/>
          <w:numId w:val="1"/>
        </w:numPr>
        <w:rPr/>
      </w:pPr>
      <w:bookmarkStart w:id="112" w:name="__RefHeading___Toc3419656_581953129"/>
      <w:bookmarkStart w:id="113" w:name="_Toc45"/>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فقیهان در کتاب‌های فقهی به تفاوت‌های چندی میان حدود و تعزیرات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میان،شهید اول تفاوت‌ها را شفاف‌تر از همه بیان داشته،بسیاری از کتاب‌ها از ایشان پیروی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نوشتار به‌منظور ارائه ساختار مناسب‌تر و ارائه عنوانی سازگار با اصول نگارش نوشته‌های علمی،وجه مشترک این تفاوت‌ها را که ظاهراً ویژگی‌های کمّی و کیفی دو مجازات است،برای اشاره به تفاوت‌های مورد نظر شهید اول بیان می‌کنیم</w:t>
      </w:r>
      <w:r>
        <w:rPr>
          <w:rFonts w:eastAsia="IRNazanin" w:cs="IRNazanin"/>
          <w:color w:val="111111"/>
          <w:sz w:val="28"/>
          <w:szCs w:val="28"/>
          <w:rtl w:val="true"/>
          <w:lang w:bidi="fa-IR"/>
        </w:rPr>
        <w:t xml:space="preserve">. </w:t>
      </w:r>
      <w:r>
        <w:rPr>
          <w:rStyle w:val="FootnoteAnchor"/>
          <w:rtl w:val="true"/>
        </w:rPr>
        <w:footnoteReference w:id="130"/>
      </w:r>
    </w:p>
    <w:p>
      <w:pPr>
        <w:pStyle w:val="Heading6"/>
        <w:numPr>
          <w:ilvl w:val="5"/>
          <w:numId w:val="1"/>
        </w:numPr>
        <w:rPr/>
      </w:pPr>
      <w:bookmarkStart w:id="114" w:name="__RefHeading___Toc3419658_581953129"/>
      <w:bookmarkStart w:id="115" w:name="_Toc46"/>
      <w:bookmarkEnd w:id="114"/>
      <w:r>
        <w:rPr>
          <w:rtl w:val="true"/>
        </w:rPr>
        <w:t>الف</w:t>
      </w:r>
      <w:r>
        <w:rPr>
          <w:rtl w:val="true"/>
        </w:rPr>
        <w:t>)</w:t>
      </w:r>
      <w:r>
        <w:rPr>
          <w:rtl w:val="true"/>
        </w:rPr>
        <w:t>به لحاظ ویژگی‌های کمّی و کیفی</w:t>
      </w:r>
      <w:bookmarkEnd w:id="11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ما به الامتیاز این دو مجازات را این‌گونه بیان داشته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تعزیر،از ناحیه کثرت،محدود به ما دون الحد است،ولی از نظر قلّت،محدودیت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حدود،از نظر کثرت و قلّت،محدود و معین بوده،این مهم‌ترین فرق میان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برده و انسان آزاد،یکسان است،ولی حدود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تعزیر،بستگی به شدت وضعف جرم،مثل خطرناک بودن،خیلی خطرناک و کم‌خطرناک بودن بستگی دارد؛درحالی‌که در حدود،پایین‌ترین مرتبه تحقق جرم برای تحقق جرم حدی کافی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تابع معصیت نیست،بلکه تابع مفسده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رو،گاه هرچند مرتکب،مسئولیت کیفری نداشته باشد،مثل کودک و مجنون،اعمال مجازات تعزیری مانعی ندارد،ولی حدود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معصیت،کوچک یا بسیار کوچک باشد،یا اصلاً تعزیر نمی‌شود و یا کم،تعزیر می‌گردد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تعزیرات،با توبه ساقط می‌شود،ولی همه حدود،چنین نیست؛گرچه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 در انتخاب میزان 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انتخاب حبس به جای شلاق،یا تبدیل زندان به جریمه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 است،ولی در حدود اختیار ندارد،مگر بنا بر قول به تخییر حاکم شرع در انتخاب مجازات محارب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بر اساس وضعیت بزهکار،بزه‌دیده و بزه ارتکابی مختلف می‌شود؛در حالی که حدود این‌گونه نیست</w:t>
      </w:r>
      <w:r>
        <w:rPr>
          <w:rFonts w:eastAsia="IRNazanin" w:cs="IRNazanin"/>
          <w:color w:val="111111"/>
          <w:sz w:val="28"/>
          <w:szCs w:val="28"/>
          <w:rtl w:val="true"/>
          <w:lang w:bidi="fa-IR"/>
        </w:rPr>
        <w:t>.</w:t>
      </w:r>
      <w:bookmarkStart w:id="116" w:name="pg5664_43328"/>
    </w:p>
    <w:p>
      <w:pPr>
        <w:pStyle w:val="BookText"/>
        <w:rPr/>
      </w:pPr>
      <w:bookmarkEnd w:id="116"/>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در تعیین مفهوم و مصداق بعضی از مجازات‌های تعزیری،و نیز تعیین زمان و مکان در تعزیر اثرگذار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شهرهای مختلف جرایم تعزیری بار ارزشی متفاوتی داشته باشند،در هر شهر به هنجارهای همان شهر مراجعه می‌شود،ولی درحدود چنین نیست و تمام مکان‌ها در آن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تعزیری گاه حق اللهی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دروغگویی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حق الناس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ناسزا گفتن به انسان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هم حق الله و هم حق الناس همانند توهین به میت صالح که در خصوص ورثه،حق الناس و به نسبت میت،حق الله است،ولی در حدود چنین نیست و تمام حدود،جز قذف،حق الله باشد</w:t>
      </w:r>
      <w:r>
        <w:rPr>
          <w:rFonts w:eastAsia="IRNazanin" w:cs="IRNazanin"/>
          <w:color w:val="111111"/>
          <w:sz w:val="28"/>
          <w:szCs w:val="28"/>
          <w:rtl w:val="true"/>
          <w:lang w:bidi="fa-IR"/>
        </w:rPr>
        <w:t xml:space="preserve">. </w:t>
      </w:r>
      <w:r>
        <w:rPr>
          <w:rStyle w:val="FootnoteAnchor"/>
          <w:rtl w:val="true"/>
        </w:rPr>
        <w:footnoteReference w:id="133"/>
      </w:r>
    </w:p>
    <w:p>
      <w:pPr>
        <w:pStyle w:val="Heading6"/>
        <w:numPr>
          <w:ilvl w:val="5"/>
          <w:numId w:val="1"/>
        </w:numPr>
        <w:rPr/>
      </w:pPr>
      <w:bookmarkStart w:id="117" w:name="__RefHeading___Toc3419660_581953129"/>
      <w:bookmarkStart w:id="118" w:name="_Toc47"/>
      <w:bookmarkEnd w:id="117"/>
      <w:r>
        <w:rPr>
          <w:rtl w:val="true"/>
        </w:rPr>
        <w:t>ب</w:t>
      </w:r>
      <w:r>
        <w:rPr>
          <w:rtl w:val="true"/>
        </w:rPr>
        <w:t>)</w:t>
      </w:r>
      <w:r>
        <w:rPr>
          <w:rtl w:val="true"/>
        </w:rPr>
        <w:t>به لحاظ موضوع،نوع عقوبت و میزان مجازات</w:t>
      </w:r>
      <w:bookmarkEnd w:id="118"/>
    </w:p>
    <w:p>
      <w:pPr>
        <w:pStyle w:val="BookText"/>
        <w:rPr/>
      </w:pPr>
      <w:r>
        <w:rPr>
          <w:rFonts w:ascii="IRNazanin" w:hAnsi="IRNazanin" w:eastAsia="IRNazanin"/>
          <w:color w:val="111111"/>
          <w:sz w:val="28"/>
          <w:sz w:val="28"/>
          <w:szCs w:val="28"/>
          <w:rtl w:val="true"/>
          <w:lang w:bidi="fa-IR"/>
        </w:rPr>
        <w:t>به نظر می‌رسد دکتر محقق داماد وجوه مطرح شده از سوی شهید اول را به‌گونه ذیل خلاصه و طبقه‌بندی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شرعی،موضوع هر حد و نوع جرم آن کاملاً مشخص شده،در قانون شرع تعریف و شرایط هر یک به تفصیل بیان گردیده است؛به گونه‌ای که با عدم تحقق هر یک از شرایط مقرر،حد اجرا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بنابراین،فقط تشخیص موضوع با حاکم است،ولی در موضوع تعزیرات هیچ‌گونه تشخیص قانونی مطرح نیست و فقط به بیان کلی فعل محرمات بسنده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نتیجه،سنجش بزه ارتکابی و تعیین نوع عقوبت و مقدار متناسب آن به نظر و صلاحدید ولی امر بستگی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نوع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عقوبت‌های حدی نیز در شریعت مشخص و در محدودهای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تعییناً یا تخییراً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رو،حاکم نمی‌تواند از آن محدوده پا را فراتر نهد یا کوتاهی نماید،ولی مجازات‌های تعزیری هیچ‌گونه تعیینی ندارد و به نظر و صلاحدید فقیه و حاکم شرع واگذار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که باید تشخیص دهد چگونه مجازاتی بازدارنده و متناسب با بزه ارتکابی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bookmarkStart w:id="119" w:name="pg5664_43329"/>
    </w:p>
    <w:p>
      <w:pPr>
        <w:pStyle w:val="BookText"/>
        <w:rPr/>
      </w:pPr>
      <w:bookmarkEnd w:id="119"/>
      <w:r>
        <w:rPr>
          <w:rFonts w:ascii="IRNazanin" w:hAnsi="IRNazanin" w:eastAsia="IRNazanin"/>
          <w:color w:val="111111"/>
          <w:sz w:val="28"/>
          <w:sz w:val="28"/>
          <w:szCs w:val="28"/>
          <w:rtl w:val="true"/>
          <w:lang w:bidi="fa-IR"/>
        </w:rPr>
        <w:t>مجازات که نوع آن به نظر حاکم بستگی داشته،چنان اهمیتی دارد که مارک آنسل در کتاب دفاع اجتماعی خود آن را ستوده،یکی از اصول پیشرفته حقوق جزا دانسته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جهت میزان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مجازات تعزیری نیز به صلاحدید و تشخیص حاکم بستگی دارد که باید متناسب با جرم ارتکابی بوده،در کم و کیف هر مجازاتی حال بزهکار نیز از نظر توانایی وی باید مراعات شود،ولی در حدود چنین نیست</w:t>
      </w:r>
      <w:r>
        <w:rPr>
          <w:rFonts w:eastAsia="IRNazanin" w:cs="IRNazanin"/>
          <w:color w:val="111111"/>
          <w:sz w:val="28"/>
          <w:szCs w:val="28"/>
          <w:rtl w:val="true"/>
          <w:lang w:bidi="fa-IR"/>
        </w:rPr>
        <w:t xml:space="preserve">. </w:t>
      </w:r>
      <w:r>
        <w:rPr>
          <w:rStyle w:val="FootnoteAnchor"/>
          <w:rtl w:val="true"/>
        </w:rPr>
        <w:footnoteReference w:id="135"/>
      </w:r>
    </w:p>
    <w:p>
      <w:pPr>
        <w:pStyle w:val="Heading5"/>
        <w:numPr>
          <w:ilvl w:val="4"/>
          <w:numId w:val="1"/>
        </w:numPr>
        <w:rPr/>
      </w:pPr>
      <w:bookmarkStart w:id="120" w:name="__RefHeading___Toc3419662_581953129"/>
      <w:bookmarkStart w:id="121" w:name="_Toc48"/>
      <w:bookmarkEnd w:id="120"/>
      <w:r>
        <w:rPr/>
        <w:t>4</w:t>
      </w:r>
      <w:r>
        <w:rPr>
          <w:rtl w:val="true"/>
        </w:rPr>
        <w:t>-</w:t>
      </w:r>
      <w:r>
        <w:rPr>
          <w:rtl w:val="true"/>
        </w:rPr>
        <w:t>موجبات فقهی اعمال تعزیر</w:t>
      </w:r>
      <w:bookmarkEnd w:id="121"/>
    </w:p>
    <w:p>
      <w:pPr>
        <w:pStyle w:val="Heading6"/>
        <w:numPr>
          <w:ilvl w:val="5"/>
          <w:numId w:val="1"/>
        </w:numPr>
        <w:rPr/>
      </w:pPr>
      <w:bookmarkStart w:id="122" w:name="__RefHeading___Toc3419664_581953129"/>
      <w:bookmarkStart w:id="123" w:name="_Toc49"/>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ویژگی‌های مجازات تعزیری و گستره آن،این پرسش را مطرح می‌سازد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اعمال مجازات تعزیری چیست؟آیا تعزیر به گناهانی اختصاص دارد که شارع به اجرای تعزیر درباره آنها تصریح کرده یا در خصوص همه گناهان شرعی که برای آنها حدی معین نشده،ثابت است؟در این صورت،آیا تعزیر مختص گناهان کبیره است یا اعم از آن بوده،شامل گناهان صغیره نیز می‌شود؟و سرانجام،آیا تعزیر فقط درباره معصیت شرعی قابل اجراست یا شامل رفتاری که موجب مفسده فردی و اجتماعی و یا موجب مخالفت با دستورات حاکم اسلامی شده نیز می‌گردد؟</w:t>
      </w:r>
    </w:p>
    <w:p>
      <w:pPr>
        <w:pStyle w:val="BookText"/>
        <w:rPr/>
      </w:pPr>
      <w:r>
        <w:rPr>
          <w:rFonts w:ascii="IRNazanin" w:hAnsi="IRNazanin" w:eastAsia="IRNazanin"/>
          <w:color w:val="111111"/>
          <w:sz w:val="28"/>
          <w:sz w:val="28"/>
          <w:szCs w:val="28"/>
          <w:rtl w:val="true"/>
          <w:lang w:bidi="fa-IR"/>
        </w:rPr>
        <w:t>بررسی موجبات فقهی اعمال تعزیر از آن نظر ضرورت می‌یابد که بر اساس دیدگاه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اجرای حدود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جایگزین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رو،ضروری است پیشاپیش امکان این جایگزینی به وسیله شناخت موجبات و ملاکات ثبوت تعزیر بررسی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نوشتار این ملاک‌ها به ترتیب ذیل دسته‌بندی و بررسی شده است</w:t>
      </w:r>
      <w:r>
        <w:rPr>
          <w:rFonts w:eastAsia="IRNazanin" w:cs="IRNazanin"/>
          <w:color w:val="111111"/>
          <w:sz w:val="28"/>
          <w:szCs w:val="28"/>
          <w:rtl w:val="true"/>
          <w:lang w:bidi="fa-IR"/>
        </w:rPr>
        <w:t>.</w:t>
      </w:r>
    </w:p>
    <w:p>
      <w:pPr>
        <w:pStyle w:val="Heading6"/>
        <w:numPr>
          <w:ilvl w:val="5"/>
          <w:numId w:val="1"/>
        </w:numPr>
        <w:rPr/>
      </w:pPr>
      <w:bookmarkStart w:id="124" w:name="__RefHeading___Toc3419666_581953129"/>
      <w:bookmarkStart w:id="125" w:name="_Toc50"/>
      <w:bookmarkEnd w:id="124"/>
      <w:r>
        <w:rPr>
          <w:rtl w:val="true"/>
        </w:rPr>
        <w:t>الف</w:t>
      </w:r>
      <w:r>
        <w:rPr>
          <w:rtl w:val="true"/>
        </w:rPr>
        <w:t>)</w:t>
      </w:r>
      <w:r>
        <w:rPr>
          <w:rtl w:val="true"/>
        </w:rPr>
        <w:t>ارتکاب معصیت</w:t>
      </w:r>
      <w:bookmarkEnd w:id="125"/>
    </w:p>
    <w:p>
      <w:pPr>
        <w:pStyle w:val="Heading6"/>
        <w:numPr>
          <w:ilvl w:val="5"/>
          <w:numId w:val="1"/>
        </w:numPr>
        <w:rPr/>
      </w:pPr>
      <w:bookmarkStart w:id="126" w:name="__RefHeading___Toc3419668_581953129"/>
      <w:bookmarkStart w:id="127" w:name="_Toc51"/>
      <w:bookmarkEnd w:id="126"/>
      <w:r>
        <w:rPr>
          <w:rtl w:val="true"/>
        </w:rPr>
        <w:t>یکم</w:t>
      </w:r>
      <w:r>
        <w:rPr>
          <w:rtl w:val="true"/>
        </w:rPr>
        <w:t>)</w:t>
      </w:r>
      <w:r>
        <w:rPr>
          <w:rtl w:val="true"/>
        </w:rPr>
        <w:t>موارد خاص در روایت</w:t>
      </w:r>
      <w:bookmarkEnd w:id="12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در برخی موارد به وجوب تعزیر تصریح شده است؛از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دروغ؛ </w:t>
      </w:r>
      <w:r>
        <w:rPr>
          <w:rStyle w:val="FootnoteAnchor"/>
          <w:rtl w:val="true"/>
        </w:rPr>
        <w:footnoteReference w:id="1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عمد آلوده کردن مسجدالحرام؛ </w:t>
      </w:r>
      <w:r>
        <w:rPr>
          <w:rStyle w:val="FootnoteAnchor"/>
          <w:rtl w:val="true"/>
        </w:rPr>
        <w:footnoteReference w:id="1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نبش قبر اگر عادت به این حرام نداشته باشد؛ </w:t>
      </w:r>
      <w:r>
        <w:rPr>
          <w:rStyle w:val="FootnoteAnchor"/>
          <w:rtl w:val="true"/>
        </w:rPr>
        <w:footnoteReference w:id="1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خون مردار و گوشت خوک؛ </w:t>
      </w:r>
      <w:r>
        <w:rPr>
          <w:rStyle w:val="FootnoteAnchor"/>
          <w:rtl w:val="true"/>
        </w:rPr>
        <w:footnoteReference w:id="1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تأدیب کودک و مملوک؛ </w:t>
      </w:r>
      <w:r>
        <w:rPr>
          <w:rStyle w:val="FootnoteAnchor"/>
          <w:rtl w:val="true"/>
        </w:rPr>
        <w:footnoteReference w:id="1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زشتی جز زنا به کسی نسبت دادن</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افزون بر این موارد،در موارد دیگری نیز در روایات به تعزیر تصریح شده است؛هرچند در برخی از آنها واژه تعزیر دیده نمی‌شود و به جای آن،واژگانی چون ضرب،تأدیب و حتی گاه حد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برخی صاحب‌نظران،ثبوت تعزیر درباره تمامی گناهان صغیره و کبیره‌ای که مشمول حد نباشد،فاقد نص و دلیل روشن است و از کتاب و سنت نمی‌توان دلیلی بر آن اقامه کرد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از این رو،باید تعزیر را فقط به موارد منصوص منحصر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فقهای عظام،صاحب کشف اللثام به نوعی این ملاک را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وجوب تعزیر را از باب نهی از منکر و مختص به مواردی دانسته که فرد با نهی،توبیخ و مانند آن عمل حرام را تر ک نکند و می‌فرماید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مرتکب حرام با نهی و توبیخ و امثال آن از عمل حرام دست بکشد،دلیلی برای ضرب وجود ندارد؛مگر در موارد مخصوصی که نصی بر لزوم تعزیر یا تأدیب وجود دارد</w:t>
      </w:r>
      <w:r>
        <w:rPr>
          <w:rFonts w:eastAsia="IRNazanin" w:cs="IRNazanin"/>
          <w:color w:val="111111"/>
          <w:sz w:val="28"/>
          <w:szCs w:val="28"/>
          <w:rtl w:val="true"/>
          <w:lang w:bidi="fa-IR"/>
        </w:rPr>
        <w:t xml:space="preserve">. </w:t>
      </w:r>
      <w:r>
        <w:rPr>
          <w:rStyle w:val="FootnoteAnchor"/>
          <w:rtl w:val="true"/>
        </w:rPr>
        <w:footnoteReference w:id="143"/>
      </w:r>
      <w:bookmarkStart w:id="128" w:name="pg5664_43331"/>
    </w:p>
    <w:p>
      <w:pPr>
        <w:pStyle w:val="Heading6"/>
        <w:numPr>
          <w:ilvl w:val="5"/>
          <w:numId w:val="1"/>
        </w:numPr>
        <w:rPr/>
      </w:pPr>
      <w:bookmarkStart w:id="129" w:name="__RefHeading___Toc3419670_581953129"/>
      <w:bookmarkStart w:id="130" w:name="_Toc52"/>
      <w:bookmarkEnd w:id="128"/>
      <w:bookmarkEnd w:id="129"/>
      <w:r>
        <w:rPr>
          <w:rtl w:val="true"/>
        </w:rPr>
        <w:t>دوم</w:t>
      </w:r>
      <w:r>
        <w:rPr>
          <w:rtl w:val="true"/>
        </w:rPr>
        <w:t>)</w:t>
      </w:r>
      <w:r>
        <w:rPr>
          <w:rtl w:val="true"/>
        </w:rPr>
        <w:t>فقدان شرایط اقامه حد</w:t>
      </w:r>
      <w:bookmarkEnd w:id="130"/>
    </w:p>
    <w:p>
      <w:pPr>
        <w:pStyle w:val="BookText"/>
        <w:rPr/>
      </w:pPr>
      <w:r>
        <w:rPr>
          <w:rFonts w:ascii="IRNazanin" w:hAnsi="IRNazanin" w:eastAsia="IRNazanin"/>
          <w:color w:val="111111"/>
          <w:sz w:val="28"/>
          <w:sz w:val="28"/>
          <w:szCs w:val="28"/>
          <w:rtl w:val="true"/>
          <w:lang w:bidi="fa-IR"/>
        </w:rPr>
        <w:t>تعزیر افزون بر مواردی که در شرع مجازات معینی برای آنها پیش‌بینی نشده،درباره جرایمی که مستوجب حد است،ولی شرایط اقامه حد در آنها کامل نیست نیز اعمال می‌شود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گاهی رفتاری که مشمول حد شرعی است،به علت نبود یکی از شرایط لازم برای اجرای حد،از آن نظر که مصداقی از معصیت است،مستوجب عقوبت تعزیری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مرتبه اقرار به زنا،موجب حد زنا و کمتر از آن قابل تعزیر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نیز مقرر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 یا زنی،چهار بار نزد حاکم اقرار به زنا کند،محکوم به حد زنا خواهد شد و اگر کمتر از چهار بار اقرار کند،تعزیر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جزای افغانستان که به جرایم تعزیری اختصاص دارد نیز در ماده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جرم زنا شرایط تطبیق حد موجود نگردد یا به علت شبهه یا یکی از اسباب دیگر حد ساقط گردد،مرتکب مطابق با احکام مندرج به این فصل مجازات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جرمِ مستوجب حد،حق الناس باشد و صاحب حق مجرم را عفو کند،حاکم می‌تواند به استناد جنبه عمومی جرم وی را به کیفر تعزیری متناسب آن محکوم نماید</w:t>
      </w:r>
      <w:r>
        <w:rPr>
          <w:rFonts w:eastAsia="IRNazanin" w:cs="IRNazanin"/>
          <w:color w:val="111111"/>
          <w:sz w:val="28"/>
          <w:szCs w:val="28"/>
          <w:rtl w:val="true"/>
          <w:lang w:bidi="fa-IR"/>
        </w:rPr>
        <w:t xml:space="preserve">. </w:t>
      </w:r>
      <w:r>
        <w:rPr>
          <w:rStyle w:val="FootnoteAnchor"/>
          <w:rtl w:val="true"/>
        </w:rPr>
        <w:footnoteReference w:id="146"/>
      </w:r>
    </w:p>
    <w:p>
      <w:pPr>
        <w:pStyle w:val="Heading6"/>
        <w:numPr>
          <w:ilvl w:val="5"/>
          <w:numId w:val="1"/>
        </w:numPr>
        <w:rPr/>
      </w:pPr>
      <w:bookmarkStart w:id="131" w:name="__RefHeading___Toc3419672_581953129"/>
      <w:bookmarkStart w:id="132" w:name="_Toc53"/>
      <w:bookmarkEnd w:id="131"/>
      <w:r>
        <w:rPr>
          <w:rtl w:val="true"/>
        </w:rPr>
        <w:t>سوم</w:t>
      </w:r>
      <w:r>
        <w:rPr>
          <w:rtl w:val="true"/>
        </w:rPr>
        <w:t>)</w:t>
      </w:r>
      <w:r>
        <w:rPr>
          <w:rtl w:val="true"/>
        </w:rPr>
        <w:t>گناهانی که حد معین ندارد</w:t>
      </w:r>
      <w:bookmarkEnd w:id="132"/>
    </w:p>
    <w:p>
      <w:pPr>
        <w:pStyle w:val="BookText"/>
        <w:rPr/>
      </w:pPr>
      <w:r>
        <w:rPr>
          <w:rFonts w:ascii="IRNazanin" w:hAnsi="IRNazanin" w:eastAsia="IRNazanin"/>
          <w:color w:val="111111"/>
          <w:sz w:val="28"/>
          <w:sz w:val="28"/>
          <w:szCs w:val="28"/>
          <w:rtl w:val="true"/>
          <w:lang w:bidi="fa-IR"/>
        </w:rPr>
        <w:t>بسیاری از فقهای متقدم و متأخر،اعمال تعزیر را در مطلق آن دسته از گناهانی که مشمول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نیست،ثابت می‌دانند و از ظاهر عبارات آنها استفاده می‌شود تعزیر به موارد منصوص اختصاص ندارد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ارتکاب هر فعل حرامی را موجب تعزیر می‌دانند و حتی آن را در</w:t>
      </w:r>
    </w:p>
    <w:p>
      <w:pPr>
        <w:pStyle w:val="BookText"/>
        <w:rPr/>
      </w:pPr>
      <w:r>
        <w:rPr>
          <w:rFonts w:ascii="IRNazanin" w:hAnsi="IRNazanin" w:eastAsia="IRNazanin"/>
          <w:color w:val="111111"/>
          <w:sz w:val="28"/>
          <w:sz w:val="28"/>
          <w:szCs w:val="28"/>
          <w:rtl w:val="true"/>
          <w:lang w:bidi="fa-IR"/>
        </w:rPr>
        <w:t xml:space="preserve">تعریف تعزیر در نظر می‌گیرند؛ </w:t>
      </w:r>
      <w:r>
        <w:rPr>
          <w:rStyle w:val="FootnoteAnchor"/>
          <w:rtl w:val="true"/>
        </w:rPr>
        <w:footnoteReference w:id="148"/>
      </w:r>
      <w:r>
        <w:rPr>
          <w:rFonts w:ascii="IRNazanin" w:hAnsi="IRNazanin" w:eastAsia="IRNazanin"/>
          <w:color w:val="111111"/>
          <w:sz w:val="28"/>
          <w:sz w:val="28"/>
          <w:szCs w:val="28"/>
          <w:rtl w:val="true"/>
          <w:lang w:bidi="fa-IR"/>
        </w:rPr>
        <w:t xml:space="preserve">فقط تصریح می‌کنند تنها گناهانی موجب تعزیرند که درباره آن‌ها حد تشریع نشده باشد؛ </w:t>
      </w:r>
      <w:r>
        <w:rPr>
          <w:rStyle w:val="FootnoteAnchor"/>
          <w:rtl w:val="true"/>
        </w:rPr>
        <w:footnoteReference w:id="149"/>
      </w:r>
      <w:r>
        <w:rPr>
          <w:rFonts w:ascii="IRNazanin" w:hAnsi="IRNazanin" w:eastAsia="IRNazanin"/>
          <w:color w:val="111111"/>
          <w:sz w:val="28"/>
          <w:sz w:val="28"/>
          <w:szCs w:val="28"/>
          <w:rtl w:val="true"/>
          <w:lang w:bidi="fa-IR"/>
        </w:rPr>
        <w:t>مانند سرقتی که در آن مال مسروق از نصاب شرعی کمتر باشد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از نظر فقهای عامه،ارتکاب گناهی که برای آن کفاره تعیین نشده باشد نیز مشمول تعزیر است، </w:t>
      </w:r>
      <w:r>
        <w:rPr>
          <w:rStyle w:val="FootnoteAnchor"/>
          <w:rtl w:val="true"/>
        </w:rPr>
        <w:footnoteReference w:id="151"/>
      </w:r>
      <w:r>
        <w:rPr>
          <w:rFonts w:ascii="IRNazanin" w:hAnsi="IRNazanin" w:eastAsia="IRNazanin"/>
          <w:color w:val="111111"/>
          <w:sz w:val="28"/>
          <w:sz w:val="28"/>
          <w:szCs w:val="28"/>
          <w:rtl w:val="true"/>
          <w:lang w:bidi="fa-IR"/>
        </w:rPr>
        <w:t>ولی فقهای امامی به موضوع کفاره اشاره نکرده‌اند و به‌طور کلی ارتکاب معصیتی را که مشمول حد شرعی نباشد،قابل تعزیر می‌دانند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از میان فقهای شیعه،محقق حلی پس از ذکر چند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البغی،الرده و اتیان البهیمه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غیر این موارد از حرام‌های شرعی را نیز مستوجب تعزیر دانسته است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فقهای شیعه،به‌طور کلی غیر از جنایات مشمول عقوبت‌های قصاص و دیه،قول مشهور فقهای امامی آن است که هر گناهی مشمول عقوبت حد نباشد،قابل تعزیر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فقها نیز معتقدند در این حکم از نظر نص و فتوا،اختلافی میان فقها نیست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مرتکب معصیتی شود که حدی برای آن تعیین نشده است،تعزیر می‌شود؛مانند کسی که به مقدار نصاب از غیر حرز سرقت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فردی که به کسی دشنام دهد یا کسی را بزند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محقق حلی در باب حدود شرایع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فعل حرامی را مرتکب شود یا فعل واجبی را ترک کند،بر امام،تعزیر او تا اندازه‌ای که به حد نرسد،جایز است و تعیین میزان تعزیر با امام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صاحب تکملة المنهاج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روی علم و عمد حرامی را انجام دهد یا واجب الهی را ترک کند،حاکم او را به اندازه‌ای که مصلحت می‌بیند،تعزیر می‌کند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این نظریه،افزون بر شهرت عظیم یا عدم خلاف،فی‌الجمله دلایلی چند ارائه شده است؛ </w:t>
      </w:r>
      <w:r>
        <w:rPr>
          <w:rStyle w:val="FootnoteAnchor"/>
          <w:rtl w:val="true"/>
        </w:rPr>
        <w:footnoteReference w:id="158"/>
      </w:r>
      <w:r>
        <w:rPr>
          <w:rFonts w:ascii="IRNazanin" w:hAnsi="IRNazanin" w:eastAsia="IRNazanin"/>
          <w:color w:val="111111"/>
          <w:sz w:val="28"/>
          <w:sz w:val="28"/>
          <w:szCs w:val="28"/>
          <w:rtl w:val="true"/>
          <w:lang w:bidi="fa-IR"/>
        </w:rPr>
        <w:t>البته برخی از فقها عمومیت تعزیر را برای هر گناهی نپذیرفته،این ادله را با طرح اشکال‌هایی به چالش کشیده‌اند</w:t>
      </w:r>
      <w:r>
        <w:rPr>
          <w:rFonts w:eastAsia="IRNazanin" w:cs="IRNazanin"/>
          <w:color w:val="111111"/>
          <w:sz w:val="28"/>
          <w:szCs w:val="28"/>
          <w:rtl w:val="true"/>
          <w:lang w:bidi="fa-IR"/>
        </w:rPr>
        <w:t xml:space="preserve">. </w:t>
      </w:r>
      <w:r>
        <w:rPr>
          <w:rStyle w:val="FootnoteAnchor"/>
          <w:rtl w:val="true"/>
        </w:rPr>
        <w:footnoteReference w:id="159"/>
      </w:r>
      <w:bookmarkStart w:id="133" w:name="pg5664_43334"/>
    </w:p>
    <w:p>
      <w:pPr>
        <w:pStyle w:val="Heading6"/>
        <w:numPr>
          <w:ilvl w:val="5"/>
          <w:numId w:val="1"/>
        </w:numPr>
        <w:rPr/>
      </w:pPr>
      <w:bookmarkStart w:id="134" w:name="__RefHeading___Toc3419674_581953129"/>
      <w:bookmarkStart w:id="135" w:name="_Toc54"/>
      <w:bookmarkEnd w:id="133"/>
      <w:bookmarkEnd w:id="134"/>
      <w:r>
        <w:rPr>
          <w:rtl w:val="true"/>
        </w:rPr>
        <w:t>چهارم</w:t>
      </w:r>
      <w:r>
        <w:rPr>
          <w:rtl w:val="true"/>
        </w:rPr>
        <w:t>)</w:t>
      </w:r>
      <w:r>
        <w:rPr>
          <w:rtl w:val="true"/>
        </w:rPr>
        <w:t>ارتکاب گناهان کبیره</w:t>
      </w:r>
      <w:bookmarkEnd w:id="135"/>
    </w:p>
    <w:p>
      <w:pPr>
        <w:pStyle w:val="BookText"/>
        <w:rPr/>
      </w:pPr>
      <w:r>
        <w:rPr>
          <w:rFonts w:ascii="IRNazanin" w:hAnsi="IRNazanin" w:eastAsia="IRNazanin"/>
          <w:color w:val="111111"/>
          <w:sz w:val="28"/>
          <w:sz w:val="28"/>
          <w:szCs w:val="28"/>
          <w:rtl w:val="true"/>
          <w:lang w:bidi="fa-IR"/>
        </w:rPr>
        <w:t>آیا ارتکاب هر گناهی اعم از صغیره و کبیره،در صورتی که مشمول حد شرعی نباشد،مستلزم تعزیر است؟به عبارت دیگر،آیا تعزیر فقط شامل گناهان کبیره است یا گناهان صغیره را نیز در برمی‌گیرد؟</w:t>
      </w:r>
    </w:p>
    <w:p>
      <w:pPr>
        <w:pStyle w:val="BookText"/>
        <w:rPr/>
      </w:pPr>
      <w:r>
        <w:rPr>
          <w:rFonts w:ascii="IRNazanin" w:hAnsi="IRNazanin" w:eastAsia="IRNazanin"/>
          <w:color w:val="111111"/>
          <w:sz w:val="28"/>
          <w:sz w:val="28"/>
          <w:szCs w:val="28"/>
          <w:rtl w:val="true"/>
          <w:lang w:bidi="fa-IR"/>
        </w:rPr>
        <w:t>از عبارت برخی از فقها استفاده می‌شود که تعزیر شامل آن دسته از گناهان کبیره و صغیره‌ای می‌شود که برای آن حدی تعیین نشده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بعضی از فقها نظیر امام خمینی،شمول تعزیر را بر گناهان صغیره و کبیره منوط به تحقق اجماع بر تحریم آن می‌دانند، </w:t>
      </w:r>
      <w:r>
        <w:rPr>
          <w:rStyle w:val="FootnoteAnchor"/>
          <w:rtl w:val="true"/>
        </w:rPr>
        <w:footnoteReference w:id="161"/>
      </w:r>
      <w:r>
        <w:rPr>
          <w:rFonts w:ascii="IRNazanin" w:hAnsi="IRNazanin" w:eastAsia="IRNazanin"/>
          <w:color w:val="111111"/>
          <w:sz w:val="28"/>
          <w:sz w:val="28"/>
          <w:szCs w:val="28"/>
          <w:rtl w:val="true"/>
          <w:lang w:bidi="fa-IR"/>
        </w:rPr>
        <w:t>ولی بعضی دیگر اختصاص تعزیر را به گناهان کبیره مبنی بر اجماع علما و صراحت نصوص وارده می‌کنند و معتقدند درباره تمام گناهان کبیره،اعم از انجام گناه یا ترک واجب که از کسی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می‌زند،قابل اجراست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به هر حال مشهور فقهای شیعه ارتکاب گناهان کبیره را موجب ثبوت تعزیر دانسته‌اند؛هرچند در شمارش آن‌ها باهم اختلاف دارند</w:t>
      </w:r>
      <w:r>
        <w:rPr>
          <w:rFonts w:eastAsia="IRNazanin" w:cs="IRNazanin"/>
          <w:color w:val="111111"/>
          <w:sz w:val="28"/>
          <w:szCs w:val="28"/>
          <w:rtl w:val="true"/>
          <w:lang w:bidi="fa-IR"/>
        </w:rPr>
        <w:t xml:space="preserve">. </w:t>
      </w:r>
      <w:r>
        <w:rPr>
          <w:rStyle w:val="FootnoteAnchor"/>
          <w:rtl w:val="true"/>
        </w:rPr>
        <w:footnoteReference w:id="163"/>
      </w:r>
    </w:p>
    <w:p>
      <w:pPr>
        <w:pStyle w:val="Heading6"/>
        <w:numPr>
          <w:ilvl w:val="5"/>
          <w:numId w:val="1"/>
        </w:numPr>
        <w:rPr/>
      </w:pPr>
      <w:bookmarkStart w:id="136" w:name="__RefHeading___Toc3419676_581953129"/>
      <w:bookmarkStart w:id="137" w:name="_Toc55"/>
      <w:bookmarkEnd w:id="136"/>
      <w:r>
        <w:rPr>
          <w:rtl w:val="true"/>
        </w:rPr>
        <w:t>پنجم</w:t>
      </w:r>
      <w:r>
        <w:rPr>
          <w:rtl w:val="true"/>
        </w:rPr>
        <w:t>)</w:t>
      </w:r>
      <w:r>
        <w:rPr>
          <w:rtl w:val="true"/>
        </w:rPr>
        <w:t>کیفر مکمل در جرایم حدی</w:t>
      </w:r>
      <w:bookmarkEnd w:id="13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نیز تعزیر با عنوان کیفر مکمل در کنار حد قرار می‌گیرد؛مثلاً از نظر فقهای شافعی حد شراب‌خواری،چهل تازیانه است و اگر زاید بر آن حکم شود،تعزیر</w:t>
      </w:r>
      <w:bookmarkStart w:id="138" w:name="pg5664_43335"/>
    </w:p>
    <w:p>
      <w:pPr>
        <w:pStyle w:val="BookText"/>
        <w:rPr/>
      </w:pPr>
      <w:bookmarkEnd w:id="138"/>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فقهای امامی نیز زنا را در زمان یا مکان‌های شریف،افزون بر حد،مستوجب تعزیر می‌دانند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نیز مقرر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در زمان‌های متبرکه،چون اعیاد مذهبی و رمضان و جمعه و مکان‌های شریف چون مساجد،علاوه بر حد،موجب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حکم فقها مبنی بر جواز یا لزوم تعزیر در مواردی که حد در آنها تشریع نشده،می‌توان این‌گونه برداشت کرد که تعزیر با وجود قصاص و دیه منتفی نیست و در این موارد با صلاحدید قاضی جمع عقوبت تعزیر با قصاص و دیه امکان‌پذیر است،ولی از نظر برخی فقهای عامه،چون تعزیر به منظور اصلاح مجرم است و با قصاص نفس این موضوع منتفی است،جمع قصاص نفس و تعزیر ممکن نیست</w:t>
      </w:r>
      <w:r>
        <w:rPr>
          <w:rFonts w:eastAsia="IRNazanin" w:cs="IRNazanin"/>
          <w:color w:val="111111"/>
          <w:sz w:val="28"/>
          <w:szCs w:val="28"/>
          <w:rtl w:val="true"/>
          <w:lang w:bidi="fa-IR"/>
        </w:rPr>
        <w:t xml:space="preserve">. </w:t>
      </w:r>
      <w:r>
        <w:rPr>
          <w:rStyle w:val="FootnoteAnchor"/>
          <w:rtl w:val="true"/>
        </w:rPr>
        <w:footnoteReference w:id="166"/>
      </w:r>
    </w:p>
    <w:p>
      <w:pPr>
        <w:pStyle w:val="Heading6"/>
        <w:numPr>
          <w:ilvl w:val="5"/>
          <w:numId w:val="1"/>
        </w:numPr>
        <w:rPr/>
      </w:pPr>
      <w:bookmarkStart w:id="139" w:name="__RefHeading___Toc3419678_581953129"/>
      <w:bookmarkStart w:id="140" w:name="_Toc56"/>
      <w:bookmarkEnd w:id="139"/>
      <w:r>
        <w:rPr>
          <w:rtl w:val="true"/>
        </w:rPr>
        <w:t>ب</w:t>
      </w:r>
      <w:r>
        <w:rPr>
          <w:rtl w:val="true"/>
        </w:rPr>
        <w:t>)</w:t>
      </w:r>
      <w:r>
        <w:rPr>
          <w:rtl w:val="true"/>
        </w:rPr>
        <w:t>اخلال در واجب</w:t>
      </w:r>
      <w:bookmarkEnd w:id="1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فقهای شیعه،ابوالصلاح حلبی و برخی دیگر از ایشان تصریح می‌کنند که افزون بر ارتکاب حرام،اخلال به هر واجبی نیز موجب تعزیر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به نظر می‌رسد از نظر این فقها،معصیت،اعم از ترک واجبات و انجام محرمات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واجب از نظر برخی از ایشان،از سویی شامل واجب عقلی مانند مستقلات عقلی است که عقلای جهان همگی بر لزوم اعمال بایسته و قبح اعمال ناشایست اتفاق نظر دارند،مثل وجوب رد امانت و قضای دین،و از دیگر سو دربرگیرنده واجب شرعی مثل اقامه نماز و پرداخت زکات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همچنین فرقی نیست میان اینکه معصیت در برابر خداوند یا در برابر حقوق مردم یا هر دو باشد</w:t>
      </w:r>
      <w:r>
        <w:rPr>
          <w:rFonts w:eastAsia="IRNazanin" w:cs="IRNazanin"/>
          <w:color w:val="111111"/>
          <w:sz w:val="28"/>
          <w:szCs w:val="28"/>
          <w:rtl w:val="true"/>
          <w:lang w:bidi="fa-IR"/>
        </w:rPr>
        <w:t>.</w:t>
      </w:r>
      <w:bookmarkStart w:id="141" w:name="pg5664_43336"/>
    </w:p>
    <w:p>
      <w:pPr>
        <w:pStyle w:val="BookText"/>
        <w:rPr/>
      </w:pPr>
      <w:bookmarkEnd w:id="141"/>
      <w:r>
        <w:rPr>
          <w:rFonts w:ascii="IRNazanin" w:hAnsi="IRNazanin" w:eastAsia="IRNazanin"/>
          <w:color w:val="111111"/>
          <w:sz w:val="28"/>
          <w:sz w:val="28"/>
          <w:szCs w:val="28"/>
          <w:rtl w:val="true"/>
          <w:lang w:bidi="fa-IR"/>
        </w:rPr>
        <w:t>در این میان،گویاترین نظر،سخنی است که حلبی در کافی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یعزَر من اکل اوشرب او باع او ابتاع او تعلم اوعلم اونظر او سعی او بطش او اصغی او آجر او آمر او نهی علی وجه قبیح</w:t>
      </w:r>
      <w:r>
        <w:rPr>
          <w:rFonts w:eastAsia="IRNazanin" w:cs="IRNazanin"/>
          <w:color w:val="111111"/>
          <w:sz w:val="28"/>
          <w:szCs w:val="28"/>
          <w:rtl w:val="true"/>
          <w:lang w:bidi="fa-IR"/>
        </w:rPr>
        <w:t xml:space="preserve">». </w:t>
      </w:r>
      <w:r>
        <w:rPr>
          <w:rStyle w:val="FootnoteAnchor"/>
          <w:rtl w:val="true"/>
        </w:rPr>
        <w:footnoteReference w:id="169"/>
      </w:r>
    </w:p>
    <w:p>
      <w:pPr>
        <w:pStyle w:val="Heading6"/>
        <w:numPr>
          <w:ilvl w:val="5"/>
          <w:numId w:val="1"/>
        </w:numPr>
        <w:rPr/>
      </w:pPr>
      <w:bookmarkStart w:id="142" w:name="__RefHeading___Toc3419680_581953129"/>
      <w:bookmarkStart w:id="143" w:name="_Toc57"/>
      <w:bookmarkEnd w:id="142"/>
      <w:r>
        <w:rPr>
          <w:rtl w:val="true"/>
        </w:rPr>
        <w:t>ج</w:t>
      </w:r>
      <w:r>
        <w:rPr>
          <w:rtl w:val="true"/>
        </w:rPr>
        <w:t>)</w:t>
      </w:r>
      <w:r>
        <w:rPr>
          <w:rtl w:val="true"/>
        </w:rPr>
        <w:t>رفتار مفسده انگیز و خلاف مصالح عمومی</w:t>
      </w:r>
      <w:bookmarkEnd w:id="143"/>
    </w:p>
    <w:p>
      <w:pPr>
        <w:pStyle w:val="BookText"/>
        <w:rPr/>
      </w:pPr>
      <w:r>
        <w:rPr>
          <w:rFonts w:ascii="IRNazanin" w:hAnsi="IRNazanin" w:eastAsia="IRNazanin"/>
          <w:color w:val="111111"/>
          <w:sz w:val="28"/>
          <w:sz w:val="28"/>
          <w:szCs w:val="28"/>
          <w:rtl w:val="true"/>
          <w:lang w:bidi="fa-IR"/>
        </w:rPr>
        <w:t>به جز رفتارهایی که با توجه به موازین شرعی،مشمول عقوبت‌های قصاص،دیه،حد و تعزیر هستند،مقتضیات زمانی و مکانی،لزوم حسن اداره جامعه و برقراری نظم و امنیت اجتماعی ایجاب می‌کند رفتارهایی که به مفسده اجتماعی می‌انجامد،اگرچه از نظر احکام اولین معصیت نباشند،جرم تلقی و مستلزم مجازات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اختیاری به حکومت اسلامی اعطا نشود،تحقیقاً از هدف اصلی بازداشته می‌شود؛چرا که نقض غرض اصلی که فلسفه حکومت اسلامی است،به وجود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بنابراین،همان‌گونه که دیگر حکومت‌ها چنین اختیاری دارند،حکومت اسلامی نیز باید چنین اختیاری داشته باشد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فقهای متأخر امامی،حکومت اسلامی می‌تواند هر قانونی را که مطابق با مصلحت نظام است،وضع و ناقضان آن را تعزیر کند؛ </w:t>
      </w:r>
      <w:r>
        <w:rPr>
          <w:rStyle w:val="FootnoteAnchor"/>
          <w:rtl w:val="true"/>
        </w:rPr>
        <w:footnoteReference w:id="171"/>
      </w:r>
      <w:r>
        <w:rPr>
          <w:rFonts w:ascii="IRNazanin" w:hAnsi="IRNazanin" w:eastAsia="IRNazanin"/>
          <w:color w:val="111111"/>
          <w:sz w:val="28"/>
          <w:sz w:val="28"/>
          <w:szCs w:val="28"/>
          <w:rtl w:val="true"/>
          <w:lang w:bidi="fa-IR"/>
        </w:rPr>
        <w:t>چنان‌که قاعده فقهی حفظ نظام عباد،تأسیس مهمی است که حاکم اسلامی می‌تواند از آن برای تعزیر متخلفان و متجاوزان به نظام بهره گیرد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براین اساس،پاره‌ای از فقها اعمال تعزیر در آنچه موجب اذیت مردم،اخلال در نظام،هتک حرمت‌ها،فساد در امور جامعه،ضعف امنیت و اعتماد مردم یه یکدیگر می‌شود،جایز می‌دانند </w:t>
      </w:r>
      <w:r>
        <w:rPr>
          <w:rStyle w:val="FootnoteAnchor"/>
          <w:rtl w:val="true"/>
        </w:rPr>
        <w:footnoteReference w:id="173"/>
      </w:r>
      <w:r>
        <w:rPr>
          <w:rFonts w:ascii="IRNazanin" w:hAnsi="IRNazanin" w:eastAsia="IRNazanin"/>
          <w:color w:val="111111"/>
          <w:sz w:val="28"/>
          <w:sz w:val="28"/>
          <w:szCs w:val="28"/>
          <w:rtl w:val="true"/>
          <w:lang w:bidi="fa-IR"/>
        </w:rPr>
        <w:t>یا حسب اعتبارات عقلی،اعمال تعزیر را برای انجام خلاف‌هایی که بر ضد دستورات حکومتی صورت می‌گیرد،تجویز کرده،معتقدند چون اسلام اهتمام تمامی،به حفظ انتظام امور دارد،طبیعی است حکومت</w:t>
      </w:r>
    </w:p>
    <w:p>
      <w:pPr>
        <w:pStyle w:val="BookText"/>
        <w:rPr/>
      </w:pPr>
      <w:r>
        <w:rPr>
          <w:rFonts w:ascii="IRNazanin" w:hAnsi="IRNazanin" w:eastAsia="IRNazanin"/>
          <w:color w:val="111111"/>
          <w:sz w:val="28"/>
          <w:sz w:val="28"/>
          <w:szCs w:val="28"/>
          <w:rtl w:val="true"/>
          <w:lang w:bidi="fa-IR"/>
        </w:rPr>
        <w:t>می‌تواند از هر رفتار خلاف شرع یا موازین تعیین شده به وسیله آن،که موجب فساد و هرج و مرج می‌شود و اسباب اختلال در امور اقتصادی،سیاسی و اجتماعی را فراهم می‌آورد،جلوگیری کند تا اجتماع سالم بماند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موجب نظر فقهای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للمصلحة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تأسیس فقهی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یاد شده در فقه عامه بر این قاعده مبتنی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خاص برای دفع ضرر شدید عام تحمل می‌شود و برای دفع ضرر خفیف باید آن را تحمل کرد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
      </w:r>
      <w:r>
        <w:rPr>
          <w:rFonts w:ascii="IRNazanin" w:hAnsi="IRNazanin" w:eastAsia="IRNazanin"/>
          <w:color w:val="111111"/>
          <w:sz w:val="28"/>
          <w:sz w:val="28"/>
          <w:szCs w:val="28"/>
          <w:rtl w:val="true"/>
          <w:lang w:bidi="fa-IR"/>
        </w:rPr>
        <w:t>با وجود این،با توجه به بررسی‌های به عمل آمده،بر خلاف فقهای عامه،از فقهای امامی،بحث استدلالی و مستقلی در خصوص طرح رفتار مفسده‌انگیز و مخالف مصالح عمومی به عنوان ملاک تعزیر ارائه نشده و این مطلب تنها از بعضی دیدگاه‌های فقهای امامی قابل برداشت است</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بنابراین،ملاک دیگر عقوبت تعزیری،ارتکاب رفتاری است که به‌رغم آنکه شرعاً معصیت نیست،دربردارنده مفسده عمومی و مخل انتظام امور جامعه است و حکومت اسلامی به‌منظور حفظ نظام و جلوگیری از مفاسد اجتماعی و اصلاح جامعه،آن را جرم می‌شناسد و برای مرتکبان آن مجازات تعیین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این ملاک به مشروعیت حکومت اسلامی ناشی از ولایت امر وابسته است؛وگرنه،مجالی برای بحث نمی‌یابد</w:t>
      </w:r>
      <w:r>
        <w:rPr>
          <w:rFonts w:eastAsia="IRNazanin" w:cs="IRNazanin"/>
          <w:color w:val="111111"/>
          <w:sz w:val="28"/>
          <w:szCs w:val="28"/>
          <w:rtl w:val="true"/>
          <w:lang w:bidi="fa-IR"/>
        </w:rPr>
        <w:t>.</w:t>
      </w:r>
      <w:bookmarkStart w:id="144" w:name="pg5664_43338"/>
    </w:p>
    <w:p>
      <w:pPr>
        <w:pStyle w:val="Heading4"/>
        <w:numPr>
          <w:ilvl w:val="3"/>
          <w:numId w:val="1"/>
        </w:numPr>
        <w:rPr/>
      </w:pPr>
      <w:bookmarkStart w:id="145" w:name="__RefHeading___Toc3419682_581953129"/>
      <w:bookmarkStart w:id="146" w:name="_Toc58"/>
      <w:bookmarkEnd w:id="144"/>
      <w:bookmarkEnd w:id="145"/>
      <w:r>
        <w:rPr>
          <w:rtl w:val="true"/>
        </w:rPr>
        <w:t>مشروعیت</w:t>
      </w:r>
      <w:bookmarkEnd w:id="146"/>
    </w:p>
    <w:p>
      <w:pPr>
        <w:pStyle w:val="Heading5"/>
        <w:numPr>
          <w:ilvl w:val="4"/>
          <w:numId w:val="1"/>
        </w:numPr>
        <w:rPr/>
      </w:pPr>
      <w:bookmarkStart w:id="147" w:name="__RefHeading___Toc3419684_581953129"/>
      <w:bookmarkStart w:id="148" w:name="_Toc59"/>
      <w:bookmarkEnd w:id="147"/>
      <w:r>
        <w:rPr/>
        <w:t>1</w:t>
      </w:r>
      <w:r>
        <w:rPr>
          <w:rtl w:val="true"/>
        </w:rPr>
        <w:t>-</w:t>
      </w:r>
      <w:r>
        <w:rPr>
          <w:rtl w:val="true"/>
        </w:rPr>
        <w:t>واژه‌شناسی مشروعیت</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صناعی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هم اسم مفعول و به معنای،کار مشروع،کار شرعی و کاری است که شرع آن را روا داشته،و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ترتیب،مشروعیت چیزی نیست جز شرعی و مطابق شرع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اینکه هر چه بیشتر با این واژه آشنا شویم،بهتر است مشتقات آن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مشروعیت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واژه‌شناسان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آغاز کردن معنا کرده،در کاربردهای متفاوت،معانی متعددی برای آن برشمرده‌اند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شرعت الدواب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 پوزه خود را در آب فروبرد تا از آن بنوشد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شرع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بر سر خیابان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الرماح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نیزه‌ها به سوی چیزی راست شد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شرع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آب وارد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شرعاً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ابلاغ کرد و آن را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 ما وصی به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از دین،آیین نهاد آنچه را بدان نوح را وصیت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 را بلند کرد تا به خوبی 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الباب الی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را به سوی راه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سر رسن را در دسته دلو و مانند آن داخل کرد</w:t>
      </w:r>
      <w:r>
        <w:rPr>
          <w:rFonts w:eastAsia="IRNazanin" w:cs="IRNazanin"/>
          <w:color w:val="111111"/>
          <w:sz w:val="28"/>
          <w:szCs w:val="28"/>
          <w:rtl w:val="true"/>
          <w:lang w:bidi="fa-IR"/>
        </w:rPr>
        <w:t xml:space="preserve">. </w:t>
      </w:r>
      <w:r>
        <w:rPr>
          <w:rStyle w:val="FootnoteAnchor"/>
          <w:rtl w:val="true"/>
        </w:rPr>
        <w:footnoteReference w:id="180"/>
      </w:r>
    </w:p>
    <w:p>
      <w:pPr>
        <w:pStyle w:val="Heading5"/>
        <w:numPr>
          <w:ilvl w:val="4"/>
          <w:numId w:val="1"/>
        </w:numPr>
        <w:rPr/>
      </w:pPr>
      <w:bookmarkStart w:id="149" w:name="__RefHeading___Toc3419686_581953129"/>
      <w:bookmarkStart w:id="150" w:name="_Toc60"/>
      <w:bookmarkEnd w:id="149"/>
      <w:r>
        <w:rPr/>
        <w:t>2</w:t>
      </w:r>
      <w:r>
        <w:rPr>
          <w:rtl w:val="true"/>
        </w:rPr>
        <w:t>-</w:t>
      </w:r>
      <w:r>
        <w:rPr>
          <w:rtl w:val="true"/>
        </w:rPr>
        <w:t>اصطلاح‌شناسی مشروعیت</w:t>
      </w:r>
      <w:bookmarkEnd w:id="150"/>
    </w:p>
    <w:p>
      <w:pPr>
        <w:pStyle w:val="Heading6"/>
        <w:numPr>
          <w:ilvl w:val="5"/>
          <w:numId w:val="1"/>
        </w:numPr>
        <w:rPr/>
      </w:pPr>
      <w:bookmarkStart w:id="151" w:name="__RefHeading___Toc3419688_581953129"/>
      <w:bookmarkStart w:id="152" w:name="_Toc61"/>
      <w:bookmarkEnd w:id="151"/>
      <w:r>
        <w:rPr>
          <w:rtl w:val="true"/>
        </w:rPr>
        <w:t>اشاره</w:t>
      </w:r>
      <w:bookmarkEnd w:id="15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اسلامی تعریف خاصی از مشروعیت صورت نگرفته،این واژه در همان معنای لغوی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اساس،مشروعیت به معنای مطابقت با آموزه‌های شریعت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نظر می‌رسد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در سخن کسانی که اقامه حدود را جایز می‌شمارند،در معنایی غیر از آنچه در کلام مانعان اجرای حدود دیده می‌شود،به کار رفته است</w:t>
      </w:r>
      <w:r>
        <w:rPr>
          <w:rFonts w:eastAsia="IRNazanin" w:cs="IRNazanin"/>
          <w:color w:val="111111"/>
          <w:sz w:val="28"/>
          <w:szCs w:val="28"/>
          <w:rtl w:val="true"/>
          <w:lang w:bidi="fa-IR"/>
        </w:rPr>
        <w:t>.</w:t>
      </w:r>
      <w:bookmarkStart w:id="153" w:name="pg5664_43339"/>
    </w:p>
    <w:p>
      <w:pPr>
        <w:pStyle w:val="Heading6"/>
        <w:numPr>
          <w:ilvl w:val="5"/>
          <w:numId w:val="1"/>
        </w:numPr>
        <w:rPr/>
      </w:pPr>
      <w:bookmarkStart w:id="154" w:name="__RefHeading___Toc3419690_581953129"/>
      <w:bookmarkStart w:id="155" w:name="_Toc62"/>
      <w:bookmarkEnd w:id="153"/>
      <w:bookmarkEnd w:id="154"/>
      <w:r>
        <w:rPr>
          <w:rtl w:val="true"/>
        </w:rPr>
        <w:t>الف</w:t>
      </w:r>
      <w:r>
        <w:rPr>
          <w:rtl w:val="true"/>
        </w:rPr>
        <w:t>)</w:t>
      </w:r>
      <w:r>
        <w:rPr>
          <w:rtl w:val="true"/>
        </w:rPr>
        <w:t>مشروعیت در فصل مجوّزان</w:t>
      </w:r>
      <w:bookmarkEnd w:id="155"/>
    </w:p>
    <w:p>
      <w:pPr>
        <w:pStyle w:val="Heading6"/>
        <w:numPr>
          <w:ilvl w:val="5"/>
          <w:numId w:val="1"/>
        </w:numPr>
        <w:rPr/>
      </w:pPr>
      <w:bookmarkStart w:id="156" w:name="__RefHeading___Toc3419692_581953129"/>
      <w:bookmarkStart w:id="157" w:name="_Toc63"/>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در اصطلاح اصولی،مشروعیت همان جواز به معنای اعم است که با وجوب،استحباب،جواز به معنای اخص و کراهت سازگاری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مثال،صاحب قوانین در مسئله جواز عمل به خبر ثقه،در تبیین مفهوم جواز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به معنای عام که شامل استحباب و وجوب است،مراد است؛بلکه ممکن است وجوب مراد باشد؛یعنی وجوب عمل به عنوان واجب در واجبات و وجوب عمل به عنوان مستحب در مستحبات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 پرسش اینجاست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در موضوع پژوهش حاضر به کدام‌یک از این معانی به کار رفته است؟بی‌گمان عدم جواز در مانعان اقامه حدود،به معنای حرمت است،ولی مراد مجوزان از مفهوم جواز چندان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رو،لازم است بررسی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اقامه حدود را جایز و مشروع می‌دانند،آن را واجب نیز می‌پندارند یا خیر؟</w:t>
      </w:r>
    </w:p>
    <w:p>
      <w:pPr>
        <w:pStyle w:val="Heading6"/>
        <w:numPr>
          <w:ilvl w:val="5"/>
          <w:numId w:val="1"/>
        </w:numPr>
        <w:rPr/>
      </w:pPr>
      <w:bookmarkStart w:id="158" w:name="__RefHeading___Toc3419694_581953129"/>
      <w:bookmarkStart w:id="159" w:name="_Toc64"/>
      <w:bookmarkEnd w:id="158"/>
      <w:r>
        <w:rPr>
          <w:rtl w:val="true"/>
        </w:rPr>
        <w:t>یکم</w:t>
      </w:r>
      <w:r>
        <w:rPr>
          <w:rtl w:val="true"/>
        </w:rPr>
        <w:t>)</w:t>
      </w:r>
      <w:r>
        <w:rPr>
          <w:rtl w:val="true"/>
        </w:rPr>
        <w:t>نراقی</w:t>
      </w:r>
      <w:bookmarkEnd w:id="159"/>
    </w:p>
    <w:p>
      <w:pPr>
        <w:pStyle w:val="BookText"/>
        <w:rPr/>
      </w:pPr>
      <w:r>
        <w:rPr>
          <w:rFonts w:ascii="IRNazanin" w:hAnsi="IRNazanin" w:eastAsia="IRNazanin"/>
          <w:color w:val="111111"/>
          <w:sz w:val="28"/>
          <w:sz w:val="28"/>
          <w:szCs w:val="28"/>
          <w:rtl w:val="true"/>
          <w:lang w:bidi="fa-IR"/>
        </w:rPr>
        <w:t>نراقی در عوائد الایام مدعی است مراد معتقدان به جواز در این موضوع،وجوب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قایلان به جواز وجوب است؛از آنجا که به اطلاقات اوامر و انتشار مفاسد با ترک حدود استدلال و به وجوب مساعدت مردم با ایشان تصریح کرده‌اند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خود ایشان نیز اقامه حدود را به دلایل ذیل واجب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اجماع مرکب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امیرمؤمنان در روایت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من عطل حدا من حدودی فقد عاندنی و طلب بذلک مضادتی اللهم و انی غیر معطل حدودک و لا طالب مصادتک و لا مضیع احکامک</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به این روایت می‌توان برای اصل ثبوت این ولایت برای فقها نیز استدلال کرد</w:t>
      </w:r>
      <w:r>
        <w:rPr>
          <w:rFonts w:eastAsia="IRNazanin" w:cs="IRNazanin"/>
          <w:color w:val="111111"/>
          <w:sz w:val="28"/>
          <w:szCs w:val="28"/>
          <w:rtl w:val="true"/>
          <w:lang w:bidi="fa-IR"/>
        </w:rPr>
        <w:t xml:space="preserve">. </w:t>
      </w:r>
      <w:r>
        <w:rPr>
          <w:rStyle w:val="FootnoteAnchor"/>
          <w:rtl w:val="true"/>
        </w:rPr>
        <w:footnoteReference w:id="184"/>
      </w:r>
      <w:bookmarkStart w:id="160" w:name="pg5664_43340"/>
    </w:p>
    <w:p>
      <w:pPr>
        <w:pStyle w:val="BookText"/>
        <w:rPr/>
      </w:pPr>
      <w:bookmarkEnd w:id="160"/>
      <w:r>
        <w:rPr>
          <w:rFonts w:ascii="IRNazanin" w:hAnsi="IRNazanin" w:eastAsia="IRNazanin"/>
          <w:color w:val="111111"/>
          <w:sz w:val="28"/>
          <w:sz w:val="28"/>
          <w:szCs w:val="28"/>
          <w:rtl w:val="true"/>
          <w:lang w:bidi="fa-IR"/>
        </w:rPr>
        <w:t>برخی دیگر از فقها نیز ظاهر اصحاب را وجوب و آن‌را مقتضی ادله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مدعی‌اند در صورت امن از ضرر،اقامه حدود بر فقیه واجب است،حتی با قبول ولایت از سلطان جائر و اظهار این حدود از سوی او؛چرا که این مورد از موارد جواز قبول ولایت است</w:t>
      </w:r>
      <w:r>
        <w:rPr>
          <w:rFonts w:eastAsia="IRNazanin" w:cs="IRNazanin"/>
          <w:color w:val="111111"/>
          <w:sz w:val="28"/>
          <w:szCs w:val="28"/>
          <w:rtl w:val="true"/>
          <w:lang w:bidi="fa-IR"/>
        </w:rPr>
        <w:t xml:space="preserve">. </w:t>
      </w:r>
      <w:r>
        <w:rPr>
          <w:rStyle w:val="FootnoteAnchor"/>
          <w:rtl w:val="true"/>
        </w:rPr>
        <w:footnoteReference w:id="185"/>
      </w:r>
    </w:p>
    <w:p>
      <w:pPr>
        <w:pStyle w:val="Heading6"/>
        <w:numPr>
          <w:ilvl w:val="5"/>
          <w:numId w:val="1"/>
        </w:numPr>
        <w:rPr/>
      </w:pPr>
      <w:bookmarkStart w:id="161" w:name="__RefHeading___Toc3419696_581953129"/>
      <w:bookmarkStart w:id="162" w:name="_Toc65"/>
      <w:bookmarkEnd w:id="161"/>
      <w:r>
        <w:rPr>
          <w:rtl w:val="true"/>
        </w:rPr>
        <w:t>دوم</w:t>
      </w:r>
      <w:r>
        <w:rPr>
          <w:rtl w:val="true"/>
        </w:rPr>
        <w:t>)</w:t>
      </w:r>
      <w:r>
        <w:rPr>
          <w:rtl w:val="true"/>
        </w:rPr>
        <w:t>صاحب جواهر</w:t>
      </w:r>
      <w:bookmarkEnd w:id="162"/>
    </w:p>
    <w:p>
      <w:pPr>
        <w:pStyle w:val="BookText"/>
        <w:rPr/>
      </w:pPr>
      <w:r>
        <w:rPr>
          <w:rFonts w:ascii="IRNazanin" w:hAnsi="IRNazanin" w:eastAsia="IRNazanin"/>
          <w:color w:val="111111"/>
          <w:sz w:val="28"/>
          <w:sz w:val="28"/>
          <w:szCs w:val="28"/>
          <w:rtl w:val="true"/>
          <w:lang w:bidi="fa-IR"/>
        </w:rPr>
        <w:t>صاحب جواهر در کنار این که اعتراف کرده مقتضای برخی ادله و تعابیر اصحاب،ثبوت رخصت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در صورت امن از ضرر سلطان بر شخص فقیه یا غیر او از شیعیان،اقامه حدود واجب باشد؛حتی با قبول ولایت از سوی سلطان جائر</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همچنین ایشان بر آن است که شاید این مورد از مواردی باشد که هرگاه حکم در آن جایز شد،واجب گردد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 ادامه صاحب جواهر علت تعبیر جواز را کلام فقها از آن نظر می‌داند که مسئله مورد توجه فقها،اثبات اصل جواز آن در برابر احتمال حرمت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فقهای معاصر نیز پس از استناد به مقتضای ادله جواز،نکته‌ای را خاطرنشان می‌کند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از احکامی است که یا واجب است و یا حرام و با جواز به معنای اباحه سازگاری ندارد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به نظر می‌رسد این عبارت ایشان،همان تعبیر صاحب جواهر است که حکم از مواردی است که هرگاه جایز شد،واجب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فقیه بزرگوار در توجیه کاربرد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در این مسئله،جواز بالمعنی الاعم می‌باشد که شامل وجوب است،ولی مصداق آن در این مسئله وجوب می‌باشد؛زیرا این وظیفه،از وظایف واجب است</w:t>
      </w:r>
      <w:r>
        <w:rPr>
          <w:rFonts w:eastAsia="IRNazanin" w:cs="IRNazanin"/>
          <w:color w:val="111111"/>
          <w:sz w:val="28"/>
          <w:szCs w:val="28"/>
          <w:rtl w:val="true"/>
          <w:lang w:bidi="fa-IR"/>
        </w:rPr>
        <w:t xml:space="preserve">. </w:t>
      </w:r>
      <w:r>
        <w:rPr>
          <w:rStyle w:val="FootnoteAnchor"/>
          <w:rtl w:val="true"/>
        </w:rPr>
        <w:footnoteReference w:id="189"/>
      </w:r>
      <w:bookmarkStart w:id="163" w:name="pg5664_43341"/>
    </w:p>
    <w:p>
      <w:pPr>
        <w:pStyle w:val="Heading6"/>
        <w:numPr>
          <w:ilvl w:val="5"/>
          <w:numId w:val="1"/>
        </w:numPr>
        <w:rPr/>
      </w:pPr>
      <w:bookmarkStart w:id="164" w:name="__RefHeading___Toc3419698_581953129"/>
      <w:bookmarkStart w:id="165" w:name="_Toc66"/>
      <w:bookmarkEnd w:id="163"/>
      <w:bookmarkEnd w:id="164"/>
      <w:r>
        <w:rPr>
          <w:rtl w:val="true"/>
        </w:rPr>
        <w:t>ب</w:t>
      </w:r>
      <w:r>
        <w:rPr>
          <w:rtl w:val="true"/>
        </w:rPr>
        <w:t>)</w:t>
      </w:r>
      <w:r>
        <w:rPr>
          <w:rtl w:val="true"/>
        </w:rPr>
        <w:t>مشروعیت در کلام مانعان</w:t>
      </w:r>
      <w:bookmarkEnd w:id="165"/>
    </w:p>
    <w:p>
      <w:pPr>
        <w:pStyle w:val="BookText"/>
        <w:rPr/>
      </w:pPr>
      <w:r>
        <w:rPr>
          <w:rFonts w:ascii="IRNazanin" w:hAnsi="IRNazanin" w:eastAsia="IRNazanin"/>
          <w:color w:val="111111"/>
          <w:sz w:val="28"/>
          <w:sz w:val="28"/>
          <w:szCs w:val="28"/>
          <w:rtl w:val="true"/>
          <w:lang w:bidi="fa-IR"/>
        </w:rPr>
        <w:t>همان‌گونه که گفتیم،بی‌گمان عدم جواز در کلام مانعان اقامه حدود،به معنای حرمت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پرسشی که به ذهن می‌رسد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حرمت چگونه با حکم وجوب اقامه حدود در زمان حضور،قابل جمع است؟آیا این اعتقاد اعتراف به نسخ شریعت نیست؟این پرسشی است که سید مرتضی و شیخ طوسی در دو کتاب غیبة و المقنع فی الغیبة پاسخ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 حدود شرعیه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هنگامی محقق می‌شود که در حال امکان اقامه حدود و زوال اسباب عدم اقامه،آن را ساقط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این صورت است که می‌توان گفت حدود نسخ شده،ولی در حال حاضر،خیر</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شیخ طوسی نیز بیانی شبیه به همین مطلب دارد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با این بیان،شبهه نسخ پاسخ گفته می‌شود؛چرا که در دیدگاه مانعان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از واجبات ائمه و از مختصات آنان است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 دیگر افراد اصلاً مخاطب اطلاقات ادله حدود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نتیجه،در زمان غیبت امام معصوم،موضوع حکم وجوب مرتفع می‌گردد،نه اینکه حکم منسوخ شود</w:t>
      </w:r>
      <w:r>
        <w:rPr>
          <w:rFonts w:eastAsia="IRNazanin" w:cs="IRNazanin"/>
          <w:color w:val="111111"/>
          <w:sz w:val="28"/>
          <w:szCs w:val="28"/>
          <w:rtl w:val="true"/>
          <w:lang w:bidi="fa-IR"/>
        </w:rPr>
        <w:t>.</w:t>
      </w:r>
    </w:p>
    <w:p>
      <w:pPr>
        <w:pStyle w:val="Heading4"/>
        <w:numPr>
          <w:ilvl w:val="3"/>
          <w:numId w:val="1"/>
        </w:numPr>
        <w:rPr/>
      </w:pPr>
      <w:bookmarkStart w:id="166" w:name="__RefHeading___Toc3419700_581953129"/>
      <w:bookmarkStart w:id="167" w:name="_Toc67"/>
      <w:bookmarkEnd w:id="166"/>
      <w:r>
        <w:rPr>
          <w:rtl w:val="true"/>
        </w:rPr>
        <w:t>عصر غیبت</w:t>
      </w:r>
      <w:bookmarkEnd w:id="167"/>
    </w:p>
    <w:p>
      <w:pPr>
        <w:pStyle w:val="Heading5"/>
        <w:numPr>
          <w:ilvl w:val="4"/>
          <w:numId w:val="1"/>
        </w:numPr>
        <w:rPr/>
      </w:pPr>
      <w:bookmarkStart w:id="168" w:name="__RefHeading___Toc3419702_581953129"/>
      <w:bookmarkStart w:id="169" w:name="_Toc68"/>
      <w:bookmarkEnd w:id="168"/>
      <w:r>
        <w:rPr/>
        <w:t>1</w:t>
      </w:r>
      <w:r>
        <w:rPr>
          <w:rtl w:val="true"/>
        </w:rPr>
        <w:t>-</w:t>
      </w:r>
      <w:r>
        <w:rPr>
          <w:rtl w:val="true"/>
        </w:rPr>
        <w:t>واژه‌شناسی غیبت</w:t>
      </w:r>
      <w:bookmarkEnd w:id="16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به فتح غین و باء،مصدر عربی است و در لغت به چند معنا،مثل ناپدید شدن،دور شدن،جدایی،غایب شدن و ضد حضور آمده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در جمع‌بندی می‌توان گفت غیبت در دو معنا به کار می‌رود و دیگر معانی به این دو معنا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عرفانی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معنا غیبت یعنی حالت بی‌خبری از خلق که گاه به عارف دست</w:t>
      </w:r>
      <w:bookmarkStart w:id="170" w:name="pg5664_43342"/>
    </w:p>
    <w:p>
      <w:pPr>
        <w:pStyle w:val="BookText"/>
        <w:rPr/>
      </w:pPr>
      <w:bookmarkEnd w:id="170"/>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معنا،جهان به دو جهان غیب و شهادت تقسیم می‌شود که یکی محسوس و دیگری نامحسوس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همچنین غیبت به کسر غین به معنای نقل بدی‌های فرد در جمعی است که او در آن حضور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دیگری که این معنای غیبت را می‌رساند،پشت سر کسی بدگویی کردن یا پشت سر کسی حرف زدن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زمانی آن چه پشت سر کسی گفته می‌شود غیبت نام می‌گیرد که اولاً آن فرد از شنیدنش ناراحت شود،و ثانیاً آن حرف راست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چه پشت سر فردی گفته شده،راست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می‌گیرد</w:t>
      </w:r>
      <w:r>
        <w:rPr>
          <w:rFonts w:eastAsia="IRNazanin" w:cs="IRNazanin"/>
          <w:color w:val="111111"/>
          <w:sz w:val="28"/>
          <w:szCs w:val="28"/>
          <w:rtl w:val="true"/>
          <w:lang w:bidi="fa-IR"/>
        </w:rPr>
        <w:t xml:space="preserve">. </w:t>
      </w:r>
      <w:r>
        <w:rPr>
          <w:rStyle w:val="FootnoteAnchor"/>
          <w:rtl w:val="true"/>
        </w:rPr>
        <w:footnoteReference w:id="197"/>
      </w:r>
    </w:p>
    <w:p>
      <w:pPr>
        <w:pStyle w:val="Heading5"/>
        <w:numPr>
          <w:ilvl w:val="4"/>
          <w:numId w:val="1"/>
        </w:numPr>
        <w:rPr/>
      </w:pPr>
      <w:bookmarkStart w:id="171" w:name="__RefHeading___Toc3419704_581953129"/>
      <w:bookmarkStart w:id="172" w:name="_Toc69"/>
      <w:bookmarkEnd w:id="171"/>
      <w:r>
        <w:rPr/>
        <w:t>2</w:t>
      </w:r>
      <w:r>
        <w:rPr>
          <w:rtl w:val="true"/>
        </w:rPr>
        <w:t>-</w:t>
      </w:r>
      <w:r>
        <w:rPr>
          <w:rtl w:val="true"/>
        </w:rPr>
        <w:t>اصطلاح‌شناسی غیبت</w:t>
      </w:r>
      <w:bookmarkEnd w:id="172"/>
    </w:p>
    <w:p>
      <w:pPr>
        <w:pStyle w:val="Heading6"/>
        <w:numPr>
          <w:ilvl w:val="5"/>
          <w:numId w:val="1"/>
        </w:numPr>
        <w:rPr/>
      </w:pPr>
      <w:bookmarkStart w:id="173" w:name="__RefHeading___Toc3419706_581953129"/>
      <w:bookmarkStart w:id="174" w:name="_Toc70"/>
      <w:bookmarkEnd w:id="173"/>
      <w:r>
        <w:rPr>
          <w:rtl w:val="true"/>
        </w:rPr>
        <w:t>الف</w:t>
      </w:r>
      <w:r>
        <w:rPr>
          <w:rtl w:val="true"/>
        </w:rPr>
        <w:t>)</w:t>
      </w:r>
      <w:r>
        <w:rPr>
          <w:rtl w:val="true"/>
        </w:rPr>
        <w:t>غیبت در اندیشه کلامی شیعه</w:t>
      </w:r>
      <w:bookmarkEnd w:id="174"/>
    </w:p>
    <w:p>
      <w:pPr>
        <w:pStyle w:val="BookText"/>
        <w:rPr/>
      </w:pPr>
      <w:r>
        <w:rPr>
          <w:rFonts w:ascii="IRNazanin" w:hAnsi="IRNazanin" w:eastAsia="IRNazanin"/>
          <w:color w:val="111111"/>
          <w:sz w:val="28"/>
          <w:sz w:val="28"/>
          <w:szCs w:val="28"/>
          <w:rtl w:val="true"/>
          <w:lang w:bidi="fa-IR"/>
        </w:rPr>
        <w:t>حضرت مهدی موعود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با لقب‌های امام عصر و صاحب الزمان ذکر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یازدهم و هم نام رسول خدا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سامرا به دنیا آمد و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پدر بزرگوارش شهید شد،تحت کفالت و تربیت پدر می‌زیست و از مردم پنهان بود و جز عده‌ای از خواص شیعه،کسی به شرف ملاقات وی نایل نمی‌شد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غیبت امام زمان عجّل الله تعالی فرجه الشریف را به دو دوره تقسیم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 و غیبت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بزرگانی مانند شیخ مفید غیبت صغری را از تولد تا آغاز غیبت کبری می‌دانند،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ولی بیشتر علمای شیعه دوران غیبت صغری را از زمان امامت حضرت پس از شهادت امام حسن عسکری علیه السلام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نتیجه،دوران غیبت صغری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صغری هرچند عامه مردم با حضرت ملاقات نداشتند،می‌توانستند از طریق نواب اربعه با امام ارتباط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چندی عثمان بن سعید عمری را که از اصحاب جد و پدرش و ثقه و امین ایشان بود،نایب خود قرار داد و به وسیله وی به عریضه‌ها و پرسش‌های شیعه جواب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عثمان بن سعید،فرزندش محمد بن عثمان عمری به نیابت امام منصوب شد و پس از وفات محمد،ابوالقاسم‌حسین بن روح نوبختی،نایب خاص بود و پس از وفات حسین بن روح،علی بن محمد سمری نیابت ناحیه مقدسه امام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به مرگ علی بن محمد سمری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مانده بود که از ناحیه مقدسه توقیعی صادر شد که در آن به وی ابلاغ شده بود تا شش روز دیگر بدرود زندگی خواهد گفت و پس از آن درِ نیابت خاصه بسته می‌شود و غیبت کبری روی خواهد داد و تا روزی که خدا در ظهور آن حضرت اذن دهد،غیبت دوام خواهد یافت</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تقسیم‌بندی دوران غیبت به دو دوره صغری و کبری،بر اساس توقیعات صادره از ناحیه مقدسه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دیگری نیز از ایشان صادر شده که فرموده‌اند</w:t>
      </w:r>
      <w:r>
        <w:rPr>
          <w:rFonts w:eastAsia="IRNazanin" w:cs="IRNazanin"/>
          <w:color w:val="111111"/>
          <w:sz w:val="28"/>
          <w:szCs w:val="28"/>
          <w:rtl w:val="true"/>
          <w:lang w:bidi="fa-IR"/>
        </w:rPr>
        <w:t>:</w:t>
      </w:r>
      <w:bookmarkStart w:id="175" w:name="pg5664_43344"/>
    </w:p>
    <w:p>
      <w:pPr>
        <w:pStyle w:val="BookText"/>
        <w:rPr/>
      </w:pPr>
      <w:bookmarkEnd w:id="175"/>
      <w:r>
        <w:rPr>
          <w:rFonts w:ascii="IRNazanin" w:hAnsi="IRNazanin" w:eastAsia="IRNazanin"/>
          <w:color w:val="111111"/>
          <w:sz w:val="28"/>
          <w:sz w:val="28"/>
          <w:szCs w:val="28"/>
          <w:rtl w:val="true"/>
          <w:lang w:bidi="fa-IR"/>
        </w:rPr>
        <w:t>این غیبت صغری بود که ما خود غایب بودیم و توقیعات ما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غیبت کبری خواهد بود و توقیع ما بیرون نخواهد آمد،ولی،از حال محبان خود غافل نیستیم</w:t>
      </w:r>
      <w:r>
        <w:rPr>
          <w:rFonts w:eastAsia="IRNazanin" w:cs="IRNazanin"/>
          <w:color w:val="111111"/>
          <w:sz w:val="28"/>
          <w:szCs w:val="28"/>
          <w:rtl w:val="true"/>
          <w:lang w:bidi="fa-IR"/>
        </w:rPr>
        <w:t xml:space="preserve">. </w:t>
      </w:r>
      <w:r>
        <w:rPr>
          <w:rStyle w:val="FootnoteAnchor"/>
          <w:rtl w:val="true"/>
        </w:rPr>
        <w:footnoteReference w:id="201"/>
      </w:r>
    </w:p>
    <w:p>
      <w:pPr>
        <w:pStyle w:val="Heading6"/>
        <w:numPr>
          <w:ilvl w:val="5"/>
          <w:numId w:val="1"/>
        </w:numPr>
        <w:rPr/>
      </w:pPr>
      <w:bookmarkStart w:id="176" w:name="__RefHeading___Toc3419708_581953129"/>
      <w:bookmarkStart w:id="177" w:name="_Toc71"/>
      <w:bookmarkEnd w:id="176"/>
      <w:r>
        <w:rPr>
          <w:rtl w:val="true"/>
        </w:rPr>
        <w:t>ب</w:t>
      </w:r>
      <w:r>
        <w:rPr>
          <w:rtl w:val="true"/>
        </w:rPr>
        <w:t>)</w:t>
      </w:r>
      <w:r>
        <w:rPr>
          <w:rtl w:val="true"/>
        </w:rPr>
        <w:t>عصر غیبت در ادبیات فقهی</w:t>
      </w:r>
      <w:bookmarkEnd w:id="177"/>
    </w:p>
    <w:p>
      <w:pPr>
        <w:pStyle w:val="BookText"/>
        <w:rPr/>
      </w:pPr>
      <w:r>
        <w:rPr>
          <w:rFonts w:ascii="IRNazanin" w:hAnsi="IRNazanin" w:eastAsia="IRNazanin"/>
          <w:color w:val="111111"/>
          <w:sz w:val="28"/>
          <w:sz w:val="28"/>
          <w:szCs w:val="28"/>
          <w:rtl w:val="true"/>
          <w:lang w:bidi="fa-IR"/>
        </w:rPr>
        <w:t>یکی از نویسندگان معاصر به تبع صاحب جواهر و صاحب ریاض معتقد است با وجود این که فقیهان با تفکیک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بسیاری در احکام بیان کرده‌اند،غیبت امام در تغییر احکام موضوعیت ندارد و آنچه در واقع سبب تغییر این احکام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بسط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شیعه،با تفکیک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زیادی در احکام فقهی این دو دوره بیان کرده‌اند و بر اساس این تفکیک،بسیاری از احکام دوران حضور را در دوره غیبت،ساقط دانسته‌اند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تأمل در این تفاوت احکام،این سؤال را پدید می‌آورد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شیعه مانند شیخ الطایفه که کاملاً به نصوص متعبّد بوده‌اند،این تفاوت‌ها را به استناد چه ادله‌ای مطرح ساخته‌اند؟مراجعه به منابع روایی هر یک از این فروع فقهی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یا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بیانات اهل بیت،مبدأ این تفصیل‌ها و تغییرات حکمی قرار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وسائل‌الشیعه که گسترده‌ترین موسوعه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با بیش از سی و پنج هزار روایت است،اساساً از این تعبیرات استفاده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جمع بین روایات متعارض،به ناچار یک روایت را به شرایط حضور امام و روایت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را بر دوران غیبت حمل کرده‌اند؛بدون آنکه کمترین شاهدی در متن روایت وجود داشته باشد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به هر حال،اگر چنین تقییداتی در روایات،به دلیل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دفاع باشد،ولی در مواردی که تعارضی وجود ندارد،چه وجهی دارد و چرا از سوی فقها مطرح شده است؟با تأمل در مواردی که این‌گونه تقییدات افزوده شده است،می‌توان به این برداشت رسید که فقهای شیعه در فقه با احکامی مواجه بوده‌اند که اجرای آنها نیازمند در اختیار داشتن قدرت سیاسی و به دست گرفتن حکومت است؛مثل اعزام مأمور جمع‌آوری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سازماندهی نیروهای مسلح برای جهاد و به تبع آن جذب عده‌ای از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دیگر،آنان تشکیل حکومت اسلامی در عصر غیبت را آرمانی دور از دسترس تلقی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بسط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بسط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کرده‌اند و در حالی که وظایف و تکالیف اجتماعی،بر حسب تشکیل دولت مشروع و یا عدم آن متفاوت می‌گردد،آنها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تفاوت‌ها نظر داشته‌اند؛نه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بسط ید،دارای حکمی متفاوت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این‌رو،برخی از فقها تصریح کرده‌اند که با شهادت امام علی علیه السلام و پس از دوران کوتاهی از امامت امام مجتبی علیه السلام،احکام دوره حضور پایان یافته است؛زیرا در زمان ائمه بعد،حضور،با بسط ید توأم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شرایط وجوب نماز جمعه می‌داند،ولی عصر صدور روایات نماز جمعه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اقامه جمعه تخییراً،که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بوده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بزمن الظهور،ظهور السلطنة لا ظهور الأجسام کما هو واضح</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وی در ادامه،عصر غیبت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قصور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 از حضور و غیبت،همین برداشت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حضورهم فی زمانهم کغیبتهم،لعدم بسط یدهم و سلطنتهم و عدم نفوذ حکمهم</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Style w:val="FootnoteAnchor"/>
          <w:rtl w:val="true"/>
        </w:rPr>
        <w:footnoteReference w:id="206"/>
      </w:r>
      <w:r>
        <w:rPr>
          <w:rFonts w:ascii="IRNazanin" w:hAnsi="IRNazanin" w:eastAsia="IRNazanin"/>
          <w:color w:val="111111"/>
          <w:sz w:val="28"/>
          <w:sz w:val="28"/>
          <w:szCs w:val="28"/>
          <w:rtl w:val="true"/>
          <w:lang w:bidi="fa-IR"/>
        </w:rPr>
        <w:t>این محقق در ادامه کوشیده است با استناد به روایاتی،اثبات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اصلی در احکام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اجتماعی،نظیر جهاد و امر به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نظر می‌رسد دلایلی که ایشان مطرح کرده،چنین ظهوری ندارد و در نهایت می‌تواند اشعار به این دیدگاه داشته باشد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در ادامه،وی به یک نتیجه مهم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مناسب اجتماعی و سیاسی برای اجرای احکام حکومتی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بشناسیم،همان‌گونه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گاه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عصر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می‌کوشد با این مقدمات ثابت کند در شرایط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زمان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ید فقیهان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اسلام قابل اجراست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ارزیابی این دیدگاه باید گفت توسعه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تسری دادن آن به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است دقیق و علمی،ولی در عین حال باید توجه کرد که این امر سبب نمی‌شود بتوان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مفهومی کلامی و اعتقادی است،تغییر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نتیجه،نمی‌توان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قصور 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عصر غیبت نامید؛هرچند حکم این دو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قابل توجه است که به هیچ وجه نمی‌توان توسعه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به‌گونه‌ای که این نویسنده ادعا کرده،پذیرفت؛زیرا آنچه بر اساس گفته‌های خود ایشان موضوعیت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حالی که در زمان عدم</w:t>
      </w:r>
    </w:p>
    <w:p>
      <w:pPr>
        <w:pStyle w:val="BookText"/>
        <w:rPr/>
      </w:pPr>
      <w:r>
        <w:rPr>
          <w:rFonts w:ascii="IRNazanin" w:hAnsi="IRNazanin" w:eastAsia="IRNazanin"/>
          <w:color w:val="111111"/>
          <w:sz w:val="28"/>
          <w:sz w:val="28"/>
          <w:szCs w:val="28"/>
          <w:rtl w:val="true"/>
          <w:lang w:bidi="fa-IR"/>
        </w:rPr>
        <w:t>حضورامام،هیچ‌گاه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نتیجه،نمی‌توان بسط ید فقها را معادل حضور امام معصوم قرار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بنابراین،باید گفت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کاربردهای فقهی،با کاربردهای کلامی آن تفاوت ندارد؛هرچند ملاک اصلی در تغییر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بسط 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همین دلیل می‌توان احکام آن را به زمان حضور و عدم بسط ید امام سرایت داد</w:t>
      </w:r>
      <w:r>
        <w:rPr>
          <w:rFonts w:eastAsia="IRNazanin" w:cs="IRNazanin"/>
          <w:color w:val="111111"/>
          <w:sz w:val="28"/>
          <w:szCs w:val="28"/>
          <w:rtl w:val="true"/>
          <w:lang w:bidi="fa-IR"/>
        </w:rPr>
        <w:t>.</w:t>
      </w:r>
      <w:bookmarkStart w:id="178" w:name="pg5664_43348"/>
    </w:p>
    <w:p>
      <w:pPr>
        <w:pStyle w:val="Heading3"/>
        <w:numPr>
          <w:ilvl w:val="2"/>
          <w:numId w:val="1"/>
        </w:numPr>
        <w:rPr/>
      </w:pPr>
      <w:bookmarkStart w:id="179" w:name="__RefHeading___Toc3419710_581953129"/>
      <w:bookmarkStart w:id="180" w:name="_Toc72"/>
      <w:bookmarkEnd w:id="178"/>
      <w:bookmarkEnd w:id="179"/>
      <w:r>
        <w:rPr/>
        <w:t>2</w:t>
      </w:r>
      <w:r>
        <w:rPr>
          <w:rtl w:val="true"/>
        </w:rPr>
        <w:t>-</w:t>
      </w:r>
      <w:r>
        <w:rPr>
          <w:rtl w:val="true"/>
        </w:rPr>
        <w:t>مبانی</w:t>
      </w:r>
      <w:bookmarkEnd w:id="180"/>
    </w:p>
    <w:p>
      <w:pPr>
        <w:pStyle w:val="Heading4"/>
        <w:numPr>
          <w:ilvl w:val="3"/>
          <w:numId w:val="1"/>
        </w:numPr>
        <w:rPr/>
      </w:pPr>
      <w:bookmarkStart w:id="181" w:name="__RefHeading___Toc3419712_581953129"/>
      <w:bookmarkStart w:id="182" w:name="_Toc73"/>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مبانی</w:t>
      </w:r>
    </w:p>
    <w:p>
      <w:pPr>
        <w:pStyle w:val="BookText"/>
        <w:rPr/>
      </w:pPr>
      <w:r>
        <w:rPr>
          <w:rFonts w:ascii="IRNazanin" w:hAnsi="IRNazanin" w:eastAsia="IRNazanin"/>
          <w:color w:val="111111"/>
          <w:sz w:val="28"/>
          <w:sz w:val="28"/>
          <w:szCs w:val="28"/>
          <w:rtl w:val="true"/>
          <w:lang w:bidi="fa-IR"/>
        </w:rPr>
        <w:t>هر تئوری علمی باید بر بنیان‌هایی استوار و خدشه‌ناپذیر تکیه کند؛وگرنه،چنین نظریه‌ای فاقد ارزش بوده،با متلاشی شدن بنیان‌ها بی‌اعتبار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رو،لازم است در هر پژوهش،مبانی نظری به عنوان یکی از معیارهای ارزیابی فرضیه تحقیق ارائه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پژوهش حاضر نیز بر این نکته مبتنی است که با توجه به لزوم عصمت امام،باید رهبری حکومت اسلامی به امام معصوم سپرده شود و در تصدی همه مناصب از سوی چنین امامی،نصب خاص یا عام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دیگر،بر اساس اصل عدم ولایت،هیچ کس بر دیگری ولایت ندارد،مگر این که مبدأ تشریع چنین ولایتی را جعل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نتیجه،عامه مردم نمی‌توانند اقامه حدود و تعزیرات را که از جمله ولایات است،برعهده گیرند و تنها فقها به پشتوانه ولایت فقیه و به استناد صدور اذن و نصب عام از سوی امام معصوم چنین ولایتی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اساس،در نوشتار حاضر،لزوم عصمت امام،اصل عدم ولایت و در نهایت ولایت فقیه به عنوان مبانی فرضیه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جواز اقامه حدود در عصر غیبت به دست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اجمال،بررسی خواهد گردید</w:t>
      </w:r>
      <w:r>
        <w:rPr>
          <w:rFonts w:eastAsia="IRNazanin" w:cs="IRNazanin"/>
          <w:color w:val="111111"/>
          <w:sz w:val="28"/>
          <w:szCs w:val="28"/>
          <w:rtl w:val="true"/>
          <w:lang w:bidi="fa-IR"/>
        </w:rPr>
        <w:t>.</w:t>
      </w:r>
    </w:p>
    <w:p>
      <w:pPr>
        <w:pStyle w:val="Heading4"/>
        <w:numPr>
          <w:ilvl w:val="3"/>
          <w:numId w:val="1"/>
        </w:numPr>
        <w:rPr/>
      </w:pPr>
      <w:bookmarkStart w:id="183" w:name="__RefHeading___Toc3419714_581953129"/>
      <w:bookmarkStart w:id="184" w:name="_Toc74"/>
      <w:bookmarkEnd w:id="183"/>
      <w:r>
        <w:rPr>
          <w:rtl w:val="true"/>
        </w:rPr>
        <w:t>لزوم عصمت امام</w:t>
      </w:r>
      <w:bookmarkEnd w:id="18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معتقدان به حکومت دینی،دو رویکرد عمده در مشروعیت حکومت دینی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این امر را منوط به انتخاب مردم می‌دانند و در نتیجه،هر حکومت و فرمانروایی را که مردم انتخاب کنند،حکومت مشروع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مقابل،برخی</w:t>
      </w:r>
      <w:bookmarkStart w:id="185" w:name="pg5664_43349"/>
    </w:p>
    <w:p>
      <w:pPr>
        <w:pStyle w:val="BookText"/>
        <w:rPr/>
      </w:pPr>
      <w:bookmarkEnd w:id="185"/>
      <w:r>
        <w:rPr>
          <w:rFonts w:ascii="IRNazanin" w:hAnsi="IRNazanin" w:eastAsia="IRNazanin"/>
          <w:color w:val="111111"/>
          <w:sz w:val="28"/>
          <w:sz w:val="28"/>
          <w:szCs w:val="28"/>
          <w:rtl w:val="true"/>
          <w:lang w:bidi="fa-IR"/>
        </w:rPr>
        <w:t>دیگر معتقدند رهبری جامعه باید از طرف ولی مطلق و بی‌قید و شرط،یعنی ذات باری‌تعالی با نص صریح،نصب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نتیجه،در این رویکرد هرچند انتخاب مردم می‌تواند مقبولیت‌آفرین باشد،هیچ گاه مشروعیت‌بخش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جانشینی پیامبر اعظم صلّی الله علیه و آله نیز همین دو دیدگاه 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بر اساس نظریه انتخاب از خلیفه بلافصل پیامبر اسلام صلّی الله علیه و آله که از طرف ایشان منصوب شده بود،رویگردان شدند و خود به انتخاب حاکم اسلامی مبادرت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دیدگاه شیعه این است که در این دیدگاه،منصوصیت طریقیت و کاشفیت دارد،نه این که خود شرطی مستقل در امامت باشد؛چون عصمت و دیگر کمالات نفسانی و مقامات عالی و معنوی که کسی جز خداوند تبارک و تعالی از آن آگاه نیست،در امام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دلیل،شرط منصوصیت راهی است برای کشف عصمت و دیگر کمالات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بنابراین،این شرط را فقط باید درباره پیشوایان معصوم علیهم السلام معتبر دانست که شرطیت عصمت در آنان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زیربنای دیدگاه عدم جواز اقامه حدود را تشکیل می‌دهد نیز همین شرط عصمت است؛چون بر اساس دیدگاه‌های شیعه،عصمت،شرط امامت و تصرفات وی است و با نبود امام معصوم،مشروعیت تصرفات غیرمعصوم با تردید مواجه می‌گردد،درحالی که اقامه حدود از جمله این تصرفات،بلکه از خطیرترین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فقهایی که اقامه حدود را در زمان غیبت جایز نمی‌دانند،بر این اساس استوار است که این امر از ویژگی‌های معصومان علیهم السلام است و ولایت بر این امر،به غیر ایشان تفویض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اگر دلیلی مبنی بر عدم لزوم عصمت در مجری حدود یا تفویض این امر به غیرمعصوم از سوی خود ایشان ارائه شود،این مبنا متزلزل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جواز مدعی است چنین دلایلی وجود دارد و دلیلی بر اختصاص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این دو مدعا و دلایل مطرح شده را به‌تفصیل در مباحث آتی پی‌گیری می‌گیریم</w:t>
      </w:r>
      <w:r>
        <w:rPr>
          <w:rFonts w:eastAsia="IRNazanin" w:cs="IRNazanin"/>
          <w:color w:val="111111"/>
          <w:sz w:val="28"/>
          <w:szCs w:val="28"/>
          <w:rtl w:val="true"/>
          <w:lang w:bidi="fa-IR"/>
        </w:rPr>
        <w:t>.</w:t>
      </w:r>
    </w:p>
    <w:p>
      <w:pPr>
        <w:pStyle w:val="Heading4"/>
        <w:numPr>
          <w:ilvl w:val="3"/>
          <w:numId w:val="1"/>
        </w:numPr>
        <w:rPr/>
      </w:pPr>
      <w:bookmarkStart w:id="186" w:name="__RefHeading___Toc3419716_581953129"/>
      <w:bookmarkStart w:id="187" w:name="_Toc75"/>
      <w:bookmarkEnd w:id="186"/>
      <w:r>
        <w:rPr>
          <w:rtl w:val="true"/>
        </w:rPr>
        <w:t>اصل عدم ولایت</w:t>
      </w:r>
      <w:bookmarkEnd w:id="187"/>
    </w:p>
    <w:p>
      <w:pPr>
        <w:pStyle w:val="Heading5"/>
        <w:numPr>
          <w:ilvl w:val="4"/>
          <w:numId w:val="1"/>
        </w:numPr>
        <w:rPr/>
      </w:pPr>
      <w:bookmarkStart w:id="188" w:name="__RefHeading___Toc3419718_581953129"/>
      <w:bookmarkStart w:id="189" w:name="_Toc76"/>
      <w:bookmarkEnd w:id="188"/>
      <w:r>
        <w:rPr>
          <w:rtl w:val="true"/>
        </w:rPr>
        <w:t>اشاره</w:t>
      </w:r>
      <w:bookmarkEnd w:id="18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ارائه پیش‌فرض‌های زیر،با استناد به اصل عدم ولایت،اقامه حدود را در زمان غیبت ناروا دانسته‌اند</w:t>
      </w:r>
      <w:r>
        <w:rPr>
          <w:rFonts w:eastAsia="IRNazanin" w:cs="IRNazanin"/>
          <w:color w:val="111111"/>
          <w:sz w:val="28"/>
          <w:szCs w:val="28"/>
          <w:rtl w:val="true"/>
          <w:lang w:bidi="fa-IR"/>
        </w:rPr>
        <w:t>:</w:t>
      </w:r>
      <w:bookmarkStart w:id="190" w:name="pg5664_43350"/>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 نوعی سلطه و ولایت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کیفر دادن به مجرم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 این است که هیچ انسانی بر انسان دیگر ولایت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خروج از اصل نیازمند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معصومان دلیل نقلی داریم که آنان واجد این سلطه بر انسان‌ها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غیرمعصوم هیچ دلیلی بر ثبوت این سلطه نداریم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برای تحقیق این مدعا لازم است مفاد اصل عدم ولایت و دیدگاه فقها درباره آن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توجه به مبانی مورد توجه در پیدایش این اصل نیز در تحلیل و شناخت مفاد آن اثرگذار خواهد بود</w:t>
      </w:r>
      <w:r>
        <w:rPr>
          <w:rFonts w:eastAsia="IRNazanin" w:cs="IRNazanin"/>
          <w:color w:val="111111"/>
          <w:sz w:val="28"/>
          <w:szCs w:val="28"/>
          <w:rtl w:val="true"/>
          <w:lang w:bidi="fa-IR"/>
        </w:rPr>
        <w:t>.</w:t>
      </w:r>
    </w:p>
    <w:p>
      <w:pPr>
        <w:pStyle w:val="Heading5"/>
        <w:numPr>
          <w:ilvl w:val="4"/>
          <w:numId w:val="1"/>
        </w:numPr>
        <w:rPr/>
      </w:pPr>
      <w:bookmarkStart w:id="191" w:name="__RefHeading___Toc3419720_581953129"/>
      <w:bookmarkStart w:id="192" w:name="_Toc77"/>
      <w:bookmarkEnd w:id="191"/>
      <w:r>
        <w:rPr/>
        <w:t>1</w:t>
      </w:r>
      <w:r>
        <w:rPr>
          <w:rtl w:val="true"/>
        </w:rPr>
        <w:t>-</w:t>
      </w:r>
      <w:r>
        <w:rPr>
          <w:rtl w:val="true"/>
        </w:rPr>
        <w:t>مفهوم اصل عدم ولایت</w:t>
      </w:r>
      <w:bookmarkEnd w:id="192"/>
    </w:p>
    <w:p>
      <w:pPr>
        <w:pStyle w:val="BookText"/>
        <w:rPr/>
      </w:pPr>
      <w:r>
        <w:rPr>
          <w:rFonts w:ascii="IRNazanin" w:hAnsi="IRNazanin" w:eastAsia="IRNazanin"/>
          <w:color w:val="111111"/>
          <w:sz w:val="28"/>
          <w:sz w:val="28"/>
          <w:szCs w:val="28"/>
          <w:rtl w:val="true"/>
          <w:lang w:bidi="fa-IR"/>
        </w:rPr>
        <w:t>در بسیاری از مسائل فقهی،تحلیل و بررسی مسئله،با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اصل پیش از مراجعه به ادلّه خاص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 و سپس با ورود به حیطه ادّله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بر این اساس،پس از اثبات اصل،باید بدان ملتزم بود و تنها در شرایطی می‌توان از آن عدول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در مواردی که وجود چنین دلیلی به اثبات نرسیده و تردیدی در کار باشد،باید به همان اصل استناد کرد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اصل عدم ولایت نیز دارای همین کارکرد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رو،در مواردی که در تحقق ولایت شک داشته باشیم،به اصل تمسک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خلاف اصل دلیل می‌خواهد و دیگر موارد تحت اصل باقی می‌ماند</w:t>
      </w:r>
      <w:r>
        <w:rPr>
          <w:rFonts w:eastAsia="IRNazanin" w:cs="IRNazanin"/>
          <w:color w:val="111111"/>
          <w:sz w:val="28"/>
          <w:szCs w:val="28"/>
          <w:rtl w:val="true"/>
          <w:lang w:bidi="fa-IR"/>
        </w:rPr>
        <w:t>.</w:t>
      </w:r>
    </w:p>
    <w:p>
      <w:pPr>
        <w:pStyle w:val="Heading5"/>
        <w:numPr>
          <w:ilvl w:val="4"/>
          <w:numId w:val="1"/>
        </w:numPr>
        <w:rPr/>
      </w:pPr>
      <w:bookmarkStart w:id="193" w:name="__RefHeading___Toc3419722_581953129"/>
      <w:bookmarkStart w:id="194" w:name="_Toc78"/>
      <w:bookmarkEnd w:id="193"/>
      <w:r>
        <w:rPr/>
        <w:t>2</w:t>
      </w:r>
      <w:r>
        <w:rPr>
          <w:rtl w:val="true"/>
        </w:rPr>
        <w:t>-</w:t>
      </w:r>
      <w:r>
        <w:rPr>
          <w:rtl w:val="true"/>
        </w:rPr>
        <w:t>نگرش فقها به اصل عدم ولایت</w:t>
      </w:r>
      <w:bookmarkEnd w:id="19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نراقی که ظاهراً نخستین کسی است که تعبیر اصل عدم را برای ولایت به</w:t>
      </w:r>
    </w:p>
    <w:p>
      <w:pPr>
        <w:pStyle w:val="BookText"/>
        <w:rPr/>
      </w:pPr>
      <w:r>
        <w:rPr>
          <w:rFonts w:ascii="IRNazanin" w:hAnsi="IRNazanin" w:eastAsia="IRNazanin"/>
          <w:color w:val="111111"/>
          <w:sz w:val="28"/>
          <w:sz w:val="28"/>
          <w:szCs w:val="28"/>
          <w:rtl w:val="true"/>
          <w:lang w:bidi="fa-IR"/>
        </w:rPr>
        <w:t xml:space="preserve">کار برده، </w:t>
      </w:r>
      <w:r>
        <w:rPr>
          <w:rStyle w:val="FootnoteAnchor"/>
          <w:rtl w:val="true"/>
        </w:rPr>
        <w:footnoteReference w:id="211"/>
      </w:r>
      <w:r>
        <w:rPr>
          <w:rFonts w:ascii="IRNazanin" w:hAnsi="IRNazanin" w:eastAsia="IRNazanin"/>
          <w:color w:val="111111"/>
          <w:sz w:val="28"/>
          <w:sz w:val="28"/>
          <w:szCs w:val="28"/>
          <w:rtl w:val="true"/>
          <w:lang w:bidi="fa-IR"/>
        </w:rPr>
        <w:t>معتقد است هر فردی در چارچوب عقل و شرع متصدی امور مرتبط به خود است و البته برای عملکرد خود در برابر خداوند مسئول و در قیامت پاسخگو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هر حوزه‌ای اعم از خصوصی و عمومی،فرد دیگری بتواند متصدی امور انسان شود و بدون کسب رضایت او در شئونش تصرف کند و بر او ولایت یابد،نیازمند دلیل معتبر شرعی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وی در آغاز بحث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ولایت بر مردم از جانب خدای سبحان برای پیامبر صلّی الله علیه و آله و اوصیای معصومش که سلاطین واقعی بر مردم‌اند،ثابت است،اما در غیر رسول صلّی الله علیه و آله و اوصیای معصوم علیه السلام اصل،عدم ولایت است،مگر آن که خدا یا رسول خدا یا یکی از اوصیای معصومش علیه السلام به کسی برای انجام کاری ولایت بدهند که در این صورت،تنها همان شخص در همان کاری که ولایت داده‌اند،ولی خواهد بود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شیخ انصاری نیز در مکاسب،این اصل توجه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اصل،عدم ثبوت ولایت کسی بر دیگری است؛مگر آن که دلیل قطعی،موجب خروج از این اصل گردد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به خلاف نراقی و شیخ انصاری،امام خمینی،با توجه به حکم قطعی عقل و نقل،به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لزوم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کرده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علامه طباطبایی نیز از جمله معدود کسانی است که در باب ولایت،به جای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اصلی که در عقل و فطرت ریشه دارد،آغاز می‌کند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لزوم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عامه،با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لزوم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ندارد؛زیرا همان‌گونه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اصلی بیرونی و پیش از نگاه تفصیلی مد نظر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لزوم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همین اصل است؛منتها پس از نگاه درونی و بررسی ادله عقلی و فطری آن</w:t>
      </w:r>
      <w:r>
        <w:rPr>
          <w:rFonts w:eastAsia="IRNazanin" w:cs="IRNazanin"/>
          <w:color w:val="111111"/>
          <w:sz w:val="28"/>
          <w:szCs w:val="28"/>
          <w:rtl w:val="true"/>
          <w:lang w:bidi="fa-IR"/>
        </w:rPr>
        <w:t>.</w:t>
      </w:r>
      <w:bookmarkStart w:id="195" w:name="pg5664_43352"/>
    </w:p>
    <w:p>
      <w:pPr>
        <w:pStyle w:val="Heading5"/>
        <w:numPr>
          <w:ilvl w:val="4"/>
          <w:numId w:val="1"/>
        </w:numPr>
        <w:rPr/>
      </w:pPr>
      <w:bookmarkStart w:id="196" w:name="__RefHeading___Toc3419724_581953129"/>
      <w:bookmarkStart w:id="197" w:name="_Toc79"/>
      <w:bookmarkEnd w:id="195"/>
      <w:bookmarkEnd w:id="196"/>
      <w:r>
        <w:rPr/>
        <w:t>3</w:t>
      </w:r>
      <w:r>
        <w:rPr>
          <w:rtl w:val="true"/>
        </w:rPr>
        <w:t>-</w:t>
      </w:r>
      <w:r>
        <w:rPr>
          <w:rtl w:val="true"/>
        </w:rPr>
        <w:t>مبانی اصل عدم ولایت</w:t>
      </w:r>
      <w:bookmarkEnd w:id="197"/>
    </w:p>
    <w:p>
      <w:pPr>
        <w:pStyle w:val="Heading6"/>
        <w:numPr>
          <w:ilvl w:val="5"/>
          <w:numId w:val="1"/>
        </w:numPr>
        <w:rPr/>
      </w:pPr>
      <w:bookmarkStart w:id="198" w:name="__RefHeading___Toc3419726_581953129"/>
      <w:bookmarkStart w:id="199" w:name="_Toc80"/>
      <w:bookmarkEnd w:id="198"/>
      <w:r>
        <w:rPr>
          <w:rtl w:val="true"/>
        </w:rPr>
        <w:t>الف</w:t>
      </w:r>
      <w:r>
        <w:rPr>
          <w:rtl w:val="true"/>
        </w:rPr>
        <w:t>)</w:t>
      </w:r>
      <w:r>
        <w:rPr>
          <w:rtl w:val="true"/>
        </w:rPr>
        <w:t>استصحاب</w:t>
      </w:r>
      <w:bookmarkEnd w:id="199"/>
    </w:p>
    <w:p>
      <w:pPr>
        <w:pStyle w:val="BookText"/>
        <w:rPr/>
      </w:pPr>
      <w:r>
        <w:rPr>
          <w:rFonts w:ascii="IRNazanin" w:hAnsi="IRNazanin" w:eastAsia="IRNazanin"/>
          <w:color w:val="111111"/>
          <w:sz w:val="28"/>
          <w:sz w:val="28"/>
          <w:szCs w:val="28"/>
          <w:rtl w:val="true"/>
          <w:lang w:bidi="fa-IR"/>
        </w:rPr>
        <w:t>رایج‌ترین مبنای این اصل،مانند موارد مشابه آن،استصحاب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اساس،اصل عدم ولایت،نه اصلی مستقل،بلکه یکی از موارد جریان اصل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رو،برخی از فقها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ولایت،سلطه حادثی است که مسبوق به عدم است و نیز مقتضی احکام ویژه‌ای است که اصل،عدم آنهاست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شارحان کلام شیخ انصاری نیز اصل عدم ولایت را همین‌گونه تقریر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یکی از امور مجعول است و چون جعل ولایت نسبت به اشخاص،مسبوق به عدم است،لذا به اقتضای استصحاب،حکم به عدم ولایت می‌شود؛مگر آن که ولایت برای شخص خاصی به اثبات رسد</w:t>
      </w:r>
      <w:r>
        <w:rPr>
          <w:rFonts w:eastAsia="IRNazanin" w:cs="IRNazanin"/>
          <w:color w:val="111111"/>
          <w:sz w:val="28"/>
          <w:szCs w:val="28"/>
          <w:rtl w:val="true"/>
          <w:lang w:bidi="fa-IR"/>
        </w:rPr>
        <w:t xml:space="preserve">. </w:t>
      </w:r>
      <w:r>
        <w:rPr>
          <w:rStyle w:val="FootnoteAnchor"/>
          <w:rtl w:val="true"/>
        </w:rPr>
        <w:footnoteReference w:id="218"/>
      </w:r>
    </w:p>
    <w:p>
      <w:pPr>
        <w:pStyle w:val="Heading6"/>
        <w:numPr>
          <w:ilvl w:val="5"/>
          <w:numId w:val="1"/>
        </w:numPr>
        <w:rPr/>
      </w:pPr>
      <w:bookmarkStart w:id="200" w:name="__RefHeading___Toc3419728_581953129"/>
      <w:bookmarkStart w:id="201" w:name="_Toc81"/>
      <w:bookmarkEnd w:id="200"/>
      <w:r>
        <w:rPr>
          <w:rtl w:val="true"/>
        </w:rPr>
        <w:t>ب</w:t>
      </w:r>
      <w:r>
        <w:rPr>
          <w:rtl w:val="true"/>
        </w:rPr>
        <w:t>)</w:t>
      </w:r>
      <w:r>
        <w:rPr>
          <w:rtl w:val="true"/>
        </w:rPr>
        <w:t>توحید</w:t>
      </w:r>
      <w:bookmarkEnd w:id="20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اعتقاد به توحید،نه‌تنها خالقیت منحصراً از آنِ خداست،بلکه ولایت نیز 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مَلِکِ النّاسِ است و هیچ‌کس جز او سزاوار حکم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دلیل،قرآن مجید حاکم حقیقی را تنها خداوند معرفی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رُدُّوا إِلَی اللّهِ مَوْلاهُمُ الْحَقِّ أَلا لَهُ الْحُکْمُ وَ هُوَ أَسْرَعُ الْحاسِبِینَ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تنها ولایت خداوند از این اصل خارج است؛چراکه تمام موجودات عالم،ظواهر،اعماق،جواهر و اعراض،سایه‌های وجود حق و پرتو ذات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مالک و ولی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جمیع موجودات،در مقابل او هیچ‌گونه استقلالی ندارند و مقتضای این ولایت ذاتی و ملکیت تکوینی،لزوم تسلیم اختیاری انسان در برابر همه اوامر و نواهی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اساس،تمام حاکمیت‌ها و ولایت‌هایی که خداوند متعال جعل کرده،با حفظ حدود و مراتبشان واجب می‌گردند؛مانند ولایت‌های پیامبران و امامان معصوم،ولایت‌های حاکمان عادل و ولایت‌های قاضی و</w:t>
      </w:r>
      <w:bookmarkStart w:id="202" w:name="pg5664_43353"/>
    </w:p>
    <w:p>
      <w:pPr>
        <w:pStyle w:val="BookText"/>
        <w:rPr/>
      </w:pPr>
      <w:bookmarkEnd w:id="202"/>
      <w:r>
        <w:rPr>
          <w:rFonts w:ascii="IRNazanin" w:hAnsi="IRNazanin" w:eastAsia="IRNazanin"/>
          <w:color w:val="111111"/>
          <w:sz w:val="28"/>
          <w:sz w:val="28"/>
          <w:szCs w:val="28"/>
          <w:rtl w:val="true"/>
          <w:lang w:bidi="fa-IR"/>
        </w:rPr>
        <w:t xml:space="preserve">ولایت پدر؛ </w:t>
      </w:r>
      <w:r>
        <w:rPr>
          <w:rStyle w:val="FootnoteAnchor"/>
          <w:rtl w:val="true"/>
        </w:rPr>
        <w:footnoteReference w:id="220"/>
      </w:r>
      <w:r>
        <w:rPr>
          <w:rFonts w:ascii="IRNazanin" w:hAnsi="IRNazanin" w:eastAsia="IRNazanin"/>
          <w:color w:val="111111"/>
          <w:sz w:val="28"/>
          <w:sz w:val="28"/>
          <w:szCs w:val="28"/>
          <w:rtl w:val="true"/>
          <w:lang w:bidi="fa-IR"/>
        </w:rPr>
        <w:t>چراکه در حقیقت این‌گونه ولایت‌ها نیز به ولایت خداوند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فقها،بر اساس همین مبنای کلامی،اصل عدم ولایت را در فقه تبیین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موجز فاضل نراقی نیز به همین مبنا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الاصل عدم ثبوت ولایة أحد علی أحد إلاّ من ولاّه الله سبحانه</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مراغی نیز اصل را در باب ولایت با این مبنا آغاز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 انّ الولایه علی الناس إنّما هی للّه تبارک و تعالی فی مالهم و انفسهم</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پیش از آنان کاشف الغطاء نیز این اصل را به تفصیل تقریر کرده بود</w:t>
      </w:r>
      <w:r>
        <w:rPr>
          <w:rFonts w:eastAsia="IRNazanin" w:cs="IRNazanin"/>
          <w:color w:val="111111"/>
          <w:sz w:val="28"/>
          <w:szCs w:val="28"/>
          <w:rtl w:val="true"/>
          <w:lang w:bidi="fa-IR"/>
        </w:rPr>
        <w:t xml:space="preserve">. </w:t>
      </w:r>
      <w:r>
        <w:rPr>
          <w:rStyle w:val="FootnoteAnchor"/>
          <w:rtl w:val="true"/>
        </w:rPr>
        <w:footnoteReference w:id="223"/>
      </w:r>
    </w:p>
    <w:p>
      <w:pPr>
        <w:pStyle w:val="Heading6"/>
        <w:numPr>
          <w:ilvl w:val="5"/>
          <w:numId w:val="1"/>
        </w:numPr>
        <w:rPr/>
      </w:pPr>
      <w:bookmarkStart w:id="203" w:name="__RefHeading___Toc3419730_581953129"/>
      <w:bookmarkStart w:id="204" w:name="_Toc82"/>
      <w:bookmarkEnd w:id="203"/>
      <w:r>
        <w:rPr>
          <w:rtl w:val="true"/>
        </w:rPr>
        <w:t>ج</w:t>
      </w:r>
      <w:r>
        <w:rPr>
          <w:rtl w:val="true"/>
        </w:rPr>
        <w:t>)</w:t>
      </w:r>
      <w:r>
        <w:rPr>
          <w:rtl w:val="true"/>
        </w:rPr>
        <w:t>آزادی انسان‌ها</w:t>
      </w:r>
      <w:bookmarkEnd w:id="204"/>
    </w:p>
    <w:p>
      <w:pPr>
        <w:pStyle w:val="BookText"/>
        <w:rPr/>
      </w:pPr>
      <w:r>
        <w:rPr>
          <w:rFonts w:ascii="IRNazanin" w:hAnsi="IRNazanin" w:eastAsia="IRNazanin"/>
          <w:color w:val="111111"/>
          <w:sz w:val="28"/>
          <w:sz w:val="28"/>
          <w:szCs w:val="28"/>
          <w:rtl w:val="true"/>
          <w:lang w:bidi="fa-IR"/>
        </w:rPr>
        <w:t>تفسیر دیگری که از عدم ولایت انسان‌ها بر یکدیگر ارائه شده،بر آزادی بشر مبتنی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چون انسان‌ها آزاد آفریده شده‌اند و هر کس سرنوشت خود را به دست دارد،هر گونه سلطه بر دیگران،ستم و تعدّی در حق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اصل،عدم ولایت شخصی بر شخص دیگر است؛چرا که تمامی افراد مردم آزاد و یکسان آفریده شده‌اند و بر مال و جان خود مسلط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رو،تحمیل انجام یا ترک کار معینی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 اعمال ولایت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ظلم و تعدی محسوب می‌شود و عقلاً قبیح و شرعاً حرام است</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در نامه‌ای خطاب به فرزندش امام حسن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لاتکن عبد غیرک و قد جعلک اللّه حرّاً؛برده دیگران مباش،همانا خداوند تو را آزاد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مبنا،اصل عدم ولایت،به شرع اسلام اختصاص ندارد،بلکه اصلی عقلی و عقلایی است</w:t>
      </w:r>
      <w:r>
        <w:rPr>
          <w:rFonts w:eastAsia="IRNazanin" w:cs="IRNazanin"/>
          <w:color w:val="111111"/>
          <w:sz w:val="28"/>
          <w:szCs w:val="28"/>
          <w:rtl w:val="true"/>
          <w:lang w:bidi="fa-IR"/>
        </w:rPr>
        <w:t xml:space="preserve">. </w:t>
      </w:r>
      <w:r>
        <w:rPr>
          <w:rStyle w:val="FootnoteAnchor"/>
          <w:rtl w:val="true"/>
        </w:rPr>
        <w:footnoteReference w:id="225"/>
      </w:r>
      <w:bookmarkStart w:id="205" w:name="pg5664_43354"/>
    </w:p>
    <w:p>
      <w:pPr>
        <w:pStyle w:val="Heading5"/>
        <w:numPr>
          <w:ilvl w:val="4"/>
          <w:numId w:val="1"/>
        </w:numPr>
        <w:rPr/>
      </w:pPr>
      <w:bookmarkStart w:id="206" w:name="__RefHeading___Toc3419732_581953129"/>
      <w:bookmarkStart w:id="207" w:name="_Toc83"/>
      <w:bookmarkEnd w:id="205"/>
      <w:bookmarkEnd w:id="206"/>
      <w:r>
        <w:rPr/>
        <w:t>4</w:t>
      </w:r>
      <w:r>
        <w:rPr>
          <w:rtl w:val="true"/>
        </w:rPr>
        <w:t>-</w:t>
      </w:r>
      <w:r>
        <w:rPr>
          <w:rtl w:val="true"/>
        </w:rPr>
        <w:t>نقد و بررسی</w:t>
      </w:r>
      <w:bookmarkEnd w:id="207"/>
    </w:p>
    <w:p>
      <w:pPr>
        <w:pStyle w:val="BookText"/>
        <w:rPr/>
      </w:pPr>
      <w:r>
        <w:rPr>
          <w:rFonts w:ascii="IRNazanin" w:hAnsi="IRNazanin" w:eastAsia="IRNazanin"/>
          <w:color w:val="111111"/>
          <w:sz w:val="28"/>
          <w:sz w:val="28"/>
          <w:szCs w:val="28"/>
          <w:rtl w:val="true"/>
          <w:lang w:bidi="fa-IR"/>
        </w:rPr>
        <w:t>تمام آنچه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گفتیم،می‌توان در چند سطر به شرح ذیل بیان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اصل پیش از ورود به حوزه ادله تفصیلی،راهبردی مناسب در تحلیل مسائل فقهی حقوقی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اصل عدم ولایت،چه آن را از اصول کلامی اسلام بدانیم که بر مبنای آن تنها خداوند ولایت مطلقه دارد،و چه آن را اصل عملی بپنداریم یا این که آن را بر مبنای آزادی انسان تصور کنیم،این است که هیچ انسانی بر انسان دیگر ولایت نداشته،حکم او در دیگری نفوذ و اعتباری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ازاین‌رو،اثبات ولایت نیازمند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نبی اکرم صلّی الله علیه و آله و پیشوایان معصوم به نحو مطلقه از سوی نص صریح قرآن ثابت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بنابراین،اخراج ولایت ایشان از عمومیت اصل عدم ولایت با دلیل،ثابت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ثبوت ولایت فقیه در مقام فتوادهی و قضاوت اتفاق نظر وجود دارد و دلالت نصوص وارده در این باره تمام بوده،مورد عمل و فتوای فقها قرار گرفته است؛لیکن این اتفاق و اتقان ادله در باب ولایت فقیه بر اجرای حدود قابل تردید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عدم ولایت فقیه بر اقامه حدود،دلیل خاصی نیاز نیست و صرف عدم دلیل یا تردید در دلایل کفایت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پذیرش اصل عدم ولایت به‌طور کلی نباید از نظر دور داشت که در امور عامه برخی همچون امام خمینی صراحتاً اصل را لزوم ولایت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فقها نیز هرچند چنین صراحتی ندارند،در جای جای مباحث خود به تعابیری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کرده‌اند که می‌تواند تعبیری از همین اصل لزوم ولایت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به‌علاوه،اصل عدم ولایت تا زمانی حجیت دارد که دلیل معتبر عقلی یا نقلی بر لزوم یا جواز ولایت ارائه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مجوزان اقامه حدود از سوی فقها معتقدند چنین ادله‌ای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بنابراین،با وجود دلیل معتبر باید از این اصل رفع ید کرد</w:t>
      </w:r>
      <w:r>
        <w:rPr>
          <w:rFonts w:eastAsia="IRNazanin" w:cs="IRNazanin"/>
          <w:color w:val="111111"/>
          <w:sz w:val="28"/>
          <w:szCs w:val="28"/>
          <w:rtl w:val="true"/>
          <w:lang w:bidi="fa-IR"/>
        </w:rPr>
        <w:t>.</w:t>
      </w:r>
      <w:bookmarkStart w:id="208" w:name="pg5664_43355"/>
    </w:p>
    <w:p>
      <w:pPr>
        <w:pStyle w:val="Heading4"/>
        <w:numPr>
          <w:ilvl w:val="3"/>
          <w:numId w:val="1"/>
        </w:numPr>
        <w:rPr/>
      </w:pPr>
      <w:bookmarkStart w:id="209" w:name="__RefHeading___Toc3419734_581953129"/>
      <w:bookmarkStart w:id="210" w:name="_Toc84"/>
      <w:bookmarkEnd w:id="208"/>
      <w:bookmarkEnd w:id="209"/>
      <w:r>
        <w:rPr>
          <w:rtl w:val="true"/>
        </w:rPr>
        <w:t>ولایت فقیه</w:t>
      </w:r>
      <w:bookmarkEnd w:id="210"/>
    </w:p>
    <w:p>
      <w:pPr>
        <w:pStyle w:val="Heading5"/>
        <w:numPr>
          <w:ilvl w:val="4"/>
          <w:numId w:val="1"/>
        </w:numPr>
        <w:rPr/>
      </w:pPr>
      <w:bookmarkStart w:id="211" w:name="__RefHeading___Toc3419736_581953129"/>
      <w:bookmarkStart w:id="212" w:name="_Toc85"/>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اندیشمندان شیعه،اندیشه سیاسی اسلام را به دو دوران حضور و غیبت معصوم تقسیم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و اندیشمندان شیعه گرچه در باب نظام سیاسی در دوره‌های گذشته به صورت پراکنده سخن می‌گفتند،جملگی ولایت سیاسی و اجتماعی پیشوایان دین را پذیرا بودند،اما در خصوص دوران غیبت رویکردهای گوناگونی عرضه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اغلب،ولایت انتصابی فقیهان را مطرح کرده‌اند و بر انتصاب عام فقها از سوی شارع مقدس در مقام حاکم و زمامدار اسلامی به دلایل نقلی و براهین عقلی تمسک کرده‌اند،ولی هستند افرادی که به ولایت انتخابی فقیه از سوی مردم اعتقاد ورزیدند و کسانی نیز به نظارت مرجعیت بسنده کردند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گوناگونی رویکردها در زمینه ولایت سیاسی در زمان غیبت،بر مسئله اقامه حدود نیز تأثیر انکاری‌ناپذیری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برخی مدعی‌اند رابطه‌ای میان مسئله اقامه حدود و ولایت فقیه برقرار نیست،توجه به آرای سیاسی طرفداران دو دیدگاه عمده در مسئله اقامه حدود،و ملاحظه نظرگاه این دو دسته به نظریه ولایت فقیه،از ارتباطی وثیق میان این دو مقوله خبر می‌دهد؛گرچه ممکن است در برخی موارد این رابطه چندان تنگاتنگ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دلیل ارتباط میان این دو موضوع،در برخی از نوشته‌ها التزام به جواز اقامه حدود،پایبندی به نظریه ولایت فقیه تفسیر شده است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به نظر نگارنده نیز التزام به ولایت فقیه،فی‌الجمله شرط جواز اقامه حدود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سنگ‌بنای دیدگاه عدم جواز بیشتر به‌دست فقهای دوره‌های آغازین عصر غیبت گذاشته شده است؛یعنی دوره‌ای که فقها تحت فشار جوّ سیاسی حاکم قرار داشتند و امکان طرح نظریات سیاسی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برعکس،دیدگاه جواز اقامه حدود با تکامل فرضیه نیابت عامه فقیه و بسط ید فقها قوّت گرفت و در دیدگاه‌های کسانی که نظریه پردازان ولایت فقیه بودند،بازتاب یافت</w:t>
      </w:r>
      <w:r>
        <w:rPr>
          <w:rFonts w:eastAsia="IRNazanin" w:cs="IRNazanin"/>
          <w:color w:val="111111"/>
          <w:sz w:val="28"/>
          <w:szCs w:val="28"/>
          <w:rtl w:val="true"/>
          <w:lang w:bidi="fa-IR"/>
        </w:rPr>
        <w:t>.</w:t>
      </w:r>
      <w:bookmarkStart w:id="213" w:name="pg5664_43356"/>
    </w:p>
    <w:p>
      <w:pPr>
        <w:pStyle w:val="BookText"/>
        <w:rPr/>
      </w:pPr>
      <w:bookmarkEnd w:id="213"/>
      <w:r>
        <w:rPr>
          <w:rFonts w:ascii="IRNazanin" w:hAnsi="IRNazanin" w:eastAsia="IRNazanin"/>
          <w:color w:val="111111"/>
          <w:sz w:val="28"/>
          <w:sz w:val="28"/>
          <w:szCs w:val="28"/>
          <w:rtl w:val="true"/>
          <w:lang w:bidi="fa-IR"/>
        </w:rPr>
        <w:t>بر این اساس،با توجه به اینکه ولایت فقیه از مبانی دیدگاه جواز است،ضروری است این نظریه بررسی شود،ولی به دلیل گستردگی موضوع و محدودیت‌هایی که این نوشتار با آن دست به گریبان است،نمی‌توان بحث تفصیلی در این زمینه صورت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رو،در ادامه به اختصار مفهوم ولایت فقیه و دیدگاه‌های موجود درباره آن را بازبینی خواهیم کرد</w:t>
      </w:r>
      <w:r>
        <w:rPr>
          <w:rFonts w:eastAsia="IRNazanin" w:cs="IRNazanin"/>
          <w:color w:val="111111"/>
          <w:sz w:val="28"/>
          <w:szCs w:val="28"/>
          <w:rtl w:val="true"/>
          <w:lang w:bidi="fa-IR"/>
        </w:rPr>
        <w:t>.</w:t>
      </w:r>
    </w:p>
    <w:p>
      <w:pPr>
        <w:pStyle w:val="Heading5"/>
        <w:numPr>
          <w:ilvl w:val="4"/>
          <w:numId w:val="1"/>
        </w:numPr>
        <w:rPr/>
      </w:pPr>
      <w:bookmarkStart w:id="214" w:name="__RefHeading___Toc3419738_581953129"/>
      <w:bookmarkStart w:id="215" w:name="_Toc86"/>
      <w:bookmarkEnd w:id="214"/>
      <w:r>
        <w:rPr/>
        <w:t>1</w:t>
      </w:r>
      <w:r>
        <w:rPr>
          <w:rtl w:val="true"/>
        </w:rPr>
        <w:t>-</w:t>
      </w:r>
      <w:r>
        <w:rPr>
          <w:rtl w:val="true"/>
        </w:rPr>
        <w:t>تبیین مفهوم ولایت فقیه</w:t>
      </w:r>
      <w:bookmarkEnd w:id="215"/>
    </w:p>
    <w:p>
      <w:pPr>
        <w:pStyle w:val="Heading6"/>
        <w:numPr>
          <w:ilvl w:val="5"/>
          <w:numId w:val="1"/>
        </w:numPr>
        <w:rPr/>
      </w:pPr>
      <w:bookmarkStart w:id="216" w:name="__RefHeading___Toc3419740_581953129"/>
      <w:bookmarkStart w:id="217" w:name="_Toc87"/>
      <w:bookmarkEnd w:id="216"/>
      <w:r>
        <w:rPr>
          <w:rtl w:val="true"/>
        </w:rPr>
        <w:t>الف</w:t>
      </w:r>
      <w:r>
        <w:rPr>
          <w:rtl w:val="true"/>
        </w:rPr>
        <w:t>)</w:t>
      </w:r>
      <w:r>
        <w:rPr>
          <w:rtl w:val="true"/>
        </w:rPr>
        <w:t>مفهوم ولایت</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لغویان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پیوستگی و قرابت می‌دانند که از آن واژه‌های فراوانی اشتقاق یافته است</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تلفظ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می‌توان 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معانی و مفاهیمی است که لغت‌شناسان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دو معنا،معانی دیگری که در فرهنگ‌های لغت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می‌خورد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محبّت،نصرت،سلطان،قیام به امر خطه و موطن هر کس</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و روایات اهل بیت نیز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لغوی و عرفی خود را حفظ کرده،کاربرد ولایت در امارت و حاکمیت سیاسی،گستردگی و شیوع خاص دارد؛به‌طوری که شاید بتوان 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امارت و تدبیر ادعا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آیه ولایت إِنَّما وَلِیُّکُمُ اللّهُ وَ رَسُولُهُ وَ الَّذِینَ آمَنُوا الَّذِینَ یُقِیمُونَ الصَّلاةَ وَ یُؤْتُونَ الزَّکاةَ وَ هُمْ راکِعُونَ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مفسّران شیعه،منظور از ولی،تدبیر و اولویت در تصرف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در روایت متواتر غدیر نیز این معنا را از پیامبر اکرم صلّی الله علیه و آله شاهدیم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در نهج</w:t>
      </w:r>
      <w:bookmarkStart w:id="218" w:name="pg5664_43357"/>
    </w:p>
    <w:p>
      <w:pPr>
        <w:pStyle w:val="BookText"/>
        <w:rPr/>
      </w:pPr>
      <w:bookmarkEnd w:id="218"/>
      <w:r>
        <w:rPr>
          <w:rFonts w:ascii="IRNazanin" w:hAnsi="IRNazanin" w:eastAsia="IRNazanin"/>
          <w:color w:val="111111"/>
          <w:sz w:val="28"/>
          <w:sz w:val="28"/>
          <w:szCs w:val="28"/>
          <w:rtl w:val="true"/>
          <w:lang w:bidi="fa-IR"/>
        </w:rPr>
        <w:t>البلاغة نیز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بار،و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بار،و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ولایات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بار به کار رفته و در تمامی این موارد،همان مفهوم امارت و حکومت سیاسی مقصود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فقه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معنایی به کار می‌رود که در لغت و عرف عرب‌زبانان رواج دارد و در کتاب و سنت نیز بدون تغییر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وضعی است که برای احکامی تکلیفی،مثل جواز تصرّف ولی و ممنوعیت تصرّف دیگران موضوع قرار می‌گیرد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برخی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این‌گونه تعریف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هی الامارة و السلطنة علی الغیر فی نفسه او ماله او امر من اموره</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تأمّل در این تعریف نشان می‌دهد همان محتوای لغوی و مفاد عرفی در اصطلاح شرعی حفظ شده است</w:t>
      </w:r>
      <w:r>
        <w:rPr>
          <w:rFonts w:eastAsia="IRNazanin" w:cs="IRNazanin"/>
          <w:color w:val="111111"/>
          <w:sz w:val="28"/>
          <w:szCs w:val="28"/>
          <w:rtl w:val="true"/>
          <w:lang w:bidi="fa-IR"/>
        </w:rPr>
        <w:t>.</w:t>
      </w:r>
    </w:p>
    <w:p>
      <w:pPr>
        <w:pStyle w:val="Heading6"/>
        <w:numPr>
          <w:ilvl w:val="5"/>
          <w:numId w:val="1"/>
        </w:numPr>
        <w:rPr/>
      </w:pPr>
      <w:bookmarkStart w:id="219" w:name="__RefHeading___Toc3419742_581953129"/>
      <w:bookmarkStart w:id="220" w:name="_Toc88"/>
      <w:bookmarkEnd w:id="219"/>
      <w:r>
        <w:rPr>
          <w:rtl w:val="true"/>
        </w:rPr>
        <w:t>ب</w:t>
      </w:r>
      <w:r>
        <w:rPr>
          <w:rtl w:val="true"/>
        </w:rPr>
        <w:t>)</w:t>
      </w:r>
      <w:r>
        <w:rPr>
          <w:rtl w:val="true"/>
        </w:rPr>
        <w:t>مفهوم فقیه</w:t>
      </w:r>
      <w:bookmarkEnd w:id="220"/>
    </w:p>
    <w:p>
      <w:pPr>
        <w:pStyle w:val="BookText"/>
        <w:rPr/>
      </w:pPr>
      <w:r>
        <w:rPr>
          <w:rFonts w:ascii="IRNazanin" w:hAnsi="IRNazanin" w:eastAsia="IRNazanin"/>
          <w:color w:val="111111"/>
          <w:sz w:val="28"/>
          <w:sz w:val="28"/>
          <w:szCs w:val="28"/>
          <w:rtl w:val="true"/>
          <w:lang w:bidi="fa-IR"/>
        </w:rPr>
        <w:t>واژه فقیه،صفت مشبهه بوده،از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شده است و بر استمرار و دوام وصف فقاهت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دلیل،شناخت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شکافتن و پیروزی اشتقاق یافته، </w:t>
      </w:r>
      <w:r>
        <w:rPr>
          <w:rStyle w:val="FootnoteAnchor"/>
          <w:rtl w:val="true"/>
        </w:rPr>
        <w:footnoteReference w:id="235"/>
      </w:r>
      <w:r>
        <w:rPr>
          <w:rFonts w:ascii="IRNazanin" w:hAnsi="IRNazanin" w:eastAsia="IRNazanin"/>
          <w:color w:val="111111"/>
          <w:sz w:val="28"/>
          <w:sz w:val="28"/>
          <w:szCs w:val="28"/>
          <w:rtl w:val="true"/>
          <w:lang w:bidi="fa-IR"/>
        </w:rPr>
        <w:t>در لغت به معنای فهم و علم و ادراک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بیشتر لغت‌شناسان،فقه را همان فهم و علم می‌دانند و برخی آن را به فهم و درک سخن دیگران مختصّ می‌کنند، </w:t>
      </w:r>
      <w:r>
        <w:rPr>
          <w:rStyle w:val="FootnoteAnchor"/>
          <w:rtl w:val="true"/>
        </w:rPr>
        <w:footnoteReference w:id="237"/>
      </w:r>
      <w:r>
        <w:rPr>
          <w:rFonts w:ascii="IRNazanin" w:hAnsi="IRNazanin" w:eastAsia="IRNazanin"/>
          <w:color w:val="111111"/>
          <w:sz w:val="28"/>
          <w:sz w:val="28"/>
          <w:szCs w:val="28"/>
          <w:rtl w:val="true"/>
          <w:lang w:bidi="fa-IR"/>
        </w:rPr>
        <w:t>ولی تأمّل در کاربرد این واژه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منحصر به فهم کلام نیست،مرادف علم و آگاهی نیز نمی‌تواند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 از علم و معرفت است و ادراک اشیای خفیه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اصطلاح،معنایی نو به خود گرفته،از آن مفهوم لغوی عام و گسترده،</w:t>
      </w:r>
    </w:p>
    <w:p>
      <w:pPr>
        <w:pStyle w:val="BookText"/>
        <w:rPr/>
      </w:pPr>
      <w:r>
        <w:rPr>
          <w:rFonts w:ascii="IRNazanin" w:hAnsi="IRNazanin" w:eastAsia="IRNazanin"/>
          <w:color w:val="111111"/>
          <w:sz w:val="28"/>
          <w:sz w:val="28"/>
          <w:szCs w:val="28"/>
          <w:rtl w:val="true"/>
          <w:lang w:bidi="fa-IR"/>
        </w:rPr>
        <w:t>در مفهومی اخص مصطلح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در اصطلاح در دو معنا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به مجموعه دین،و دانش احکام و مقررات شرعی</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در اینجا به تفاوت این دو اصطلاح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بصیرت کامل به کلّ دین و مجموعه آنچه خدای سبحان برای بشر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مجموعه،شامل عقاید و اخلاق و احکام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در شرح اصول کافی،به پیروی از شیخ بهایی معتقد است در بسیاری از احادیث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آمده،منظور،بصیرتِ در امر دین به‌طور کلی است و به علم و احکام شرعی اختصاص ندارد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مثلاً از پیامبر اکرم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امّت من چهل حدیث مورد نیاز مربوط به امور دینی مردم را حفظ کند،خداوند روز قیامت وی را فقیه و عالم مبعوث گرداند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شیخ بهایی،در توضیح و بررسی این روایت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فقیه در این روایت،فقه به معنای فهم نیست؛زیرا معنای لغوی آن با این روایت بی‌مناسبت است و همین‌طور منظور،فقه مصطلح به معنای علم به احکام شرعی فقهی که از طریق ادلّه تفصیلی استنباط شده است،هم نیست؛زیرا این معنایی است که بعداً رایج شده است،بلکه منظور از فقه در روایت،بصیرت در امر دین است و اکثر مواردی که واژه فقه در حدیث به کار رفته است،به همین معنای سوم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دومین معنای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احکام و مقررات فرعی شرعی از روی ادلّه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این‌اصطلاح،فقه،دانشی است رواج یافته میان مسلمانان که وظیفه آن،تعیین تکلیف مکلّفان و استنباط احکام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اصطلاح،اخصّ از معنای لغوی و مفهوم اصطلاحی نخست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و تبادر فقه به همین معناست و کاربرد فقه در معنای لغوی یا اصطلاحی نخست،به قرینه نیازمند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فقه در این معنا،چندان نو و مربوط به عصر حاضر یا قرون اخیر اسلامی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فقه و فقاهت،گذشته از آنکه در و آثار بر جای مانده از فقیهانی چون شیخ</w:t>
      </w:r>
    </w:p>
    <w:p>
      <w:pPr>
        <w:pStyle w:val="BookText"/>
        <w:rPr/>
      </w:pPr>
      <w:r>
        <w:rPr>
          <w:rFonts w:ascii="IRNazanin" w:hAnsi="IRNazanin" w:eastAsia="IRNazanin"/>
          <w:color w:val="111111"/>
          <w:sz w:val="28"/>
          <w:sz w:val="28"/>
          <w:szCs w:val="28"/>
          <w:rtl w:val="true"/>
          <w:lang w:bidi="fa-IR"/>
        </w:rPr>
        <w:t xml:space="preserve">مفید </w:t>
      </w:r>
      <w:r>
        <w:rPr>
          <w:rStyle w:val="FootnoteAnchor"/>
          <w:rtl w:val="true"/>
        </w:rPr>
        <w:footnoteReference w:id="243"/>
      </w:r>
      <w:r>
        <w:rPr>
          <w:rFonts w:ascii="Amiri" w:hAnsi="Amiri" w:eastAsia="Amiri" w:cs="Amiri"/>
          <w:color w:val="111111"/>
          <w:sz w:val="28"/>
          <w:sz w:val="28"/>
          <w:szCs w:val="28"/>
          <w:rtl w:val="true"/>
          <w:lang w:bidi="ar-SA"/>
        </w:rPr>
        <w:t xml:space="preserve">و سلاّر </w:t>
      </w:r>
      <w:r>
        <w:rPr>
          <w:rStyle w:val="FootnoteAnchor"/>
          <w:rtl w:val="true"/>
        </w:rPr>
        <w:footnoteReference w:id="244"/>
      </w:r>
      <w:r>
        <w:rPr>
          <w:rFonts w:ascii="IRNazanin" w:hAnsi="IRNazanin" w:eastAsia="IRNazanin"/>
          <w:color w:val="111111"/>
          <w:sz w:val="28"/>
          <w:sz w:val="28"/>
          <w:szCs w:val="28"/>
          <w:rtl w:val="true"/>
          <w:lang w:bidi="fa-IR"/>
        </w:rPr>
        <w:t>به همین مفهوم رایج امروزی خود به کار رفته است،تتبّع تاریخ فقه میان شیعه و سنّی و بررسی روایات،به‌خوبی گویای این حقیقت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امامان معصوم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می‌شد که به کار فتوا اشتغال و وظیفه استنباط احکام شرعی را بر دوش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گفته پژوهشگران تاریخ فقه،فقه،به معنای اصطلاحی و به صورت علم رسمی،در دوره خلافت امویان پایه‌گذاری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دوره بود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شده و کسانی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یافته‌اند و مثلاً عنوان فقهای سبعه در اشاره به هفت تن دانشمند برجسته گفته شده که به کار فتوادهی و استنباط احکام اشتغال داشته،فروع و حتّی فروعِ غیر مبتلابه،بلکه غیرواقعی را نیز استخراج کرده‌اند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اکنون با توجه به معنای فقه و فقاهت که در بالا گذشت،در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فقیه به این پرسش اساسی پاسخ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در زمان غیبت چه کسی را برای ولایت و حکومت برگزیده است؟بر اساس مبنای نصب،شارع فقیه جامع شرایط را به ولایت منصوب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فقاهت بر این مبنا استوار است که مردم چون به اسلام ایمان دارند،اقتضای این ایمان آن است که پایبند مقررات شریعت باشند و احکام آن را به‌طور کامل در حیات فردی و زندگی جمعی خود رعایت کنند و آن را در جامعه عینیت بخشند و این کار جز با فقه و دانشمند آشنای با فقه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تئوری اداره فرد و جامعه است؛ </w:t>
      </w:r>
      <w:r>
        <w:rPr>
          <w:rStyle w:val="FootnoteAnchor"/>
          <w:rtl w:val="true"/>
        </w:rPr>
        <w:footnoteReference w:id="246"/>
      </w:r>
      <w:r>
        <w:rPr>
          <w:rFonts w:ascii="IRNazanin" w:hAnsi="IRNazanin" w:eastAsia="IRNazanin"/>
          <w:color w:val="111111"/>
          <w:sz w:val="28"/>
          <w:sz w:val="28"/>
          <w:szCs w:val="28"/>
          <w:rtl w:val="true"/>
          <w:lang w:bidi="fa-IR"/>
        </w:rPr>
        <w:t>چنان که امام خمینی می‌فرمود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در نظر مجتهد واقعی،فلسفه عملی تمامی فقه در تمام زوایای زندگی بشریت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نشان دهنده جنبه عملی فقه در برخورد با تمامی معضلات اجتماعی و سیاسی و نظامی و فرهنگی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تئوری واقعی و کامل اداره انسان و اجتماع،از گهواره تا گور است</w:t>
      </w:r>
      <w:r>
        <w:rPr>
          <w:rFonts w:eastAsia="IRNazanin" w:cs="IRNazanin"/>
          <w:color w:val="111111"/>
          <w:sz w:val="28"/>
          <w:szCs w:val="28"/>
          <w:rtl w:val="true"/>
          <w:lang w:bidi="fa-IR"/>
        </w:rPr>
        <w:t xml:space="preserve">. </w:t>
      </w:r>
      <w:r>
        <w:rPr>
          <w:rStyle w:val="FootnoteAnchor"/>
          <w:rtl w:val="true"/>
        </w:rPr>
        <w:footnoteReference w:id="247"/>
      </w:r>
      <w:bookmarkStart w:id="221" w:name="pg5664_43360"/>
    </w:p>
    <w:p>
      <w:pPr>
        <w:pStyle w:val="BookText"/>
        <w:rPr/>
      </w:pPr>
      <w:bookmarkEnd w:id="221"/>
      <w:r>
        <w:rPr>
          <w:rFonts w:ascii="IRNazanin" w:hAnsi="IRNazanin" w:eastAsia="IRNazanin"/>
          <w:color w:val="111111"/>
          <w:sz w:val="28"/>
          <w:sz w:val="28"/>
          <w:szCs w:val="28"/>
          <w:rtl w:val="true"/>
          <w:lang w:bidi="fa-IR"/>
        </w:rPr>
        <w:t>در تعدادی از ادله نقلی ولایت فقیه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أمناء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حصون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فقاهت،تصریح شده است،ولی بیشتر ادله،با ذکر توصیف و بیان شرایط ولایت،به آن اشاره دارند و به صراحت آن را ذکر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حدیثنا و نظر فی حلالنا و حرامنا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مقبوله عمر بن‌حنظله آمده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فیها الی رواة أحادیثنا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توقیع شریف نقل شده،چنین است</w:t>
      </w:r>
      <w:r>
        <w:rPr>
          <w:rFonts w:eastAsia="IRNazanin" w:cs="IRNazanin"/>
          <w:color w:val="111111"/>
          <w:sz w:val="28"/>
          <w:szCs w:val="28"/>
          <w:rtl w:val="true"/>
          <w:lang w:bidi="fa-IR"/>
        </w:rPr>
        <w:t>.</w:t>
      </w:r>
    </w:p>
    <w:p>
      <w:pPr>
        <w:pStyle w:val="Heading5"/>
        <w:numPr>
          <w:ilvl w:val="4"/>
          <w:numId w:val="1"/>
        </w:numPr>
        <w:rPr/>
      </w:pPr>
      <w:bookmarkStart w:id="222" w:name="__RefHeading___Toc3419744_581953129"/>
      <w:bookmarkStart w:id="223" w:name="_Toc89"/>
      <w:bookmarkEnd w:id="222"/>
      <w:r>
        <w:rPr/>
        <w:t>2</w:t>
      </w:r>
      <w:r>
        <w:rPr>
          <w:rtl w:val="true"/>
        </w:rPr>
        <w:t>-</w:t>
      </w:r>
      <w:r>
        <w:rPr>
          <w:rtl w:val="true"/>
        </w:rPr>
        <w:t>حدود اختیارات ولی فقیه</w:t>
      </w:r>
      <w:bookmarkEnd w:id="223"/>
    </w:p>
    <w:p>
      <w:pPr>
        <w:pStyle w:val="Heading6"/>
        <w:numPr>
          <w:ilvl w:val="5"/>
          <w:numId w:val="1"/>
        </w:numPr>
        <w:rPr/>
      </w:pPr>
      <w:bookmarkStart w:id="224" w:name="__RefHeading___Toc3419746_581953129"/>
      <w:bookmarkStart w:id="225" w:name="_Toc90"/>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گرچه اصل ولایت فقیه مورد اتفاق فقهای شیعه است،درباره حدود اختیارات ولی فقیه،اختلاف‌نظرهایی میان فقها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اختلاف‌نظرها،پدید آمدن دو دیدگاه ولایت مطلقه و ولایت مقیده فقیه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اجمال به این دو دیدگاه اشاره می‌کنیم</w:t>
      </w:r>
      <w:r>
        <w:rPr>
          <w:rFonts w:eastAsia="IRNazanin" w:cs="IRNazanin"/>
          <w:color w:val="111111"/>
          <w:sz w:val="28"/>
          <w:szCs w:val="28"/>
          <w:rtl w:val="true"/>
          <w:lang w:bidi="fa-IR"/>
        </w:rPr>
        <w:t xml:space="preserve">. </w:t>
      </w:r>
      <w:r>
        <w:rPr>
          <w:rStyle w:val="FootnoteAnchor"/>
          <w:rtl w:val="true"/>
        </w:rPr>
        <w:footnoteReference w:id="248"/>
      </w:r>
    </w:p>
    <w:p>
      <w:pPr>
        <w:pStyle w:val="Heading6"/>
        <w:numPr>
          <w:ilvl w:val="5"/>
          <w:numId w:val="1"/>
        </w:numPr>
        <w:rPr/>
      </w:pPr>
      <w:bookmarkStart w:id="226" w:name="__RefHeading___Toc3419748_581953129"/>
      <w:bookmarkStart w:id="227" w:name="_Toc91"/>
      <w:bookmarkEnd w:id="226"/>
      <w:r>
        <w:rPr>
          <w:rtl w:val="true"/>
        </w:rPr>
        <w:t>الف</w:t>
      </w:r>
      <w:r>
        <w:rPr>
          <w:rtl w:val="true"/>
        </w:rPr>
        <w:t>)</w:t>
      </w:r>
      <w:r>
        <w:rPr>
          <w:rtl w:val="true"/>
        </w:rPr>
        <w:t>ولایت مقیده فقیه</w:t>
      </w:r>
      <w:bookmarkEnd w:id="227"/>
    </w:p>
    <w:p>
      <w:pPr>
        <w:pStyle w:val="Heading6"/>
        <w:numPr>
          <w:ilvl w:val="5"/>
          <w:numId w:val="1"/>
        </w:numPr>
        <w:rPr/>
      </w:pPr>
      <w:bookmarkStart w:id="228" w:name="__RefHeading___Toc3419750_581953129"/>
      <w:bookmarkStart w:id="229" w:name="_Toc92"/>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طرفداران این نظریه،عمدتاً با ناکافی دانستن اطلاقات و عمومات،با نفی مطلق بودن ولایت برای فقیه،به تفسیر آن رو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رویکردهای گوناگونی دارد</w:t>
      </w:r>
      <w:r>
        <w:rPr>
          <w:rFonts w:eastAsia="IRNazanin" w:cs="IRNazanin"/>
          <w:color w:val="111111"/>
          <w:sz w:val="28"/>
          <w:szCs w:val="28"/>
          <w:rtl w:val="true"/>
          <w:lang w:bidi="fa-IR"/>
        </w:rPr>
        <w:t>:</w:t>
      </w:r>
    </w:p>
    <w:p>
      <w:pPr>
        <w:pStyle w:val="Heading6"/>
        <w:numPr>
          <w:ilvl w:val="5"/>
          <w:numId w:val="1"/>
        </w:numPr>
        <w:rPr/>
      </w:pPr>
      <w:bookmarkStart w:id="230" w:name="__RefHeading___Toc3419752_581953129"/>
      <w:bookmarkStart w:id="231" w:name="_Toc93"/>
      <w:bookmarkEnd w:id="230"/>
      <w:r>
        <w:rPr>
          <w:rtl w:val="true"/>
        </w:rPr>
        <w:t>یکم</w:t>
      </w:r>
      <w:r>
        <w:rPr>
          <w:rtl w:val="true"/>
        </w:rPr>
        <w:t>)</w:t>
      </w:r>
      <w:r>
        <w:rPr>
          <w:rtl w:val="true"/>
        </w:rPr>
        <w:t>ولایت تصرف در قضا،فتوا و امور حسبه</w:t>
      </w:r>
      <w:bookmarkEnd w:id="231"/>
    </w:p>
    <w:p>
      <w:pPr>
        <w:pStyle w:val="BookText"/>
        <w:rPr/>
      </w:pPr>
      <w:r>
        <w:rPr>
          <w:rFonts w:ascii="IRNazanin" w:hAnsi="IRNazanin" w:eastAsia="IRNazanin"/>
          <w:color w:val="111111"/>
          <w:sz w:val="28"/>
          <w:sz w:val="28"/>
          <w:szCs w:val="28"/>
          <w:rtl w:val="true"/>
          <w:lang w:bidi="fa-IR"/>
        </w:rPr>
        <w:t>پاره‌ای از فقها،از جمله مرحوم آیت‌الله خویی،ولایت فقیه را در امور حسبه،فتوا و قضا محدود می‌سازند؛بدین معنا که فقیه تنها در اموری از قبیل فتوا و قضا،سرپرستی اطفال بی‌سرپرست و اموال مجهول المالک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ولایت فقیه از کتاب مکاسب ذکر کردیم که روایت مورد استدلال در ولایت مطلقه،از نظر سند و دلالت مورد خدشه است و بررسی تفصیلی این مطلب را به محل خودش ارجاع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بله،از روایات معتبر این‌چنین استفاده می‌شود که فقیه در دو مورد فتوا و قضا ولایت دارد،اما روایتی که از نظر سند و دلالت قطعی باشد،ما را بر ولایت فقیه در دیگر موارد رهنمون نساخته است</w:t>
      </w:r>
      <w:r>
        <w:rPr>
          <w:rFonts w:eastAsia="IRNazanin" w:cs="IRNazanin"/>
          <w:color w:val="111111"/>
          <w:sz w:val="28"/>
          <w:szCs w:val="28"/>
          <w:rtl w:val="true"/>
          <w:lang w:bidi="fa-IR"/>
        </w:rPr>
        <w:t xml:space="preserve">. </w:t>
      </w:r>
      <w:r>
        <w:rPr>
          <w:rStyle w:val="FootnoteAnchor"/>
          <w:rtl w:val="true"/>
        </w:rPr>
        <w:footnoteReference w:id="249"/>
      </w:r>
      <w:bookmarkStart w:id="232" w:name="pg5664_43361"/>
    </w:p>
    <w:p>
      <w:pPr>
        <w:pStyle w:val="BookText"/>
        <w:rPr/>
      </w:pPr>
      <w:bookmarkEnd w:id="232"/>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برای فقیه در عصر غیبت،محققاً به واسطه دلیل ثابت نشده است و ولایت اختصاص به رسول خدا صلّی الله علیه و آله و ائمه علیهم السلام دارد و چیزی که از روایات برای فقیه به دست آمده،یکی نفوذ قضاوت فقیه،و دیگری حجیت داشتن فتوای اوست و تصرف در مال ناتوان و غیره از اموری است که در شأن مقام ولایت است و فقیه فقط در امر حسبه ولایت دارد،آن هم نه به معنای ولایت مورد ادعا</w:t>
      </w:r>
      <w:r>
        <w:rPr>
          <w:rFonts w:eastAsia="IRNazanin" w:cs="IRNazanin"/>
          <w:color w:val="111111"/>
          <w:sz w:val="28"/>
          <w:szCs w:val="28"/>
          <w:rtl w:val="true"/>
          <w:lang w:bidi="fa-IR"/>
        </w:rPr>
        <w:t xml:space="preserve">. </w:t>
      </w:r>
      <w:r>
        <w:rPr>
          <w:rStyle w:val="FootnoteAnchor"/>
          <w:rtl w:val="true"/>
        </w:rPr>
        <w:footnoteReference w:id="250"/>
      </w:r>
    </w:p>
    <w:p>
      <w:pPr>
        <w:pStyle w:val="Heading6"/>
        <w:numPr>
          <w:ilvl w:val="5"/>
          <w:numId w:val="1"/>
        </w:numPr>
        <w:rPr/>
      </w:pPr>
      <w:bookmarkStart w:id="233" w:name="__RefHeading___Toc3419754_581953129"/>
      <w:bookmarkStart w:id="234" w:name="_Toc94"/>
      <w:bookmarkEnd w:id="233"/>
      <w:r>
        <w:rPr>
          <w:rtl w:val="true"/>
        </w:rPr>
        <w:t>دوم</w:t>
      </w:r>
      <w:r>
        <w:rPr>
          <w:rtl w:val="true"/>
        </w:rPr>
        <w:t>)</w:t>
      </w:r>
      <w:r>
        <w:rPr>
          <w:rtl w:val="true"/>
        </w:rPr>
        <w:t>ولایت در چارچوب احکام فرعی الهی</w:t>
      </w:r>
      <w:bookmarkEnd w:id="234"/>
    </w:p>
    <w:p>
      <w:pPr>
        <w:pStyle w:val="BookText"/>
        <w:rPr/>
      </w:pPr>
      <w:r>
        <w:rPr>
          <w:rFonts w:ascii="IRNazanin" w:hAnsi="IRNazanin" w:eastAsia="IRNazanin"/>
          <w:color w:val="111111"/>
          <w:sz w:val="28"/>
          <w:sz w:val="28"/>
          <w:szCs w:val="28"/>
          <w:rtl w:val="true"/>
          <w:lang w:bidi="fa-IR"/>
        </w:rPr>
        <w:t>بر اساس این دیدگاه،اعمال ولایت فقیه،تنها در حوزه احکام فرعی تحقق می‌یابد و فقیه خارج از محدوده آن هیچ‌گونه ولایتی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نتیجه،گستره ولایت به امور حسبه یا اجرای حدود و قضا منحصر نمی‌گردد و زعامت سیاسی را نیز دربرمی‌گیرد،ولی اعمال ولایت،تنها در چارچوب احکام اولیه و ثانویه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 با استناد به مصلحت،نمی‌تواند احکام حکومتی خارج از احکام فرعی الهی صادر کند و اصولاً احکام حکومتی در این رویکرد،در عرض احکام اولیه و ثانویه قرار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گلپایگانی از طرفداران این نظریه است</w:t>
      </w:r>
      <w:r>
        <w:rPr>
          <w:rFonts w:eastAsia="IRNazanin" w:cs="IRNazanin"/>
          <w:color w:val="111111"/>
          <w:sz w:val="28"/>
          <w:szCs w:val="28"/>
          <w:rtl w:val="true"/>
          <w:lang w:bidi="fa-IR"/>
        </w:rPr>
        <w:t xml:space="preserve">. </w:t>
      </w:r>
      <w:r>
        <w:rPr>
          <w:rStyle w:val="FootnoteAnchor"/>
          <w:rtl w:val="true"/>
        </w:rPr>
        <w:footnoteReference w:id="251"/>
      </w:r>
    </w:p>
    <w:p>
      <w:pPr>
        <w:pStyle w:val="Heading6"/>
        <w:numPr>
          <w:ilvl w:val="5"/>
          <w:numId w:val="1"/>
        </w:numPr>
        <w:rPr/>
      </w:pPr>
      <w:bookmarkStart w:id="235" w:name="__RefHeading___Toc3419756_581953129"/>
      <w:bookmarkStart w:id="236" w:name="_Toc95"/>
      <w:bookmarkEnd w:id="235"/>
      <w:r>
        <w:rPr>
          <w:rtl w:val="true"/>
        </w:rPr>
        <w:t>ب</w:t>
      </w:r>
      <w:r>
        <w:rPr>
          <w:rtl w:val="true"/>
        </w:rPr>
        <w:t>)</w:t>
      </w:r>
      <w:r>
        <w:rPr>
          <w:rtl w:val="true"/>
        </w:rPr>
        <w:t>ولایت مطلقه فقیه</w:t>
      </w:r>
      <w:bookmarkEnd w:id="23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دیدگاه درباره گستره اختیارات ولی فقیه،ولایت مطلقه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فقها و طرفداران این نظریه از واژه مطلقه،معنای لغوی برداشت نکرد،آن را در معنای استبدادی و فوق قوانین الهی نپنداشته‌اند،بلکه به معنای ولایت در حوزه فتوا،قضاوت،اجرای سیاسات و مسائل حکومتی و دیگر اموری است که به عهده امام است،غیر از جهاد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در تحریر الوسیله فقهای جامع شرایط را نایب عام حضرت ولی عصر عجّل الله تعالی فرجه الشریف در این امور معرفی می‌کند و انحصار زعامت و ولایت را در امور حسبه نمی‌پذیرد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اندیشمندان و فقیهان شیعه برای اثبات ولایت انتصابی فقیه و مشروعیت ولایت مطلقه به معنای حکومت ولایی که از مهم‌ترین مباحث حکومت دینی ولایی است،با نگاه کلامی و فقهی به دلایل متعددی همچون روایات،اجماع،عموم و اطلاق نصب فقها به قضاوت،ولایت حسبه و عقل </w:t>
      </w:r>
      <w:r>
        <w:rPr>
          <w:rStyle w:val="FootnoteAnchor"/>
          <w:rtl w:val="true"/>
        </w:rPr>
        <w:footnoteReference w:id="253"/>
      </w:r>
      <w:r>
        <w:rPr>
          <w:rFonts w:ascii="IRNazanin" w:hAnsi="IRNazanin" w:eastAsia="IRNazanin"/>
          <w:color w:val="111111"/>
          <w:sz w:val="28"/>
          <w:sz w:val="28"/>
          <w:szCs w:val="28"/>
          <w:rtl w:val="true"/>
          <w:lang w:bidi="fa-IR"/>
        </w:rPr>
        <w:t>تمسک کرده‌اند که در این نوشتار مجالی برای طرح این ادله وجود ندارد؛گرچه برخی از آنها را ضمن دلایل جواز اقامه حدود بررسی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نکته قابل توجه در دیدگاه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طرفداران این دیدگاه،بر وجود اطلاقات و عمومات جعل ولایت برای فقیه،تأکید می‌ورزند و مطلقه بودن ولایت را از آن استنباط می‌کنند</w:t>
      </w:r>
      <w:r>
        <w:rPr>
          <w:rFonts w:eastAsia="IRNazanin" w:cs="IRNazanin"/>
          <w:color w:val="111111"/>
          <w:sz w:val="28"/>
          <w:szCs w:val="28"/>
          <w:rtl w:val="true"/>
          <w:lang w:bidi="fa-IR"/>
        </w:rPr>
        <w:t>.</w:t>
      </w:r>
      <w:bookmarkStart w:id="237" w:name="pg5664_43364"/>
    </w:p>
    <w:p>
      <w:pPr>
        <w:pStyle w:val="Heading3"/>
        <w:numPr>
          <w:ilvl w:val="2"/>
          <w:numId w:val="1"/>
        </w:numPr>
        <w:rPr/>
      </w:pPr>
      <w:bookmarkStart w:id="238" w:name="__RefHeading___Toc3419758_581953129"/>
      <w:bookmarkStart w:id="239" w:name="_Toc96"/>
      <w:bookmarkEnd w:id="237"/>
      <w:bookmarkEnd w:id="238"/>
      <w:r>
        <w:rPr/>
        <w:t>3</w:t>
      </w:r>
      <w:r>
        <w:rPr>
          <w:rtl w:val="true"/>
        </w:rPr>
        <w:t>-</w:t>
      </w:r>
      <w:r>
        <w:rPr>
          <w:rtl w:val="true"/>
        </w:rPr>
        <w:t>سابقه اجرای حدود</w:t>
      </w:r>
      <w:bookmarkEnd w:id="239"/>
    </w:p>
    <w:p>
      <w:pPr>
        <w:pStyle w:val="Heading4"/>
        <w:numPr>
          <w:ilvl w:val="3"/>
          <w:numId w:val="1"/>
        </w:numPr>
        <w:rPr/>
      </w:pPr>
      <w:bookmarkStart w:id="240" w:name="__RefHeading___Toc3419760_581953129"/>
      <w:bookmarkStart w:id="241" w:name="_Toc97"/>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سابقه اجرای حدود</w:t>
      </w:r>
    </w:p>
    <w:p>
      <w:pPr>
        <w:pStyle w:val="Heading4"/>
        <w:numPr>
          <w:ilvl w:val="3"/>
          <w:numId w:val="1"/>
        </w:numPr>
        <w:rPr/>
      </w:pPr>
      <w:bookmarkStart w:id="242" w:name="__RefHeading___Toc3419762_581953129"/>
      <w:bookmarkStart w:id="243" w:name="_Toc98"/>
      <w:bookmarkEnd w:id="242"/>
      <w:r>
        <w:rPr>
          <w:rtl w:val="true"/>
        </w:rPr>
        <w:t>ایران</w:t>
      </w:r>
      <w:bookmarkEnd w:id="243"/>
    </w:p>
    <w:p>
      <w:pPr>
        <w:pStyle w:val="BookText"/>
        <w:rPr/>
      </w:pPr>
      <w:r>
        <w:rPr>
          <w:rFonts w:ascii="IRNazanin" w:hAnsi="IRNazanin" w:eastAsia="IRNazanin"/>
          <w:color w:val="111111"/>
          <w:sz w:val="28"/>
          <w:sz w:val="28"/>
          <w:szCs w:val="28"/>
          <w:rtl w:val="true"/>
          <w:lang w:bidi="fa-IR"/>
        </w:rPr>
        <w:t>از میان جرایم حدی،به دو جرم زنا و لواط در آموزه‌های زرتشت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آموزه‌ها،زنا به شدت نکوهش گردیده،کیفری همچون اعدام را به همراه دارد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از بند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وندادید اوستا استفاده می‌شود کیفر لواط از روی عنف،هزار و ششصد تازیانه است، </w:t>
      </w:r>
      <w:r>
        <w:rPr>
          <w:rStyle w:val="FootnoteAnchor"/>
          <w:rtl w:val="true"/>
        </w:rPr>
        <w:footnoteReference w:id="255"/>
      </w:r>
      <w:r>
        <w:rPr>
          <w:rFonts w:ascii="IRNazanin" w:hAnsi="IRNazanin" w:eastAsia="IRNazanin"/>
          <w:color w:val="111111"/>
          <w:sz w:val="28"/>
          <w:sz w:val="28"/>
          <w:szCs w:val="28"/>
          <w:rtl w:val="true"/>
          <w:lang w:bidi="fa-IR"/>
        </w:rPr>
        <w:t>ولی در لواط از روی سازش و رضایت،توبه در شرایط خاصی موجب سقوط کیفر بوده است</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اسلام نخستین بار فقه شیعی با برگزیدن کتاب قواعد علّامه حلّی به عنوان</w:t>
      </w:r>
    </w:p>
    <w:p>
      <w:pPr>
        <w:pStyle w:val="BookText"/>
        <w:rPr/>
      </w:pPr>
      <w:r>
        <w:rPr>
          <w:rFonts w:ascii="IRNazanin" w:hAnsi="IRNazanin" w:eastAsia="IRNazanin"/>
          <w:color w:val="111111"/>
          <w:sz w:val="28"/>
          <w:sz w:val="28"/>
          <w:szCs w:val="28"/>
          <w:rtl w:val="true"/>
          <w:lang w:bidi="fa-IR"/>
        </w:rPr>
        <w:t>قانون حل و فصل مسائل حکومتی و دینی از سوی شاه اسماعیل صفوی رسمی شد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شاه طهماسب نیز امور مملکتی را در اختیار محقّق کرکی قرار داد و نامه نوشت تا از فرمان او اطاعت کنند و بدانند پایه و اساس حکومت به عهده اوست؛زیرا او نایب امام است</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در این دوره،دو نوع محکمه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 عرف،که عمدتاً به جرایم کیفری رسیدگی می‌کرد و محاکم شرعی،که مسائل و دعواهای مذهبی و مدنی را حل و فصل می‌کرد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در نتیجه،اختلاف‌هایی که بر حاکمان شرع واگذار می‌شد،به دیون و وراثت و عقود و معاملات و نکاح و طلاق مربوط می‌گردید</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محکمه عرف عمدتاً به تمام انواع اقداماتی که بر ضد دولت انجام می‌گرفت،رسیدگی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موارد می‌توان به جرایم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و 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اختلاس،رشوه و ارتشا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میان مقامات 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سرقت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البته گفته شده در محاکم عرف نیز روحانیانی بودند که حکم با مشورت آنان صادر می‌شد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تصمیم‌گیری برای مجازات‌های عمده و دیگر گونه‌های حد از سوی محکمه عرف انجام می‌گرفت و با صدور حکم شرعی به دست یک قاضی صورت قانونی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عرف صلاحیت داشت به تمام موارد جرم و جنایت رسیدگی کند؛به‌ویژه در احداث اربعه،یعنی در چهار جرم عمدی قتل،ازاله بکارت،کورکردن چشم و شکستن دندان برای صدور هم باید حضور می‌داشتند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اما صدور حکم قتل از امتیازهای انحصاری شاه بود و فرجام‌خواهی را او،خود به عهده داشت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کنترل شاه بر محاکم بیش از آنکه اهداف عقیدتی داشته باشد،انگیزه‌های</w:t>
      </w:r>
    </w:p>
    <w:p>
      <w:pPr>
        <w:pStyle w:val="BookText"/>
        <w:rPr/>
      </w:pPr>
      <w:r>
        <w:rPr>
          <w:rFonts w:ascii="IRNazanin" w:hAnsi="IRNazanin" w:eastAsia="IRNazanin"/>
          <w:color w:val="111111"/>
          <w:sz w:val="28"/>
          <w:sz w:val="28"/>
          <w:szCs w:val="28"/>
          <w:rtl w:val="true"/>
          <w:lang w:bidi="fa-IR"/>
        </w:rPr>
        <w:t>سیاسی داشت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به همین دلیل،محکمه عرف از نظر صلاحیت و مشروعیت مورد مناقشه علما بود؛ </w:t>
      </w:r>
      <w:r>
        <w:rPr>
          <w:rStyle w:val="FootnoteAnchor"/>
          <w:rtl w:val="true"/>
        </w:rPr>
        <w:footnoteReference w:id="266"/>
      </w:r>
      <w:r>
        <w:rPr>
          <w:rFonts w:ascii="IRNazanin" w:hAnsi="IRNazanin" w:eastAsia="IRNazanin"/>
          <w:color w:val="111111"/>
          <w:sz w:val="28"/>
          <w:sz w:val="28"/>
          <w:szCs w:val="28"/>
          <w:rtl w:val="true"/>
          <w:lang w:bidi="fa-IR"/>
        </w:rPr>
        <w:t>به‌ویژه که مجازات‌های معمول در این دوره چندان با مجازات‌های شرعی و حدی مطابقت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نظر شاه مجرم شناخته می‌شدند،با فرزندانشان به شدت مجازات می‌گردیدند و کیفر دزدی و قتل به میل و دلخواه فرمانروایان در محل وقوع جرم بود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جان فرایر که در عهد شاه سلیمان</w:t>
      </w:r>
      <w:r>
        <w:rPr>
          <w:rFonts w:eastAsia="IRNazanin" w:cs="IRNazanin"/>
          <w:color w:val="111111"/>
          <w:sz w:val="28"/>
          <w:szCs w:val="28"/>
          <w:rtl w:val="true"/>
          <w:lang w:bidi="fa-IR"/>
        </w:rPr>
        <w:t>(</w:t>
      </w:r>
      <w:r>
        <w:rPr>
          <w:rFonts w:eastAsia="IRNazanin" w:cs="IRNazanin"/>
          <w:color w:val="111111"/>
          <w:sz w:val="28"/>
          <w:szCs w:val="28"/>
          <w:lang w:bidi="fa-IR"/>
        </w:rPr>
        <w:t>1666</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ایران آمده،می‌نویسد سارق را لای دیوار می‌نهادند و دزدان لاهای کم‌بها را به فلک می‌بستند و به پای آنها چوب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نوع کیفر خاص ایران بود و با موازین شرع مباینت داشت</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تفکیک صلاحیت‌های عرفی از صلاحیت‌های شرعی در طول سلطنت قاجاریان،همانند عصر صفوی با شدت و ضعفی که نتیجه تعامل مراجع شرع و عرف بود،ادامه داشت و حتی در قانون اساسی مشروطیت نیز بازتاب یافت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هم‌زمان با انقلاب مشروطه،تمام تلاش‌هایی که در راه اصلاح نظام کیفری صورت گرفت،به تطبیق آن با نظام کیفری غرب نظر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جرایم به سه قسمِ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،جنحه و جنایت از همین زمان متداول شد </w:t>
      </w:r>
      <w:r>
        <w:rPr>
          <w:rStyle w:val="FootnoteAnchor"/>
          <w:rtl w:val="true"/>
        </w:rPr>
        <w:footnoteReference w:id="270"/>
      </w:r>
      <w:r>
        <w:rPr>
          <w:rFonts w:ascii="IRNazanin" w:hAnsi="IRNazanin" w:eastAsia="IRNazanin"/>
          <w:color w:val="111111"/>
          <w:sz w:val="28"/>
          <w:sz w:val="28"/>
          <w:szCs w:val="28"/>
          <w:rtl w:val="true"/>
          <w:lang w:bidi="fa-IR"/>
        </w:rPr>
        <w:t>و به تبع آن،محاکم جزایی نیز به سه درجه تقسیم گردید که با درجات سه‌گانه جرم و مجازات مطابقت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پلیس برای تقصیرات،محکمه جنحه و محکمه جنایات</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البته به موازات این دادگاه‌ها،فقهای مبسوطُ الید،محاکم مختص به خود را تشکیل می‌دانند و حتی برخی از ایشان به اقامه حدود نیز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مثال،در احوال سید شفتی نوشته‌اند وی</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اجرای حدود کرد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این سید بزرگوار با اعتقاد به وجوب اقامه حد به دست مجتهد،بر اقامه</w:t>
      </w:r>
      <w:bookmarkStart w:id="244" w:name="pg5664_43367"/>
    </w:p>
    <w:p>
      <w:pPr>
        <w:pStyle w:val="BookText"/>
        <w:rPr/>
      </w:pPr>
      <w:bookmarkEnd w:id="244"/>
      <w:r>
        <w:rPr>
          <w:rFonts w:ascii="IRNazanin" w:hAnsi="IRNazanin" w:eastAsia="IRNazanin"/>
          <w:color w:val="111111"/>
          <w:sz w:val="28"/>
          <w:sz w:val="28"/>
          <w:szCs w:val="28"/>
          <w:rtl w:val="true"/>
          <w:lang w:bidi="fa-IR"/>
        </w:rPr>
        <w:t>حدود اصرار فراوان داشت و هیچ جرم و کوچک و بزرگی را بدون حد و تعزیر مقرر شرعی رها نمی‌ساخت و حتی در برخی موارد خود شخصاً حد را اجرا می‌کرد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در زمان حکومت پهلوی و قدرت گرفتن حکومت خودکامه مرکزی،عملاً امکان اجرای حدود از علما گرفته شد؛هر چند برخی فقیهان از باب تأدیب به اجرای برخی تعزیرات مبادرت می‌ورزیدند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البته گزارش‌هایی نیز از اجرای برخی حدود به‌صورت خاص و با اصرار بزرگانی از مراجع آن زمان وجود دارد</w:t>
      </w:r>
      <w:r>
        <w:rPr>
          <w:rFonts w:eastAsia="IRNazanin" w:cs="IRNazanin"/>
          <w:color w:val="111111"/>
          <w:sz w:val="28"/>
          <w:szCs w:val="28"/>
          <w:rtl w:val="true"/>
          <w:lang w:bidi="fa-IR"/>
        </w:rPr>
        <w:t xml:space="preserve">. </w:t>
      </w:r>
      <w:r>
        <w:rPr>
          <w:rStyle w:val="FootnoteAnchor"/>
          <w:rtl w:val="true"/>
        </w:rPr>
        <w:footnoteReference w:id="275"/>
      </w:r>
    </w:p>
    <w:p>
      <w:pPr>
        <w:pStyle w:val="Heading4"/>
        <w:numPr>
          <w:ilvl w:val="3"/>
          <w:numId w:val="1"/>
        </w:numPr>
        <w:rPr/>
      </w:pPr>
      <w:bookmarkStart w:id="245" w:name="__RefHeading___Toc3419764_581953129"/>
      <w:bookmarkStart w:id="246" w:name="_Toc99"/>
      <w:bookmarkEnd w:id="245"/>
      <w:r>
        <w:rPr>
          <w:rtl w:val="true"/>
        </w:rPr>
        <w:t>افغانستان</w:t>
      </w:r>
      <w:bookmarkEnd w:id="24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افغانستان،چه در زمانی که مزدیسناپرست بود و چه آن زمان که بر بت‌های بودا کرنش می‌کرد،و چه در زمان یفتلی‌ها و ساسانیان دستگاه قضایی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اسلام نیز در زمان امویان،عباسیان،طاهریان،غزنویان،غوریان،سلجوقیان،چنگیزیان،تیموریان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منظم قضایی و مناصبی چون قاضی القضات،اقضی القضات،شیخ الاسلام،مفتی،قاضی،صدر الصدور و صدر العلما داشته است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با وجود این،در سده‌های اخیر عمدتاً امور قضایی محلات از سوی خانان قبایل،امام جماعت مسجد،روحانیان و افراد غیرتحصیل کرده در امور جزایی حل و فصل می‌گردید؛به‌طوری‌که گاه روحانیان محلی به امر خان به استناد چند شاهد که از شریعت آگاهی نداشتند،مجازات را از ضرب تا قصاص و سنگسار اجرا می‌کردند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تحول در تاریخ قضایی افغانستان با طرح نخستین قانون اساسی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بار اول اصول قضایی مانند استقلال قضا،علنی بودن محاکمات،حق دفاع،نافذ بودن کار</w:t>
      </w:r>
    </w:p>
    <w:p>
      <w:pPr>
        <w:pStyle w:val="BookText"/>
        <w:rPr/>
      </w:pPr>
      <w:r>
        <w:rPr>
          <w:rFonts w:ascii="IRNazanin" w:hAnsi="IRNazanin" w:eastAsia="IRNazanin"/>
          <w:color w:val="111111"/>
          <w:sz w:val="28"/>
          <w:sz w:val="28"/>
          <w:szCs w:val="28"/>
          <w:rtl w:val="true"/>
          <w:lang w:bidi="fa-IR"/>
        </w:rPr>
        <w:t>محکمه را تحکیم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قانون اساسی ایجاد دادگاه‌های اصلاحیه،ابتداییه،مرافعه و مقام عالی تمیز را تشکیل داد و محکمه عالی را به‌منظور حل و فصل پرونده‌های مهم دولتی پدید آورد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در قانون اساسی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 نخستین بار نهاد مدعی العموم ایجاد شد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دوران حکومت مجاهدین که با شعار اسلام و برپایی حکومت اسلامی به پیروزی رسیدند،امید می‌رفت احکام جزایی اسلام،همچون دیگر احکام اسلامی در جامعه اجرا شود و نظام قضایی اصلاح گردد،ولی برعکس در نتیجه اقدامات نابخردانه برخی سران مجاهد،نظام قضایی به هم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ترور،اختناق و دهشت در کشور حکمفرما شد و مردم بدون محاکمه به امر فرماندهان جهادی،سردسته‌ها و پست‌های امنیتی تیرباران می‌گردیدند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دوره دهشت و استبداد طالبان عدالت و قضاوت را به شکنجه،وحشت و تهدید بدل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برجسته‌ترین اقدامات دولت طالبان،سپردن اختیارات بی پایان به اداره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بالمعروف و 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طالبان،شکنجه،ضرب وجرح،قطع اعضای بدن،کشتار جمعی،آویختن انسان در برابر مردمان،تفتیش عقاید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فعالیت‌های روزمره تبدیل کرد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در افغانستان همچون بسیاری از کشورهای اسلامی قانون مدوّنی برای اجرای حدود وجود ندارد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قانون جزای این کشور که به تعزیرات اختصاص دارد،به جرایم حدی نظیر سرقت،قذف و زنا نیز می‌پردازد،ولی تأکید می‌کند که این قانون در صورت فراهم نبودن شرایط اقامه حد قابل اعمال است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در این قانون،در کنار نزدیکی به نظام‌های حقوقی روز دنیا،رعایت موازین اسلامی در چارچوب فقه</w:t>
      </w:r>
    </w:p>
    <w:p>
      <w:pPr>
        <w:pStyle w:val="BookText"/>
        <w:rPr/>
      </w:pPr>
      <w:r>
        <w:rPr>
          <w:rFonts w:ascii="IRNazanin" w:hAnsi="IRNazanin" w:eastAsia="IRNazanin"/>
          <w:color w:val="111111"/>
          <w:sz w:val="28"/>
          <w:sz w:val="28"/>
          <w:szCs w:val="28"/>
          <w:rtl w:val="true"/>
          <w:lang w:bidi="fa-IR"/>
        </w:rPr>
        <w:t>حنفی مورد نظر بوده است</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در این قانون،اعدام نیز در مواردی چون خیانت به کشور،جاسوسی،قتل،راهزنی و قاچاق مواد مخدرِ منجر به قتل پیش‌بینی شده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از زمان سرنگونی طالبان تاکنون،در یک مورد حکم اعدام پانزده نفر از قاتلان و جنایتکاران حرفه‌ای به فرمان ریاست جمهور اجرا شد </w:t>
      </w:r>
      <w:r>
        <w:rPr>
          <w:rStyle w:val="FootnoteAnchor"/>
          <w:rtl w:val="true"/>
        </w:rPr>
        <w:footnoteReference w:id="287"/>
      </w:r>
      <w:r>
        <w:rPr>
          <w:rFonts w:ascii="IRNazanin" w:hAnsi="IRNazanin" w:eastAsia="IRNazanin"/>
          <w:color w:val="111111"/>
          <w:sz w:val="28"/>
          <w:sz w:val="28"/>
          <w:szCs w:val="28"/>
          <w:rtl w:val="true"/>
          <w:lang w:bidi="fa-IR"/>
        </w:rPr>
        <w:t xml:space="preserve">که مخالفت‌های دیدبان حقوق بشر در افغانستان را در پی‌داشت </w:t>
      </w:r>
      <w:r>
        <w:rPr>
          <w:rStyle w:val="FootnoteAnchor"/>
          <w:rtl w:val="true"/>
        </w:rPr>
        <w:footnoteReference w:id="288"/>
      </w:r>
      <w:r>
        <w:rPr>
          <w:rFonts w:ascii="IRNazanin" w:hAnsi="IRNazanin" w:eastAsia="IRNazanin"/>
          <w:color w:val="111111"/>
          <w:sz w:val="28"/>
          <w:sz w:val="28"/>
          <w:szCs w:val="28"/>
          <w:rtl w:val="true"/>
          <w:lang w:bidi="fa-IR"/>
        </w:rPr>
        <w:t>و منتقدان داخلی نیز به انتقاد گسترده از آن پرداختند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ابتدای روی کار آمدن دولت انتقالی افغانستان،در یکی از ایالات این کشور به فتوای علمای محلی یک مورد سنگسار اجرا شد که واکنش‌های تند داخلی و خارجی را برانگیخت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به نظر می‌رسد نبود نصوص قانونی زمینه‌های بی‌توجهی به این مجازات‌ها را فراهم آورده،تا آنجا که چندی پیش شورای علمای هرات از رئیس جمهور خواست اجرای شریعت اسلامی را از سرگیرد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وجود این،به دلیل ناتوانی و ناکارآمدی دولت و اعمال نفوذ کشورهای خارجی و رسانه‌های وابسته،اجرای حدود در افغانستان بسیار دشوار می‌نماید و همواره با غوغاسالاری و دخالت‌های سیاسی به چالش کشیده می‌شود</w:t>
      </w:r>
      <w:r>
        <w:rPr>
          <w:rFonts w:eastAsia="IRNazanin" w:cs="IRNazanin"/>
          <w:color w:val="111111"/>
          <w:sz w:val="28"/>
          <w:szCs w:val="28"/>
          <w:rtl w:val="true"/>
          <w:lang w:bidi="fa-IR"/>
        </w:rPr>
        <w:t xml:space="preserve">. </w:t>
      </w:r>
      <w:r>
        <w:rPr>
          <w:rStyle w:val="FootnoteAnchor"/>
          <w:rtl w:val="true"/>
        </w:rPr>
        <w:footnoteReference w:id="292"/>
      </w:r>
      <w:bookmarkStart w:id="247" w:name="pg5664_43370"/>
    </w:p>
    <w:p>
      <w:pPr>
        <w:pStyle w:val="Heading4"/>
        <w:numPr>
          <w:ilvl w:val="3"/>
          <w:numId w:val="1"/>
        </w:numPr>
        <w:rPr/>
      </w:pPr>
      <w:bookmarkStart w:id="248" w:name="__RefHeading___Toc3419766_581953129"/>
      <w:bookmarkStart w:id="249" w:name="_Toc100"/>
      <w:bookmarkEnd w:id="247"/>
      <w:bookmarkEnd w:id="248"/>
      <w:r>
        <w:rPr>
          <w:rtl w:val="true"/>
        </w:rPr>
        <w:t>دیگر کشورهای اسلامی</w:t>
      </w:r>
      <w:bookmarkEnd w:id="249"/>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ترکیه میراثدار امپراطوری عظیم عثمانی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امپراطوری که به نوعی احیای خلافت اسلامی در زمان خود شمرده می‌شد،همواره با تأکید بر باورهای مذهبی،سعی درجلب حمایت مردمی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دلیل،تأکید بر شرع مقدس اسلام مورد توجه سلاطین عثمانی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میان،مباحث جزای اسلامی و حدود نیز سهم به‌سزایی داشت و این احکام بر اساس فقه حنفی اجرا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حقوق عثمانی،برای جرم‌هایی چون زنا،قذف،سرقت،بَغی،ارتداد و شرب خمر مجازات‌های حدی مطابق فقه حنفی در نظر گرفته شده بود، </w:t>
      </w:r>
      <w:r>
        <w:rPr>
          <w:rStyle w:val="FootnoteAnchor"/>
          <w:rtl w:val="true"/>
        </w:rPr>
        <w:footnoteReference w:id="293"/>
      </w:r>
      <w:r>
        <w:rPr>
          <w:rFonts w:ascii="IRNazanin" w:hAnsi="IRNazanin" w:eastAsia="IRNazanin"/>
          <w:color w:val="111111"/>
          <w:sz w:val="28"/>
          <w:sz w:val="28"/>
          <w:szCs w:val="28"/>
          <w:rtl w:val="true"/>
          <w:lang w:bidi="fa-IR"/>
        </w:rPr>
        <w:t>در حالی که قانون جزای ترکیه امروزی،با نفی جنبه‌های اجتماعی دین،درباره حدود از شرع فاصله گرفته و حتی در مواردی که مجازاتی برای افراد تعیین کرده،به مجازات حبس بسنده شده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دیگر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جزای اسلام در نظام قضایی بیشتر کشورهای اسلامی مستقلاً اعتباری ندارد،ولی در کنار حقوق عرفی در دانشگاه‌ها تدریس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می‌رسد در پاره‌ای کشورها مثل مصر،امکان اجرای حقوق جزای اسلامی کمتر وجود داشته،حکومت مصر همچنان بر قانون مدوّن جزایی منطبق بر الگوی غربی که در سال</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 از حقوق فرانسه اقتباس کرده،تکیه زده است</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حاضر،فقط در یکی از کشورهای اسلامی و آن هم به دلیل نبود قانون جزای مدوّن،صرفاً احکام جزایی شرعی اجرا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کشور،عربستان سعودی است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 بیش از</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اتهام جرایم مختلف،همچون قتل،قاچاق مواد مخدر و غیره در عربستان محکوم به مرگ شدند و حکم آنها به اجرا درآمد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بعضی دیگر از کشورها در کنار قوانین جزای عرفی،در جرایم بسیار مهمی با ریشه قرآنی همچون زنا،قذف،سرقت،شرب خمر و محاربه،احکام اسلامی اجرا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مثال،می‌توان از عمان،ابوظبی،پاکستان از سال</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و سودان از سال</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 حقوق جزای اسلامی را در این جرم‌ها به شکل قانون مدوّن در آورده؛شبیه کاری که هم‌اکنون در ایران صورت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طور کلی باید اذعان کرد حقوق جزای اسلامی در کمتر کشور اسلامی به‌طور کامل اجرا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 پیش‌گفته نیز حکم معمول،شلاق برای زنا و شرب خمر است و در عربستان نیز قطع دست به دلیل سرقت رواج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عمان،ابوظبی و سودان این‌گونه مجازات‌ها ابزاری آزمایشی برای ارعاب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مجازات تصلیب برای جرم محاربه،کمتر به چشم می‌خورد،ولی در عربستان سعودی،مجازات سنگسار برای زنای محصنه هنوز به قوّت خود باقی است</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ملاحظه در بیشتر کشورهای‌اسلامی معاصر این است که تمایل دارند بر الگوی سکولار حقوق جزایی مُلهم از غرب باقی بمانند و باور خود را به اسلام و احکام آن،تا حدودی به‌صورت نمایشی در پاره‌ای قانون‌گذاری‌ها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ازاین‌رو،کشورهایی که این راه را در پیش گرفته‌اند،به همین دلیل باید همواره بکوشند میان حقوق جزای عرفی و دینی موازنه و سازگاری پدید آورند؛چیزی که دست‌کم در بخش تعزیرات امکان‌پذیر است،ولی در حدود و قصاص مشکل‌تر به‌نظر می‌رسد؛زیرا در این موارد با نصوص مقدس جاودانه مواجه‌اند</w:t>
      </w:r>
      <w:r>
        <w:rPr>
          <w:rFonts w:eastAsia="IRNazanin" w:cs="IRNazanin"/>
          <w:color w:val="111111"/>
          <w:sz w:val="28"/>
          <w:szCs w:val="28"/>
          <w:rtl w:val="true"/>
          <w:lang w:bidi="fa-IR"/>
        </w:rPr>
        <w:t xml:space="preserve">. </w:t>
      </w:r>
      <w:r>
        <w:rPr>
          <w:rStyle w:val="FootnoteAnchor"/>
          <w:rtl w:val="true"/>
        </w:rPr>
        <w:footnoteReference w:id="299"/>
      </w:r>
      <w:bookmarkStart w:id="250" w:name="pg5664_43372"/>
    </w:p>
    <w:p>
      <w:pPr>
        <w:pStyle w:val="Heading2"/>
        <w:numPr>
          <w:ilvl w:val="1"/>
          <w:numId w:val="1"/>
        </w:numPr>
        <w:rPr/>
      </w:pPr>
      <w:bookmarkStart w:id="251" w:name="__RefHeading___Toc3419768_581953129"/>
      <w:bookmarkStart w:id="252" w:name="_Toc101"/>
      <w:bookmarkEnd w:id="250"/>
      <w:bookmarkEnd w:id="251"/>
      <w:r>
        <w:rPr>
          <w:rtl w:val="true"/>
        </w:rPr>
        <w:t>بخش دوم</w:t>
      </w:r>
      <w:r>
        <w:rPr>
          <w:rtl w:val="true"/>
        </w:rPr>
        <w:t>:</w:t>
      </w:r>
      <w:r>
        <w:rPr>
          <w:rtl w:val="true"/>
        </w:rPr>
        <w:t>دیدگاه عدم جواز اقامه حدود</w:t>
      </w:r>
      <w:bookmarkEnd w:id="252"/>
    </w:p>
    <w:p>
      <w:pPr>
        <w:pStyle w:val="Heading3"/>
        <w:numPr>
          <w:ilvl w:val="2"/>
          <w:numId w:val="1"/>
        </w:numPr>
        <w:rPr/>
      </w:pPr>
      <w:bookmarkStart w:id="253" w:name="__RefHeading___Toc3419770_581953129"/>
      <w:bookmarkStart w:id="254" w:name="_Toc102"/>
      <w:bookmarkEnd w:id="253"/>
      <w:r>
        <w:rPr>
          <w:rtl w:val="true"/>
        </w:rPr>
        <w:t>اشاره</w:t>
      </w:r>
      <w:bookmarkEnd w:id="25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عدم جواز اقامه حدود</w:t>
      </w:r>
    </w:p>
    <w:p>
      <w:pPr>
        <w:pStyle w:val="BookText"/>
        <w:rPr/>
      </w:pPr>
      <w:r>
        <w:rPr>
          <w:rFonts w:ascii="IRNazanin" w:hAnsi="IRNazanin" w:eastAsia="IRNazanin"/>
          <w:color w:val="111111"/>
          <w:sz w:val="28"/>
          <w:sz w:val="28"/>
          <w:szCs w:val="28"/>
          <w:rtl w:val="true"/>
          <w:lang w:bidi="fa-IR"/>
        </w:rPr>
        <w:t>برای شناخت دیدگاه‌های فقهی،لازم است درباره تمام زمینه‌هایی که موجب شده دیدگاهی خاص ابراز شود،تأمل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رو،باید نوشته‌های صاحبان دیدگاهی خاص را به دقت نگریست و مبانی و دلایلی را که سبب شده این دیدگاه در کرسی‌های نظریه‌پردازی جای گیرد،به‌دست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دیدگاه عدم جواز اقامه حدود و تعزیرات نیز نگارنده همین راه را پیموده،با بررسی گفتار و نوشتار فقها به استخراج مبانی،دلایل و دیدگاه‌های ایشان نایل آمده و حاصل آن را در این بخش در چهار فصل ارائه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به معرفی فقهایی می‌پردازد که این دیدگاه را ابراز کرده،پرورش داده،در راه تثبیت آن کوشیده‌اند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نیز در بحثی با عنوان دلایل این دیدگاه،پشتوانه‌های علمی عقلی و نقلی آن به بوته نقد گذاشته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 ارائه دهنده راهکارهایی است که در صورت تعطیلی حدود،باید به‌منظور حفظ انتظام اجتماعی و تأمین عدالت و امنیت اجرا گذاشته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فصل که با وجود حجم کم،به هیچ وجه کم‌اهمیت نیست،بازگو کننده حکم شرعی اقامه تعزیرات در زمان غیبت است و از زبان معتقدان به جواز و عدم جواز اقامه حدود،اقامه تعزیرات و مشروعیت آن را بررسی می‌کند</w:t>
      </w:r>
      <w:r>
        <w:rPr>
          <w:rFonts w:eastAsia="IRNazanin" w:cs="IRNazanin"/>
          <w:color w:val="111111"/>
          <w:sz w:val="28"/>
          <w:szCs w:val="28"/>
          <w:rtl w:val="true"/>
          <w:lang w:bidi="fa-IR"/>
        </w:rPr>
        <w:t>.</w:t>
      </w:r>
      <w:bookmarkStart w:id="255" w:name="pg5664_43374"/>
    </w:p>
    <w:p>
      <w:pPr>
        <w:pStyle w:val="Heading3"/>
        <w:numPr>
          <w:ilvl w:val="2"/>
          <w:numId w:val="1"/>
        </w:numPr>
        <w:rPr/>
      </w:pPr>
      <w:bookmarkStart w:id="256" w:name="__RefHeading___Toc3419772_581953129"/>
      <w:bookmarkStart w:id="257" w:name="_Toc103"/>
      <w:bookmarkEnd w:id="255"/>
      <w:bookmarkEnd w:id="256"/>
      <w:r>
        <w:rPr/>
        <w:t>1</w:t>
      </w:r>
      <w:r>
        <w:rPr>
          <w:rtl w:val="true"/>
        </w:rPr>
        <w:t>-</w:t>
      </w:r>
      <w:r>
        <w:rPr>
          <w:rtl w:val="true"/>
        </w:rPr>
        <w:t>صاحبان دیدگاه عدم جواز اقامه حدود</w:t>
      </w:r>
      <w:bookmarkEnd w:id="257"/>
    </w:p>
    <w:p>
      <w:pPr>
        <w:pStyle w:val="Heading4"/>
        <w:numPr>
          <w:ilvl w:val="3"/>
          <w:numId w:val="1"/>
        </w:numPr>
        <w:rPr/>
      </w:pPr>
      <w:bookmarkStart w:id="258" w:name="__RefHeading___Toc3419774_581953129"/>
      <w:bookmarkStart w:id="259" w:name="_Toc104"/>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صاحبان دیدگاه عدم جواز اقامه حدود</w:t>
      </w:r>
    </w:p>
    <w:p>
      <w:pPr>
        <w:pStyle w:val="BookText"/>
        <w:rPr/>
      </w:pPr>
      <w:r>
        <w:rPr>
          <w:rFonts w:ascii="IRNazanin" w:hAnsi="IRNazanin" w:eastAsia="IRNazanin"/>
          <w:color w:val="111111"/>
          <w:sz w:val="28"/>
          <w:sz w:val="28"/>
          <w:szCs w:val="28"/>
          <w:rtl w:val="true"/>
          <w:lang w:bidi="fa-IR"/>
        </w:rPr>
        <w:t>علاوه بر ابن‌ادریس و سید بن‌زهره که اجماع بر عدم جواز به آنها نسبت داده شده و ضمن دلایل دیدگاه عدم جواز دیدگاه‌هایشان را بررسی خواهیم کرد،تعدادی دیگر از بزرگان فقها نیز به دیدگاه عدم جواز روی آورده،ظاهراً آن را دیدگاه برگزیده خود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فقهای والا مقام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حلی،سید مرتضی،فاضل آبی،قطب‌الدین راوندی،شیخ طبرسی،میرزای قمی،سید احمد خوانساری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و شیخ طوسی نیز در برخی کتاب‌هایشان به دیدگاه عدم جواز گرایش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و برخی دیگر از فقها هم اقامه حدود را تنها در صورتی جایز می‌دانند که مستلزم جرح و قتل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قسمت‌هایی از عبارات این فقها می‌پردازیم که بیانگر دیدگاه آنان در این باره است</w:t>
      </w:r>
      <w:r>
        <w:rPr>
          <w:rFonts w:eastAsia="IRNazanin" w:cs="IRNazanin"/>
          <w:color w:val="111111"/>
          <w:sz w:val="28"/>
          <w:szCs w:val="28"/>
          <w:rtl w:val="true"/>
          <w:lang w:bidi="fa-IR"/>
        </w:rPr>
        <w:t>.</w:t>
      </w:r>
    </w:p>
    <w:p>
      <w:pPr>
        <w:pStyle w:val="Heading4"/>
        <w:numPr>
          <w:ilvl w:val="3"/>
          <w:numId w:val="1"/>
        </w:numPr>
        <w:rPr/>
      </w:pPr>
      <w:bookmarkStart w:id="260" w:name="__RefHeading___Toc3419776_581953129"/>
      <w:bookmarkStart w:id="261" w:name="_Toc105"/>
      <w:bookmarkEnd w:id="260"/>
      <w:r>
        <w:rPr>
          <w:rtl w:val="true"/>
        </w:rPr>
        <w:t>متقدمین</w:t>
      </w:r>
      <w:r>
        <w:rPr>
          <w:rtl w:val="true"/>
        </w:rPr>
        <w:t>(</w:t>
      </w:r>
      <w:r>
        <w:rPr>
          <w:rtl w:val="true"/>
        </w:rPr>
        <w:t>فقهای پیش از محقق حلی</w:t>
      </w:r>
      <w:r>
        <w:rPr>
          <w:rtl w:val="true"/>
        </w:rPr>
        <w:t>)</w:t>
      </w:r>
      <w:bookmarkEnd w:id="261"/>
    </w:p>
    <w:p>
      <w:pPr>
        <w:pStyle w:val="Heading5"/>
        <w:numPr>
          <w:ilvl w:val="4"/>
          <w:numId w:val="1"/>
        </w:numPr>
        <w:rPr/>
      </w:pPr>
      <w:bookmarkStart w:id="262" w:name="__RefHeading___Toc3419778_581953129"/>
      <w:bookmarkStart w:id="263" w:name="_Toc106"/>
      <w:bookmarkEnd w:id="262"/>
      <w:r>
        <w:rPr>
          <w:rtl w:val="true"/>
        </w:rPr>
        <w:t>اشاره</w:t>
      </w:r>
      <w:bookmarkEnd w:id="263"/>
    </w:p>
    <w:p>
      <w:pPr>
        <w:pStyle w:val="BookText"/>
        <w:rPr/>
      </w:pPr>
      <w:r>
        <w:rPr>
          <w:rStyle w:val="FootnoteAnchor"/>
          <w:rtl w:val="true"/>
        </w:rPr>
        <w:footnoteReference w:id="300"/>
      </w:r>
    </w:p>
    <w:p>
      <w:pPr>
        <w:pStyle w:val="Heading5"/>
        <w:numPr>
          <w:ilvl w:val="4"/>
          <w:numId w:val="1"/>
        </w:numPr>
        <w:rPr/>
      </w:pPr>
      <w:bookmarkStart w:id="264" w:name="__RefHeading___Toc3419780_581953129"/>
      <w:bookmarkStart w:id="265" w:name="_Toc107"/>
      <w:bookmarkEnd w:id="264"/>
      <w:r>
        <w:rPr/>
        <w:t>1</w:t>
      </w:r>
      <w:r>
        <w:rPr>
          <w:rtl w:val="true"/>
        </w:rPr>
        <w:t>-</w:t>
      </w:r>
      <w:r>
        <w:rPr>
          <w:rtl w:val="true"/>
        </w:rPr>
        <w:t>سید مرتضی</w:t>
      </w:r>
      <w:bookmarkEnd w:id="26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سید مرتضی درباره عدم جواز اقامه حدود در زمان غیبت،در کتاب‌های کلامی ایشان چنان روشن است که هیچ تردیدی باقی نمی‌گذارد و راه را بر توجیه و</w:t>
      </w:r>
    </w:p>
    <w:p>
      <w:pPr>
        <w:pStyle w:val="BookText"/>
        <w:rPr/>
      </w:pPr>
      <w:r>
        <w:rPr>
          <w:rFonts w:ascii="IRNazanin" w:hAnsi="IRNazanin" w:eastAsia="IRNazanin"/>
          <w:color w:val="111111"/>
          <w:sz w:val="28"/>
          <w:sz w:val="28"/>
          <w:szCs w:val="28"/>
          <w:rtl w:val="true"/>
          <w:lang w:bidi="fa-IR"/>
        </w:rPr>
        <w:t>تفسیر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به تعلیق اقامه حدود روی گنهکاران در زمان غیبت تا وقت ظهور معتقد بود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ظاهر شد و گنهکاران موجود باشد و اقرار و بینه ثابت باشد،امام حد را بر گنهکار اقامه می‌کند،و اگر به‌واسطه مرگ شخص مورد نظر،حد اقامه نشد،گناهِ آن بر عهده کسی است که امام را وادار به غیبت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نسخ حدود شرعیه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وقتی محقق می‌شود که در حال امکان اقامه حدود و زوال اسباب عدم اقامه،آن را ساقط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این صورت است که می‌توان گفت حدود تعطیل شده،اما در حال حاضر،خیر</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سید مرتضی درباره اطلاقات حدود بر آن بود که خداوند امت را به اقامه حدود مخاطب نساخت تا آنان را ملامت کنیم و بگوییم امت حدود را ضایع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از واجبات بر ائمه و از ویژگی‌های آنان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با وجود صراحت کلمات سید در کتاب‌های کلامی،دیدگاه‌های ایشان در کتاب‌های فقهی چندان روشن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در باب امر به معروف جزء معدود فقهایی است که قتل و جرح را در این راستا جایز می‌شمارد </w:t>
      </w:r>
      <w:r>
        <w:rPr>
          <w:rStyle w:val="FootnoteAnchor"/>
          <w:rtl w:val="true"/>
        </w:rPr>
        <w:footnoteReference w:id="303"/>
      </w:r>
      <w:r>
        <w:rPr>
          <w:rFonts w:ascii="IRNazanin" w:hAnsi="IRNazanin" w:eastAsia="IRNazanin"/>
          <w:color w:val="111111"/>
          <w:sz w:val="28"/>
          <w:sz w:val="28"/>
          <w:szCs w:val="28"/>
          <w:rtl w:val="true"/>
          <w:lang w:bidi="fa-IR"/>
        </w:rPr>
        <w:t>و اذن امام را در این امر ضروری نمی‌پندارد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ایشان به جواز پذیرش ولایت از سوی ستمگران در موارد خاص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در مقام استدلال برای این دیدگاه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صالحین و علما در زمان‌های مختلف به یکی از جهاتی که ذکر کردیم،از سوی ظالمین قبول ولایت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روایت صحیحه‌ای وارد آمده است بر اینکه هر کس دارای این شرایط است،می‌تواند حدود را اجرا کند،دست سارقین را قطع نماید و هر آنچه شریعت در این امور اقتضا دارد،انجام دهد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دیدگاه اخیر سید،تعارض آشکاری با دیدگاه‌های کلامی وی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در مقام جمع میان آنها،به تفاوت حوزه‌ها و مخاطبان کتاب‌های ایشان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کلامی،ایشان بیشتر در مقام پاسخ‌گویی به شبهه‌های وارده از سوی اهل</w:t>
      </w:r>
      <w:bookmarkStart w:id="266" w:name="pg5664_43376"/>
    </w:p>
    <w:p>
      <w:pPr>
        <w:pStyle w:val="BookText"/>
        <w:rPr/>
      </w:pPr>
      <w:bookmarkEnd w:id="266"/>
      <w:r>
        <w:rPr>
          <w:rFonts w:ascii="IRNazanin" w:hAnsi="IRNazanin" w:eastAsia="IRNazanin"/>
          <w:color w:val="111111"/>
          <w:sz w:val="28"/>
          <w:sz w:val="28"/>
          <w:szCs w:val="28"/>
          <w:rtl w:val="true"/>
          <w:lang w:bidi="fa-IR"/>
        </w:rPr>
        <w:t>سنت است و مخاطبان ایشان اهل سنت‌اند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ازاین‌رو،سید در مقام محاجه ضرورتی نمی‌بیند وارد فروعات فقهی شود و به ذکر عقاید کلی بسنده می‌کند،ولی در آثار فقهی ایشان غرضی جز تفریع و بیان فروعات فقهی ندارد و به آنها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بخواهیم شواهد تاریخی را در حل این مشکل به کمک بگیریم،شاید همکاری سید مرتضی را با حکومت آل بویه در تغییر دیدگاه ایشان مؤثر یابیم</w:t>
      </w:r>
      <w:r>
        <w:rPr>
          <w:rFonts w:eastAsia="IRNazanin" w:cs="IRNazanin"/>
          <w:color w:val="111111"/>
          <w:sz w:val="28"/>
          <w:szCs w:val="28"/>
          <w:rtl w:val="true"/>
          <w:lang w:bidi="fa-IR"/>
        </w:rPr>
        <w:t>.</w:t>
      </w:r>
    </w:p>
    <w:p>
      <w:pPr>
        <w:pStyle w:val="Heading5"/>
        <w:numPr>
          <w:ilvl w:val="4"/>
          <w:numId w:val="1"/>
        </w:numPr>
        <w:rPr/>
      </w:pPr>
      <w:bookmarkStart w:id="267" w:name="__RefHeading___Toc3419782_581953129"/>
      <w:bookmarkStart w:id="268" w:name="_Toc108"/>
      <w:bookmarkEnd w:id="267"/>
      <w:r>
        <w:rPr/>
        <w:t>2</w:t>
      </w:r>
      <w:r>
        <w:rPr>
          <w:rtl w:val="true"/>
        </w:rPr>
        <w:t>-</w:t>
      </w:r>
      <w:r>
        <w:rPr>
          <w:rtl w:val="true"/>
        </w:rPr>
        <w:t>شیخ طوسی</w:t>
      </w:r>
      <w:bookmarkEnd w:id="268"/>
    </w:p>
    <w:p>
      <w:pPr>
        <w:pStyle w:val="BookText"/>
        <w:rPr/>
      </w:pPr>
      <w:r>
        <w:rPr>
          <w:rFonts w:ascii="IRNazanin" w:hAnsi="IRNazanin" w:eastAsia="IRNazanin"/>
          <w:color w:val="111111"/>
          <w:sz w:val="28"/>
          <w:sz w:val="28"/>
          <w:szCs w:val="28"/>
          <w:rtl w:val="true"/>
          <w:lang w:bidi="fa-IR"/>
        </w:rPr>
        <w:t>شیخ طوسی نیز در کتاب‌های کلامی خویش همگام با سید مرتضی،اقامه حدود را از ویژگی‌های ائمه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نیز اصرار دارد که حدود به ذمّه مستحق آن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ظاهر شد و مستحق آن حدود زنده بود و اقرار و بینه ثابت،امام حدود را اقامه می‌کند و اگر اشخاص مستحق حدود مردند،گناه عدم اجرای حدود به ذمه کسانی است که امام را به غیبت واداشته‌اند و این به معنای تعطیل حدود نیست؛چون حدود وقتی اقامه می‌شود که متمکن باشد و موانعی در کار نباشد،اما اگر موانعی باشد،حدود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می‌توانیم بگوییم حدود تعطیل شده که با وجود زایل شدن موانع،حدود را اقامه نکنیم</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شیخ طوسی در کتاب ارزشمند نهایة،ظاهراً عدم جواز اجرای حدود را در زمان غیبت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حدود الهی جز برای حاکم زمان،که از ناحیه خداوند گمارده شده یا شخصی که امام معصوم علیه السلام او را برای این امر گمارده،جایز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حکومت در میان مردم و قضاوت میان دو طرف دعوا،جز برای کسی که حاکم حق علیه السلام به او اجازه داده،جایز نیست و ائمه این امر را به فقیهان شیعه واگذاشته‌اند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آن شده‌اند تا این کلام شیخ را به هر نحو ممکن،هماهنگ با نظریه جواز،توجیه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 به عبارت ایشان رجوع کرده،بیان می‌دارند</w:t>
      </w:r>
      <w:r>
        <w:rPr>
          <w:rFonts w:eastAsia="IRNazanin" w:cs="IRNazanin"/>
          <w:color w:val="111111"/>
          <w:sz w:val="28"/>
          <w:szCs w:val="28"/>
          <w:rtl w:val="true"/>
          <w:lang w:bidi="fa-IR"/>
        </w:rPr>
        <w:t>:</w:t>
      </w:r>
      <w:bookmarkStart w:id="269" w:name="pg5664_43377"/>
    </w:p>
    <w:p>
      <w:pPr>
        <w:pStyle w:val="BookText"/>
        <w:rPr/>
      </w:pPr>
      <w:bookmarkEnd w:id="269"/>
      <w:r>
        <w:rPr>
          <w:rFonts w:ascii="IRNazanin" w:hAnsi="IRNazanin" w:eastAsia="IRNazanin"/>
          <w:color w:val="111111"/>
          <w:sz w:val="28"/>
          <w:sz w:val="28"/>
          <w:szCs w:val="28"/>
          <w:rtl w:val="true"/>
          <w:lang w:bidi="fa-IR"/>
        </w:rPr>
        <w:t>مشار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فوضوا ذلک</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و حکم بین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تفریع مذکور در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تمکن من انفاذ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منافاتی با این امر ندارد؛چون واضح است که انفاذ حکم شامل اقامه حدود نیز می‌شود؛به‌خصوص بعد از ملاحظه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فصل بین المختلفین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ترتیب،مراد شیخ از این عبارات این خواهد بود که در زمان حضور و تسلط امام علیه السلام هیچ‌کس بدون اذن حضرت اجازه اقامه حدود 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شیخ به زمان غیبت نظر کرده،می‌فرمایند هر کدام از اقامه حدود و حکم بین مردم در زمان غیبت و عدم تمکن امام به فقهای شیعه واگذار شده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چنان‌که می‌بینیم،اشکال عمده این توجیه،مخالفت آن با ظاهر کلام شیخ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اقامة الحدود نیز باشد؛چون اولاً ذلک مفرد است،نه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میان اقامة الحدود و اسم اشاره فاصله خیلی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انفاذ حکم،ظاهراً شامل اقامه حدود نمی‌شود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البته با وجود ناسازگاری این توجیه با ظاهر عبارت شیخ،مؤیداتی نیز دارد؛مثل اینکه هیچ‌یک از علما به شیخ نسبت خلاف در مسئله نداده و هر کس قصد ذکر اقوال متفاوت داشته،قول جواز را به شیخ نسبت داده است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حتی در مهذب البارع قول به جواز را به نهایة شیخ نسبت داده، </w:t>
      </w:r>
      <w:r>
        <w:rPr>
          <w:rStyle w:val="FootnoteAnchor"/>
          <w:rtl w:val="true"/>
        </w:rPr>
        <w:footnoteReference w:id="311"/>
      </w:r>
      <w:r>
        <w:rPr>
          <w:rFonts w:ascii="IRNazanin" w:hAnsi="IRNazanin" w:eastAsia="IRNazanin"/>
          <w:color w:val="111111"/>
          <w:sz w:val="28"/>
          <w:sz w:val="28"/>
          <w:szCs w:val="28"/>
          <w:rtl w:val="true"/>
          <w:lang w:bidi="fa-IR"/>
        </w:rPr>
        <w:t>که این خود می‌تواند تأییدی بر برداشت یاد شده به شمار آید</w:t>
      </w:r>
      <w:r>
        <w:rPr>
          <w:rFonts w:eastAsia="IRNazanin" w:cs="IRNazanin"/>
          <w:color w:val="111111"/>
          <w:sz w:val="28"/>
          <w:szCs w:val="28"/>
          <w:rtl w:val="true"/>
          <w:lang w:bidi="fa-IR"/>
        </w:rPr>
        <w:t>.</w:t>
      </w:r>
    </w:p>
    <w:p>
      <w:pPr>
        <w:pStyle w:val="Heading5"/>
        <w:numPr>
          <w:ilvl w:val="4"/>
          <w:numId w:val="1"/>
        </w:numPr>
        <w:rPr/>
      </w:pPr>
      <w:bookmarkStart w:id="270" w:name="__RefHeading___Toc3419784_581953129"/>
      <w:bookmarkStart w:id="271" w:name="_Toc109"/>
      <w:bookmarkEnd w:id="270"/>
      <w:r>
        <w:rPr/>
        <w:t>3</w:t>
      </w:r>
      <w:r>
        <w:rPr>
          <w:rtl w:val="true"/>
        </w:rPr>
        <w:t>-</w:t>
      </w:r>
      <w:r>
        <w:rPr>
          <w:rtl w:val="true"/>
        </w:rPr>
        <w:t>قطب‌الدین راوندی</w:t>
      </w:r>
      <w:bookmarkEnd w:id="27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راوندی در کتاب حدود فقه القرآن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و قتل در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آیه سوم سوره نور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خطاب آیه متوجه جماعت است،مراد واقعی آن کل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تک تک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اقامه حدود جز برای ائمه و کسانی که از سوی ایشان گمارده می‌شوند،روا نیست</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حصر در کلام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الحد لیس لاحد الا للامام او لمن نصبه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و ظاهر آن،اختصاص اقامه حدود به ائمه و منصوبان از سوی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برای فهم مراد حقیقی راوندی لازم است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بررسی کنیم؛چرا که ممکن است ادعا شود فقها نیز به دلیل نیابت عامه‌شان،منصوبان از سوی امام به شمار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نیز در شرائع </w:t>
      </w:r>
      <w:r>
        <w:rPr>
          <w:rStyle w:val="FootnoteAnchor"/>
          <w:rtl w:val="true"/>
        </w:rPr>
        <w:footnoteReference w:id="313"/>
      </w:r>
      <w:r>
        <w:rPr>
          <w:rFonts w:ascii="IRNazanin" w:hAnsi="IRNazanin" w:eastAsia="IRNazanin"/>
          <w:color w:val="111111"/>
          <w:sz w:val="28"/>
          <w:sz w:val="28"/>
          <w:szCs w:val="28"/>
          <w:rtl w:val="true"/>
          <w:lang w:bidi="fa-IR"/>
        </w:rPr>
        <w:t xml:space="preserve">و مختصر </w:t>
      </w:r>
      <w:r>
        <w:rPr>
          <w:rStyle w:val="FootnoteAnchor"/>
          <w:rtl w:val="true"/>
        </w:rPr>
        <w:footnoteReference w:id="314"/>
      </w:r>
      <w:r>
        <w:rPr>
          <w:rFonts w:ascii="IRNazanin" w:hAnsi="IRNazanin" w:eastAsia="IRNazanin"/>
          <w:color w:val="111111"/>
          <w:sz w:val="28"/>
          <w:sz w:val="28"/>
          <w:szCs w:val="28"/>
          <w:rtl w:val="true"/>
          <w:lang w:bidi="fa-IR"/>
        </w:rPr>
        <w:t>من نصبه را به 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نویسندگان در توضیح کلام محقق حلی،به صاحب جواهر چنین نسبت داده‌اند که مقصود محقق حلی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نصبه لاقامتها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منصوب خاص امام است، </w:t>
      </w:r>
      <w:r>
        <w:rPr>
          <w:rStyle w:val="FootnoteAnchor"/>
          <w:rtl w:val="true"/>
        </w:rPr>
        <w:footnoteReference w:id="315"/>
      </w:r>
      <w:r>
        <w:rPr>
          <w:rFonts w:ascii="IRNazanin" w:hAnsi="IRNazanin" w:eastAsia="IRNazanin"/>
          <w:color w:val="111111"/>
          <w:sz w:val="28"/>
          <w:sz w:val="28"/>
          <w:szCs w:val="28"/>
          <w:rtl w:val="true"/>
          <w:lang w:bidi="fa-IR"/>
        </w:rPr>
        <w:t>نه منصوبان عام؛یعنی فقهای عصر غیبت</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اما برخی دیگر کوشیده‌اند به نوعی عبارت ایشان را تبیین کنند که شامل منصوبان عام نیز بشود تا نشان دهند از نظر محقق حلی،فقهای جامع شرایط نیز می‌توانند اقامه حدود کنند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اما توجه به کاربردهای این عبارت از سوی دیگر فقها،ما را به این حقیقت رهنمون می‌سازد که این عبارت در کلام فقها،در نصب خاص ظهور دارد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بیان،روشن شد که ارائه تفسیری خلاف ظاهر برای توجیه عبارت قطب راوندی و امثال ایشان،راه به جایی نمی‌برد و در مقابل،توجه به صدر فصل راوندی </w:t>
      </w:r>
      <w:r>
        <w:rPr>
          <w:rStyle w:val="FootnoteAnchor"/>
          <w:rtl w:val="true"/>
        </w:rPr>
        <w:footnoteReference w:id="319"/>
      </w:r>
      <w:r>
        <w:rPr>
          <w:rFonts w:ascii="IRNazanin" w:hAnsi="IRNazanin" w:eastAsia="IRNazanin"/>
          <w:color w:val="111111"/>
          <w:sz w:val="28"/>
          <w:sz w:val="28"/>
          <w:szCs w:val="28"/>
          <w:rtl w:val="true"/>
          <w:lang w:bidi="fa-IR"/>
        </w:rPr>
        <w:t>ما</w:t>
      </w:r>
      <w:bookmarkStart w:id="272" w:name="pg5664_43380"/>
    </w:p>
    <w:p>
      <w:pPr>
        <w:pStyle w:val="BookText"/>
        <w:rPr/>
      </w:pPr>
      <w:bookmarkEnd w:id="272"/>
      <w:r>
        <w:rPr>
          <w:rFonts w:ascii="IRNazanin" w:hAnsi="IRNazanin" w:eastAsia="IRNazanin"/>
          <w:color w:val="111111"/>
          <w:sz w:val="28"/>
          <w:sz w:val="28"/>
          <w:szCs w:val="28"/>
          <w:rtl w:val="true"/>
          <w:lang w:bidi="fa-IR"/>
        </w:rPr>
        <w:t>را به مقصود اصلی ایشان رهنمون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آنچه در تبیین کلام ابن‌ادریس خواهد آمد،راوندی نیز درصدد بیان عدم جواز تصدی حدود،از سوی عامه مردم است و اصلاً درباره عدم یا جواز آن درخصوص فقیه،در مقام بیان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تأیید این برداشت می‌توان به سخنان راوندی در دیگر موارد استناد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کتاب جهاد فقه القرآن در باب امر به معروف و نهی از منکر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منکری که لازمه آن جنگ باشد،پس امام و جانشینان او سزاوارتر به آن هستند؛زیرا آنان به سیاست آگاه‌تر و دارای توانایی‌هایی هستند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مشهور علمای شیعه،خلفای ائمه را در زمان غیبت،فقیهانی می‌دانند که همه ویژگی‌های مقام ولایت را دارند؛چنان‌که بسیاری از علما این مطلب را از حدیث شریف رسول اکرم صلّی الله علیه و آله استفاده کرده‌اند؛ </w:t>
      </w:r>
      <w:r>
        <w:rPr>
          <w:rStyle w:val="FootnoteAnchor"/>
          <w:rtl w:val="true"/>
        </w:rPr>
        <w:footnoteReference w:id="321"/>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مرا رحمت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جانشینان شما چه کسانی هستند؟ </w:t>
      </w:r>
      <w:r>
        <w:rPr>
          <w:rStyle w:val="FootnoteAnchor"/>
          <w:rtl w:val="true"/>
        </w:rPr>
        <w:footnoteReference w:id="32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من خواهند آمد و حدیث و سنت مرا روایت می‌کنند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قطب راوندی مراحل بالای نهی از منکر را که به قتل می‌انجامد،وظیفه نایبان امام و فقهای شیعه می‌داند که خلفای ائمه در زمان غیبت هستند</w:t>
      </w:r>
      <w:r>
        <w:rPr>
          <w:rFonts w:eastAsia="IRNazanin" w:cs="IRNazanin"/>
          <w:color w:val="111111"/>
          <w:sz w:val="28"/>
          <w:szCs w:val="28"/>
          <w:rtl w:val="true"/>
          <w:lang w:bidi="fa-IR"/>
        </w:rPr>
        <w:t>.</w:t>
      </w:r>
    </w:p>
    <w:p>
      <w:pPr>
        <w:pStyle w:val="Heading5"/>
        <w:numPr>
          <w:ilvl w:val="4"/>
          <w:numId w:val="1"/>
        </w:numPr>
        <w:rPr/>
      </w:pPr>
      <w:bookmarkStart w:id="273" w:name="__RefHeading___Toc3419786_581953129"/>
      <w:bookmarkStart w:id="274" w:name="_Toc110"/>
      <w:bookmarkEnd w:id="273"/>
      <w:r>
        <w:rPr/>
        <w:t>4</w:t>
      </w:r>
      <w:r>
        <w:rPr>
          <w:rtl w:val="true"/>
        </w:rPr>
        <w:t>-</w:t>
      </w:r>
      <w:r>
        <w:rPr>
          <w:rtl w:val="true"/>
        </w:rPr>
        <w:t>طبرسی</w:t>
      </w:r>
      <w:bookmarkEnd w:id="27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عبارتی شبیه به عبارت قطب رواندی ذیل آیه دوم سوره نور دارد؛با این</w:t>
      </w:r>
      <w:bookmarkStart w:id="275" w:name="pg5664_43381"/>
    </w:p>
    <w:p>
      <w:pPr>
        <w:pStyle w:val="BookText"/>
        <w:rPr/>
      </w:pPr>
      <w:bookmarkEnd w:id="275"/>
      <w:r>
        <w:rPr>
          <w:rFonts w:ascii="IRNazanin" w:hAnsi="IRNazanin" w:eastAsia="IRNazanin"/>
          <w:color w:val="111111"/>
          <w:sz w:val="28"/>
          <w:sz w:val="28"/>
          <w:szCs w:val="28"/>
          <w:rtl w:val="true"/>
          <w:lang w:bidi="fa-IR"/>
        </w:rPr>
        <w:t>تفاوت که ایشان ادعای عدم خلاف را در این مسئله مطرح کرده،به جای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برده که در جمله بعد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فاجلدوا به ائمه علیهم السلام و کسانی است که از سوی ایشان بدین امر گمارده شده‌اند؛زیرا اقامه حدود جز برای ائمه و و الیان از سوی ایشان جایز نیست،بدون هیچ خلافی</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از آنچه در توجیه کلام قطب رواندی گفته شد،وضعیت سخن طبرسی در مجمع البیان نیز روشن می‌شود؛چرا که هر چند نمی‌توان احتمال لزوم نصب خاص را نادیده گرفت تا بتوان فقها را از جمله و الیان ائمه شمرد،ولی این سخن طبرسی نیز در مقام نفی ولایت فقها بر اقامه حدود نیست،بلکه مقصود ایشان نیز مانند ابن‌ادریس،ابن‌زهره،شیخ در مبسوط و قطب راوندی،بر حذر داشتن عامه مردم از اقامه 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دیگر،کلمات این بزرگان به فرض حضور اشاره دارد و به بیان حکم مسئله در زمان غیبت نمی‌پردازد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برداشت این است که محقق حلی نخستین فقیه از معتقدان به عدم جواز است که صراحتاً به فرض غیبت امام علیه السلام اشاره کرده،ولایت فقها را بر اقامه حدود در این فرض به چالش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به‌علاوه،شیخ طبرسی در مجمع البیان ادعای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لزوم نص خاص کرده،در حالی که جواز اقامه حدود از سوی فقها نظریه بزرگان شیعه است که بعید است شیخ طبرسی از قول ایشان آگاهی نیافته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احتمال دیگری نیز در تفسیر سخنان شیخ طوسی،راوندی،شیخ طبرسی،ابن‌ادریس،ابن‌زهره و امثال ایشان وجود دارد؛و آن اینکه،بعید نیست مراد ایشان از امام،مطلق پیشوا و زعیم جامعه باشد و به معصومان علیهم السلام اختصاص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بنابراین،بعید نیست نتوان فقهای پیش از محقق حلی را در شمار قایلان به عدم جواز جای داد</w:t>
      </w:r>
      <w:r>
        <w:rPr>
          <w:rFonts w:eastAsia="IRNazanin" w:cs="IRNazanin"/>
          <w:color w:val="111111"/>
          <w:sz w:val="28"/>
          <w:szCs w:val="28"/>
          <w:rtl w:val="true"/>
          <w:lang w:bidi="fa-IR"/>
        </w:rPr>
        <w:t>.</w:t>
      </w:r>
    </w:p>
    <w:p>
      <w:pPr>
        <w:pStyle w:val="Heading4"/>
        <w:numPr>
          <w:ilvl w:val="3"/>
          <w:numId w:val="1"/>
        </w:numPr>
        <w:rPr/>
      </w:pPr>
      <w:bookmarkStart w:id="276" w:name="__RefHeading___Toc3419788_581953129"/>
      <w:bookmarkStart w:id="277" w:name="_Toc111"/>
      <w:bookmarkEnd w:id="276"/>
      <w:r>
        <w:rPr>
          <w:rtl w:val="true"/>
        </w:rPr>
        <w:t>متأخرین</w:t>
      </w:r>
      <w:r>
        <w:rPr>
          <w:rtl w:val="true"/>
        </w:rPr>
        <w:t>(</w:t>
      </w:r>
      <w:r>
        <w:rPr>
          <w:rtl w:val="true"/>
        </w:rPr>
        <w:t>محقق حلی تا مقدس اردبیلی</w:t>
      </w:r>
      <w:r>
        <w:rPr>
          <w:rtl w:val="true"/>
        </w:rPr>
        <w:t>)</w:t>
      </w:r>
      <w:bookmarkEnd w:id="277"/>
    </w:p>
    <w:p>
      <w:pPr>
        <w:pStyle w:val="Heading5"/>
        <w:numPr>
          <w:ilvl w:val="4"/>
          <w:numId w:val="1"/>
        </w:numPr>
        <w:rPr/>
      </w:pPr>
      <w:bookmarkStart w:id="278" w:name="__RefHeading___Toc3419790_581953129"/>
      <w:bookmarkStart w:id="279" w:name="_Toc112"/>
      <w:bookmarkEnd w:id="278"/>
      <w:r>
        <w:rPr/>
        <w:t>1</w:t>
      </w:r>
      <w:r>
        <w:rPr>
          <w:rtl w:val="true"/>
        </w:rPr>
        <w:t>-</w:t>
      </w:r>
      <w:r>
        <w:rPr>
          <w:rtl w:val="true"/>
        </w:rPr>
        <w:t>محقق حلی</w:t>
      </w:r>
      <w:bookmarkEnd w:id="27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در کتاب شرائع الاسلام پس از اینکه در زمان حضور امام،اقامه حدود</w:t>
      </w:r>
    </w:p>
    <w:p>
      <w:pPr>
        <w:pStyle w:val="BookText"/>
        <w:rPr/>
      </w:pPr>
      <w:r>
        <w:rPr>
          <w:rFonts w:ascii="IRNazanin" w:hAnsi="IRNazanin" w:eastAsia="IRNazanin"/>
          <w:color w:val="111111"/>
          <w:sz w:val="28"/>
          <w:sz w:val="28"/>
          <w:szCs w:val="28"/>
          <w:rtl w:val="true"/>
          <w:lang w:bidi="fa-IR"/>
        </w:rPr>
        <w:t>را به امام و گماشتگان از سوی او اختصاص می‌دهد،در ادامه فرض عدم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مطرح کرده،پس از طرح فروعاتی،نظریه ولایت فقها را بر اقامه حدود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نشانه ضعیف دانستن این دیدگاه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هیچ‌کس اقامه حدود جایز نیست،مگر برای امام اگر حاضر باشد و کسی که امام او را نصب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فقهای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امام اقامه حدود نمایند؛همان‌گونه که حکومت و قضاوت بین مردم به ایشان تفویض شده است،البته در صورتی که از آسیب سلطان وقت ایمن باشند و بر مردم واجب است در این امر ایشان را یاری رسانند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مختصر النافع نیز پس از آنکه عدم جواز اقامه حدود از سوی غیرامام و غیرمنصوب از سوی او را به صورت مطلق آورده،در ادامه به اقامه حدود از سوی فقها،مقید به زمان غیبت اشاره و ظاهراً این دیدگاه 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امام و کسی که امام او را نصب کرده باشد،کسی نمی‌تواند آن را اقامه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اگر فقها ایمن باشند،می‌توانند در زمان غیبت اقامه حدود نمایند و یاری ایشان بر مردم واجب است</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فقها از جمله صاحب جواهر معتقدند ایشان درباره اقامه حدود در عصر غیبت،به توقف قایل است؛ </w:t>
      </w:r>
      <w:r>
        <w:rPr>
          <w:rStyle w:val="FootnoteAnchor"/>
          <w:rtl w:val="true"/>
        </w:rPr>
        <w:footnoteReference w:id="327"/>
      </w:r>
      <w:r>
        <w:rPr>
          <w:rFonts w:ascii="IRNazanin" w:hAnsi="IRNazanin" w:eastAsia="IRNazanin"/>
          <w:color w:val="111111"/>
          <w:sz w:val="28"/>
          <w:sz w:val="28"/>
          <w:szCs w:val="28"/>
          <w:rtl w:val="true"/>
          <w:lang w:bidi="fa-IR"/>
        </w:rPr>
        <w:t>یعنی نفیاً و اثباتاً نظری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دیدگاه،صاحب جواهر فقط ابن‌ادریس و ابن‌زهره را مخالف با اقامه حدود در عصر غیبت می‌داند،نه کس دیگر</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این در حالی است که عبارت ایشان،در نصب خاص ظهور دارد و به ضمیمه اشاره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نظریه جواز،صریح در نظریه عدم جواز اقامه حدود در عصر غیبت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دیگر،بر اساس سخن محقق حلی،اقامه حدود از مناصب خاصه ائمه است و محرز است که برای اقامه حدود اذن ایشان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نتیجه،تردید در تفویض این منصب به فقها،به‌منزله عدم احراز قید جواز است که عدم جواز را در پی</w:t>
      </w:r>
      <w:bookmarkStart w:id="280" w:name="pg5664_43383"/>
    </w:p>
    <w:p>
      <w:pPr>
        <w:pStyle w:val="BookText"/>
        <w:rPr/>
      </w:pPr>
      <w:bookmarkEnd w:id="280"/>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اساس،نسبت توقف به محقق در این مسئله صحیح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قرینه‌های دیگری نیز در کلام محقق وجود دارد که صراحت دیدگاه ایشان را در این زمینه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فقیه گرانقدر،نخستین فقیهی است که قید زمان غیبت را ذیل این مسئله مطرح کرده و پیش از آن نیز قید عدم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که همان غیبت امام است،یادآور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اینکه کلام این بزرگوار فقط به اقامه حدود در دستگاه ظلمه داشته اشاره باشد نیز منتفی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این احتمال دست‌کم درباره سخنان ابن‌ادریس قابل طرح خواهد بود،ولی در اینجا به یقین مردود است؛زیرا هر چند در شرائع با پیروی از پیشینیان،پس از طرح مسئله تولای اقامه حدود از سوی ستمگران،این بحث را مطرح کرده، </w:t>
      </w:r>
      <w:r>
        <w:rPr>
          <w:rStyle w:val="FootnoteAnchor"/>
          <w:rtl w:val="true"/>
        </w:rPr>
        <w:footnoteReference w:id="329"/>
      </w:r>
      <w:r>
        <w:rPr>
          <w:rFonts w:ascii="IRNazanin" w:hAnsi="IRNazanin" w:eastAsia="IRNazanin"/>
          <w:color w:val="111111"/>
          <w:sz w:val="28"/>
          <w:sz w:val="28"/>
          <w:szCs w:val="28"/>
          <w:rtl w:val="true"/>
          <w:lang w:bidi="fa-IR"/>
        </w:rPr>
        <w:t>در مختصر بدون اشاره به این مسئله،وارد بحث شده است</w:t>
      </w:r>
      <w:r>
        <w:rPr>
          <w:rFonts w:eastAsia="IRNazanin" w:cs="IRNazanin"/>
          <w:color w:val="111111"/>
          <w:sz w:val="28"/>
          <w:szCs w:val="28"/>
          <w:rtl w:val="true"/>
          <w:lang w:bidi="fa-IR"/>
        </w:rPr>
        <w:t>.</w:t>
      </w:r>
    </w:p>
    <w:p>
      <w:pPr>
        <w:pStyle w:val="Heading5"/>
        <w:numPr>
          <w:ilvl w:val="4"/>
          <w:numId w:val="1"/>
        </w:numPr>
        <w:rPr/>
      </w:pPr>
      <w:bookmarkStart w:id="281" w:name="__RefHeading___Toc3419792_581953129"/>
      <w:bookmarkStart w:id="282" w:name="_Toc113"/>
      <w:bookmarkEnd w:id="281"/>
      <w:r>
        <w:rPr/>
        <w:t>2</w:t>
      </w:r>
      <w:r>
        <w:rPr>
          <w:rtl w:val="true"/>
        </w:rPr>
        <w:t>-</w:t>
      </w:r>
      <w:r>
        <w:rPr>
          <w:rtl w:val="true"/>
        </w:rPr>
        <w:t>فاضل آبی</w:t>
      </w:r>
      <w:bookmarkEnd w:id="282"/>
    </w:p>
    <w:p>
      <w:pPr>
        <w:pStyle w:val="BookText"/>
        <w:rPr/>
      </w:pPr>
      <w:r>
        <w:rPr>
          <w:rFonts w:ascii="IRNazanin" w:hAnsi="IRNazanin" w:eastAsia="IRNazanin"/>
          <w:color w:val="111111"/>
          <w:sz w:val="28"/>
          <w:sz w:val="28"/>
          <w:szCs w:val="28"/>
          <w:rtl w:val="true"/>
          <w:lang w:bidi="fa-IR"/>
        </w:rPr>
        <w:t>عزالدین حسن بن ابی‌طالب یوسفی آبی معروف به فاضل آبی،از شاگردان مشهور محقق و علامه حلّی است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وی در کشف الرموز خود که شرح مختصر النافعِ استادش محقق حلّی است،می‌نویسد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شیخان جزم پیدا کرده‌اند که در زمان غیبت در صورتی که فقها متمکن از اقامه حدود باشند،این امر به ایشان تفویض شده‌است،اما ما در این مسئله نظر داریم</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آبی با این نظر خود،در نظریه تفویض اقامه حدود به فقها تردید می‌کند و از شمار قایلان به عدم جواز می‌گردد</w:t>
      </w:r>
      <w:r>
        <w:rPr>
          <w:rFonts w:eastAsia="IRNazanin" w:cs="IRNazanin"/>
          <w:color w:val="111111"/>
          <w:sz w:val="28"/>
          <w:szCs w:val="28"/>
          <w:rtl w:val="true"/>
          <w:lang w:bidi="fa-IR"/>
        </w:rPr>
        <w:t>.</w:t>
      </w:r>
      <w:bookmarkStart w:id="283" w:name="pg5664_43384"/>
    </w:p>
    <w:p>
      <w:pPr>
        <w:pStyle w:val="Heading5"/>
        <w:numPr>
          <w:ilvl w:val="4"/>
          <w:numId w:val="1"/>
        </w:numPr>
        <w:rPr/>
      </w:pPr>
      <w:bookmarkStart w:id="284" w:name="__RefHeading___Toc3419794_581953129"/>
      <w:bookmarkStart w:id="285" w:name="_Toc114"/>
      <w:bookmarkEnd w:id="283"/>
      <w:bookmarkEnd w:id="284"/>
      <w:r>
        <w:rPr/>
        <w:t>3</w:t>
      </w:r>
      <w:r>
        <w:rPr>
          <w:rtl w:val="true"/>
        </w:rPr>
        <w:t>-</w:t>
      </w:r>
      <w:r>
        <w:rPr>
          <w:rtl w:val="true"/>
        </w:rPr>
        <w:t>علامه حلی</w:t>
      </w:r>
      <w:bookmarkEnd w:id="285"/>
    </w:p>
    <w:p>
      <w:pPr>
        <w:pStyle w:val="BookText"/>
        <w:rPr/>
      </w:pPr>
      <w:r>
        <w:rPr>
          <w:rFonts w:ascii="IRNazanin" w:hAnsi="IRNazanin" w:eastAsia="IRNazanin"/>
          <w:color w:val="111111"/>
          <w:sz w:val="28"/>
          <w:sz w:val="28"/>
          <w:szCs w:val="28"/>
          <w:rtl w:val="true"/>
          <w:lang w:bidi="fa-IR"/>
        </w:rPr>
        <w:t>علامه حلی در بسیاری از علوم عقلی و نقلی مانند کلام،فلسفه،نجوم،ریاضی،ادبیات،اخلاق،عرفان،هندسه،منطق،تفسیر،درایه،رجال و شعر استادی مسلّم بوده،ولی استادی ایشان در دیگر علوم،هرگز نتوانسته مقام فقهی این فقیه پرکار شیعه را تحت‌الشعاع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همین پرکار بودن ایشان سبب شده گاهی در مسئله‌ای خاص،آرای متفاوت ابراز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آرا،نظریات ایشان در بحث اقامه 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مسئله،نظریات علامه تنوع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در کتاب‌های قواعد الاحکام </w:t>
      </w:r>
      <w:r>
        <w:rPr>
          <w:rStyle w:val="FootnoteAnchor"/>
          <w:rtl w:val="true"/>
        </w:rPr>
        <w:footnoteReference w:id="332"/>
      </w:r>
      <w:r>
        <w:rPr>
          <w:rFonts w:ascii="IRNazanin" w:hAnsi="IRNazanin" w:eastAsia="IRNazanin"/>
          <w:color w:val="111111"/>
          <w:sz w:val="28"/>
          <w:sz w:val="28"/>
          <w:szCs w:val="28"/>
          <w:rtl w:val="true"/>
          <w:lang w:bidi="fa-IR"/>
        </w:rPr>
        <w:t xml:space="preserve">،ارشادالاذهان، </w:t>
      </w:r>
      <w:r>
        <w:rPr>
          <w:rStyle w:val="FootnoteAnchor"/>
          <w:rtl w:val="true"/>
        </w:rPr>
        <w:footnoteReference w:id="333"/>
      </w:r>
      <w:r>
        <w:rPr>
          <w:rFonts w:ascii="IRNazanin" w:hAnsi="IRNazanin" w:eastAsia="IRNazanin"/>
          <w:color w:val="111111"/>
          <w:sz w:val="28"/>
          <w:sz w:val="28"/>
          <w:szCs w:val="28"/>
          <w:rtl w:val="true"/>
          <w:lang w:bidi="fa-IR"/>
        </w:rPr>
        <w:t xml:space="preserve">تحریر الاحکام </w:t>
      </w:r>
      <w:r>
        <w:rPr>
          <w:rStyle w:val="FootnoteAnchor"/>
          <w:rtl w:val="true"/>
        </w:rPr>
        <w:footnoteReference w:id="334"/>
      </w:r>
      <w:r>
        <w:rPr>
          <w:rFonts w:ascii="IRNazanin" w:hAnsi="IRNazanin" w:eastAsia="IRNazanin"/>
          <w:color w:val="111111"/>
          <w:sz w:val="28"/>
          <w:sz w:val="28"/>
          <w:szCs w:val="28"/>
          <w:rtl w:val="true"/>
          <w:lang w:bidi="fa-IR"/>
        </w:rPr>
        <w:t xml:space="preserve">و مختلف الشیعه </w:t>
      </w:r>
      <w:r>
        <w:rPr>
          <w:rStyle w:val="FootnoteAnchor"/>
          <w:rtl w:val="true"/>
        </w:rPr>
        <w:footnoteReference w:id="335"/>
      </w:r>
      <w:r>
        <w:rPr>
          <w:rFonts w:ascii="IRNazanin" w:hAnsi="IRNazanin" w:eastAsia="IRNazanin"/>
          <w:color w:val="111111"/>
          <w:sz w:val="28"/>
          <w:sz w:val="28"/>
          <w:szCs w:val="28"/>
          <w:rtl w:val="true"/>
          <w:lang w:bidi="fa-IR"/>
        </w:rPr>
        <w:t xml:space="preserve">صراحتاً قول جواز را قوی می‌شمارد،ولی در تذکره تنها به نقل دیدگاه‌های متفاوت در مسئله بسنده کرده، </w:t>
      </w:r>
      <w:r>
        <w:rPr>
          <w:rStyle w:val="FootnoteAnchor"/>
          <w:rtl w:val="true"/>
        </w:rPr>
        <w:footnoteReference w:id="336"/>
      </w:r>
      <w:r>
        <w:rPr>
          <w:rFonts w:ascii="IRNazanin" w:hAnsi="IRNazanin" w:eastAsia="IRNazanin"/>
          <w:color w:val="111111"/>
          <w:sz w:val="28"/>
          <w:sz w:val="28"/>
          <w:szCs w:val="28"/>
          <w:rtl w:val="true"/>
          <w:lang w:bidi="fa-IR"/>
        </w:rPr>
        <w:t xml:space="preserve">و از همه جالب‌تر در منتهی المطلب پس از اینکه ابتدا در مسئله توقف می‌کند، </w:t>
      </w:r>
      <w:r>
        <w:rPr>
          <w:rStyle w:val="FootnoteAnchor"/>
          <w:rtl w:val="true"/>
        </w:rPr>
        <w:footnoteReference w:id="337"/>
      </w:r>
      <w:r>
        <w:rPr>
          <w:rFonts w:ascii="IRNazanin" w:hAnsi="IRNazanin" w:eastAsia="IRNazanin"/>
          <w:color w:val="111111"/>
          <w:sz w:val="28"/>
          <w:sz w:val="28"/>
          <w:szCs w:val="28"/>
          <w:rtl w:val="true"/>
          <w:lang w:bidi="fa-IR"/>
        </w:rPr>
        <w:t>چند سطر بعد،قول جواز را قوی دانسته است</w:t>
      </w:r>
      <w:r>
        <w:rPr>
          <w:rFonts w:eastAsia="IRNazanin" w:cs="IRNazanin"/>
          <w:color w:val="111111"/>
          <w:sz w:val="28"/>
          <w:szCs w:val="28"/>
          <w:rtl w:val="true"/>
          <w:lang w:bidi="fa-IR"/>
        </w:rPr>
        <w:t xml:space="preserve">. </w:t>
      </w:r>
      <w:r>
        <w:rPr>
          <w:rStyle w:val="FootnoteAnchor"/>
          <w:rtl w:val="true"/>
        </w:rPr>
        <w:footnoteReference w:id="338"/>
      </w:r>
    </w:p>
    <w:p>
      <w:pPr>
        <w:pStyle w:val="Heading5"/>
        <w:numPr>
          <w:ilvl w:val="4"/>
          <w:numId w:val="1"/>
        </w:numPr>
        <w:rPr/>
      </w:pPr>
      <w:bookmarkStart w:id="286" w:name="__RefHeading___Toc3419796_581953129"/>
      <w:bookmarkStart w:id="287" w:name="_Toc115"/>
      <w:bookmarkEnd w:id="286"/>
      <w:r>
        <w:rPr/>
        <w:t>4</w:t>
      </w:r>
      <w:r>
        <w:rPr>
          <w:rtl w:val="true"/>
        </w:rPr>
        <w:t>-</w:t>
      </w:r>
      <w:r>
        <w:rPr>
          <w:rtl w:val="true"/>
        </w:rPr>
        <w:t>فخر المحققین</w:t>
      </w:r>
      <w:bookmarkEnd w:id="287"/>
    </w:p>
    <w:p>
      <w:pPr>
        <w:pStyle w:val="BookText"/>
        <w:rPr/>
      </w:pPr>
      <w:r>
        <w:rPr>
          <w:rFonts w:ascii="IRNazanin" w:hAnsi="IRNazanin" w:eastAsia="IRNazanin"/>
          <w:color w:val="111111"/>
          <w:sz w:val="28"/>
          <w:sz w:val="28"/>
          <w:szCs w:val="28"/>
          <w:rtl w:val="true"/>
          <w:lang w:bidi="fa-IR"/>
        </w:rPr>
        <w:t>محمد بن حسن حلی،فرزند محقق حلی در کتابی که در شرح اشکال‌های قواعد علامه نگاشته و آن را ایضاح الفوائد نامیده،به نقل از شیخ و سلار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عصر غیبت،جایز باشد بدون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معروفی که مستلزم جرح یا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شود،بالتبع جهاد را هم باید اذن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دومی به اجماع علما باطل می‌باشد،اوّلی هم مثل دومی باطل است و این دو با هم ملازمه دارند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پیداست این کلام با نیابت فقها و مأذون بودن آنان در اقامه حدود منافات ندارد؛به‌ویژه که فخر المحققین قول جواز را از علامه بدون نقد،نقل کرده است</w:t>
      </w:r>
      <w:r>
        <w:rPr>
          <w:rFonts w:eastAsia="IRNazanin" w:cs="IRNazanin"/>
          <w:color w:val="111111"/>
          <w:sz w:val="28"/>
          <w:szCs w:val="28"/>
          <w:rtl w:val="true"/>
          <w:lang w:bidi="fa-IR"/>
        </w:rPr>
        <w:t xml:space="preserve">. </w:t>
      </w:r>
      <w:r>
        <w:rPr>
          <w:rStyle w:val="FootnoteAnchor"/>
          <w:rtl w:val="true"/>
        </w:rPr>
        <w:footnoteReference w:id="340"/>
      </w:r>
      <w:bookmarkStart w:id="288" w:name="pg5664_43385"/>
    </w:p>
    <w:p>
      <w:pPr>
        <w:pStyle w:val="Heading5"/>
        <w:numPr>
          <w:ilvl w:val="4"/>
          <w:numId w:val="1"/>
        </w:numPr>
        <w:rPr/>
      </w:pPr>
      <w:bookmarkStart w:id="289" w:name="__RefHeading___Toc3419798_581953129"/>
      <w:bookmarkStart w:id="290" w:name="_Toc116"/>
      <w:bookmarkEnd w:id="288"/>
      <w:bookmarkEnd w:id="289"/>
      <w:r>
        <w:rPr/>
        <w:t>5</w:t>
      </w:r>
      <w:r>
        <w:rPr>
          <w:rtl w:val="true"/>
        </w:rPr>
        <w:t>-</w:t>
      </w:r>
      <w:r>
        <w:rPr>
          <w:rtl w:val="true"/>
        </w:rPr>
        <w:t>ابن ابی‌جمهور</w:t>
      </w:r>
      <w:bookmarkEnd w:id="290"/>
    </w:p>
    <w:p>
      <w:pPr>
        <w:pStyle w:val="BookText"/>
        <w:rPr/>
      </w:pPr>
      <w:r>
        <w:rPr>
          <w:rFonts w:ascii="IRNazanin" w:hAnsi="IRNazanin" w:eastAsia="IRNazanin"/>
          <w:color w:val="111111"/>
          <w:sz w:val="28"/>
          <w:sz w:val="28"/>
          <w:szCs w:val="28"/>
          <w:rtl w:val="true"/>
          <w:lang w:bidi="fa-IR"/>
        </w:rPr>
        <w:t>محمد بن علی بن ابراهیم احسایی،معروف به ابن ابی‌جمهور،صاحب کتاب الاقطاب الفقهیه علی مذهب الامامیه و از فقهای شیعی قرن نهم هجری قمری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درباره اقامه حدود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اقامة الحدود للفقهاء فی زمن الغیبة مع التمکن؟قولان،والاحوط المنع،و قد رخص للفقیه الجامع لشرائط اقامة الحد علی زوجته و غلامه و جاریته مع امن الضرر</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کلام ایشان به روشنی بر منع از اقامه حدود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تنها اقامه حدود بر زوجه،غلام و جاریه را صحیح می‌داند؛آن هم مشروط به اینکه اجرا کننده حد،فقیه باشد</w:t>
      </w:r>
      <w:r>
        <w:rPr>
          <w:rFonts w:eastAsia="IRNazanin" w:cs="IRNazanin"/>
          <w:color w:val="111111"/>
          <w:sz w:val="28"/>
          <w:szCs w:val="28"/>
          <w:rtl w:val="true"/>
          <w:lang w:bidi="fa-IR"/>
        </w:rPr>
        <w:t>.</w:t>
      </w:r>
    </w:p>
    <w:p>
      <w:pPr>
        <w:pStyle w:val="Heading4"/>
        <w:numPr>
          <w:ilvl w:val="3"/>
          <w:numId w:val="1"/>
        </w:numPr>
        <w:rPr/>
      </w:pPr>
      <w:bookmarkStart w:id="291" w:name="__RefHeading___Toc3419800_581953129"/>
      <w:bookmarkStart w:id="292" w:name="_Toc117"/>
      <w:bookmarkEnd w:id="291"/>
      <w:r>
        <w:rPr>
          <w:rtl w:val="true"/>
        </w:rPr>
        <w:t>متأخر المتأخرین</w:t>
      </w:r>
      <w:r>
        <w:rPr>
          <w:rtl w:val="true"/>
        </w:rPr>
        <w:t>(</w:t>
      </w:r>
      <w:r>
        <w:rPr>
          <w:rtl w:val="true"/>
        </w:rPr>
        <w:t>مقدس اردبیلی تا معاصران</w:t>
      </w:r>
      <w:r>
        <w:rPr>
          <w:rtl w:val="true"/>
        </w:rPr>
        <w:t>)</w:t>
      </w:r>
      <w:bookmarkEnd w:id="292"/>
    </w:p>
    <w:p>
      <w:pPr>
        <w:pStyle w:val="Heading5"/>
        <w:numPr>
          <w:ilvl w:val="4"/>
          <w:numId w:val="1"/>
        </w:numPr>
        <w:rPr/>
      </w:pPr>
      <w:bookmarkStart w:id="293" w:name="__RefHeading___Toc3419802_581953129"/>
      <w:bookmarkStart w:id="294" w:name="_Toc118"/>
      <w:bookmarkEnd w:id="293"/>
      <w:r>
        <w:rPr/>
        <w:t>1</w:t>
      </w:r>
      <w:r>
        <w:rPr>
          <w:rtl w:val="true"/>
        </w:rPr>
        <w:t>-</w:t>
      </w:r>
      <w:r>
        <w:rPr>
          <w:rtl w:val="true"/>
        </w:rPr>
        <w:t>مقدس اردبیلی</w:t>
      </w:r>
      <w:bookmarkEnd w:id="294"/>
    </w:p>
    <w:p>
      <w:pPr>
        <w:pStyle w:val="BookText"/>
        <w:rPr/>
      </w:pPr>
      <w:r>
        <w:rPr>
          <w:rFonts w:ascii="IRNazanin" w:hAnsi="IRNazanin" w:eastAsia="IRNazanin"/>
          <w:color w:val="111111"/>
          <w:sz w:val="28"/>
          <w:sz w:val="28"/>
          <w:szCs w:val="28"/>
          <w:rtl w:val="true"/>
          <w:lang w:bidi="fa-IR"/>
        </w:rPr>
        <w:t>صاحب کتاب ارزشمند مجمع الفائده که در شرح ارشاد الاذهان علامه نگاشته،پس از نقل سخنان به‌ظاهر متناقض علامه در منتهی المطلب و نقد ادله جواز،خواننده را به تأمل فراخوانده،که می‌تواند نشانه عدم پذیرش این دیدگاه از سوی ایشان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جواز إقامة الحدود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 توقف المصنف فی المنتهی لما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 بعد ذلک فی مسألة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جواز إقامة الحدود للفقیه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عندی،ودلیله روایة حفص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والافضاء إلی الفساد لو لم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ما فی الاستدلال بروایة حفص من وجه،توقفه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یمنع الافضاء إلی الفساد،فتأمل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فی روایة عمر بن حنظلة وأبی خدیجة إشارة إلیهم،لتفویضهم الحکم إلیه وجعلهم حاکما،فکأنه یشمل إقامة الحدود،فافهم</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اما ظاهراً قبل از هر خواننده‌ای،خود محقق اردبیلی در مسئله تأمل کرده،توانسته ادله جواز را تا حدی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ازاین‌رو،پس از تأمل،خواننده را به فهم مطلب فراخوانده است</w:t>
      </w:r>
      <w:r>
        <w:rPr>
          <w:rFonts w:eastAsia="IRNazanin" w:cs="IRNazanin"/>
          <w:color w:val="111111"/>
          <w:sz w:val="28"/>
          <w:szCs w:val="28"/>
          <w:rtl w:val="true"/>
          <w:lang w:bidi="fa-IR"/>
        </w:rPr>
        <w:t>.</w:t>
      </w:r>
    </w:p>
    <w:p>
      <w:pPr>
        <w:pStyle w:val="Heading5"/>
        <w:numPr>
          <w:ilvl w:val="4"/>
          <w:numId w:val="1"/>
        </w:numPr>
        <w:rPr/>
      </w:pPr>
      <w:bookmarkStart w:id="295" w:name="__RefHeading___Toc3419804_581953129"/>
      <w:bookmarkStart w:id="296" w:name="_Toc119"/>
      <w:bookmarkEnd w:id="295"/>
      <w:r>
        <w:rPr/>
        <w:t>2</w:t>
      </w:r>
      <w:r>
        <w:rPr>
          <w:rtl w:val="true"/>
        </w:rPr>
        <w:t>-</w:t>
      </w:r>
      <w:r>
        <w:rPr>
          <w:rtl w:val="true"/>
        </w:rPr>
        <w:t>شیخ بهایی</w:t>
      </w:r>
      <w:bookmarkEnd w:id="29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بهاءالدین عاملی،شیخ الاسلام اصفهان در زمان شاه عباس کبیر،در جامع عباسی</w:t>
      </w:r>
      <w:bookmarkStart w:id="297" w:name="pg5664_43386"/>
    </w:p>
    <w:p>
      <w:pPr>
        <w:pStyle w:val="BookText"/>
        <w:rPr/>
      </w:pPr>
      <w:bookmarkEnd w:id="297"/>
      <w:r>
        <w:rPr>
          <w:rFonts w:ascii="IRNazanin" w:hAnsi="IRNazanin" w:eastAsia="IRNazanin"/>
          <w:color w:val="111111"/>
          <w:sz w:val="28"/>
          <w:sz w:val="28"/>
          <w:szCs w:val="28"/>
          <w:rtl w:val="true"/>
          <w:lang w:bidi="fa-IR"/>
        </w:rPr>
        <w:t>به تفصیل معتقد شده،اقامه حدود را مادامی جایز می‌داند که به جرح و قتل نینجامد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خلاف است میانه مجتهدین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حدود بی اذن امام جایز است یا نه؟اما در حالت غیبت بعضی از مجتهدین بر این رفته‌اند که آقا غلام خود را می‌تواند حد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وخلاف است میانه مجتهدین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حالت غیبت امام،مجتهد می‌تواند اقامت حدود کردن؟اقوی آن است که می‌تواند،به‌شرطی که مستلزم قتل وجرح نباشد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بدین ترتیب،فقط حدود قذف،شرب خمر و زنای غیرمحصنه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فرض‌ها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اجرا خواهد بود؛آن هم مشروط به اینکه به قتل یا جرح نینجامد،در حالی که معمولاً جراحت،نتیجه طبیعی اجرای مجازات جلد است</w:t>
      </w:r>
      <w:r>
        <w:rPr>
          <w:rFonts w:eastAsia="IRNazanin" w:cs="IRNazanin"/>
          <w:color w:val="111111"/>
          <w:sz w:val="28"/>
          <w:szCs w:val="28"/>
          <w:rtl w:val="true"/>
          <w:lang w:bidi="fa-IR"/>
        </w:rPr>
        <w:t>.</w:t>
      </w:r>
    </w:p>
    <w:p>
      <w:pPr>
        <w:pStyle w:val="Heading5"/>
        <w:numPr>
          <w:ilvl w:val="4"/>
          <w:numId w:val="1"/>
        </w:numPr>
        <w:rPr/>
      </w:pPr>
      <w:bookmarkStart w:id="298" w:name="__RefHeading___Toc3419806_581953129"/>
      <w:bookmarkStart w:id="299" w:name="_Toc120"/>
      <w:bookmarkEnd w:id="298"/>
      <w:r>
        <w:rPr/>
        <w:t>3</w:t>
      </w:r>
      <w:r>
        <w:rPr>
          <w:rtl w:val="true"/>
        </w:rPr>
        <w:t>-</w:t>
      </w:r>
      <w:r>
        <w:rPr>
          <w:rtl w:val="true"/>
        </w:rPr>
        <w:t>میرزای قمی</w:t>
      </w:r>
      <w:bookmarkEnd w:id="299"/>
    </w:p>
    <w:p>
      <w:pPr>
        <w:pStyle w:val="BookText"/>
        <w:rPr/>
      </w:pPr>
      <w:r>
        <w:rPr>
          <w:rFonts w:ascii="IRNazanin" w:hAnsi="IRNazanin" w:eastAsia="IRNazanin"/>
          <w:color w:val="111111"/>
          <w:sz w:val="28"/>
          <w:sz w:val="28"/>
          <w:szCs w:val="28"/>
          <w:rtl w:val="true"/>
          <w:lang w:bidi="fa-IR"/>
        </w:rPr>
        <w:t>میرزای قمی از کسانی است که در مسئله دچار توقف گشته،در اصل حکم تأملاتی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در وقتی است که ما اجرای حدود را در زمان غیبت امام جایز دانیم و بر فرض جواز،همان وظیفه مجتهد عادل است و حقیر در جواز اجرای حدود در زمان غیبت،توقف و تأمل دارم</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ایشان درباره امر به معروف و نهی از منکری که مستلزم جرح و قتل باشد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نفع نبخشد الا به جرح و قتل،پس در آن اشکال و خلاف است و ظاهر این است که مشهور عدم جواز است؛الا به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آنچه نقل شده از منتهی این است که شیخ،دعوی اجماع بر آن کرده،و از سید مرتضی حکایت قول به جواز شده،و علامه در منتهی تقویت آن کرده</w:t>
      </w:r>
      <w:r>
        <w:rPr>
          <w:rFonts w:eastAsia="IRNazanin" w:cs="IRNazanin"/>
          <w:color w:val="111111"/>
          <w:sz w:val="28"/>
          <w:szCs w:val="28"/>
          <w:rtl w:val="true"/>
          <w:lang w:bidi="fa-IR"/>
        </w:rPr>
        <w:t xml:space="preserve">. </w:t>
      </w:r>
      <w:r>
        <w:rPr>
          <w:rStyle w:val="FootnoteAnchor"/>
          <w:rtl w:val="true"/>
        </w:rPr>
        <w:footnoteReference w:id="345"/>
      </w:r>
    </w:p>
    <w:p>
      <w:pPr>
        <w:pStyle w:val="Heading5"/>
        <w:numPr>
          <w:ilvl w:val="4"/>
          <w:numId w:val="1"/>
        </w:numPr>
        <w:rPr/>
      </w:pPr>
      <w:bookmarkStart w:id="300" w:name="__RefHeading___Toc3419808_581953129"/>
      <w:bookmarkStart w:id="301" w:name="_Toc121"/>
      <w:bookmarkEnd w:id="300"/>
      <w:r>
        <w:rPr/>
        <w:t>4</w:t>
      </w:r>
      <w:r>
        <w:rPr>
          <w:rtl w:val="true"/>
        </w:rPr>
        <w:t>-</w:t>
      </w:r>
      <w:r>
        <w:rPr>
          <w:rtl w:val="true"/>
        </w:rPr>
        <w:t>شیخ انصاری</w:t>
      </w:r>
      <w:bookmarkEnd w:id="30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انصاری،در دو کتاب شریف خود مکاسب و قضا،مسئله ولایت فقیه را مطرح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مکاسب،پس از اثبات ولایت عامه امام معصوم علیه السلام به مساءله ولایت فقیه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پس از بررسی مقبوله عمر بن حنظله،توقیع شریف و حدیث مجاری الامور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یاد شده روشن گردید اموری که مشروعیت انجام آنها مفروغٌ عنه باشد،به‌گونه‌ای که اگر فقیه جامع شرایطی نیز وجود نداشته باشد،بر امت واجب است به نحو واجب کفایی آن را برپا دارند و در تحقق بخشیدن به آن به پا خیزند،در چنین اموری،طبق دلایل یاد شده،ولایت فقیه ثابت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ادامه شیخ اقامه حدود برای غیرامام،تزویج صغیره برای غیر پدر و جد،معامله اموال غایبان و فسخ عقد خیاری را از سوی آنان،جزء اموری می‌داند که در مشروعیت آنها شک وجود دارد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بنابراین،از دیدگاه شیخ در مکاسب به دلیل شک در مشروعیت حدود در زمان غیبت،ولایت فقیه بر اقامه آن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کتاب قضاء نظری به‌ظاهر متفاوت درباره ولایت فقیه ابراز داشته،می‌فرماید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فقیه جامع شرایط در تمام فروع احکام شرعی و موضوعات،حجت و نافذ است؛زیرا مقصود از لفظ حاکم که در مقبوله آمده،نفوذ حکم او در همه شئون و زمینه‌هاست و مخصوص امور قضایی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آنکه سلطان وقت،کسی را در مقام حاکم معین کند،که مستفاد از آن،تسلط او بر تمام شئون مربوط به حکومت،اعم از جزئی یا 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مخصوص باب قضاوت است،به کار نبرده،بلکه به جای آن،از واژه حاکم استفاده کرده تا عمومیت نفوذ سلطه او را برساند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کون الفقیه مرجعا فی الامور العامة</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همچنین ایشان حکومت فقیه را مطلق و حجیتش را عام دانسته،می‌گوید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تعلیل الامام علیه السلام وجوب الرضا بحکومته فی الخصومات،بجعله حاکما علی الاطلاق و حجة کذلک،یدل علی اءن حکمه فی الخصومات و الوقائع،من فروع حکومته المطلقة و حجیته العامة،فلایختص بصورة التخاصم</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شیخ انصاری در این کتاب صراحتاً به مسئله اقامه حدود اشاره نکرده،عبارت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 المطلقة و حجیته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ایشان می‌تواند نیابت عامه و ولایت</w:t>
      </w:r>
      <w:bookmarkStart w:id="302" w:name="pg5664_43388"/>
    </w:p>
    <w:p>
      <w:pPr>
        <w:pStyle w:val="BookText"/>
        <w:rPr/>
      </w:pPr>
      <w:bookmarkEnd w:id="302"/>
      <w:r>
        <w:rPr>
          <w:rFonts w:ascii="IRNazanin" w:hAnsi="IRNazanin" w:eastAsia="IRNazanin"/>
          <w:color w:val="111111"/>
          <w:sz w:val="28"/>
          <w:sz w:val="28"/>
          <w:szCs w:val="28"/>
          <w:rtl w:val="true"/>
          <w:lang w:bidi="fa-IR"/>
        </w:rPr>
        <w:t>مطلقه فقیه را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نتیجه،ولایت بر اقامه حدود نیز که یکی از افراد و مصادیق آن است به تبع ثابت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ایشان تصریح می‌کند که فقیه،مرجع در امور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فقها،امور عامه همه سیاسیات،از جمله اقامه حدود و تعزیرات را دربرمی‌گیرد</w:t>
      </w:r>
      <w:r>
        <w:rPr>
          <w:rFonts w:eastAsia="IRNazanin" w:cs="IRNazanin"/>
          <w:color w:val="111111"/>
          <w:sz w:val="28"/>
          <w:szCs w:val="28"/>
          <w:rtl w:val="true"/>
          <w:lang w:bidi="fa-IR"/>
        </w:rPr>
        <w:t>.</w:t>
      </w:r>
    </w:p>
    <w:p>
      <w:pPr>
        <w:pStyle w:val="Heading5"/>
        <w:numPr>
          <w:ilvl w:val="4"/>
          <w:numId w:val="1"/>
        </w:numPr>
        <w:rPr/>
      </w:pPr>
      <w:bookmarkStart w:id="303" w:name="__RefHeading___Toc3419810_581953129"/>
      <w:bookmarkStart w:id="304" w:name="_Toc122"/>
      <w:bookmarkEnd w:id="303"/>
      <w:r>
        <w:rPr/>
        <w:t>5</w:t>
      </w:r>
      <w:r>
        <w:rPr>
          <w:rtl w:val="true"/>
        </w:rPr>
        <w:t>-</w:t>
      </w:r>
      <w:r>
        <w:rPr>
          <w:rtl w:val="true"/>
        </w:rPr>
        <w:t>فقهای مشروطه‌خواه</w:t>
      </w:r>
      <w:bookmarkEnd w:id="304"/>
    </w:p>
    <w:p>
      <w:pPr>
        <w:pStyle w:val="BookText"/>
        <w:rPr/>
      </w:pPr>
      <w:r>
        <w:rPr>
          <w:rFonts w:ascii="IRNazanin" w:hAnsi="IRNazanin" w:eastAsia="IRNazanin"/>
          <w:color w:val="111111"/>
          <w:sz w:val="28"/>
          <w:sz w:val="28"/>
          <w:szCs w:val="28"/>
          <w:rtl w:val="true"/>
          <w:lang w:bidi="fa-IR"/>
        </w:rPr>
        <w:t>دکتر محقق داماد در یکی از مصاحبه‌ها،دیدگاه عدم جواز را به فقهای دوره مشروطیت که فقیهان بزرگی بودند،نسبت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مدعی است فقهای مشروطه‌خواه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امروز،حاکم مسلمانان طبق مصالح،خودش با جرم مبارزه می‌کند و از وقوع جرم پیشگیری می‌کند و آنچه در قانون مجازات عمومی آمده بود،بر این اساس بود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مدرس و دوستانش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مجازات عمومی،مغایر با شرع نیست و</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دکتر محقق داماد در تبیین این دیدگاه و علت مغایر شرع ندانستن قانون مجازات عمومی آن زمان با وجود ناسازگاری‌های ساختاری و محتوایی آن با نظام کیفری و حقوق جزای اسلامی می‌گوید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بتوانیم بگوییم که امروز،آن‌گونه مجازات‌ها که باید بر اساس چارچوب‌های شرعی و با شرایط خاصی اثبات و به دست قضاتی خاص اجرا شود،چون شرایط آن مهیا نیست،قابل اجرا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بنابراین،ما باید اینها را به تعزیرات تبدیل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التعزیر بید الحاکم؛تعزیر،به دست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تعزیر،مورد تعزیر و انواع تعزیر،به دست حکومت زمان است و حکومت،تعزیر را از طریق زندان یا مجازات‌های دیگر اجرا می‌کند</w:t>
      </w:r>
      <w:r>
        <w:rPr>
          <w:rFonts w:eastAsia="IRNazanin" w:cs="IRNazanin"/>
          <w:color w:val="111111"/>
          <w:sz w:val="28"/>
          <w:szCs w:val="28"/>
          <w:rtl w:val="true"/>
          <w:lang w:bidi="fa-IR"/>
        </w:rPr>
        <w:t xml:space="preserve">. </w:t>
      </w:r>
      <w:r>
        <w:rPr>
          <w:rStyle w:val="FootnoteAnchor"/>
          <w:rtl w:val="true"/>
        </w:rPr>
        <w:footnoteReference w:id="353"/>
      </w:r>
      <w:bookmarkStart w:id="305" w:name="pg5664_43389"/>
    </w:p>
    <w:p>
      <w:pPr>
        <w:pStyle w:val="Heading4"/>
        <w:numPr>
          <w:ilvl w:val="3"/>
          <w:numId w:val="1"/>
        </w:numPr>
        <w:rPr/>
      </w:pPr>
      <w:bookmarkStart w:id="306" w:name="__RefHeading___Toc3419812_581953129"/>
      <w:bookmarkStart w:id="307" w:name="_Toc123"/>
      <w:bookmarkEnd w:id="305"/>
      <w:bookmarkEnd w:id="306"/>
      <w:r>
        <w:rPr>
          <w:rtl w:val="true"/>
        </w:rPr>
        <w:t>فقهای معاصر</w:t>
      </w:r>
      <w:bookmarkEnd w:id="307"/>
    </w:p>
    <w:p>
      <w:pPr>
        <w:pStyle w:val="Heading5"/>
        <w:numPr>
          <w:ilvl w:val="4"/>
          <w:numId w:val="1"/>
        </w:numPr>
        <w:rPr/>
      </w:pPr>
      <w:bookmarkStart w:id="308" w:name="__RefHeading___Toc3419814_581953129"/>
      <w:bookmarkStart w:id="309" w:name="_Toc124"/>
      <w:bookmarkEnd w:id="308"/>
      <w:r>
        <w:rPr/>
        <w:t>1</w:t>
      </w:r>
      <w:r>
        <w:rPr>
          <w:rtl w:val="true"/>
        </w:rPr>
        <w:t>-</w:t>
      </w:r>
      <w:r>
        <w:rPr>
          <w:rtl w:val="true"/>
        </w:rPr>
        <w:t>سید احمد خوانساری</w:t>
      </w:r>
      <w:bookmarkEnd w:id="309"/>
    </w:p>
    <w:p>
      <w:pPr>
        <w:pStyle w:val="BookText"/>
        <w:rPr/>
      </w:pPr>
      <w:r>
        <w:rPr>
          <w:rFonts w:ascii="IRNazanin" w:hAnsi="IRNazanin" w:eastAsia="IRNazanin"/>
          <w:color w:val="111111"/>
          <w:sz w:val="28"/>
          <w:sz w:val="28"/>
          <w:szCs w:val="28"/>
          <w:rtl w:val="true"/>
          <w:lang w:bidi="fa-IR"/>
        </w:rPr>
        <w:t>این فقیه برجسته معاصر،در عین برخورداری از کمالات روحی و سجایای والای اخلاقی،فقیهی کم‌نظیر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منزلت فقهی ایشان همین بس که امام خمینی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در مسئله‌ای فقهی به آیت‌الله قدیری نوشتند،به نظر آیت‌الله خوانساری استناد کرده،در پی آن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احتیاط و تقوای ایشان و نیز مقام علمیت و دقت نظرشان مشهور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میان معاصران،ایشان از معدود فقیهانی است که اقامه حدود را جایز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استدلال‌های فقهی در دفاع از دیدگاه عدم جواز از سوی این فقیه بزرگوار در جامع المدارک که شرحی است بر مختصر النافع محقق حلی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در شرح کلام علامه </w:t>
      </w:r>
      <w:r>
        <w:rPr>
          <w:rStyle w:val="FootnoteAnchor"/>
          <w:rtl w:val="true"/>
        </w:rPr>
        <w:footnoteReference w:id="355"/>
      </w:r>
      <w:r>
        <w:rPr>
          <w:rFonts w:ascii="IRNazanin" w:hAnsi="IRNazanin" w:eastAsia="IRNazanin"/>
          <w:color w:val="111111"/>
          <w:sz w:val="28"/>
          <w:sz w:val="28"/>
          <w:szCs w:val="28"/>
          <w:rtl w:val="true"/>
          <w:lang w:bidi="fa-IR"/>
        </w:rPr>
        <w:t>ابتدا به معروف بودن قول به عدم جواز اقامه حدود،و اجماعی که بر آن ادعا شده اشاره کرده،و سپس جواز آن را برای فقیهان عادل آشنا به احکام شرعی که از جمعی دیگر از فقهاست،نقل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نامشهور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و مستند آن را چهار خبر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 بن حنظله،خبر حفص،مقبوله ابی‌خدیجه و توقیع شریف 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پس از بیان این اخبار،در دلالت هر یک خدشه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مقبوله عمر بن حنظله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مقبوله درخصوص لزوم اقامه حدود ظهوری وجود ندارد</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حفص را که در 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عبداللّه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حدود را اقامه می‌کند،سلطان یا قاضی؟فرمود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با کسی است که حکم 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از نظر دلالت و سند این‌گونه 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قاضی از سوی معصوم برایش حکم است و گفته نمی‌شود به سوی او حکم است،و این مطلب با قطع نظر از سند این روایت است</w:t>
      </w:r>
      <w:r>
        <w:rPr>
          <w:rFonts w:eastAsia="IRNazanin" w:cs="IRNazanin"/>
          <w:color w:val="111111"/>
          <w:sz w:val="28"/>
          <w:szCs w:val="28"/>
          <w:rtl w:val="true"/>
          <w:lang w:bidi="fa-IR"/>
        </w:rPr>
        <w:t xml:space="preserve">». </w:t>
      </w:r>
      <w:r>
        <w:rPr>
          <w:rStyle w:val="FootnoteAnchor"/>
          <w:rtl w:val="true"/>
        </w:rPr>
        <w:footnoteReference w:id="358"/>
      </w:r>
      <w:bookmarkStart w:id="310" w:name="pg5664_43390"/>
    </w:p>
    <w:p>
      <w:pPr>
        <w:pStyle w:val="BookText"/>
        <w:rPr/>
      </w:pPr>
      <w:bookmarkEnd w:id="310"/>
      <w:r>
        <w:rPr>
          <w:rFonts w:ascii="IRNazanin" w:hAnsi="IRNazanin" w:eastAsia="IRNazanin"/>
          <w:color w:val="111111"/>
          <w:sz w:val="28"/>
          <w:sz w:val="28"/>
          <w:szCs w:val="28"/>
          <w:rtl w:val="true"/>
          <w:lang w:bidi="fa-IR"/>
        </w:rPr>
        <w:t>سرانجام مقبوله ابی‌خدیجه و توقیع شریف را نیز از نظر دلالت تمام نمی‌داند و در آنها خدشه می‌کند،ولی می‌کوشد به نحوی بر قول به لزوم اقامه حدود از سوی فقیه دلیل عقلی بیاورد؛چنان‌که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مطلب مذکور این‌گونه مورد تأیید واقع می‌شود که تعطیل حدود،منجر به ارتکاب محارم و نشر مفاسد می‌گردد،و این امر از دیدگاه شارع امری مبغوض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مقتضی برای اقامه حد در هر دو حالت حضور امام علیه السلام و غیبت او موجود است،و به یقین حکمت در آن به اقامه کننده حدود مربوط نمی‌شود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اما این دلیل را نیز رد می‌کند و در پایان در تضعیف دیدگاه جواز و تقویت دیدگاه عدم جواز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لازمه این سخن آن است که اقامه حدود در هر عصری واجب است بدون نیاز به نصب از طرف معصوم،و قبل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و مشهوره و توقیع شریف صادر گردند،اقامه حدود بدون نیاز به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بوده،بلکه هنگام تمکن نداشتن مجتهدان،تصدی این امر از سوی مؤمنان عادل،بلکه فاسقان ایشان لازم است؛چنان‌که نظیر آن درباره محافظت از اموال قصر و غیب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آنچنان است که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بعید نیست که حتی این امر نیز از اموری باشد که مخصوص معصومان یا کسانی است که خاصه از سوی ایشان برای این امور نصب شده‌اند؛مانند جهاد با کفار،و بر غیر آنان جایز نیست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بنابراین،آیت‌الله خوانساری با رد ادله روایی و عقلی،نتوانست قول به جواز اقامه حدود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آن،دلایلی نیز برای عدم جواز مطرح کرد که در مباحث آتی آن را بررسی خواهیم کرد</w:t>
      </w:r>
      <w:r>
        <w:rPr>
          <w:rFonts w:eastAsia="IRNazanin" w:cs="IRNazanin"/>
          <w:color w:val="111111"/>
          <w:sz w:val="28"/>
          <w:szCs w:val="28"/>
          <w:rtl w:val="true"/>
          <w:lang w:bidi="fa-IR"/>
        </w:rPr>
        <w:t>.</w:t>
      </w:r>
    </w:p>
    <w:p>
      <w:pPr>
        <w:pStyle w:val="Heading5"/>
        <w:numPr>
          <w:ilvl w:val="4"/>
          <w:numId w:val="1"/>
        </w:numPr>
        <w:rPr/>
      </w:pPr>
      <w:bookmarkStart w:id="311" w:name="__RefHeading___Toc3419816_581953129"/>
      <w:bookmarkStart w:id="312" w:name="_Toc125"/>
      <w:bookmarkEnd w:id="311"/>
      <w:r>
        <w:rPr/>
        <w:t>2</w:t>
      </w:r>
      <w:r>
        <w:rPr>
          <w:rtl w:val="true"/>
        </w:rPr>
        <w:t>-</w:t>
      </w:r>
      <w:r>
        <w:rPr>
          <w:rtl w:val="true"/>
        </w:rPr>
        <w:t>سید محمد شیرازی</w:t>
      </w:r>
      <w:bookmarkEnd w:id="31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معاصر،سید محمد شیرازی نیز از جمله فقیهانی است که اقامه حدود را در زمان حاضر جایز نمی‌داند،ولی نه به دلیل قصور ادله نیابت عامه فقیه،بلکه از این نظر که اقامه حدود در جامعه‌ای قابل اجراست که همه جوانب آن،اعم از اقتصادی،</w:t>
      </w:r>
    </w:p>
    <w:p>
      <w:pPr>
        <w:pStyle w:val="BookText"/>
        <w:rPr/>
      </w:pPr>
      <w:r>
        <w:rPr>
          <w:rFonts w:ascii="IRNazanin" w:hAnsi="IRNazanin" w:eastAsia="IRNazanin"/>
          <w:color w:val="111111"/>
          <w:sz w:val="28"/>
          <w:sz w:val="28"/>
          <w:szCs w:val="28"/>
          <w:rtl w:val="true"/>
          <w:lang w:bidi="fa-IR"/>
        </w:rPr>
        <w:t>اجتماعی،سیاسی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در زمان فعلی که اسلام به طور کامل اجرا نمی‌شود،حدود جاری نمی‌گردد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مستند ایشان در این فتوا سیره رسول خدا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تأیید به قرآن و روایت نیز متوسل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تنها پس از تطبیق کامل اسلام در مدینه منوره و ریشه‌کن کردن همه اسباب و ریشه‌های فساد،قانون مجازات‌ها را اجرا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باری‌تعالی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از پس اصلاح آن فساد نکنید،و او را با بیم و امید بخوانید که رحمت خدا به نیکوکاران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از حفص بن غیاث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عبدالله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اقامه حدود می‌نماید؛سلطان یا قاضی؟فرمود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به دست کسی است که حکم به‌دست اوست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ایشان برای اینکه در نتیجه اجرا نکردن مجازات‌های اسلامی،هرج و مرج روی ندهد،راهکاری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می‌رسد،گرچه در این باب لازم است به شورای فقها مراجعه شود،این است که عقوبات را برای چند سال به تأخیر بیندازد و با زندان و مانند آن از اموری که می‌توانند بازدارنده باشند،تأدیب صورت گیرد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فقهای پیش‌گفته،دیدگاه عدم جواز،به بسیاری دیگر از ایشان نسبت داده شده است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در این خصوص،عمدتاً به عباراتی از ایشان استدلال می‌شود که به اصل اولی در اقامه حدود،یعنی لزوم اذن امام اشاره دارد،ولی به تفویض یا عدم تفویض این منصب به فقها نظر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نتیجه،این فقیهان را نمی‌توان به دیدگاه عدم جواز معتقد دانست؛زیرا می‌دانیم لزوم اذن از امام در زمان حضور،مسلّم و اجماعی است و فقط برخی موارد خاص،بر اساس روایت از آن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از کلام این</w:t>
      </w:r>
    </w:p>
    <w:p>
      <w:pPr>
        <w:pStyle w:val="BookText"/>
        <w:rPr/>
      </w:pPr>
      <w:r>
        <w:rPr>
          <w:rFonts w:ascii="IRNazanin" w:hAnsi="IRNazanin" w:eastAsia="IRNazanin"/>
          <w:color w:val="111111"/>
          <w:sz w:val="28"/>
          <w:sz w:val="28"/>
          <w:szCs w:val="28"/>
          <w:rtl w:val="true"/>
          <w:lang w:bidi="fa-IR"/>
        </w:rPr>
        <w:t>بزرگواران،با امکان و لزوم تصدی این منصب از سوی فقها در زمان غیبت هیچ تنافی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ازاین‌رو،تنها کسانی را می‌توان به دیدگاه عدم جواز معتقد دانست که تفویض این منصب به فقها را به دیده تردید یا انکار نگریسته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 سخنان محقق و علامه حلی،فاضل آبی،میرزای قمی،شیخ انصاری،سید احمد خوانساری و از معاصران،سید محمد شیرازی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ترتیب،روشن شد که دیدگاه عدم جواز نیز طرفدارانی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بتوانیم بر اساس وجوه مطرح شده،قول متقدمان از ایشان،نظیر ابن‌ادریس و ابن‌زهره را توجیه کنیم،عبارات متأخران از ایشان صریح در عدم جواز است و تأویل‌پذیر نیست</w:t>
      </w:r>
      <w:r>
        <w:rPr>
          <w:rFonts w:eastAsia="IRNazanin" w:cs="IRNazanin"/>
          <w:color w:val="111111"/>
          <w:sz w:val="28"/>
          <w:szCs w:val="28"/>
          <w:rtl w:val="true"/>
          <w:lang w:bidi="fa-IR"/>
        </w:rPr>
        <w:t>.</w:t>
      </w:r>
      <w:bookmarkStart w:id="313" w:name="pg5664_43394"/>
    </w:p>
    <w:p>
      <w:pPr>
        <w:pStyle w:val="Heading3"/>
        <w:numPr>
          <w:ilvl w:val="2"/>
          <w:numId w:val="1"/>
        </w:numPr>
        <w:rPr/>
      </w:pPr>
      <w:bookmarkStart w:id="314" w:name="__RefHeading___Toc3419818_581953129"/>
      <w:bookmarkStart w:id="315" w:name="_Toc126"/>
      <w:bookmarkEnd w:id="313"/>
      <w:bookmarkEnd w:id="314"/>
      <w:r>
        <w:rPr/>
        <w:t>2</w:t>
      </w:r>
      <w:r>
        <w:rPr>
          <w:rtl w:val="true"/>
        </w:rPr>
        <w:t>-</w:t>
      </w:r>
      <w:r>
        <w:rPr>
          <w:rtl w:val="true"/>
        </w:rPr>
        <w:t>دلایل دیدگاه عدم جواز اقامه حدود</w:t>
      </w:r>
      <w:bookmarkEnd w:id="315"/>
    </w:p>
    <w:p>
      <w:pPr>
        <w:pStyle w:val="Heading4"/>
        <w:numPr>
          <w:ilvl w:val="3"/>
          <w:numId w:val="1"/>
        </w:numPr>
        <w:rPr/>
      </w:pPr>
      <w:bookmarkStart w:id="316" w:name="__RefHeading___Toc3419820_581953129"/>
      <w:bookmarkStart w:id="317" w:name="_Toc127"/>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دلایل دیدگاه عدم جواز اقامه حدود</w:t>
      </w:r>
    </w:p>
    <w:p>
      <w:pPr>
        <w:pStyle w:val="BookText"/>
        <w:rPr/>
      </w:pPr>
      <w:r>
        <w:rPr>
          <w:rFonts w:ascii="IRNazanin" w:hAnsi="IRNazanin" w:eastAsia="IRNazanin"/>
          <w:color w:val="111111"/>
          <w:sz w:val="28"/>
          <w:sz w:val="28"/>
          <w:szCs w:val="28"/>
          <w:rtl w:val="true"/>
          <w:lang w:bidi="fa-IR"/>
        </w:rPr>
        <w:t>در تبیین دیدگاه عدم جواز اقامه حدود،دلایلی در آثار فقها ارائه شده که در این نوشتار پس از استخراج این دلایل،به ارائه آنها در دو فصل با عناوین دلایل تحلیلی و نقلی پرداخته‌ایم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تحلیلی خود در برگیرنده دو دلیل عمده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شرایط اجتماعی خاص برای اقامه حدود و عدم حجیت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نقلی نیز که در فصل دوم این بخش بررسی می‌شود،دربرگیرنده چهار دلیل است که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منقول از دریس و ابن‌زهره،روایت اشعثیات،قاعده درأ و احتیاط در دماء</w:t>
      </w:r>
      <w:r>
        <w:rPr>
          <w:rFonts w:eastAsia="IRNazanin" w:cs="IRNazanin"/>
          <w:color w:val="111111"/>
          <w:sz w:val="28"/>
          <w:szCs w:val="28"/>
          <w:rtl w:val="true"/>
          <w:lang w:bidi="fa-IR"/>
        </w:rPr>
        <w:t>.</w:t>
      </w:r>
    </w:p>
    <w:p>
      <w:pPr>
        <w:pStyle w:val="Heading4"/>
        <w:numPr>
          <w:ilvl w:val="3"/>
          <w:numId w:val="1"/>
        </w:numPr>
        <w:rPr/>
      </w:pPr>
      <w:bookmarkStart w:id="318" w:name="__RefHeading___Toc3419822_581953129"/>
      <w:bookmarkStart w:id="319" w:name="_Toc128"/>
      <w:bookmarkEnd w:id="318"/>
      <w:r>
        <w:rPr>
          <w:rtl w:val="true"/>
        </w:rPr>
        <w:t>دلایل تحلیلی</w:t>
      </w:r>
      <w:bookmarkEnd w:id="319"/>
    </w:p>
    <w:p>
      <w:pPr>
        <w:pStyle w:val="Heading5"/>
        <w:numPr>
          <w:ilvl w:val="4"/>
          <w:numId w:val="1"/>
        </w:numPr>
        <w:rPr/>
      </w:pPr>
      <w:bookmarkStart w:id="320" w:name="__RefHeading___Toc3419824_581953129"/>
      <w:bookmarkStart w:id="321" w:name="_Toc129"/>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خواننده محترم توجه داشته باشد که در این فصل به جای عنوان دلایل عقلی،دلایل تحلیلی برگزیده شده است؛زیرا ادله این فصل عموماً از نوع برهان و قیاس عقلی نیست،بلکه بیشتر تحلیل‌هایی عقلی مراد است که چه‌بسا زمینه‌ها و مقدمات شرعی داشته باشند</w:t>
      </w:r>
      <w:r>
        <w:rPr>
          <w:rFonts w:eastAsia="IRNazanin" w:cs="IRNazanin"/>
          <w:color w:val="111111"/>
          <w:sz w:val="28"/>
          <w:szCs w:val="28"/>
          <w:rtl w:val="true"/>
          <w:lang w:bidi="fa-IR"/>
        </w:rPr>
        <w:t>.</w:t>
      </w:r>
    </w:p>
    <w:p>
      <w:pPr>
        <w:pStyle w:val="Heading5"/>
        <w:numPr>
          <w:ilvl w:val="4"/>
          <w:numId w:val="1"/>
        </w:numPr>
        <w:rPr/>
      </w:pPr>
      <w:bookmarkStart w:id="322" w:name="__RefHeading___Toc3419826_581953129"/>
      <w:bookmarkStart w:id="323" w:name="_Toc130"/>
      <w:bookmarkEnd w:id="322"/>
      <w:r>
        <w:rPr/>
        <w:t>1</w:t>
      </w:r>
      <w:r>
        <w:rPr>
          <w:rtl w:val="true"/>
        </w:rPr>
        <w:t>-</w:t>
      </w:r>
      <w:r>
        <w:rPr>
          <w:rtl w:val="true"/>
        </w:rPr>
        <w:t>لزوم شرایط اجتماعی خاص،برای اجرای حدود</w:t>
      </w:r>
      <w:bookmarkEnd w:id="323"/>
    </w:p>
    <w:p>
      <w:pPr>
        <w:pStyle w:val="Heading6"/>
        <w:numPr>
          <w:ilvl w:val="5"/>
          <w:numId w:val="1"/>
        </w:numPr>
        <w:rPr/>
      </w:pPr>
      <w:bookmarkStart w:id="324" w:name="__RefHeading___Toc3419828_581953129"/>
      <w:bookmarkStart w:id="325" w:name="_Toc131"/>
      <w:bookmarkEnd w:id="324"/>
      <w:r>
        <w:rPr>
          <w:rtl w:val="true"/>
        </w:rPr>
        <w:t>اشاره</w:t>
      </w:r>
      <w:bookmarkEnd w:id="32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محققان،دلیل خاص و منحصر به فردی برای قول به عدم جواز مطرح کرده‌اند و معتقدند برای اقامه حدود،وجود شرطها و پیش‌فرض‌هایی لازم است؛چرا که اسلام مجموعه‌ای از قوانین ارزشمند و سازنده است که در آن رعایت تمامی ابعاد گوناگون تربیتی،اخلاقی،اجتماعی و مدیریتی تضمین شده است و از همه بالاتر،یک</w:t>
      </w:r>
    </w:p>
    <w:p>
      <w:pPr>
        <w:pStyle w:val="BookText"/>
        <w:rPr/>
      </w:pPr>
      <w:r>
        <w:rPr>
          <w:rFonts w:ascii="IRNazanin" w:hAnsi="IRNazanin" w:eastAsia="IRNazanin"/>
          <w:color w:val="111111"/>
          <w:sz w:val="28"/>
          <w:sz w:val="28"/>
          <w:szCs w:val="28"/>
          <w:rtl w:val="true"/>
          <w:lang w:bidi="fa-IR"/>
        </w:rPr>
        <w:t>نظام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دارد که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تمامی این ابعاد،انسجام کامل و ارتباطی شگفت‌انگیز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مجموعه،تربیت انسان‌ها و تعالی و رشد آنان و متخلق شدن به اخلاق نیک،مورد توجه است و رعایت تمامی این نکات در مسائل جزایی به خوبی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رو،نمی‌توان بدون در نظر گرفتن دیگر شرایط و با نادیده انگاشتن دیگر ابعاد،صرفاً روی اجرای حدود تأکید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جامعه‌ای می‌توان اجرای حدود کرد که اصول تربیتی اسلام اجرا شده باشد،عموم مردم مقید به احکام و ملتزم به اخلاق اسلامی باشند و امر به معروف که وظیفه همگانی است،اجرا شود و به‌طورکلی،جامعه از هر نظر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فرض فقدان اجتماع جمیع شرایط که مهم‌ترین آن به نظر حقه شیعه اثنی عشریه،وجود انسان‌های کامل در رأس مدیریت اجتماعی است که نقش مؤثر در تربیت جامعه دارد،مسلّم و بدیهی است احتمال اینکه اجرای عقوبات شرعیه با تردید مواجه گردد،جدی می‌باشد و به دیگر سخن،این‌گونه مجازات‌ها در فرض آن شرایط است و در آن اوضاع و احوالات که مؤمن اگر مورد اغفال شیطان قرار گیرد و مرتکب آن اعمال گردد،بلافاصله پشیمان می‌شود و به گفته آیه کریمه وَ الَّذِینَ إِذا فَعَلُوا فاحِشَةً أَوْ ظَلَمُوا أَنْفُسَهُمْ ذَکَرُوا اللّهَ فَاسْتَغْفَرُوا لِذُنُوبِهِمْ وَ مَنْ یَغْفِرُ الذُّنُوبَ إِلاَّ اللّهُ وَ لَمْ یُصِرُّوا عَلی ما فَعَلُوا وَ هُمْ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عمران،آیه</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رحیم و غفور طلب مغفرت و توبه می‌کند و گاهی چنان از عذاب اخروی بیمناک است،شرف‌یاب محضر رسول صلّی الله علیه و آله می‌گردد و به‌منظور تخفیف عذاب الهی اقرار به گناه می‌کند و علی‌رغم آن که آن حضرت سه بار صورت مبارک را از وی می‌گرداند،برای چهارمین بار با طیب خاطر اقرار می‌کند تا حد شرعی دنیوی بر وی جاری و از این رهگذر عذاب اخروی را بر خویشتن آسان سازد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همان‌طور که صاحب این دیدگاه خود تصریح کرده،دیدگاه ایشان چندان جنبه فقاهتی ندارد،ولی خالی از اهمیت نیست </w:t>
      </w:r>
      <w:r>
        <w:rPr>
          <w:rStyle w:val="FootnoteAnchor"/>
          <w:rtl w:val="true"/>
        </w:rPr>
        <w:footnoteReference w:id="366"/>
      </w:r>
      <w:r>
        <w:rPr>
          <w:rFonts w:ascii="IRNazanin" w:hAnsi="IRNazanin" w:eastAsia="IRNazanin"/>
          <w:color w:val="111111"/>
          <w:sz w:val="28"/>
          <w:sz w:val="28"/>
          <w:szCs w:val="28"/>
          <w:rtl w:val="true"/>
          <w:lang w:bidi="fa-IR"/>
        </w:rPr>
        <w:t>و لازم است بررسی و تحلیل شود؛چه‌بسا از این رهگذر نظریه و دیدگاه جدیدی پدید آید که بتواند در پاسخ‌گویی به پرسش تحقیق راهگشا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کلام ایشان،چند احتمال درباره این شرایط ویژه قابل طرح است</w:t>
      </w:r>
      <w:r>
        <w:rPr>
          <w:rFonts w:eastAsia="IRNazanin" w:cs="IRNazanin"/>
          <w:color w:val="111111"/>
          <w:sz w:val="28"/>
          <w:szCs w:val="28"/>
          <w:rtl w:val="true"/>
          <w:lang w:bidi="fa-IR"/>
        </w:rPr>
        <w:t>:</w:t>
      </w:r>
      <w:bookmarkStart w:id="326" w:name="pg5664_43396"/>
    </w:p>
    <w:p>
      <w:pPr>
        <w:pStyle w:val="Heading6"/>
        <w:numPr>
          <w:ilvl w:val="5"/>
          <w:numId w:val="1"/>
        </w:numPr>
        <w:rPr/>
      </w:pPr>
      <w:bookmarkStart w:id="327" w:name="__RefHeading___Toc3419830_581953129"/>
      <w:bookmarkStart w:id="328" w:name="_Toc132"/>
      <w:bookmarkEnd w:id="326"/>
      <w:bookmarkEnd w:id="327"/>
      <w:r>
        <w:rPr>
          <w:rtl w:val="true"/>
        </w:rPr>
        <w:t>الف</w:t>
      </w:r>
      <w:r>
        <w:rPr>
          <w:rtl w:val="true"/>
        </w:rPr>
        <w:t>)</w:t>
      </w:r>
      <w:r>
        <w:rPr>
          <w:rtl w:val="true"/>
        </w:rPr>
        <w:t>وجود انسان کامل در رأس مدیریت اجتماعی</w:t>
      </w:r>
      <w:bookmarkEnd w:id="328"/>
    </w:p>
    <w:p>
      <w:pPr>
        <w:pStyle w:val="BookText"/>
        <w:rPr/>
      </w:pPr>
      <w:r>
        <w:rPr>
          <w:rFonts w:ascii="IRNazanin" w:hAnsi="IRNazanin" w:eastAsia="IRNazanin"/>
          <w:color w:val="111111"/>
          <w:sz w:val="28"/>
          <w:sz w:val="28"/>
          <w:szCs w:val="28"/>
          <w:rtl w:val="true"/>
          <w:lang w:bidi="fa-IR"/>
        </w:rPr>
        <w:t>امامیه برآن است که عصمت،شرط امامت است و باید امام معصوم زمام امور جامعه را به دست گیرد و جامعه را به سوی خیر و صلاح رهنمون باشد،تا جامعه به سمت سعادت و کمال سوق یابد و جامعه آرمانی که همواره بشر در پی آن بوده،محقق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نباید از نظر دور داشت که اگر امام معصوم حاکمیت را به دست گیرد،افزون بر تعالی معنوی جامعه،این تضمین وجود دارد که هیچ‌گاه در این جامعه به کسی ستم نمی‌شود و هر کس به آنچه استحقاق دارد،می‌رسد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نتیجه،مجرم در این جامعه اجرای مجازات را ستم به خود نمی‌پندارد،بلکه آن را نتیجه اعمال ناشایست خود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رو،نه‌تنها از مجازات گریزان نیست،چه‌بسا به آن مباهات نیز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زمان امیرمؤمنان علیه السلام جوانی سیه‌چهره که محکوم به سرقت است،پس از احراز جمیع شرایط مربوط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ید 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جدا می‌شود؛لیکن شیوه علی علیه السلام در رفتار با مجرم و حتی اعاده حیثیت او،و نیز چاره‌جویی در عدم رجوع به گناه و بزهکاری به‌گونه‌ای است که مجرم را از مراجعه به گناه شرمنده و سرافکنده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در حالی که دستش در محکمه علی علیه السلام قطع گردیده،به عنصری مخالف حکومت تبدیل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روانه منزل است،یکی از مخالفان علی علیه السلام علیه او را می‌بیند و می‌پندارد فرصت خوبی برای تحریک و طعنه زدن است و انتظار دارد با واکنش تند و ابراز جملات تلخ راجع به علی علیه السلام از سوی جوان روبه‌رو شود،ولی با شگفتی با پاسخی این چنین روبه‌رو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یمینی سید الوصیین و اولی بالناس بالمؤمنین علی بن ابیطالب،امام الهدی،السابق الی حساب النعیم،الهادی الی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والناطق بالسداد</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با این بیان،تقریری از شرط حضور امام معصوم برای اقامه حدود است؛یعنی تنها در صورتی که امام معصوم امامت امت اسلامی را به دست گیرد،اقامه حدود از سوی ایشان و کارگزاران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دقیقاً آن چیزی است که پرسش اصلی تحقیق بر اساس آن شکل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صورت عدم حضور معصوم کسان</w:t>
      </w:r>
      <w:bookmarkStart w:id="329" w:name="pg5664_43397"/>
    </w:p>
    <w:p>
      <w:pPr>
        <w:pStyle w:val="BookText"/>
        <w:rPr/>
      </w:pPr>
      <w:bookmarkEnd w:id="329"/>
      <w:r>
        <w:rPr>
          <w:rFonts w:ascii="IRNazanin" w:hAnsi="IRNazanin" w:eastAsia="IRNazanin"/>
          <w:color w:val="111111"/>
          <w:sz w:val="28"/>
          <w:sz w:val="28"/>
          <w:szCs w:val="28"/>
          <w:rtl w:val="true"/>
          <w:lang w:bidi="fa-IR"/>
        </w:rPr>
        <w:t>دیگری نظیر فقها هستند که مجاز به اقامه حدود باشند یا خیر؟هدف ما نیز پاسخ‌گویی به همین پرسش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از لابه‌لای این کتاب نکته‌های قابل عرضه تراوش کند و در نهایت به این دغدغه اساسی پاسخ داده شود</w:t>
      </w:r>
      <w:r>
        <w:rPr>
          <w:rFonts w:eastAsia="IRNazanin" w:cs="IRNazanin"/>
          <w:color w:val="111111"/>
          <w:sz w:val="28"/>
          <w:szCs w:val="28"/>
          <w:rtl w:val="true"/>
          <w:lang w:bidi="fa-IR"/>
        </w:rPr>
        <w:t>.</w:t>
      </w:r>
    </w:p>
    <w:p>
      <w:pPr>
        <w:pStyle w:val="Heading6"/>
        <w:numPr>
          <w:ilvl w:val="5"/>
          <w:numId w:val="1"/>
        </w:numPr>
        <w:rPr/>
      </w:pPr>
      <w:bookmarkStart w:id="330" w:name="__RefHeading___Toc3419832_581953129"/>
      <w:bookmarkStart w:id="331" w:name="_Toc133"/>
      <w:bookmarkEnd w:id="330"/>
      <w:r>
        <w:rPr>
          <w:rtl w:val="true"/>
        </w:rPr>
        <w:t>ب</w:t>
      </w:r>
      <w:r>
        <w:rPr>
          <w:rtl w:val="true"/>
        </w:rPr>
        <w:t>)</w:t>
      </w:r>
      <w:r>
        <w:rPr>
          <w:rtl w:val="true"/>
        </w:rPr>
        <w:t>جامعه توحیدی و مدینه فاضله</w:t>
      </w:r>
      <w:bookmarkEnd w:id="331"/>
    </w:p>
    <w:p>
      <w:pPr>
        <w:pStyle w:val="BookText"/>
        <w:rPr/>
      </w:pPr>
      <w:r>
        <w:rPr>
          <w:rFonts w:ascii="IRNazanin" w:hAnsi="IRNazanin" w:eastAsia="IRNazanin"/>
          <w:color w:val="111111"/>
          <w:sz w:val="28"/>
          <w:sz w:val="28"/>
          <w:szCs w:val="28"/>
          <w:rtl w:val="true"/>
          <w:lang w:bidi="fa-IR"/>
        </w:rPr>
        <w:t>شاید این دیدگاه نیز قابل طرح باشد که خود معصوم و حضور وی موضوعیت ندارد،بلکه آثار حضور و تصرف وی در جامعه است که اقامه حدود را مجاز می‌سازد،و زایل شدن این آثار است که این امر را ناروا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خواجه نصیرالدین طوسی در 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تصرفه لطف آخر</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گرچه وجود امام،حتی در پس پرده‌های غیبت،لطفی است از سوی حضرت احدیت،که در کمال و سعادت جامعه بشری اثرگذار است،بی‌گمان تصرف امام است که جامعه را به هدف غایی می‌رساند و آن‌را به مدینه فاضله‌ای مبدل می‌سازد که آرزوی همه انسان‌ها بوده 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برخی را بر آن داشته تا مدعی شوند فقط در سایه حکومت عدل پیشوایان معصوم،این احکام امکان عملی شدن دارند و در جامعه فعلی ما جایی برای این قبیل مجازات‌ها نیست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تا وقتی نیازهای اساسی انسانی مانند غذا،مسکن و مُلک برآورده نشده،دلیلی برای قطع دست سارق وجود ندارد و تا هنگامی که نظام اخلاقی جامعه،نوشیدن محرمات و ارتکاب محرمات را ممنوع نداند،شلاق زدن شارب خمر ناموجه است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به عبارت روشن‌تر،تا وقتی همه جنبه‌های اسلام،اعم از اقتصادی،سیاسی،اجتماعی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اجرا نشود،اقامه حدود مجاز نیست</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دلایلی که برای این مدعا ارائه شده،عبارت‌اند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زمانی به احکام جزایی اسلام روی آورد که اسلام را به طور کامل در مدینه اجرا کرد و اسباب و زمینه‌های فساد ریشه‌کن گشت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تُفْسِدُوا فِی الْأَرْضِ بَعْدَ إِصْلاحِها وَ ادْعُوهُ خَوْفاً وَ طَمَعاً إِنَّ رَحْمَتَ اللّهِ قَرِیبٌ مِنَ الْمُحْسِنِینَ ؛و در زمین پس از اصلاح آن فساد نینگیزید و او را از روی بیم و امید بخوانید؛چون رحمت خدا به نیکوکاران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که ابتدا باید اصلاح صورت گیرد و سپس از فساد منع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روایات تفسیری آمده،این آیه از فساد در زمین پس از آن که با بعثت انبیا اصلاح گردید،منع می‌نماید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پس ابتدا باید جامعه اصلاح شود،آن‌گاه در صورتی که بعد از اصلاح همچنان عده‌ای به فساد در زمین پرداختند،این فساد انگیزان با اقامه حدود و تعزیرات،به مجازات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رجوع به تفسیرهایی که از این آیه ارائه شده،مدعای فوق را ثابت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در تفسیر المیزان این قسمت از آیه را وظیفه‌ای اجتماعی و مسئولیت هر یک از افراد جامعه در برابر یکدیگر دانسته است</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بر این اساس،مفاد آیه دستوری است به اصلاح امور مردم و ریشه‌کن ساختن ستم از میان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تفسیر،این آیه نه‌تنها از اجرای حدود منع نمی‌کند،بلکه به اصلاح جامعه و از میان بردن زمینه‌های فساد و ستم ترغیب می‌نماید،در حالی که می‌دانیم هدف اصلی از تشریع حدود نیز،همین امر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خود مؤید جواز اقامه حدود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اصل مدعا و لزوم اسلامی شدن همه‌جانبه اجتماع،امری است صحیح و لازم،ولی هیچ دلیلی در دست نیست که احکام جزایی اسلام باید پس از نهادینه شدن دیگر نهادهای اسلامی اجرا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آوردن از سیره رسول خدا صلّی الله علیه و آله نیز پذیرفتنی نیست؛چون تأخیر در تشریع،دلیل تأخیر در اجرا بعد از کامل شدن تشریع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آری،لازم است جامعه به سوی تطبیق کامل اسلام پیش رود،ولی باید همه جوانب</w:t>
      </w:r>
    </w:p>
    <w:p>
      <w:pPr>
        <w:pStyle w:val="BookText"/>
        <w:rPr/>
      </w:pPr>
      <w:r>
        <w:rPr>
          <w:rFonts w:ascii="IRNazanin" w:hAnsi="IRNazanin" w:eastAsia="IRNazanin"/>
          <w:color w:val="111111"/>
          <w:sz w:val="28"/>
          <w:sz w:val="28"/>
          <w:szCs w:val="28"/>
          <w:rtl w:val="true"/>
          <w:lang w:bidi="fa-IR"/>
        </w:rPr>
        <w:t>آن با هم رشد کنند و دلیلی بر تقدم جنبه‌ای بر دیگری نداریم یا دست‌کم دلیلی بر تأخر نظام جزایی بر دیگر نظامات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دیگر،اگر جامعه از هر نظر اسلامی‌شود و به حد اعلای رشد برسد،وقوع جرام‌هایی که مستلزم چنان مجازات‌های شدیدی باشد،نادر و بعید </w:t>
      </w:r>
      <w:r>
        <w:rPr>
          <w:rStyle w:val="FootnoteAnchor"/>
          <w:rtl w:val="true"/>
        </w:rPr>
        <w:footnoteReference w:id="375"/>
      </w:r>
      <w:r>
        <w:rPr>
          <w:rFonts w:ascii="IRNazanin" w:hAnsi="IRNazanin" w:eastAsia="IRNazanin"/>
          <w:color w:val="111111"/>
          <w:sz w:val="28"/>
          <w:sz w:val="28"/>
          <w:szCs w:val="28"/>
          <w:rtl w:val="true"/>
          <w:lang w:bidi="fa-IR"/>
        </w:rPr>
        <w:t>و حتی ممکن است محال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فلسفه تشریع حدود چیست؟وقتی جامعه به مدد تربیت اسلامی به آن حد از درک دینی رسیده و چنین مدینه فاضله‌ای پدید آمده،چه نیازی به تشریع حدود است؟آیا تشریع حدود امری لغو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که برخی مدعی‌اند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وقوع چنین جرایمی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 ایده‌آلی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آن مشمول انواع قیود و شروط است و نیز امکان تبدیل مجازات وجود دارد؛زیرا فلسفه ادیان پرورش مکارم اخلاقی و بازپروری و ترمیم است،نه قلع و قمع و نابودی</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اگر قرار باشد مجازات‌ها هرگز اجرا نشود،پس چرا تشریع شده است،در حالی که فرض این است که جامعه به مدینه فاضله بدل گشته و افراد آن دارای بالاترین سطح درک و معرفت دینی هستند،قطعاً در چنین شرایطی نمی‌توان تشریع حدود را فقط برای بازدارندگی آن دانست،صرف‌نظر از این که قانون هر قدر شدید باشد،تا وقتی اجرا نشود،بازدارندگی ندارد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آیا جز این است که جرم حقیقتی انکارناپذیر در جامعه بشری است و همواره در هر جامعه مجرمان خطرناکی هستند که قابل اصلاح نیستند؛با این مجرمان چه باید کرد؟آیا بایسته نیست با مجازات شدید آنها،افزون بر تطهیر جامعه،در دیگر افراد بازدارندگی پدید آورد؟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انتظار داشت جامعه از هر نظر ایده‌آل شود،آن‌گاه اقامه حدود صورت</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در زمان معصومان نیز جامعه هیچ‌گاه عاری از جرم و بزهکاری نگشته،وجود افراد معدودی که برای رهایی از عذاب دردناک قیامت،عذاب دنیوی را به جان خریدند و بر تطهیر از گناه با اجرای حدود اصرار داشتند،به معنای پاکی و عصمت جامعه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قضیه‌ای وقتی زنی به حضور حضرت امیرمؤمنان علی علیه السلام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زَنَیتُ فطهرنی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 حد شرعی طلب می‌کند،وقتی برای حضرت شرایط احصان معلوم می‌شود،می‌فرماید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پس از وضع حمل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پس از وضع حمل می‌آید و باز اقرار و درخواست اجرای حد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فرزندت را شیر بده و بعد از اتمام رضاع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 می‌آید و اقرار و درخواست اجرای حد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تو دو ساله است و قدرت حفظ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او را بزرگ کن تا حدی که بتواند خودش را تغذیه کند،از بلندی پرت نشود و در چاه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حالی که گریه می‌کند و از دقت و رأفت همه‌جانبه حضرت در شگفت است،جلسه را ترک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چهارمین بار که می‌آید و اقرار می‌کند،حضرت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همه با صورت بسته جمع شوید و بعد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با پیامبرش عهدی بسته که آن حضرت هم همان عهد را با من بسته،مبنی بر اینکه کسی که به گردن او حد است،نباید حد شرعی اجرا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خدا بر گردن او حدی ندارد،بر این زن حد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همه حاضران صحنه را ترک می‌کنند و کسی جز علی و حسنین علیهم السلام باقی نمی‌ماند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گرچه صدر این روایت و توجه به شخصیت زنی که این‌چنین تحت‌تأثیر وجدان بیدار خویش قرار گرفته،انسان را متأثر می‌کند،ولی پایان آن نشان می‌دهد در جامعه اسلامی آن زمان هم از این قبیل افراد انگشت‌شمار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سو،روشن می‌سازد که در همان زمان هم چقدر جرم فراگیر بوده،به حدی که جز خود امام و حسنین کسی در میدان برای اقامه حد باقی نمی‌ماند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هم نباید نادیده انگاشت که چه‌بسا از برخی جهات،معرفت دینی مردم</w:t>
      </w:r>
      <w:bookmarkStart w:id="332" w:name="pg5664_43401"/>
    </w:p>
    <w:p>
      <w:pPr>
        <w:pStyle w:val="BookText"/>
        <w:rPr/>
      </w:pPr>
      <w:bookmarkEnd w:id="332"/>
      <w:r>
        <w:rPr>
          <w:rFonts w:ascii="IRNazanin" w:hAnsi="IRNazanin" w:eastAsia="IRNazanin"/>
          <w:color w:val="111111"/>
          <w:sz w:val="28"/>
          <w:sz w:val="28"/>
          <w:szCs w:val="28"/>
          <w:rtl w:val="true"/>
          <w:lang w:bidi="fa-IR"/>
        </w:rPr>
        <w:t>در این زمان بیش از زمان رسول خدا صلّی الله علیه و آله و معصومان علیهم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همین دلیل است که از وجود مقدس امام سجاد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می‌دانست در آخرالزمان اقوامی می‌آیند که در مسائل تعمق و دقت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سوره قل هو الله احد و آیات ابتدای سوره حدید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Style w:val="FootnoteAnchor"/>
          <w:rtl w:val="true"/>
        </w:rPr>
        <w:footnoteReference w:id="379"/>
      </w:r>
    </w:p>
    <w:p>
      <w:pPr>
        <w:pStyle w:val="Heading6"/>
        <w:numPr>
          <w:ilvl w:val="5"/>
          <w:numId w:val="1"/>
        </w:numPr>
        <w:rPr/>
      </w:pPr>
      <w:bookmarkStart w:id="333" w:name="__RefHeading___Toc3419834_581953129"/>
      <w:bookmarkStart w:id="334" w:name="_Toc134"/>
      <w:bookmarkEnd w:id="333"/>
      <w:r>
        <w:rPr>
          <w:rtl w:val="true"/>
        </w:rPr>
        <w:t>ج</w:t>
      </w:r>
      <w:r>
        <w:rPr>
          <w:rtl w:val="true"/>
        </w:rPr>
        <w:t>)</w:t>
      </w:r>
      <w:r>
        <w:rPr>
          <w:rtl w:val="true"/>
        </w:rPr>
        <w:t>توجه به زمینه‌های اجتماعی جرم</w:t>
      </w:r>
      <w:bookmarkEnd w:id="334"/>
    </w:p>
    <w:p>
      <w:pPr>
        <w:pStyle w:val="BookText"/>
        <w:rPr/>
      </w:pPr>
      <w:r>
        <w:rPr>
          <w:rFonts w:ascii="IRNazanin" w:hAnsi="IRNazanin" w:eastAsia="IRNazanin"/>
          <w:color w:val="111111"/>
          <w:sz w:val="28"/>
          <w:sz w:val="28"/>
          <w:szCs w:val="28"/>
          <w:rtl w:val="true"/>
          <w:lang w:bidi="fa-IR"/>
        </w:rPr>
        <w:t>برخی از نویسندگان با مدد گرفتن از تحلیل‌های جامعه‌شناسانه و تحت‌الشعاع قرار دادن اصل شخصی بودن جرم و مجازات،لزوم توجه به جنبه‌ها و زمینه‌های اجتماعی جرم را یادآور شده،اجرای مجازات‌های اسلامی را ناروا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حقوقی اسلام و نظام حقوقی غرب،اصل شخصی بودن جرم و مجازات حاکم است و در انتساب جرم به عامل و فاعل بزه،تنها به نقش فرد و مباشرت او توجه کرده و به شرایط و موجبات وقوع بزه،مانند نقش جامعه و محیط و عوامل خارجی توجه اساسی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کلی فقهی که در ماده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نیز مورد استفاده قرار گرفته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اجتماع مباشر و سبب در جنایت،مباشر ضامن است،مگر اینکه سبب اقوای از مباشر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مباشر اقوای از سبب است،قصاص می‌شود،اما در صورتی که شرایط و ساختار اجتماعی و عواملی که خارج از اختیار و اراده فرد هستند،در عمل وی به ارتکاب جنایت مؤثر باشند و سبب اقوای از مباشر باشد،وضعیت متفاوتی وجود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نمی‌توان چنین مقولاتی را از باب سبب اقوای از مباشر در فقه قلمداد کرد؟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نویسنده محترم در ادامه به‌زعم خود به معضلی بینشی اشاره کرده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در باب نارسایی بینشی در حقوق جزایی ما شایان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فقها و حقو قدانان ما به پدیده جرم و بزه،رویکردی شخصی بوده و به عبارت دیگر،جرم را صرفاً قائم به شخص و معلول اراده مستقل او تلقی</w:t>
      </w:r>
    </w:p>
    <w:p>
      <w:pPr>
        <w:pStyle w:val="BookText"/>
        <w:rPr/>
      </w:pPr>
      <w:r>
        <w:rPr>
          <w:rFonts w:ascii="IRNazanin" w:hAnsi="IRNazanin" w:eastAsia="IRNazanin"/>
          <w:color w:val="111111"/>
          <w:sz w:val="28"/>
          <w:sz w:val="28"/>
          <w:szCs w:val="28"/>
          <w:rtl w:val="true"/>
          <w:lang w:bidi="fa-IR"/>
        </w:rPr>
        <w:t>کرده‌اند،در حالی که بر اساس پژوهش‌های عمیق جامعه‌شناسانی چون دورکیم،پدیده‌هایی مانند خودکشی و طلاق در شخصی‌ترین صورت خود نیز امری کاملاً اجتماعی و ناشی از جامعه است،نه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شخصی‌ترین امور به نظر می‌آیند و گویا بر اثر حوادث کاملاً خصوصی و بین دو نفر بر اساس تصمیم کاملاً فردی روی داده‌اند،اما اموری کاملاً اجتماعی‌اند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دورکیم ثابت می‌کند چگونه در جوامع بسیار دور از هم و دارای فرهنگ و عقاید و تاریخ متفاوت،ولی همسان از نظر ساختاری،منحنی انواع خودکشی در آن مشابه یکدیگرند</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توجه است که از نظر فقه امامیه،سبب در صورتی ضامن است که فعل فاعل اختیاری بین سبب و وقوع جرم فاصله نشده باشد </w:t>
      </w:r>
      <w:r>
        <w:rPr>
          <w:rStyle w:val="FootnoteAnchor"/>
          <w:rtl w:val="true"/>
        </w:rPr>
        <w:footnoteReference w:id="382"/>
      </w:r>
      <w:r>
        <w:rPr>
          <w:rFonts w:ascii="IRNazanin" w:hAnsi="IRNazanin" w:eastAsia="IRNazanin"/>
          <w:color w:val="111111"/>
          <w:sz w:val="28"/>
          <w:sz w:val="28"/>
          <w:szCs w:val="28"/>
          <w:rtl w:val="true"/>
          <w:lang w:bidi="fa-IR"/>
        </w:rPr>
        <w:t>و مباشر تنها در صورتی مبرا از مسئولیت است که فعل به سبب نسبت داده شود،و مباشر غیرمختار بوده،فعل به صورت اختیاری از وی صادر نشده باشد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به نظر می‌رسد نویسنده محترم نیز به این حقیقت اشراف داشته که صرف عوامل و زمینه‌های اجتماعی جرم تا وقتی به حد اضطرار و اکراه نرسد،موجب اقوی شدن سبب در مقایسه با مباشر نمی‌گردد و به همین دلیل،این حکم را ناشی از معضلی بینشی در حقوق جزای اسلام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آری،دریافت نویسنده محترم از بینش اسلامی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بینش اسلامی در عین حال که نقش عوامل اجتماعی در وقوع جرم انکار نمی‌شود و در میزان مجازات اثرگذار است،انسان را موجودی مختار و دارای درک و شعور می‌داند و برای چنین انسان‌های ذی‌شعوری تشریع احکام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نتیجه،اگر فردی اختیار یا قوه درک خود را از دست دهد،همچون افراد عادی جامعه مجازات نخواهد شد،ولی به نظر می‌رسد شایسته نیست آن طور که دروکیم معتقد است و نویسنده محترم به آن اذعان دارد،بیشتر افراد جامعه را فاقد درک و شعور یا اختیار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مؤثر بودن عوامل اجتماعی در وقوع جرم،به معنای سلب اختیار از</w:t>
      </w:r>
      <w:bookmarkStart w:id="335" w:name="pg5664_43403"/>
    </w:p>
    <w:p>
      <w:pPr>
        <w:pStyle w:val="BookText"/>
        <w:rPr/>
      </w:pPr>
      <w:bookmarkEnd w:id="335"/>
      <w:r>
        <w:rPr>
          <w:rFonts w:ascii="IRNazanin" w:hAnsi="IRNazanin" w:eastAsia="IRNazanin"/>
          <w:color w:val="111111"/>
          <w:sz w:val="28"/>
          <w:sz w:val="28"/>
          <w:szCs w:val="28"/>
          <w:rtl w:val="true"/>
          <w:lang w:bidi="fa-IR"/>
        </w:rPr>
        <w:t>بزهکار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تحقیقاتی از این دست نیز در نهایت ثابت می‌کنند عوامل اجتماعی در وقوع هر جرمی دخیل است،ولی این به معنای نفی نقش اصلی فرد در وقوع بزه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این،حقوق غرب نیز در این نظر تفاوت چندانی با حقوق اسلامی ندارد و دو شرط به عنوان پایه‌های مسئولیت کیفری در حقوق غربی به شمار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و آزادی اراده یا آگاهی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دلیل،قانون‌گذاران اصولاً صغار،مجانین و افراد مجبور را فاقد مسئولیت کیفری و اهلیت جنایی می‌دانند؛زیرا یا ادراک آن‌ها یا اختیارشان و یا هر دو مخدوش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بنابراین،قابلیت سرزنش داشتن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blomeworthiness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شرط اساسی تحمل مسئولیت کیفری و مجازات است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بدیهی است با تحقق مسئولیت کیفری فرد در صورت ارتکاب جرم،مجرم شناخته می‌شود و اجرای مجازات به‌منظور دستیابی به اهداف سیاست جنایی،ضروری است</w:t>
      </w:r>
      <w:r>
        <w:rPr>
          <w:rFonts w:eastAsia="IRNazanin" w:cs="IRNazanin"/>
          <w:color w:val="111111"/>
          <w:sz w:val="28"/>
          <w:szCs w:val="28"/>
          <w:rtl w:val="true"/>
          <w:lang w:bidi="fa-IR"/>
        </w:rPr>
        <w:t>.</w:t>
      </w:r>
    </w:p>
    <w:p>
      <w:pPr>
        <w:pStyle w:val="Heading6"/>
        <w:numPr>
          <w:ilvl w:val="5"/>
          <w:numId w:val="1"/>
        </w:numPr>
        <w:rPr/>
      </w:pPr>
      <w:bookmarkStart w:id="336" w:name="__RefHeading___Toc3419836_581953129"/>
      <w:bookmarkStart w:id="337" w:name="_Toc135"/>
      <w:bookmarkEnd w:id="336"/>
      <w:r>
        <w:rPr>
          <w:rtl w:val="true"/>
        </w:rPr>
        <w:t>د</w:t>
      </w:r>
      <w:r>
        <w:rPr>
          <w:rtl w:val="true"/>
        </w:rPr>
        <w:t>)</w:t>
      </w:r>
      <w:r>
        <w:rPr>
          <w:rtl w:val="true"/>
        </w:rPr>
        <w:t>جامع‌نگری به احکام تربیتی اسلام</w:t>
      </w:r>
      <w:bookmarkEnd w:id="337"/>
    </w:p>
    <w:p>
      <w:pPr>
        <w:pStyle w:val="BookText"/>
        <w:rPr/>
      </w:pPr>
      <w:r>
        <w:rPr>
          <w:rFonts w:ascii="IRNazanin" w:hAnsi="IRNazanin" w:eastAsia="IRNazanin"/>
          <w:color w:val="111111"/>
          <w:sz w:val="28"/>
          <w:sz w:val="28"/>
          <w:szCs w:val="28"/>
          <w:rtl w:val="true"/>
          <w:lang w:bidi="fa-IR"/>
        </w:rPr>
        <w:t>نکته دیگری که از احکام و شرایط مجازات‌ها قابل استنباط است اینکه،نمی‌توان نظام حقوقی اسلام را در جامعه‌ای اجرا کرد که نظام اخلاقی و تربیتی آن اجرا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دیگر،بخش‌های مختلف این احکام را باید همچون یک منظومه و یک نظام نگریست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سخن،سخن درستی است و نباید از نظر دور داشت که اصلی‌ترین هدف احکام اسلامی،تربیت فرد و جامعه،کسب فضیلت‌ها و از بین برذن رذیلت‌هاست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منظور،نخستین راه برای کسب فضایل و ریشه‌کن کردن جرم و رذایل،احکام اخلاقی است که بر اساس خیر و شر بنیاد گرفته،خوبی‌ها و بدی‌ها و فضایل و رذایل را به انسان معرفی می‌کند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دومین راه مبارزه اسلام با تباهی‌ها و جرم‌ها،دو اصل بی نظیر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راه جلوگیری از مفاسد و جرایم،قوانین فقهی و حقوقی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مباحث عبادی و غیرعبادی،یعنی روابط میان افراد با یکدیگر و رابطه آنان با خدا،حقوق افراد و وظایف آنان را به‌صورتی منظم و گسترده قانون نهاده تا کسی به حق دیگران تجاوز نکند و از راه صواب و خیر و صلاح منحرف نگردد و به ارتکاب جرم و معصیت نیفتد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اما اگر منصفانه به قضاوت بنشینیم،در شرایط کنونی،به برکت نظام ارزشمند ولایت فقیه دستورات اسلام در زمینه‌های تربیتی و اجتماعی تا حد زیادی اجرا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هم که بگوییم این تلاش‌ها در حد مطلوب نیست،مجوزی برای تعطیل حدود فراهم نمی‌آید؛چرا که هیچ رابطه طولی میان سه مرحله مطرح شده وجود ندارد و اینها باید در عرض هم رشد کنند؛یعنی نمی‌توان انتظار داشت مدتی فقط بر مسائل اخلاقی تأکید شود،آن‌گاه پس از گذشت مدتی طولانی و اطمینان از نهادینه شدن اخلاق اسلامی،به امر به معروف روی آوریم و در نهایت با حصول جمیع شرایط،به اجرای احکام الهی و از جمله حدود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برای اصلاح جامعه و زدودن آن از رذیلت‌ها و نهادینه کردن فضیلت‌ها،لازم است این کارها هم‌زمان انجام شوند،نه یکی پس از دیگری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تصور صحیحی نیست اگر بپنداریم کسی که به دلیل فقر و صرفاً برای تهیه قوت زن و فرزند مجبور به سرقت شده،به همان اندازه گنهکار است که یکی از اخلالگران کلان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توجه به این نکته ضروری است که اقامه عدالت مطلق در این دنیا ممکن نیست و این انتظار که عدالت اقتصادی و اجتماعی به‌طور کامل در جامعه پدیدار گردد،در کنار اینکه قدری آرمان‌گرایانه است،به اقدامات و اصلاحاتی در جامعه بستگی دارد که یکی از آنها،اقامه حدود به‌منظور صیانت از کیان اجتماع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دیگر،می‌توان گفت نظام‌های سیاسی،اقتصادی،</w:t>
      </w:r>
      <w:bookmarkStart w:id="338" w:name="pg5664_43405"/>
    </w:p>
    <w:p>
      <w:pPr>
        <w:pStyle w:val="BookText"/>
        <w:rPr/>
      </w:pPr>
      <w:bookmarkEnd w:id="338"/>
      <w:r>
        <w:rPr>
          <w:rFonts w:ascii="IRNazanin" w:hAnsi="IRNazanin" w:eastAsia="IRNazanin"/>
          <w:color w:val="111111"/>
          <w:sz w:val="28"/>
          <w:sz w:val="28"/>
          <w:szCs w:val="28"/>
          <w:rtl w:val="true"/>
          <w:lang w:bidi="fa-IR"/>
        </w:rPr>
        <w:t>اجتماعی،اخلاقی،حقوقی و جزایی اسلام کاملاً مرتبط با یکدیگرند و تأثیرات متقابل بر یکدیگر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رو،برای تحقق این نظام‌ها لازم است با هم و در کنار هم رشد کنند،نه این که با یکجانبه‌نگری صرفاً بر برخی از این نظام‌ها توجه و تأکید گردد و برخی دیگر به فراموشی سپرده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توجه به اقامه حدود بدون تلاش در جهت تأمین نظام اخلاقی و اقتصادی اسلام،امری است ناپسند،ولی صرف توجه به مسائل اخلاقی و عاطفی نیز هیچ‌گاه نمی‌تواند راهگشا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در این زمینه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همین حرف‌های غربی‌ها را می‌زنند که باید اصلاح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همه را اصلاح کنید بعد حد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عجیب است که اول باید این مملکت را همه را هدایت کنیم،همه تربیت بشوند،بعد حد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عجیب است که اول ما باید این مملکت را،همه را هدایت کنیم که همه تربیت بشوند،بعد حد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کسی حالا شرب خمر کرد،حالا حدش نزنیم،اول تربیتش کنیم تا مغزش اصلاح بشود؟اینها یک حرف‌های غلطی است؛باید حدود جاری بشود</w:t>
      </w:r>
      <w:r>
        <w:rPr>
          <w:rFonts w:eastAsia="IRNazanin" w:cs="IRNazanin"/>
          <w:color w:val="111111"/>
          <w:sz w:val="28"/>
          <w:szCs w:val="28"/>
          <w:rtl w:val="true"/>
          <w:lang w:bidi="fa-IR"/>
        </w:rPr>
        <w:t xml:space="preserve">. </w:t>
      </w:r>
      <w:r>
        <w:rPr>
          <w:rStyle w:val="FootnoteAnchor"/>
          <w:rtl w:val="true"/>
        </w:rPr>
        <w:footnoteReference w:id="387"/>
      </w:r>
    </w:p>
    <w:p>
      <w:pPr>
        <w:pStyle w:val="Heading5"/>
        <w:numPr>
          <w:ilvl w:val="4"/>
          <w:numId w:val="1"/>
        </w:numPr>
        <w:rPr/>
      </w:pPr>
      <w:bookmarkStart w:id="339" w:name="__RefHeading___Toc3419838_581953129"/>
      <w:bookmarkStart w:id="340" w:name="_Toc136"/>
      <w:bookmarkEnd w:id="339"/>
      <w:r>
        <w:rPr/>
        <w:t>2</w:t>
      </w:r>
      <w:r>
        <w:rPr>
          <w:rtl w:val="true"/>
        </w:rPr>
        <w:t>-</w:t>
      </w:r>
      <w:r>
        <w:rPr>
          <w:rtl w:val="true"/>
        </w:rPr>
        <w:t>عدم حجیت خبر واحد در احکام شدید کیفری</w:t>
      </w:r>
      <w:bookmarkEnd w:id="340"/>
    </w:p>
    <w:p>
      <w:pPr>
        <w:pStyle w:val="Heading6"/>
        <w:numPr>
          <w:ilvl w:val="5"/>
          <w:numId w:val="1"/>
        </w:numPr>
        <w:rPr/>
      </w:pPr>
      <w:bookmarkStart w:id="341" w:name="__RefHeading___Toc3419840_581953129"/>
      <w:bookmarkStart w:id="342" w:name="_Toc137"/>
      <w:bookmarkEnd w:id="341"/>
      <w:r>
        <w:rPr>
          <w:rtl w:val="true"/>
        </w:rPr>
        <w:t>اشاره</w:t>
      </w:r>
      <w:bookmarkEnd w:id="34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شبهه‌های قابل طرح در مسئله اقامه حدود،عدم حجیت خبر واحد در احکام شدید کیفری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صدور روایت از معصوم،مسئله حجیت اخبار آحاد مطرح می‌شود و این پرسش نمایان می‌گردد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قول یا فعل یا تقریر معصوم با خبر واحد ثابت می‌شود یا خیر؟البته اگر خبر متواتر باشد یا خبر واحد محفوف به قراین قطعی باشد،حجت است؛مثل اینکه یک شاهد یا بیشتر از آیات قرآنی موافق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بحث،اخبار آحادی است که مفید قطع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چنین اخباری شدیداً مورد اختلاف علمای امامی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نویسندگان با مستمسک قرار دادن همین اختلاف،حجیت اخبار آحاد را در ابواب جزایی به چالش کشیده‌اند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دلیل،پیش از بررسی این شبهه،لازم است دیدگاه‌های فقها را درباره حجیت خبر واحد تبیین کنیم و آن‌گاه شبهه یاد شده را درباره حدود به‌طور خاص بررسی نماییم</w:t>
      </w:r>
      <w:r>
        <w:rPr>
          <w:rFonts w:eastAsia="IRNazanin" w:cs="IRNazanin"/>
          <w:color w:val="111111"/>
          <w:sz w:val="28"/>
          <w:szCs w:val="28"/>
          <w:rtl w:val="true"/>
          <w:lang w:bidi="fa-IR"/>
        </w:rPr>
        <w:t>.</w:t>
      </w:r>
      <w:bookmarkStart w:id="343" w:name="pg5664_43406"/>
    </w:p>
    <w:p>
      <w:pPr>
        <w:pStyle w:val="Heading6"/>
        <w:numPr>
          <w:ilvl w:val="5"/>
          <w:numId w:val="1"/>
        </w:numPr>
        <w:rPr/>
      </w:pPr>
      <w:bookmarkStart w:id="344" w:name="__RefHeading___Toc3419842_581953129"/>
      <w:bookmarkStart w:id="345" w:name="_Toc138"/>
      <w:bookmarkEnd w:id="343"/>
      <w:bookmarkEnd w:id="344"/>
      <w:r>
        <w:rPr>
          <w:rtl w:val="true"/>
        </w:rPr>
        <w:t>الف</w:t>
      </w:r>
      <w:r>
        <w:rPr>
          <w:rtl w:val="true"/>
        </w:rPr>
        <w:t>)</w:t>
      </w:r>
      <w:r>
        <w:rPr>
          <w:rtl w:val="true"/>
        </w:rPr>
        <w:t>دیدگاه‌های متناقض در حجیت خبر واحد</w:t>
      </w:r>
      <w:bookmarkEnd w:id="345"/>
    </w:p>
    <w:p>
      <w:pPr>
        <w:pStyle w:val="Heading6"/>
        <w:numPr>
          <w:ilvl w:val="5"/>
          <w:numId w:val="1"/>
        </w:numPr>
        <w:rPr/>
      </w:pPr>
      <w:bookmarkStart w:id="346" w:name="__RefHeading___Toc3419844_581953129"/>
      <w:bookmarkStart w:id="347" w:name="_Toc139"/>
      <w:bookmarkEnd w:id="346"/>
      <w:r>
        <w:rPr>
          <w:rtl w:val="true"/>
        </w:rPr>
        <w:t>یکم</w:t>
      </w:r>
      <w:r>
        <w:rPr>
          <w:rtl w:val="true"/>
        </w:rPr>
        <w:t>)</w:t>
      </w:r>
      <w:r>
        <w:rPr>
          <w:rtl w:val="true"/>
        </w:rPr>
        <w:t>انکار حجیت خبر واحد،به صورت مطلق</w:t>
      </w:r>
      <w:bookmarkEnd w:id="347"/>
    </w:p>
    <w:p>
      <w:pPr>
        <w:pStyle w:val="BookText"/>
        <w:rPr/>
      </w:pPr>
      <w:r>
        <w:rPr>
          <w:rFonts w:ascii="IRNazanin" w:hAnsi="IRNazanin" w:eastAsia="IRNazanin"/>
          <w:color w:val="111111"/>
          <w:sz w:val="28"/>
          <w:sz w:val="28"/>
          <w:szCs w:val="28"/>
          <w:rtl w:val="true"/>
          <w:lang w:bidi="fa-IR"/>
        </w:rPr>
        <w:t xml:space="preserve">برخی چون سید مرتضی </w:t>
      </w:r>
      <w:r>
        <w:rPr>
          <w:rStyle w:val="FootnoteAnchor"/>
          <w:rtl w:val="true"/>
        </w:rPr>
        <w:footnoteReference w:id="388"/>
      </w:r>
      <w:r>
        <w:rPr>
          <w:rFonts w:ascii="IRNazanin" w:hAnsi="IRNazanin" w:eastAsia="IRNazanin"/>
          <w:color w:val="111111"/>
          <w:sz w:val="28"/>
          <w:sz w:val="28"/>
          <w:szCs w:val="28"/>
          <w:rtl w:val="true"/>
          <w:lang w:bidi="fa-IR"/>
        </w:rPr>
        <w:t xml:space="preserve">،ابن‌زهره،ابن‌ادریس حلی </w:t>
      </w:r>
      <w:r>
        <w:rPr>
          <w:rStyle w:val="FootnoteAnchor"/>
          <w:rtl w:val="true"/>
        </w:rPr>
        <w:footnoteReference w:id="389"/>
      </w:r>
      <w:r>
        <w:rPr>
          <w:rFonts w:ascii="IRNazanin" w:hAnsi="IRNazanin" w:eastAsia="IRNazanin"/>
          <w:color w:val="111111"/>
          <w:sz w:val="28"/>
          <w:sz w:val="28"/>
          <w:szCs w:val="28"/>
          <w:rtl w:val="true"/>
          <w:lang w:bidi="fa-IR"/>
        </w:rPr>
        <w:t xml:space="preserve">و امین‌الاسلام طبرسی </w:t>
      </w:r>
      <w:r>
        <w:rPr>
          <w:rStyle w:val="FootnoteAnchor"/>
          <w:rtl w:val="true"/>
        </w:rPr>
        <w:footnoteReference w:id="390"/>
      </w:r>
      <w:r>
        <w:rPr>
          <w:rFonts w:ascii="IRNazanin" w:hAnsi="IRNazanin" w:eastAsia="IRNazanin"/>
          <w:color w:val="111111"/>
          <w:sz w:val="28"/>
          <w:sz w:val="28"/>
          <w:szCs w:val="28"/>
          <w:rtl w:val="true"/>
          <w:lang w:bidi="fa-IR"/>
        </w:rPr>
        <w:t>حجیت خبر واحد را انکار می‌کنند</w:t>
      </w:r>
      <w:r>
        <w:rPr>
          <w:rFonts w:eastAsia="IRNazanin" w:cs="IRNazanin"/>
          <w:color w:val="111111"/>
          <w:sz w:val="28"/>
          <w:szCs w:val="28"/>
          <w:rtl w:val="true"/>
          <w:lang w:bidi="fa-IR"/>
        </w:rPr>
        <w:t>.</w:t>
      </w:r>
    </w:p>
    <w:p>
      <w:pPr>
        <w:pStyle w:val="Heading6"/>
        <w:numPr>
          <w:ilvl w:val="5"/>
          <w:numId w:val="1"/>
        </w:numPr>
        <w:rPr/>
      </w:pPr>
      <w:bookmarkStart w:id="348" w:name="__RefHeading___Toc3419846_581953129"/>
      <w:bookmarkStart w:id="349" w:name="_Toc140"/>
      <w:bookmarkEnd w:id="348"/>
      <w:r>
        <w:rPr>
          <w:rtl w:val="true"/>
        </w:rPr>
        <w:t>دوم</w:t>
      </w:r>
      <w:r>
        <w:rPr>
          <w:rtl w:val="true"/>
        </w:rPr>
        <w:t>)</w:t>
      </w:r>
      <w:r>
        <w:rPr>
          <w:rtl w:val="true"/>
        </w:rPr>
        <w:t>اثبات حجیت خبر واحد،به صورت مطلق</w:t>
      </w:r>
      <w:bookmarkEnd w:id="34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چون شیخ طوسی، </w:t>
      </w:r>
      <w:r>
        <w:rPr>
          <w:rStyle w:val="FootnoteAnchor"/>
          <w:rtl w:val="true"/>
        </w:rPr>
        <w:footnoteReference w:id="391"/>
      </w:r>
      <w:r>
        <w:rPr>
          <w:rFonts w:ascii="IRNazanin" w:hAnsi="IRNazanin" w:eastAsia="IRNazanin"/>
          <w:color w:val="111111"/>
          <w:sz w:val="28"/>
          <w:sz w:val="28"/>
          <w:szCs w:val="28"/>
          <w:rtl w:val="true"/>
          <w:lang w:bidi="fa-IR"/>
        </w:rPr>
        <w:t>به حجیت خبر واحد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خبر واحد را حجت می‌دانند،خود به دو دسته تقسیم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عقیده دارند که حجّیت اخبار آحاد به دلیل ظنون خاصه است؛یعنی دلیل خاصی از یکی از ادلّه نقلی بر حجّیت آن وجود دارد </w:t>
      </w:r>
      <w:r>
        <w:rPr>
          <w:rStyle w:val="FootnoteAnchor"/>
          <w:rtl w:val="true"/>
        </w:rPr>
        <w:footnoteReference w:id="392"/>
      </w:r>
      <w:r>
        <w:rPr>
          <w:rFonts w:ascii="IRNazanin" w:hAnsi="IRNazanin" w:eastAsia="IRNazanin"/>
          <w:color w:val="111111"/>
          <w:sz w:val="28"/>
          <w:sz w:val="28"/>
          <w:szCs w:val="28"/>
          <w:rtl w:val="true"/>
          <w:lang w:bidi="fa-IR"/>
        </w:rPr>
        <w:t>و برخی دیگر برای اثبات حجیت آنها به دلیل انسداد استدلال می‌کنند که</w:t>
      </w:r>
      <w:bookmarkStart w:id="350" w:name="pg5664_43407"/>
    </w:p>
    <w:p>
      <w:pPr>
        <w:pStyle w:val="BookText"/>
        <w:rPr/>
      </w:pPr>
      <w:bookmarkEnd w:id="350"/>
      <w:r>
        <w:rPr>
          <w:rFonts w:ascii="IRNazanin" w:hAnsi="IRNazanin" w:eastAsia="IRNazanin"/>
          <w:color w:val="111111"/>
          <w:sz w:val="28"/>
          <w:sz w:val="28"/>
          <w:szCs w:val="28"/>
          <w:rtl w:val="true"/>
          <w:lang w:bidi="fa-IR"/>
        </w:rPr>
        <w:t>دلیلی عقلی به شمار می‌آید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Style w:val="FootnoteAnchor"/>
          <w:rtl w:val="true"/>
        </w:rPr>
        <w:footnoteReference w:id="394"/>
      </w:r>
      <w:r>
        <w:rPr>
          <w:rFonts w:ascii="IRNazanin" w:hAnsi="IRNazanin" w:eastAsia="IRNazanin"/>
          <w:color w:val="111111"/>
          <w:sz w:val="28"/>
          <w:sz w:val="28"/>
          <w:szCs w:val="28"/>
          <w:rtl w:val="true"/>
          <w:lang w:bidi="fa-IR"/>
        </w:rPr>
        <w:t>انسدادی‌ها خود چند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به دلیل مقدمات انسداد،ظن را فقط مفید برائت ذمه نزد شارع می‌دانند </w:t>
      </w:r>
      <w:r>
        <w:rPr>
          <w:rStyle w:val="FootnoteAnchor"/>
          <w:rtl w:val="true"/>
        </w:rPr>
        <w:footnoteReference w:id="395"/>
      </w:r>
      <w:r>
        <w:rPr>
          <w:rFonts w:ascii="IRNazanin" w:hAnsi="IRNazanin" w:eastAsia="IRNazanin"/>
          <w:color w:val="111111"/>
          <w:sz w:val="28"/>
          <w:sz w:val="28"/>
          <w:szCs w:val="28"/>
          <w:rtl w:val="true"/>
          <w:lang w:bidi="fa-IR"/>
        </w:rPr>
        <w:t>و برخی دیگر ظن حاصل از خبر واحد را در اثبات احکام فرعی کافی می‌دانند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نکته سودمند دیگر این است که برخی همچون اخباری‌ها،اعتبار اخبار را تدوین آنها در کتب اربعه دانسته‌اند و تقسیم چهارگانه حدیث را به ضعیف،حسن،ثقه و صحیح نمی‌پذیرند</w:t>
      </w:r>
      <w:r>
        <w:rPr>
          <w:rFonts w:eastAsia="IRNazanin" w:cs="IRNazanin"/>
          <w:color w:val="111111"/>
          <w:sz w:val="28"/>
          <w:szCs w:val="28"/>
          <w:rtl w:val="true"/>
          <w:lang w:bidi="fa-IR"/>
        </w:rPr>
        <w:t xml:space="preserve">. </w:t>
      </w:r>
      <w:r>
        <w:rPr>
          <w:rStyle w:val="FootnoteAnchor"/>
          <w:rtl w:val="true"/>
        </w:rPr>
        <w:footnoteReference w:id="397"/>
      </w:r>
    </w:p>
    <w:p>
      <w:pPr>
        <w:pStyle w:val="Heading6"/>
        <w:numPr>
          <w:ilvl w:val="5"/>
          <w:numId w:val="1"/>
        </w:numPr>
        <w:rPr/>
      </w:pPr>
      <w:bookmarkStart w:id="351" w:name="__RefHeading___Toc3419848_581953129"/>
      <w:bookmarkStart w:id="352" w:name="_Toc141"/>
      <w:bookmarkEnd w:id="351"/>
      <w:r>
        <w:rPr>
          <w:rtl w:val="true"/>
        </w:rPr>
        <w:t>سوم</w:t>
      </w:r>
      <w:r>
        <w:rPr>
          <w:rtl w:val="true"/>
        </w:rPr>
        <w:t>)</w:t>
      </w:r>
      <w:r>
        <w:rPr>
          <w:rtl w:val="true"/>
        </w:rPr>
        <w:t>حجیت خبر عادل امامی</w:t>
      </w:r>
      <w:bookmarkEnd w:id="35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است که محقق اردبیلی و دو شاگرد وی،صاحب معالم و صاحب مدارک، </w:t>
      </w:r>
      <w:r>
        <w:rPr>
          <w:rStyle w:val="FootnoteAnchor"/>
          <w:rtl w:val="true"/>
        </w:rPr>
        <w:footnoteReference w:id="398"/>
      </w:r>
      <w:bookmarkStart w:id="353" w:name="pg5664_43408"/>
    </w:p>
    <w:p>
      <w:pPr>
        <w:pStyle w:val="BookText"/>
        <w:rPr/>
      </w:pPr>
      <w:bookmarkEnd w:id="353"/>
      <w:r>
        <w:rPr>
          <w:rFonts w:ascii="IRNazanin" w:hAnsi="IRNazanin" w:eastAsia="IRNazanin"/>
          <w:color w:val="111111"/>
          <w:sz w:val="28"/>
          <w:sz w:val="28"/>
          <w:szCs w:val="28"/>
          <w:rtl w:val="true"/>
          <w:lang w:bidi="fa-IR"/>
        </w:rPr>
        <w:t xml:space="preserve">هر خبر واحدی را حجت و معتبر نمی‌دانند،بلکه فقط به خبر صحیح اعلایی که راوی آن را دو نفر عادل،عادل دانسته‌اند، </w:t>
      </w:r>
      <w:r>
        <w:rPr>
          <w:rStyle w:val="FootnoteAnchor"/>
          <w:rtl w:val="true"/>
        </w:rPr>
        <w:footnoteReference w:id="399"/>
      </w:r>
      <w:r>
        <w:rPr>
          <w:rFonts w:ascii="IRNazanin" w:hAnsi="IRNazanin" w:eastAsia="IRNazanin"/>
          <w:color w:val="111111"/>
          <w:sz w:val="28"/>
          <w:sz w:val="28"/>
          <w:szCs w:val="28"/>
          <w:rtl w:val="true"/>
          <w:lang w:bidi="fa-IR"/>
        </w:rPr>
        <w:t>اعتماد می‌کنند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بعید نیست با توجه به اینکه در بسیاری از مسائل،صاحب مدارک تحت تأثیر افکار و روش اجتهادی استاد خود،محقق اردبیلی است،در این مسئله نیز از ایشان پیروی کرده باشد؛هرچند مدرک قابل اعتنایی دال بر استناد این دیدگاه به محقق اردبیلی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بررسی آثار محقق اردبیلی،یعنی زبدة البیان و مجمع الفائدة،نشان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فقیهی است که در رجال حدیث،بیش از معمول دقت و تحقیق می‌کند و در اصل انعقاد ظهور و فقه الحدیث و گرفتار نبودن به خبر ناسازگار،سخت حساس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روی،اگر در هر یک از جهات یاد شده،اختلال و اشکالی وجود داشته باشد که بر اساس معیارهای رجالی و اصولی نتواند بر طرف کند،به چنین حدیثی استناد و استدلال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حقیقت،خود را بی‌دلیل اجتهادی می‌داند و از این روی،به اصل فقهی،یعنی اصول علمیه،از جمله اصل واجب نبودن،اصل تکلیف نداشتن و اصل چیزی بر عهده نبودن تمسک می‌جوید</w:t>
      </w:r>
      <w:r>
        <w:rPr>
          <w:rFonts w:eastAsia="IRNazanin" w:cs="IRNazanin"/>
          <w:color w:val="111111"/>
          <w:sz w:val="28"/>
          <w:szCs w:val="28"/>
          <w:rtl w:val="true"/>
          <w:lang w:bidi="fa-IR"/>
        </w:rPr>
        <w:t xml:space="preserve">». </w:t>
      </w:r>
      <w:r>
        <w:rPr>
          <w:rStyle w:val="FootnoteAnchor"/>
          <w:rtl w:val="true"/>
        </w:rPr>
        <w:footnoteReference w:id="401"/>
      </w:r>
    </w:p>
    <w:p>
      <w:pPr>
        <w:pStyle w:val="Heading6"/>
        <w:numPr>
          <w:ilvl w:val="5"/>
          <w:numId w:val="1"/>
        </w:numPr>
        <w:rPr/>
      </w:pPr>
      <w:bookmarkStart w:id="354" w:name="__RefHeading___Toc3419850_581953129"/>
      <w:bookmarkStart w:id="355" w:name="_Toc142"/>
      <w:bookmarkEnd w:id="354"/>
      <w:r>
        <w:rPr>
          <w:rtl w:val="true"/>
        </w:rPr>
        <w:t>چهارم</w:t>
      </w:r>
      <w:r>
        <w:rPr>
          <w:rtl w:val="true"/>
        </w:rPr>
        <w:t>)</w:t>
      </w:r>
      <w:r>
        <w:rPr>
          <w:rtl w:val="true"/>
        </w:rPr>
        <w:t>حجیت خبر موثوق الصدور</w:t>
      </w:r>
      <w:bookmarkEnd w:id="35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اخبار آحاد دو دیدگاه یا مکتب میان معتقدان به حجیت خبر واحد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وثوق صدوری و دیدگاه وثوق 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باورمند به وثوق سندی،سند را،یگانه راه دستیابی به درستی حدیث می‌داند و هیچ قرینه و نشانه‌ای را جز درستی سند برنمی‌تابد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نامورترین فقیهان این گروه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ثانی،محقق اردبیلی،شیخ حسن عاملی،سید محمد عاملی و از معاصران،سید ابوالقاسم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باورمند به وثوق صدوری،سند را،یگانه راه دستیابی به درستی حدیث نمی‌داند،بلکه به راه‌های دیگر نیز برای ثابت کردن درستی سند باور دارد و به قرینه‌ها و نشانه‌های همراه حدیث اهمیت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نامورترین فقیهان این گروه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کرکی،محمدتقی مجلسی،علامه مجلسی،شیخ بهائی،وحید بهبهانی،بحرالعلوم،نراقی،میرزای قمی،شیخ انصاری،صاحب جواهر،صاحب ریاض،حاج آقا رضا همدانی،آیت‌الله بروجردی و امام خمینی</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معاصران،برخی از محققان معتقدند بنای عقلا بر حجیت خبرموثوق الصدور دلالت می‌کند،ولی خبری را که وثوق به صدور آن پیدا نشود،هر چند راوی آن ثقه عادل امامی باشد،فاقد حجیت می‌دانند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اما دسته‌ای دیگر،مناط را عمل اصحاب می‌دانند و هیچ توجهی به سند روایت ندارند</w:t>
      </w:r>
      <w:r>
        <w:rPr>
          <w:rFonts w:eastAsia="IRNazanin" w:cs="IRNazanin"/>
          <w:color w:val="111111"/>
          <w:sz w:val="28"/>
          <w:szCs w:val="28"/>
          <w:rtl w:val="true"/>
          <w:lang w:bidi="fa-IR"/>
        </w:rPr>
        <w:t xml:space="preserve">. </w:t>
      </w:r>
      <w:r>
        <w:rPr>
          <w:rStyle w:val="FootnoteAnchor"/>
          <w:rtl w:val="true"/>
        </w:rPr>
        <w:footnoteReference w:id="404"/>
      </w:r>
      <w:bookmarkStart w:id="356" w:name="pg5664_43410"/>
    </w:p>
    <w:p>
      <w:pPr>
        <w:pStyle w:val="Heading6"/>
        <w:numPr>
          <w:ilvl w:val="5"/>
          <w:numId w:val="1"/>
        </w:numPr>
        <w:rPr/>
      </w:pPr>
      <w:bookmarkStart w:id="357" w:name="__RefHeading___Toc3419852_581953129"/>
      <w:bookmarkStart w:id="358" w:name="_Toc143"/>
      <w:bookmarkEnd w:id="356"/>
      <w:bookmarkEnd w:id="357"/>
      <w:r>
        <w:rPr>
          <w:rtl w:val="true"/>
        </w:rPr>
        <w:t>ب</w:t>
      </w:r>
      <w:r>
        <w:rPr>
          <w:rtl w:val="true"/>
        </w:rPr>
        <w:t>)</w:t>
      </w:r>
      <w:r>
        <w:rPr>
          <w:rtl w:val="true"/>
        </w:rPr>
        <w:t>بررسی دیدگاه‌ها</w:t>
      </w:r>
      <w:bookmarkEnd w:id="358"/>
    </w:p>
    <w:p>
      <w:pPr>
        <w:pStyle w:val="BookText"/>
        <w:rPr/>
      </w:pPr>
      <w:r>
        <w:rPr>
          <w:rFonts w:ascii="IRNazanin" w:hAnsi="IRNazanin" w:eastAsia="IRNazanin"/>
          <w:color w:val="111111"/>
          <w:sz w:val="28"/>
          <w:sz w:val="28"/>
          <w:szCs w:val="28"/>
          <w:rtl w:val="true"/>
          <w:lang w:bidi="fa-IR"/>
        </w:rPr>
        <w:t>بررسی ادله حجیت خبر واحد مجالی بیش از این می‌طلبد و نمی‌توان در این رساله به بحث مبسوطی در این زمینه پرداخت،ولی به اجمال می‌گوییم هیچ کدام از مدعای سید مرتضی و ابن‌زهره مبنی بر اجماع بر نفی حجیت خبر واحد،و مدعای شیخ طوسی مبنی بر اجماع بر جواز عمل به خبر واحد،درست نیست و این گفتة آخوند خراسانی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والمحصل منه غیرحاصل و المنقول منه للاستدلال به غیرقابل</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در حق هر دو صدق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نیز ظهوری در حجیت خبر واحد ندارند؛اگر ظهور داشتند،این اختلاف عمیق میان اصولیان پیدا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مثال،اصولی‌ای به مفهوم شرط آیه نبأ برای حجیت خبر واحد استدلال می‌کند،ولی دیگری می‌گوید مفهوم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نیست، </w:t>
      </w:r>
      <w:r>
        <w:rPr>
          <w:rStyle w:val="FootnoteAnchor"/>
          <w:rtl w:val="true"/>
        </w:rPr>
        <w:footnoteReference w:id="406"/>
      </w:r>
      <w:r>
        <w:rPr>
          <w:rFonts w:ascii="IRNazanin" w:hAnsi="IRNazanin" w:eastAsia="IRNazanin"/>
          <w:color w:val="111111"/>
          <w:sz w:val="28"/>
          <w:sz w:val="28"/>
          <w:szCs w:val="28"/>
          <w:rtl w:val="true"/>
          <w:lang w:bidi="fa-IR"/>
        </w:rPr>
        <w:t>و سومی بر آن است که این آیه اصلاً مفهوم ندارد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برخی هم از همین آیه برای نفی حجیت خبر واحد استفاده کرده،می‌گویند علّت وجوب تبین،عیناً در خبر عادل نیز وجود دارد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اخبار هم،هر چند علم اجمالی بر صدور بیشتر اخبار هست،ولی به تدلیس،تزویر و جعل آنها نیز علم اجمالی داریم و نمی‌توانیم با تمسک به اخبار آحاد،حجیت اخبار آحاد را اثبات کنیم؛زیرا مستلزم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اصحاب معصومان نیز برایمان کارساز نیست؛زیرا شاید آنان با واسطه‌ای مطمئن به قول معصوم دسترسی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این است که در زمان ما با واسطه‌های متعدّد،چگونه به قول یا تقریر معصوم اطمینان پیدا می‌کنیم</w:t>
      </w:r>
      <w:r>
        <w:rPr>
          <w:rFonts w:eastAsia="IRNazanin" w:cs="IRNazanin"/>
          <w:color w:val="111111"/>
          <w:sz w:val="28"/>
          <w:szCs w:val="28"/>
          <w:rtl w:val="true"/>
          <w:lang w:bidi="fa-IR"/>
        </w:rPr>
        <w:t>.</w:t>
      </w:r>
      <w:bookmarkStart w:id="359" w:name="pg5664_43411"/>
    </w:p>
    <w:p>
      <w:pPr>
        <w:pStyle w:val="BookText"/>
        <w:rPr/>
      </w:pPr>
      <w:bookmarkEnd w:id="359"/>
      <w:r>
        <w:rPr>
          <w:rFonts w:ascii="IRNazanin" w:hAnsi="IRNazanin" w:eastAsia="IRNazanin"/>
          <w:color w:val="111111"/>
          <w:sz w:val="28"/>
          <w:sz w:val="28"/>
          <w:szCs w:val="28"/>
          <w:rtl w:val="true"/>
          <w:lang w:bidi="fa-IR"/>
        </w:rPr>
        <w:t xml:space="preserve">متأخرین نیز ضمن مفتوح دانستن باب علمی، </w:t>
      </w:r>
      <w:r>
        <w:rPr>
          <w:rStyle w:val="FootnoteAnchor"/>
          <w:rtl w:val="true"/>
        </w:rPr>
        <w:footnoteReference w:id="409"/>
      </w:r>
      <w:r>
        <w:rPr>
          <w:rFonts w:ascii="IRNazanin" w:hAnsi="IRNazanin" w:eastAsia="IRNazanin"/>
          <w:color w:val="111111"/>
          <w:sz w:val="28"/>
          <w:sz w:val="28"/>
          <w:szCs w:val="28"/>
          <w:rtl w:val="true"/>
          <w:lang w:bidi="fa-IR"/>
        </w:rPr>
        <w:t xml:space="preserve">عمدتاً سیره عقلا را دلیل حجیت خبر واحد می‌دانند و می‌گویند عقلا در اغراض شخصی تکوینی و تشریعی به خبر واحد عمل می‌کنند، </w:t>
      </w:r>
      <w:r>
        <w:rPr>
          <w:rStyle w:val="FootnoteAnchor"/>
          <w:rtl w:val="true"/>
        </w:rPr>
        <w:footnoteReference w:id="410"/>
      </w:r>
      <w:r>
        <w:rPr>
          <w:rFonts w:ascii="IRNazanin" w:hAnsi="IRNazanin" w:eastAsia="IRNazanin"/>
          <w:color w:val="111111"/>
          <w:sz w:val="28"/>
          <w:sz w:val="28"/>
          <w:szCs w:val="28"/>
          <w:rtl w:val="true"/>
          <w:lang w:bidi="fa-IR"/>
        </w:rPr>
        <w:t>ولی این شبهه همچنان جای طرح دارد که عمل عقلا به خبر واحد در جایی است که کسی بدون واسطه خبری را نقل کند،نه آنکه نقل جز با واسطه‌های متعدّد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همه این اشکال‌ها را ناصحیح بدانیم،توجه به این نکته ضروری است که اثبات صدور روایت از معصوم،دربردارنده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تعمد راوی در کذب،و عدم غفلت و خطای وی در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مدد این ادله امکان اثبات دارد،نفی تعمد راوی بر کذب است،ولی احتمال خطا در نقل و غفلت راوی،تنها با رجوع به اصل عدم خطا و غفلت برطرف می‌شود</w:t>
      </w:r>
      <w:r>
        <w:rPr>
          <w:rFonts w:eastAsia="IRNazanin" w:cs="IRNazanin"/>
          <w:color w:val="111111"/>
          <w:sz w:val="28"/>
          <w:szCs w:val="28"/>
          <w:rtl w:val="true"/>
          <w:lang w:bidi="fa-IR"/>
        </w:rPr>
        <w:t>.</w:t>
      </w:r>
    </w:p>
    <w:p>
      <w:pPr>
        <w:pStyle w:val="Heading6"/>
        <w:numPr>
          <w:ilvl w:val="5"/>
          <w:numId w:val="1"/>
        </w:numPr>
        <w:rPr/>
      </w:pPr>
      <w:bookmarkStart w:id="360" w:name="__RefHeading___Toc3419854_581953129"/>
      <w:bookmarkStart w:id="361" w:name="_Toc144"/>
      <w:bookmarkEnd w:id="360"/>
      <w:r>
        <w:rPr>
          <w:rtl w:val="true"/>
        </w:rPr>
        <w:t>ج</w:t>
      </w:r>
      <w:r>
        <w:rPr>
          <w:rtl w:val="true"/>
        </w:rPr>
        <w:t>)</w:t>
      </w:r>
      <w:r>
        <w:rPr>
          <w:rtl w:val="true"/>
        </w:rPr>
        <w:t>شبهه عدم حجیت خبر واحد در احکام شدید کیفری</w:t>
      </w:r>
      <w:bookmarkEnd w:id="361"/>
    </w:p>
    <w:p>
      <w:pPr>
        <w:pStyle w:val="BookText"/>
        <w:rPr/>
      </w:pPr>
      <w:r>
        <w:rPr>
          <w:rFonts w:ascii="IRNazanin" w:hAnsi="IRNazanin" w:eastAsia="IRNazanin"/>
          <w:color w:val="111111"/>
          <w:sz w:val="28"/>
          <w:sz w:val="28"/>
          <w:szCs w:val="28"/>
          <w:rtl w:val="true"/>
          <w:lang w:bidi="fa-IR"/>
        </w:rPr>
        <w:t>هدف ما از این نوشتار،اثبات یا انکار حجیت خبر واحد نیست و داوری درباره ادله خبر واحد رساله‌ای مستقل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نکته‌ای که ضروری است بدان اشاره کنیم،حجیت خبر واحد در احکام جزایی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نویسندگان جدید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زمینه احکام شدیدی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ندانسته‌اند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صبحی صالح در این باره می‌نویسد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هر چند از نظر سند صحیح است،ولی در باره جان انسان‌ها به خبر واحد نمی‌توان بسنده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که حکم اعدام هیچ‌کس را به استناد روایتی که در حد تواتر نباشد،نمی‌توان صادر نمود؛زیرا نصوص قرآنی و نبوی بر حفظ جان انسان تأکید دارد و تنها در صورتی که مسئله مورد اجماع مسلمین باشد،از این قاعده می‌توان صرف‌نظر کرد</w:t>
      </w:r>
      <w:r>
        <w:rPr>
          <w:rFonts w:eastAsia="IRNazanin" w:cs="IRNazanin"/>
          <w:color w:val="111111"/>
          <w:sz w:val="28"/>
          <w:szCs w:val="28"/>
          <w:rtl w:val="true"/>
          <w:lang w:bidi="fa-IR"/>
        </w:rPr>
        <w:t xml:space="preserve">. </w:t>
      </w:r>
      <w:r>
        <w:rPr>
          <w:rStyle w:val="FootnoteAnchor"/>
          <w:rtl w:val="true"/>
        </w:rPr>
        <w:footnoteReference w:id="412"/>
      </w:r>
      <w:bookmarkStart w:id="362" w:name="pg5664_43412"/>
    </w:p>
    <w:p>
      <w:pPr>
        <w:pStyle w:val="BookText"/>
        <w:rPr/>
      </w:pPr>
      <w:bookmarkEnd w:id="362"/>
      <w:r>
        <w:rPr>
          <w:rFonts w:ascii="IRNazanin" w:hAnsi="IRNazanin" w:eastAsia="IRNazanin"/>
          <w:color w:val="111111"/>
          <w:sz w:val="28"/>
          <w:sz w:val="28"/>
          <w:szCs w:val="28"/>
          <w:rtl w:val="true"/>
          <w:lang w:bidi="fa-IR"/>
        </w:rPr>
        <w:t>در جامعه ما نیز کسانی همین آهنگ را سر داده،با اقتباس و پیروی از بیان فوق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مهم‌ترین دلیل حجیت خبر واحد،سیره عقلا باشد،وقتی که خبر واحد با حقوق انسان در تعارض قرار گیرد،به اقتضای همان سیره عقلا از حجیت می‌افتد و لذا باید احتیاط کنیم و در پی ادله و قراین محکم‌تری باشیم؛و بر این اساس،قایل شده‌اند که هر چه تکلیفی سنگین‌تر و منافی‌تر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باشد،خبری که از آن حکایت می‌کند،مشکوک‌تر و ضعیف‌تر تلقی می‌شود و از حجیت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چیزهایی از این قبیل را نمی‌توان با ادله مربوط به حجیت خبر واحد تحکیم کرد</w:t>
      </w:r>
      <w:r>
        <w:rPr>
          <w:rFonts w:eastAsia="IRNazanin" w:cs="IRNazanin"/>
          <w:color w:val="111111"/>
          <w:sz w:val="28"/>
          <w:szCs w:val="28"/>
          <w:rtl w:val="true"/>
          <w:lang w:bidi="fa-IR"/>
        </w:rPr>
        <w:t xml:space="preserve">. </w:t>
      </w:r>
      <w:r>
        <w:rPr>
          <w:rStyle w:val="FootnoteAnchor"/>
          <w:rtl w:val="true"/>
        </w:rPr>
        <w:footnoteReference w:id="413"/>
      </w:r>
    </w:p>
    <w:p>
      <w:pPr>
        <w:pStyle w:val="Heading6"/>
        <w:numPr>
          <w:ilvl w:val="5"/>
          <w:numId w:val="1"/>
        </w:numPr>
        <w:rPr/>
      </w:pPr>
      <w:bookmarkStart w:id="363" w:name="__RefHeading___Toc3419856_581953129"/>
      <w:bookmarkStart w:id="364" w:name="_Toc145"/>
      <w:bookmarkEnd w:id="363"/>
      <w:r>
        <w:rPr>
          <w:rtl w:val="true"/>
        </w:rPr>
        <w:t>د</w:t>
      </w:r>
      <w:r>
        <w:rPr>
          <w:rtl w:val="true"/>
        </w:rPr>
        <w:t>)</w:t>
      </w:r>
      <w:r>
        <w:rPr>
          <w:rtl w:val="true"/>
        </w:rPr>
        <w:t>بررسی شبهه</w:t>
      </w:r>
      <w:bookmarkEnd w:id="364"/>
    </w:p>
    <w:p>
      <w:pPr>
        <w:pStyle w:val="BookText"/>
        <w:rPr/>
      </w:pPr>
      <w:r>
        <w:rPr>
          <w:rFonts w:ascii="IRNazanin" w:hAnsi="IRNazanin" w:eastAsia="IRNazanin"/>
          <w:color w:val="111111"/>
          <w:sz w:val="28"/>
          <w:sz w:val="28"/>
          <w:szCs w:val="28"/>
          <w:rtl w:val="true"/>
          <w:lang w:bidi="fa-IR"/>
        </w:rPr>
        <w:t>توضیحات این نظریه‌پردازان نشان می‌دهد این‌گونه ایرادها هر چند در قالب مبنای نوین اصولی ارائه می‌شود،در حقیقت از دیدگاه خاص 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نواندیشان،برخی از فقها نیز معتقدند به علت شدت اهتمام به دماء،با سیره عقلا نمی‌توان خبر ثقه را درباره دماء حجت دانست</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به فرض هم که بگوییم عقلا در پذیرش خبر ثقه میان احکام جزایی و دیگر احکام تفاوتی قایل نیستند،باید گفت ثقه بودن راوی،مانع از تعمّد در کذب است،ولی تنها راه مسئله عدم خطا و سهو در نقل و در کتب و یا در نسخه خود و در نقل با وسایط متعدّد،همان اصول عقلایی مشکوکة الجریان در این موارد است </w:t>
      </w:r>
      <w:r>
        <w:rPr>
          <w:rStyle w:val="FootnoteAnchor"/>
          <w:rtl w:val="true"/>
        </w:rPr>
        <w:footnoteReference w:id="415"/>
      </w:r>
      <w:r>
        <w:rPr>
          <w:rFonts w:ascii="IRNazanin" w:hAnsi="IRNazanin" w:eastAsia="IRNazanin"/>
          <w:color w:val="111111"/>
          <w:sz w:val="28"/>
          <w:sz w:val="28"/>
          <w:szCs w:val="28"/>
          <w:rtl w:val="true"/>
          <w:lang w:bidi="fa-IR"/>
        </w:rPr>
        <w:t>که طبیعتاً این اصول نمی‌توانند با قاعده احتیاط در دماء که قاعده مسلّم شرعی است،معارضه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عموماتی که از عمل به ظن منع می‌نمایند،مؤید این دیدگاه‌اند و شاید بتوان گفت سیره عقلا بر عمل به خبر واحد،بر عمل ایشان به ظنون مبتنی است،در حالی که عمل به ظن بر اساس این عمومات ردع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صورت،سیره نیز شرط حجیت خود را که عدم ردع است،از دست می‌دهد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به‌علاوه،می‌دانیم شارع در موضوعات قضایی خبر واحد را حجت ندانسته،بینه</w:t>
      </w:r>
    </w:p>
    <w:p>
      <w:pPr>
        <w:pStyle w:val="BookText"/>
        <w:rPr/>
      </w:pPr>
      <w:r>
        <w:rPr>
          <w:rFonts w:ascii="IRNazanin" w:hAnsi="IRNazanin" w:eastAsia="IRNazanin"/>
          <w:color w:val="111111"/>
          <w:sz w:val="28"/>
          <w:sz w:val="28"/>
          <w:szCs w:val="28"/>
          <w:rtl w:val="true"/>
          <w:lang w:bidi="fa-IR"/>
        </w:rPr>
        <w:t>شرعی را معتبر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چگونه است که در احکام قضایی خبر واحد حجت است،در حالی که طبیعتاً در اثبات حکم بیش از اثبات موضوع،تأمل لازم است؛چرا که با اثبات یک موضوع قضایی،تنها جان افراد معدودی در خطر می‌افتد،ولی با اثبات یک حکم کیفری،جان افراد بسیاری در معرض نابودی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الکبائر کلها اذا اقیم علیهم الحد مرتین قتلوا فی الثالثه</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قتل همه کسانی را که دو بار حد بر آنها جاری شده،جایز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 در این روایت را 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تعزیر بدانیم،قتل عده زیادی از محکومان دادگاه‌های فعلی ما جایز خواهد بود؛چون بسیاری از ایشان مجرمان سابقه‌دار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سوم این مطلب اینکه،سیره عقلا دلیلی است لُبّی و در دلایل لُبّی به دلیل عدم جریان مقدمات حکمت نمی‌توان به اطلاق اخذ کرد و باید به قدر متیقن بسنده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نتیجه،می‌توان گفت قدر متیقن از حجیت خبر واحد نزد عقلا احکام غیرکیفری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نظر نگارنده سیره عقلا دلیل محکمی بر حجیت خبر واحد در احکام جزایی نیست،نباید از نظر دور داشت که دلیل حجیت خبر واحد منحصر در سیره عقلا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حجیت سیره عقلا را اجماع بدانیم؛چون اجماع هم از دلایل لُبّی است،باید به دنبال قدر متیقن بگردیم و بعید نیست احکام جزایی را از این دایره خارج بدانیم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انسداد نیز آن‌قدر کارآیی ندارند که مطلق ظن را در امور کیفری ثابت کنند؛چون فرض این است که اطلاقات و عمومات قرآنی و متواتر برای حفظ نظام اجتماعی کفایت می‌کند و به توسل به اخباری که جان انسان‌ها را تهدید می‌کند،نیازی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دیگر،مقدمات انسداد شاید بتوانند در امور جزئی مطلق ظن را حجت کنند،ولی در امور خطیر نمی‌توان به دلیل انسداد تمسک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اینکه عمل به این احکام و اخبار مشکوک نیز هیچ ترجیحی بر ترک آنها ندارد؛به‌ویژه با در نظر گرفتن اهتمام شارع به جان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متشرعه نیز افزون بر اینکه لُبّی است،برای اثبات حجیت،لازم است وجود آن احراز گردد،در حالی که این امر دست‌کم درباره احکام کیفری با تردید مواجه است</w:t>
      </w:r>
      <w:r>
        <w:rPr>
          <w:rFonts w:eastAsia="IRNazanin" w:cs="IRNazanin"/>
          <w:color w:val="111111"/>
          <w:sz w:val="28"/>
          <w:szCs w:val="28"/>
          <w:rtl w:val="true"/>
          <w:lang w:bidi="fa-IR"/>
        </w:rPr>
        <w:t>.</w:t>
      </w:r>
      <w:bookmarkStart w:id="365" w:name="pg5664_43414"/>
    </w:p>
    <w:p>
      <w:pPr>
        <w:pStyle w:val="BookText"/>
        <w:rPr/>
      </w:pPr>
      <w:bookmarkEnd w:id="365"/>
      <w:r>
        <w:rPr>
          <w:rFonts w:ascii="IRNazanin" w:hAnsi="IRNazanin" w:eastAsia="IRNazanin"/>
          <w:color w:val="111111"/>
          <w:sz w:val="28"/>
          <w:sz w:val="28"/>
          <w:szCs w:val="28"/>
          <w:rtl w:val="true"/>
          <w:lang w:bidi="fa-IR"/>
        </w:rPr>
        <w:t>بنابراین،تنها دلیل قابل اعتماد آیات و روایاتی است که بر حجیت خبر واحد به صورت مطلق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این آیات و روایات را دلیل حجیت خبر واحد به‌صورت مطلق بپنداریم،ناگزیر باید اخبار آحادی را که دارای شرایط حجیت هستند،حتی در امور کیفری حجت بدانیم؛مگر اینکه شمول این مطلقات را درباره احکام جزایی با تردید مواجه کرده،بگوییم اثبات اطلاق تنها به مدد جریان مقدمات حکمت میسر است و یکی از این مقدمات نیز احراز در مقام بیان بودن شارع است،در حالی که این شبهه همچنان وجود دارد که در مقام بیان بودن شارع درباره احکام جزایی احراز نگشته است و اصل نیز عدم احراز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این،اگر دلیل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باشد،با آن فقط حجیت خبر عادل ثابت می‌شود و حجیت خبر ثقه نه‌تنها اثبات نمی‌گردد، </w:t>
      </w:r>
      <w:r>
        <w:rPr>
          <w:rStyle w:val="FootnoteAnchor"/>
          <w:rtl w:val="true"/>
        </w:rPr>
        <w:footnoteReference w:id="417"/>
      </w:r>
      <w:r>
        <w:rPr>
          <w:rFonts w:ascii="IRNazanin" w:hAnsi="IRNazanin" w:eastAsia="IRNazanin"/>
          <w:color w:val="111111"/>
          <w:sz w:val="28"/>
          <w:sz w:val="28"/>
          <w:szCs w:val="28"/>
          <w:rtl w:val="true"/>
          <w:lang w:bidi="fa-IR"/>
        </w:rPr>
        <w:t>بلکه ادعا شده که منطوق این آیه بر عدم حجیت خبر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Style w:val="FootnoteAnchor"/>
          <w:rtl w:val="true"/>
        </w:rPr>
        <w:footnoteReference w:id="418"/>
      </w:r>
    </w:p>
    <w:p>
      <w:pPr>
        <w:pStyle w:val="Heading6"/>
        <w:numPr>
          <w:ilvl w:val="5"/>
          <w:numId w:val="1"/>
        </w:numPr>
        <w:rPr/>
      </w:pPr>
      <w:bookmarkStart w:id="366" w:name="__RefHeading___Toc3419858_581953129"/>
      <w:bookmarkStart w:id="367" w:name="_Toc146"/>
      <w:bookmarkEnd w:id="366"/>
      <w:r>
        <w:rPr>
          <w:rtl w:val="true"/>
        </w:rPr>
        <w:t>ه</w:t>
      </w:r>
      <w:r>
        <w:rPr>
          <w:rtl w:val="true"/>
        </w:rPr>
        <w:t>)</w:t>
      </w:r>
      <w:r>
        <w:rPr>
          <w:rtl w:val="true"/>
        </w:rPr>
        <w:t>چند نکته</w:t>
      </w:r>
      <w:bookmarkEnd w:id="367"/>
    </w:p>
    <w:p>
      <w:pPr>
        <w:pStyle w:val="Heading6"/>
        <w:numPr>
          <w:ilvl w:val="5"/>
          <w:numId w:val="1"/>
        </w:numPr>
        <w:rPr/>
      </w:pPr>
      <w:bookmarkStart w:id="368" w:name="__RefHeading___Toc3419860_581953129"/>
      <w:bookmarkStart w:id="369" w:name="_Toc147"/>
      <w:bookmarkEnd w:id="368"/>
      <w:r>
        <w:rPr>
          <w:rtl w:val="true"/>
        </w:rPr>
        <w:t>یکم</w:t>
      </w:r>
      <w:r>
        <w:rPr>
          <w:rtl w:val="true"/>
        </w:rPr>
        <w:t>)</w:t>
      </w:r>
      <w:r>
        <w:rPr>
          <w:rtl w:val="true"/>
        </w:rPr>
        <w:t>نظر نگارنده</w:t>
      </w:r>
      <w:bookmarkEnd w:id="369"/>
    </w:p>
    <w:p>
      <w:pPr>
        <w:pStyle w:val="BookText"/>
        <w:rPr/>
      </w:pPr>
      <w:r>
        <w:rPr>
          <w:rFonts w:ascii="IRNazanin" w:hAnsi="IRNazanin" w:eastAsia="IRNazanin"/>
          <w:color w:val="111111"/>
          <w:sz w:val="28"/>
          <w:sz w:val="28"/>
          <w:szCs w:val="28"/>
          <w:rtl w:val="true"/>
          <w:lang w:bidi="fa-IR"/>
        </w:rPr>
        <w:t>به نظر نگارنده،دلایل حجیت خبر واحد نمی‌تواند حجیت اخبار آحاد را در ابواب کیفری اثبات کند و به فرض اثبات،تنها عدم تعمد راوی بر کذب با این ادله ثابت می‌شود،ولی امکان خطا و غفلت راوی تنها با اصل عدم غفلت و اصل عدم خطا ثابت می‌گردد که این اصول نمی‌توانند در برابر قاعده مسلّم احتیاط در دماء مقاومت کنند</w:t>
      </w:r>
      <w:r>
        <w:rPr>
          <w:rFonts w:eastAsia="IRNazanin" w:cs="IRNazanin"/>
          <w:color w:val="111111"/>
          <w:sz w:val="28"/>
          <w:szCs w:val="28"/>
          <w:rtl w:val="true"/>
          <w:lang w:bidi="fa-IR"/>
        </w:rPr>
        <w:t>.</w:t>
      </w:r>
    </w:p>
    <w:p>
      <w:pPr>
        <w:pStyle w:val="Heading6"/>
        <w:numPr>
          <w:ilvl w:val="5"/>
          <w:numId w:val="1"/>
        </w:numPr>
        <w:rPr/>
      </w:pPr>
      <w:bookmarkStart w:id="370" w:name="__RefHeading___Toc3419862_581953129"/>
      <w:bookmarkStart w:id="371" w:name="_Toc148"/>
      <w:bookmarkEnd w:id="370"/>
      <w:r>
        <w:rPr>
          <w:rtl w:val="true"/>
        </w:rPr>
        <w:t>دوم</w:t>
      </w:r>
      <w:r>
        <w:rPr>
          <w:rtl w:val="true"/>
        </w:rPr>
        <w:t>)</w:t>
      </w:r>
      <w:r>
        <w:rPr>
          <w:rtl w:val="true"/>
        </w:rPr>
        <w:t>امکان تعطیل برخی حدود</w:t>
      </w:r>
      <w:bookmarkEnd w:id="37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خواننده مجترم باید به این نکته نیز توجه کند که به دلیل وجود دلایل قرآنی بر مشروعیت اقامه حدود در عصر غیبت،اگر این دلایل را تام بدانیم،عدم حجیت خبر واحد نمی‌تواند دلیل استواری بر منع اجرای همه حدود پنداشته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می‌تواند</w:t>
      </w:r>
    </w:p>
    <w:p>
      <w:pPr>
        <w:pStyle w:val="BookText"/>
        <w:rPr/>
      </w:pPr>
      <w:r>
        <w:rPr>
          <w:rFonts w:ascii="IRNazanin" w:hAnsi="IRNazanin" w:eastAsia="IRNazanin"/>
          <w:color w:val="111111"/>
          <w:sz w:val="28"/>
          <w:sz w:val="28"/>
          <w:szCs w:val="28"/>
          <w:rtl w:val="true"/>
          <w:lang w:bidi="fa-IR"/>
        </w:rPr>
        <w:t>اجرای برخی از آنها،نظیر حد ارتداد و سنگسار را به چالش بکشاند و موارد اجرای حدود را به صورت چشمگیری کاهش دهد؛زیرا مستند بیشتر احکام حدود،اخبار آحاد بوده،آیات قرآنی و اخبار متواتر یا اجماع در این ابواب بسیار محدود و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شبهه قابل طرح است که اگر عدم حجیت خبر واحد در امور شدید کیفری و عدم انعقاد سیره در این امور،به دلیل عدم اخذ عقلا به مطلقِ ظنون در باب دماء باشد،در باب حدود،به دلیل قرآنی نیز نمی‌توان اخذ کرد؛زیرا ظهور قرآنی درباره اجرای حدود به‌دست غیرمعصوم به دلیلِ اطلاقی است که مستند به سیره عقلاست،در حالی‌که در مسئله دماء چنین سیره‌ای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نتیجه،اجرای هیچ‌یک از حدود به‌دست غیرمعصوم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 هیچ تلازمی میان حجیت ظواهر قرآن و حجیت خبر واحد وجود ندارد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عدم اخذ عقلا به خبر واحد در امور شدید کیفری،به دلیل عدم حجیت مطلق ظن نزد ایشان نیست،بلکه از این نظر است که ایشان در این امور فقط به ظن معتبر اخذ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ظواهر قرآن ظن معتبر شناخته می‌شوند،بلکه در اطلاقات ادله حدود اصلاً ظنی در بین نیست و به دلیل جاودانگی شریعت به این اطلاق اطمینان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از فقها شبهه اختصاص به معصوم را مطرح کرده،ناشی از غفلت از همین نکته بوده است؛زیرا با این تصور که اقامه حدود از مناصب است،نه از احکام،جاودانگی احکام شریعت نادیده گرفته شده است؛غافل از اینکه مناصب نیز برای محافظت از همین احکام جعل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نتیجه،اگر در موضوعی نصب ثابت نشد، </w:t>
      </w:r>
      <w:r>
        <w:rPr>
          <w:rStyle w:val="FootnoteAnchor"/>
          <w:rtl w:val="true"/>
        </w:rPr>
        <w:footnoteReference w:id="420"/>
      </w:r>
      <w:r>
        <w:rPr>
          <w:rFonts w:ascii="IRNazanin" w:hAnsi="IRNazanin" w:eastAsia="IRNazanin"/>
          <w:color w:val="111111"/>
          <w:sz w:val="28"/>
          <w:sz w:val="28"/>
          <w:szCs w:val="28"/>
          <w:rtl w:val="true"/>
          <w:lang w:bidi="fa-IR"/>
        </w:rPr>
        <w:t>به دلیل جاودانگی شریعت،لازم است شایسته‌ترین مؤمنان تصدی این منصب را بر عهده گیرند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که بپذیریم عدم اخذ عقلا به خبر واحد در احکام شدید کیفری،به دلیل عدم حجیت مطلق ظن در احکام شدید کیفری نزد ایشان است و ظواهر قرآن،از جمله اطلاقات ادله حدود ظن‌آور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سیره عقلا دیگر نمی‌تواند ملاک حجیت اطلاقات ادله حدود باشد،نباید از نظر دور داشت که دلیل حجیت ظواهر قرآن،منحصر</w:t>
      </w:r>
      <w:bookmarkStart w:id="372" w:name="pg5664_43416"/>
    </w:p>
    <w:p>
      <w:pPr>
        <w:pStyle w:val="BookText"/>
        <w:rPr/>
      </w:pPr>
      <w:bookmarkEnd w:id="372"/>
      <w:r>
        <w:rPr>
          <w:rFonts w:ascii="IRNazanin" w:hAnsi="IRNazanin" w:eastAsia="IRNazanin"/>
          <w:color w:val="111111"/>
          <w:sz w:val="28"/>
          <w:sz w:val="28"/>
          <w:szCs w:val="28"/>
          <w:rtl w:val="true"/>
          <w:lang w:bidi="fa-IR"/>
        </w:rPr>
        <w:t xml:space="preserve">به سیره عقلا نیست و حجیت ظواهر قرآن با دلایل دیگری جز سیره عقلا،نظیر اجماع، </w:t>
      </w:r>
      <w:r>
        <w:rPr>
          <w:rStyle w:val="FootnoteAnchor"/>
          <w:rtl w:val="true"/>
        </w:rPr>
        <w:footnoteReference w:id="421"/>
      </w:r>
      <w:r>
        <w:rPr>
          <w:rFonts w:ascii="IRNazanin" w:hAnsi="IRNazanin" w:eastAsia="IRNazanin"/>
          <w:color w:val="111111"/>
          <w:sz w:val="28"/>
          <w:sz w:val="28"/>
          <w:szCs w:val="28"/>
          <w:rtl w:val="true"/>
          <w:lang w:bidi="fa-IR"/>
        </w:rPr>
        <w:t xml:space="preserve">دلیل عقلی و روایات متواتر </w:t>
      </w:r>
      <w:r>
        <w:rPr>
          <w:rStyle w:val="FootnoteAnchor"/>
          <w:rtl w:val="true"/>
        </w:rPr>
        <w:footnoteReference w:id="422"/>
      </w:r>
      <w:r>
        <w:rPr>
          <w:rFonts w:ascii="IRNazanin" w:hAnsi="IRNazanin" w:eastAsia="IRNazanin"/>
          <w:color w:val="111111"/>
          <w:sz w:val="28"/>
          <w:sz w:val="28"/>
          <w:szCs w:val="28"/>
          <w:rtl w:val="true"/>
          <w:lang w:bidi="fa-IR"/>
        </w:rPr>
        <w:t>نیز ثابت می‌شود</w:t>
      </w:r>
      <w:r>
        <w:rPr>
          <w:rFonts w:eastAsia="IRNazanin" w:cs="IRNazanin"/>
          <w:color w:val="111111"/>
          <w:sz w:val="28"/>
          <w:szCs w:val="28"/>
          <w:rtl w:val="true"/>
          <w:lang w:bidi="fa-IR"/>
        </w:rPr>
        <w:t>.</w:t>
      </w:r>
    </w:p>
    <w:p>
      <w:pPr>
        <w:pStyle w:val="Heading6"/>
        <w:numPr>
          <w:ilvl w:val="5"/>
          <w:numId w:val="1"/>
        </w:numPr>
        <w:rPr/>
      </w:pPr>
      <w:bookmarkStart w:id="373" w:name="__RefHeading___Toc3419864_581953129"/>
      <w:bookmarkStart w:id="374" w:name="_Toc149"/>
      <w:bookmarkEnd w:id="373"/>
      <w:r>
        <w:rPr>
          <w:rtl w:val="true"/>
        </w:rPr>
        <w:t>سوم</w:t>
      </w:r>
      <w:r>
        <w:rPr>
          <w:rtl w:val="true"/>
        </w:rPr>
        <w:t>)</w:t>
      </w:r>
      <w:r>
        <w:rPr>
          <w:rtl w:val="true"/>
        </w:rPr>
        <w:t>تمایز میان احکام قضایی و احکام کلی</w:t>
      </w:r>
      <w:bookmarkEnd w:id="374"/>
    </w:p>
    <w:p>
      <w:pPr>
        <w:pStyle w:val="BookText"/>
        <w:rPr/>
      </w:pPr>
      <w:r>
        <w:rPr>
          <w:rFonts w:ascii="IRNazanin" w:hAnsi="IRNazanin" w:eastAsia="IRNazanin"/>
          <w:color w:val="111111"/>
          <w:sz w:val="28"/>
          <w:sz w:val="28"/>
          <w:szCs w:val="28"/>
          <w:rtl w:val="true"/>
          <w:lang w:bidi="fa-IR"/>
        </w:rPr>
        <w:t>در پایان توجه به این نکته نیز خالی از فایده نیست که بسیاری از احادیث قضایی از احکام صادره در قضایایی شخصی حکایت می‌کنند و چه‌بسا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در نتیجه،نمی‌توان به آنها چونان احکامی کلی استناد کرد؛چون احکام شرعی،قضایای حقیقی هستند،نه قضایای جزئی و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رو،شایسته است همه احادیث قضایی با در نظر گرفتن معیارهای احکام شرعی از این نظر بررسی دقیق و موشکافانه شود؛زیرا احادیث قضایی نهایتاً فعل معصوم را ثابت می‌کنند و فعل افزون بر اینکه لسان ندارد و قابل تعمیم و اطلاق نیست،فقط بر جواز دلالت می‌کند و نمی‌توان وجوب را از آن استفاده کرد</w:t>
      </w:r>
      <w:r>
        <w:rPr>
          <w:rFonts w:eastAsia="IRNazanin" w:cs="IRNazanin"/>
          <w:color w:val="111111"/>
          <w:sz w:val="28"/>
          <w:szCs w:val="28"/>
          <w:rtl w:val="true"/>
          <w:lang w:bidi="fa-IR"/>
        </w:rPr>
        <w:t>.</w:t>
      </w:r>
    </w:p>
    <w:p>
      <w:pPr>
        <w:pStyle w:val="Heading4"/>
        <w:numPr>
          <w:ilvl w:val="3"/>
          <w:numId w:val="1"/>
        </w:numPr>
        <w:rPr/>
      </w:pPr>
      <w:bookmarkStart w:id="375" w:name="__RefHeading___Toc3419866_581953129"/>
      <w:bookmarkStart w:id="376" w:name="_Toc150"/>
      <w:bookmarkEnd w:id="375"/>
      <w:r>
        <w:rPr>
          <w:rtl w:val="true"/>
        </w:rPr>
        <w:t>دلایل نقلی</w:t>
      </w:r>
      <w:bookmarkEnd w:id="376"/>
    </w:p>
    <w:p>
      <w:pPr>
        <w:pStyle w:val="Heading5"/>
        <w:numPr>
          <w:ilvl w:val="4"/>
          <w:numId w:val="1"/>
        </w:numPr>
        <w:rPr/>
      </w:pPr>
      <w:bookmarkStart w:id="377" w:name="__RefHeading___Toc3419868_581953129"/>
      <w:bookmarkStart w:id="378" w:name="_Toc151"/>
      <w:bookmarkEnd w:id="377"/>
      <w:r>
        <w:rPr/>
        <w:t>1</w:t>
      </w:r>
      <w:r>
        <w:rPr>
          <w:rtl w:val="true"/>
        </w:rPr>
        <w:t>-</w:t>
      </w:r>
      <w:r>
        <w:rPr>
          <w:rtl w:val="true"/>
        </w:rPr>
        <w:t>اجماع منقول از ابن‌ادریس و ابن‌زهره</w:t>
      </w:r>
      <w:bookmarkEnd w:id="378"/>
    </w:p>
    <w:p>
      <w:pPr>
        <w:pStyle w:val="Heading6"/>
        <w:numPr>
          <w:ilvl w:val="5"/>
          <w:numId w:val="1"/>
        </w:numPr>
        <w:rPr/>
      </w:pPr>
      <w:bookmarkStart w:id="379" w:name="__RefHeading___Toc3419870_581953129"/>
      <w:bookmarkStart w:id="380" w:name="_Toc152"/>
      <w:bookmarkEnd w:id="379"/>
      <w:r>
        <w:rPr>
          <w:rtl w:val="true"/>
        </w:rPr>
        <w:t>اشاره</w:t>
      </w:r>
      <w:bookmarkEnd w:id="38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ابن‌ادریس نخستین فقیهی بود که در اواخر قرن ششم با جرئت تمام،نظریه‌های شیخ طوسی را در بوته نقد و تحلیل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از جمله نخستین فقیهانی است که فقه شیعه را در مجموعه‌هایی مدوّن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صد سال پس از شیخ،عظمت و بزرگی او از سویی،و آرای مشتمل بر استدلال‌های متقن و مبتنی بر روایات صحیح از وی در کتاب‌هایش از سوی دیگر،به هیچ فقیهی جرئت نمی‌داد بر خلاف</w:t>
      </w:r>
    </w:p>
    <w:p>
      <w:pPr>
        <w:pStyle w:val="BookText"/>
        <w:rPr/>
      </w:pPr>
      <w:r>
        <w:rPr>
          <w:rFonts w:ascii="IRNazanin" w:hAnsi="IRNazanin" w:eastAsia="IRNazanin"/>
          <w:color w:val="111111"/>
          <w:sz w:val="28"/>
          <w:sz w:val="28"/>
          <w:szCs w:val="28"/>
          <w:rtl w:val="true"/>
          <w:lang w:bidi="fa-IR"/>
        </w:rPr>
        <w:t>شیخ نظر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ایستایی و رکود بر اجتهادِ یک فقیه،تا پیش از جلوس ابن‌ادریس حلّی بر کرسی تدریس ادامه داشت،ولی با ظهور او،دوره‌ای جدید در فقه شیعه همراه با تحول و پویایی آغاز گشت و زمینه‌های بروز نابغه‌هایی همچون محقق حلی و علامه حلی را پدید آورد،بحث اقامه حدود یکی از مواردی است که مخالفت ابن‌ادریس با بیشتر آثار شیخ در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ابن‌ادریس در سرائر که برخی آن را اجماع بر عدم جواز اجرای حدود از سوی فقیه دانسته‌اند،بدین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امامی و همه مسلمین اجماع دارند بر اینکه اقامه حدود جایز نیست،مگر از سوی ائمه و حاکمانی که به اذن ایشان بدین امرگمارده می‌شوند؛و همینان مخاطب به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اقامه حدود توسط غیر ایشان در هیچ حالی روا نیست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هر چند ظاهر این کلام ادعای اجماعی است بر عدم جواز اقامه حدود به‌دست غیر ائمه و نایبان خاص ایشان،برای دریافت فهم صحیحی از این عبارت،افزون بر دقت در بررسی صدر و ذیل آن،باید دیگر گفته‌های وی را نیز در مباحث مرتبط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نکته‌هایی که در این عبارت به چشم می‌خورد،به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اهل سنت عصمت را شرط امامت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رو،بعید است فقیه آگاهی چون ابن‌ادریس،اجماع بر لزوم امام معصوم را برای تصدی اقامه حدود بدیشان نسبت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دیگر،به قرینه عبارت ایشان در آغاز بحث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الحدود،فلیس لاحد اقامتها الا لسلطان الزمان،المنصوب من قبل الله تعالی،او من نصبه الامام لاقامتها</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مشخص است مراد از امام در ادعای اجماع نیز امام معصوم است که منصوب از طرف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حل تعارض بدوی،می‌توان گفت اهل سنت نیز اقامه حدود را از مناصب امام می‌دانند و فقط در تعیین مصداق امام و شرایط آن با شیعه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والحکام القائمون باذنهم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کرده،مدعی‌اند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این عبارت در صورت عدم وجود قرینه،اعم است از حکامی که اذن خاص از جانب معصومین دارند و یا حکم عام مانند فقهای عصر غیبت؛</w:t>
      </w:r>
      <w:bookmarkStart w:id="381" w:name="pg5664_43418"/>
    </w:p>
    <w:p>
      <w:pPr>
        <w:pStyle w:val="BookText"/>
        <w:rPr/>
      </w:pPr>
      <w:bookmarkEnd w:id="381"/>
      <w:r>
        <w:rPr>
          <w:rFonts w:ascii="IRNazanin" w:hAnsi="IRNazanin" w:eastAsia="IRNazanin"/>
          <w:color w:val="111111"/>
          <w:sz w:val="28"/>
          <w:sz w:val="28"/>
          <w:szCs w:val="28"/>
          <w:rtl w:val="true"/>
          <w:lang w:bidi="fa-IR"/>
        </w:rPr>
        <w:t>زیرا در کلام فقها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نه‌تنها برای منصوب به نصب عام از طرف امام به‌کار می‌رود و مقصودشان فقیه جامع الشرایط است، </w:t>
      </w:r>
      <w:r>
        <w:rPr>
          <w:rStyle w:val="FootnoteAnchor"/>
          <w:rtl w:val="true"/>
        </w:rPr>
        <w:footnoteReference w:id="426"/>
      </w:r>
      <w:r>
        <w:rPr>
          <w:rFonts w:ascii="IRNazanin" w:hAnsi="IRNazanin" w:eastAsia="IRNazanin"/>
          <w:color w:val="111111"/>
          <w:sz w:val="28"/>
          <w:sz w:val="28"/>
          <w:szCs w:val="28"/>
          <w:rtl w:val="true"/>
          <w:lang w:bidi="fa-IR"/>
        </w:rPr>
        <w:t>بلکه حتی در مواردی فقها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می‌گیرند، </w:t>
      </w:r>
      <w:r>
        <w:rPr>
          <w:rStyle w:val="FootnoteAnchor"/>
          <w:rtl w:val="true"/>
        </w:rPr>
        <w:footnoteReference w:id="427"/>
      </w:r>
      <w:r>
        <w:rPr>
          <w:rFonts w:ascii="IRNazanin" w:hAnsi="IRNazanin" w:eastAsia="IRNazanin"/>
          <w:color w:val="111111"/>
          <w:sz w:val="28"/>
          <w:sz w:val="28"/>
          <w:szCs w:val="28"/>
          <w:rtl w:val="true"/>
          <w:lang w:bidi="fa-IR"/>
        </w:rPr>
        <w:t>ولی مقصودشان از آن،منصوب عام،یعنی فقهای عصر غیبت است</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شاید به همین دلیل صاحب جواهر علاوه بر اینکه ادعای نفی خلاف در جواز اجرای حدود توسط فقیه کرده،گفته است از کلام ابن‌ادریس اجماع برخلاف فهمیده نمی‌شود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البته این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تصریح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مطلب دلالت کند که از نظر ابن‌ادریس،باید اذن خاص در اقامه حدود صادر شده باشد و اذن عام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سخنی از زمان غیبت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می‌کند بر اینکه عدم جواز برای غیر امام از نظر ابن‌ادریس اطلاق دارد</w:t>
      </w:r>
      <w:r>
        <w:rPr>
          <w:rFonts w:eastAsia="IRNazanin" w:cs="IRNazanin"/>
          <w:color w:val="111111"/>
          <w:sz w:val="28"/>
          <w:szCs w:val="28"/>
          <w:rtl w:val="true"/>
          <w:lang w:bidi="fa-IR"/>
        </w:rPr>
        <w:t>.</w:t>
      </w:r>
    </w:p>
    <w:p>
      <w:pPr>
        <w:pStyle w:val="Heading6"/>
        <w:numPr>
          <w:ilvl w:val="5"/>
          <w:numId w:val="1"/>
        </w:numPr>
        <w:rPr/>
      </w:pPr>
      <w:bookmarkStart w:id="382" w:name="__RefHeading___Toc3419872_581953129"/>
      <w:bookmarkStart w:id="383" w:name="_Toc153"/>
      <w:bookmarkEnd w:id="382"/>
      <w:r>
        <w:rPr>
          <w:rtl w:val="true"/>
        </w:rPr>
        <w:t>الف</w:t>
      </w:r>
      <w:r>
        <w:rPr>
          <w:rtl w:val="true"/>
        </w:rPr>
        <w:t>)</w:t>
      </w:r>
      <w:r>
        <w:rPr>
          <w:rtl w:val="true"/>
        </w:rPr>
        <w:t>احتمال‌ها در تفسیر ظاهر کلام ابن‌ادریس</w:t>
      </w:r>
      <w:bookmarkEnd w:id="383"/>
    </w:p>
    <w:p>
      <w:pPr>
        <w:pStyle w:val="BookText"/>
        <w:rPr/>
      </w:pPr>
      <w:r>
        <w:rPr>
          <w:rFonts w:ascii="IRNazanin" w:hAnsi="IRNazanin" w:eastAsia="IRNazanin"/>
          <w:color w:val="111111"/>
          <w:sz w:val="28"/>
          <w:sz w:val="28"/>
          <w:szCs w:val="28"/>
          <w:rtl w:val="true"/>
          <w:lang w:bidi="fa-IR"/>
        </w:rPr>
        <w:t>با نظرداشت این چند نکته،می‌توان چهار احتمال را در تفسیر ظاهرکلام ابن‌ادریس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ائمه مجاز به اقامه حدود هستند و غیر ایشان،حتی فقها،هیچ زمانی به اقامه حدود مجاز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واقعاً ادعای اجماع بر عدم جواز اقامه حدود از سوی غیر ائمه و مأذونان از طرف ایشان کرده است،ولی با توجه به اینکه فقها در زمان غیبت،نایب امام عصر عجّل الله تعالی فرجه الشریف هستند،اقامه حدود فقط به دست ایشان جایز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برای ابن‌ادریس،انکار جواز تصدی از سوی ستمگران بوده است و اجماع نیز به همین فرض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این مدعا این است که برخی از فقهای پیش از</w:t>
      </w:r>
      <w:bookmarkStart w:id="384" w:name="pg5664_43419"/>
    </w:p>
    <w:p>
      <w:pPr>
        <w:pStyle w:val="BookText"/>
        <w:rPr/>
      </w:pPr>
      <w:bookmarkEnd w:id="384"/>
      <w:r>
        <w:rPr>
          <w:rFonts w:ascii="IRNazanin" w:hAnsi="IRNazanin" w:eastAsia="IRNazanin"/>
          <w:color w:val="111111"/>
          <w:sz w:val="28"/>
          <w:sz w:val="28"/>
          <w:szCs w:val="28"/>
          <w:rtl w:val="true"/>
          <w:lang w:bidi="fa-IR"/>
        </w:rPr>
        <w:t>ابن‌ادریس،از جمله شیخ طوسی و قاضی ابن‌براج معتقدند اگر فقیه شیعه‌ای به دلایلی از سوی حاکم ستمگری برای اجرای حدود تعیین شود،در صورتی که گمان بر اقامه حق داشته باشد،می‌تواند با این قصد که واقعاً از طرف حاکم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مسئولیت گماشته شده،اجرای حدود کند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مطلبی که ابن‌ادریس اجماع تمام فقها و تمام مسلمانان دانسته،ناظر به همین فرض و در مقام نفی این نظریه است؛ </w:t>
      </w:r>
      <w:r>
        <w:rPr>
          <w:rStyle w:val="FootnoteAnchor"/>
          <w:rtl w:val="true"/>
        </w:rPr>
        <w:footnoteReference w:id="431"/>
      </w:r>
      <w:r>
        <w:rPr>
          <w:rFonts w:ascii="IRNazanin" w:hAnsi="IRNazanin" w:eastAsia="IRNazanin"/>
          <w:color w:val="111111"/>
          <w:sz w:val="28"/>
          <w:sz w:val="28"/>
          <w:szCs w:val="28"/>
          <w:rtl w:val="true"/>
          <w:lang w:bidi="fa-IR"/>
        </w:rPr>
        <w:t>چون این مدعا را بلافاصله پس از نقل کلام شیخ طوسی در این باره آورده است</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بر این اساس،اگر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الحکام القائمون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فقها می‌شود،آنچه ابن‌ادریس بر آن ادعای اجماع کرده،اقامه حدود از سوی حاکمان ستمگر از سوی غیرفقیه است و در صورتی که این فرض را نپذیریم،ادعای اجماع شامل اقامه حدود در دستگاه حکام جور حتی به وسیله فقها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اقامه حدود را از مناصب اختصاصی ائمه می‌دانسته،کلامش صریح در این مطلب است،ولی درباره این که این منصب به فقها تفویض شده یا خیر،نفیاً و اثباتاً در این بیان سخنی ندارد</w:t>
      </w:r>
      <w:r>
        <w:rPr>
          <w:rFonts w:eastAsia="IRNazanin" w:cs="IRNazanin"/>
          <w:color w:val="111111"/>
          <w:sz w:val="28"/>
          <w:szCs w:val="28"/>
          <w:rtl w:val="true"/>
          <w:lang w:bidi="fa-IR"/>
        </w:rPr>
        <w:t>.</w:t>
      </w:r>
    </w:p>
    <w:p>
      <w:pPr>
        <w:pStyle w:val="Heading6"/>
        <w:numPr>
          <w:ilvl w:val="5"/>
          <w:numId w:val="1"/>
        </w:numPr>
        <w:rPr/>
      </w:pPr>
      <w:bookmarkStart w:id="385" w:name="__RefHeading___Toc3419874_581953129"/>
      <w:bookmarkStart w:id="386" w:name="_Toc154"/>
      <w:bookmarkEnd w:id="385"/>
      <w:r>
        <w:rPr>
          <w:rtl w:val="true"/>
        </w:rPr>
        <w:t>ب</w:t>
      </w:r>
      <w:r>
        <w:rPr>
          <w:rtl w:val="true"/>
        </w:rPr>
        <w:t>)</w:t>
      </w:r>
      <w:r>
        <w:rPr>
          <w:rtl w:val="true"/>
        </w:rPr>
        <w:t>بررسی احتمالات</w:t>
      </w:r>
      <w:bookmarkEnd w:id="386"/>
    </w:p>
    <w:p>
      <w:pPr>
        <w:pStyle w:val="Heading6"/>
        <w:numPr>
          <w:ilvl w:val="5"/>
          <w:numId w:val="1"/>
        </w:numPr>
        <w:rPr/>
      </w:pPr>
      <w:bookmarkStart w:id="387" w:name="__RefHeading___Toc3419876_581953129"/>
      <w:bookmarkStart w:id="388" w:name="_Toc155"/>
      <w:bookmarkEnd w:id="387"/>
      <w:r>
        <w:rPr>
          <w:rtl w:val="true"/>
        </w:rPr>
        <w:t>یکم</w:t>
      </w:r>
      <w:r>
        <w:rPr>
          <w:rtl w:val="true"/>
        </w:rPr>
        <w:t>)</w:t>
      </w:r>
      <w:r>
        <w:rPr>
          <w:rtl w:val="true"/>
        </w:rPr>
        <w:t>اختصاص اقامه حدود به معصومان علیه السلام و نایبان خاص</w:t>
      </w:r>
      <w:bookmarkEnd w:id="38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این چند احتمال،احتمال نخست با وجود این که برخی از فقها را به شگفتی واداشته، </w:t>
      </w:r>
      <w:r>
        <w:rPr>
          <w:rStyle w:val="FootnoteAnchor"/>
          <w:rtl w:val="true"/>
        </w:rPr>
        <w:footnoteReference w:id="433"/>
      </w:r>
      <w:r>
        <w:rPr>
          <w:rFonts w:ascii="IRNazanin" w:hAnsi="IRNazanin" w:eastAsia="IRNazanin"/>
          <w:color w:val="111111"/>
          <w:sz w:val="28"/>
          <w:sz w:val="28"/>
          <w:szCs w:val="28"/>
          <w:rtl w:val="true"/>
          <w:lang w:bidi="fa-IR"/>
        </w:rPr>
        <w:t>بیش از دیگر احتمال‌ها مورد توجه قرار گرفته،بزرگانی از فقها ظهور کلام ابن‌ادریس را در این معنا طرح کرده‌اند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اما این مطلب به چند دلیل قابل خدشه به نظر می‌رسد</w:t>
      </w:r>
      <w:r>
        <w:rPr>
          <w:rFonts w:eastAsia="IRNazanin" w:cs="IRNazanin"/>
          <w:color w:val="111111"/>
          <w:sz w:val="28"/>
          <w:szCs w:val="28"/>
          <w:rtl w:val="true"/>
          <w:lang w:bidi="fa-IR"/>
        </w:rPr>
        <w:t>:</w:t>
      </w:r>
      <w:bookmarkStart w:id="389" w:name="pg5664_43420"/>
    </w:p>
    <w:p>
      <w:pPr>
        <w:pStyle w:val="BookText"/>
        <w:rPr/>
      </w:pPr>
      <w:bookmarkEnd w:id="389"/>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این قول را مورد اجماع همه اصحاب دانسته،در حالی که بزرگانی از فقهای امامی قبل و بعد از وی در زمان غیبت،اقامه حدود را جایز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ابن‌ادریس دست‌کم از دیدگاه فقهای نامدار پیش از خود،مانند شیخ مفید،سلار و شیخ طوسی آگاه بوده و نیز دقت در تسلط فقهی ایشان،بعید است چنین اشتباه آشکاری را مرتکب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در پایان کتاب فصلی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است و در آن عبارتی دارد که می‌تواند تصریحی بر جواز اقامه حد از سوی فقها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پس از اینکه تنفیذ احکام را ضروری دانسته و شرطهایی را برای اجرا کننده احکام برشمرده،می‌فرماید؛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وإخوانه فی الدین مأمورون بالتحاکم،وحمل حقوق الأموال إلیه،والتمکن من أنفسهم لحد،وتأدیب</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التمکن من انفسهم 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در مطلب است؛زیرا چگونه ممکن است اقامه حدود جایز نباشد و در عین حال بر مردم واجب باشد خود را در معرض اقامه حدود و تعزیرات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بیان،این جمله،یا عدول از جمله سابق است و یا تبیینی است بر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ذکر شده،با وجود امکان تردید در آن،به قدری استواری دارد که احتمال نخست را که شاهد اصلی مدعیان عدم جواز است،متزلزل کند</w:t>
      </w:r>
      <w:r>
        <w:rPr>
          <w:rFonts w:eastAsia="IRNazanin" w:cs="IRNazanin"/>
          <w:color w:val="111111"/>
          <w:sz w:val="28"/>
          <w:szCs w:val="28"/>
          <w:rtl w:val="true"/>
          <w:lang w:bidi="fa-IR"/>
        </w:rPr>
        <w:t>.</w:t>
      </w:r>
    </w:p>
    <w:p>
      <w:pPr>
        <w:pStyle w:val="Heading6"/>
        <w:numPr>
          <w:ilvl w:val="5"/>
          <w:numId w:val="1"/>
        </w:numPr>
        <w:rPr/>
      </w:pPr>
      <w:bookmarkStart w:id="390" w:name="__RefHeading___Toc3419878_581953129"/>
      <w:bookmarkStart w:id="391" w:name="_Toc156"/>
      <w:bookmarkEnd w:id="390"/>
      <w:r>
        <w:rPr>
          <w:rtl w:val="true"/>
        </w:rPr>
        <w:t>دوم</w:t>
      </w:r>
      <w:r>
        <w:rPr>
          <w:rtl w:val="true"/>
        </w:rPr>
        <w:t>)</w:t>
      </w:r>
      <w:r>
        <w:rPr>
          <w:rtl w:val="true"/>
        </w:rPr>
        <w:t>جواز اقامه حدود از سوی معصومان علیهم السلام،نایبان خاص و نایبان عام</w:t>
      </w:r>
      <w:bookmarkEnd w:id="39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نیز بر این مبتنی است که فقها،حاکمان مأذون از سوی ائمه پنداشته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نیابت عامه فقها،شکی نیست که آنها نایبان عام حضرت هستند و می‌توانند نایبان حضرت در اقامه حدود نیز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ابن‌ادریس در پایان سرائر هم مؤید همین مطلب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والحکم بمقتضی التعبد فیها من فروض الأئمة علیهم السلام المختصة بهم دون من عداهم ممن لم یؤهلوا لذلک،فإن تعذر تنفیذها بهم علیهم السلام وبالمأهول لها من قبلهم لأحد الأسباب،لم یجز لغیر شیعتهم المنصوبین لذلک من قبلهم علیهم السلام تولی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لمن لم یتکامل له شروط النائب عن الإمام علیه السلام فی الحکم من شیعته</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تکاملت هذه الشروط،فقد أذن له فی تقلید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الحقیقة مأهول لذلک بإذن ولاة الأمر علیهم السلام وإخوانه فی الدین مأمورون بالتحاکم،وحمل حقوق الأموال إلیه،والتمکن من أنفسهم لحد،وتأدیب</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التمکن من انفسهم 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در مطلب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این،نکته‌هایی در خور توجه در فصل ایشان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شرطهایی که ایشان برمی‌شمارد،می‌تواند در غیر فقها نیز یافت شود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به همین قرینه،چه‌بسا مراد ایشان اقامه حدود صرفاً در حکومت جور یا اقامه حدود بر عبد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پذیرش این احتمال،از نظر ایشان،فقاهت شرط اقامه حدود در موارد پیش‌گفته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مراد از حد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التمکن من انفسهم 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حدودی باشد که از حقوق مردم شمرده می‌شود و به دلیل جنبه شخصی آن،به ترافع نیاز دارد؛یا این که مراد حدودی باشد که مستلزم قطع و قتل نباشد؛وگرنه،این وجوب تعارض پیدا می‌کند با روایاتی که مضمونشان رجحان توبه در خفا بر اصرار در اقامه حد به منظور تطهیر از گناه است</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اگر بتوانیم این قید را بر جمله ابن‌ادریس وارد کنیم،در دیدگاه وی،اقامه حدود از شمول اموری که به فقها تفویض شده،خارج می‌گردد و تنها حدودی که جنبه شخصی دارد،در این دایره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 از کلام ابن‌ادریس هر چند مؤیداتی دارد،با صدر کلام او ناسازگار است؛چون می‌دانیم فقهای عامه،نیابت عامه فقیه را،آن‌گونه که شیعه ملتزم به آن است،نمی‌پذیرند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می‌توان مأذون بودن فقها را در اجرای حدود مورد اجماع فقهای مسلمین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بتوان این اشکال را به این بیان دفع کرد که مورد اجماع فقها مسلمین این است که ائمه و حاکمان مأذون متولی اجرای حدودند و لزومی ندارد در تعیین مصداق این حاکمان نیز اجماعی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دیگری نیز برای این دیدگاه گفته‌اند که چندان قوّت نداد،ولی ذکر آن خالی از فایده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به دنبال این جمله معروف خود و پس از بیان مسئله قضا،بیانی دارد که برداشتی خاص از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فوضوا ذلک إلی فقهاء شیعتهم،المأمونین المحصلین الباحثین عن مآخذ الشریعة،الدیانین القیمین بذلک،فی حال لا یتمکنون فیه من تولیته بنفوسهم،فمن تمک من إنفاذ حکم و هو من أهله،أو إصلاح بین الناس،أو فصل بین المختلفین،فلیفعل ذلک</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برخی معتقدند مشار الیه در عبارت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اقامة الحدود و الحکم بین الناس و القضاء بین المختلفین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مراد او از عدم جواز،عدم جواز در زمان ظهور امام،در خصوص همه افراد یا در همه زمان‌ها،حتی در زمان غیبت،برای غیر فقهاست،بنابر اینکه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الحکام القائمون بإذنهم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ایشان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کلام ایشان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ظهور امام و استیلای ایشان،برای هیچ‌کس اقامه حدود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حکم بین مردم؛مگر برای کسانی که امام به ایشان اذن خاص داده و ایشان را بدین مهم گمارده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زمان غیبت،امر در هر کدام از اقامه حدود و حکم بین مردم به فقها تفویض شده است</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اشکال این نظریه،ناسازگاری آن با ظاهر کلام ابن‌ادریس است،خیلی بعید است نویسنده‌ای فرعی را مطرح کند،سپس از آن فرع فارغ شود و فرع جدیدی را آغاز نماید و پس از آن،استثنایی را در فرع جدید مطرح کند که شامل فرع سابق نیز</w:t>
      </w:r>
    </w:p>
    <w:p>
      <w:pPr>
        <w:pStyle w:val="BookText"/>
        <w:rPr/>
      </w:pPr>
      <w:r>
        <w:rPr>
          <w:rFonts w:ascii="IRNazanin" w:hAnsi="IRNazanin" w:eastAsia="IRNazanin"/>
          <w:color w:val="111111"/>
          <w:sz w:val="28"/>
          <w:sz w:val="28"/>
          <w:szCs w:val="28"/>
          <w:rtl w:val="true"/>
          <w:lang w:bidi="fa-IR"/>
        </w:rPr>
        <w:t>شود،آن هم با اسم اشاره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در چنین مواردی تصریح به شمول بر فرع سابق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آنکه اسم اشاره نیز به طور طبیعی باید مفرد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دلایلی نیز در اثبات این تفسیر ارائه شده که خالی از اشکال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اجماع در کلام ایشان،در حالی که قول به جواز اقامه حدود از سوی فقهای شیعه و غیر ایشان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چنین مسئله‌ای بر ایشان پوشیده مانده باشد،به گونه‌ای که اجماع اصحاب و مسلمین را بر خلاف آن ادعا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عبارت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تمک من إنفاذ حکم و هو من أهله،أو إصلاح بین الناس،أو فصل بین المختلفین،فلیفعل ذلک</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روشن است که انفاذ حکم شامل اقامه حدود نیز می‌شود و چه‌بسا مراد از آن،فقط اقامه حدود باشد؛زیرا در ادامه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فصل بین المختلفین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روشن است که فصل میان مختلفین،مختص به ترافع و نزاع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قرینه مقابله باید مراد از انفاذ حکم،اقامه حدود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فقیه بزرگوار ادعای وضوح کرده،ولی وضوح چندانی دیده نمی‌شود،بلکه خلاف آن ظاهر است؛زیرا انفاذ حکم در این عبارت او به جمله قبل وی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الحکم بین الناس و القضاء بین المختلفین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مشخص است مراد از حکم در این جمله،چیزی جز قضا نیست و به قرینه مقابله آن با عدم جواز اقامه حدود در چند سطر قبل،شامل اقامه حدود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بررسی دقیق این تعبیر لازم است رابطه حکم و حدود بررسی شود که در مباحث بعد بدان خواهیم پرداخت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ابن‌ادریس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لا یحسن القضایا و الأحکام فی إقامة الحدود وغیرها،لا یجوز له التعرض لذلک علی حال،فإن تعرض له کان مأثوما معاقبا،فإن أکره علی تولی ذلک،واضطرته تقیة،لم یکن علیه فی ذلک شئ،ویجتهد لنفسه من الأباطیل بکل ما یقدر علیه</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که در آن از اقامه حدود به دست کسی که احکام آن را نمی‌داند برحذر داشته،ثابت می‌کند از نظر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مفهوم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احکام آن را بداند،می‌تواند</w:t>
      </w:r>
    </w:p>
    <w:p>
      <w:pPr>
        <w:pStyle w:val="BookText"/>
        <w:rPr/>
      </w:pPr>
      <w:r>
        <w:rPr>
          <w:rFonts w:ascii="IRNazanin" w:hAnsi="IRNazanin" w:eastAsia="IRNazanin"/>
          <w:color w:val="111111"/>
          <w:sz w:val="28"/>
          <w:sz w:val="28"/>
          <w:szCs w:val="28"/>
          <w:rtl w:val="true"/>
          <w:lang w:bidi="fa-IR"/>
        </w:rPr>
        <w:t>اقامه حدود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دست‌کم باید اصل اقامه حدود مشروع باشد تا نهی از اقامه آن از سوی کسی که احکام را نمی‌داند،معقول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بیان نیز با اشکال‌هایی روبه‌روست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آنچه ابن‌ادریس در این عبارت آورده،عین عبارت شیخ در نهایه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لا یحسن القضایا و الأحکام فی إقامة الحدود وغیرها،لا یجوز له التعرض لتولی ذلک علی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تعرض لذلک،کان مأثوما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أکره علی ذلک،لم یکن علیه فی ذلک شئ،ویجتهد لنفسه التنزه من 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وصف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برای معقول بودن توجه نهی کافی است او دست‌کم در یکی از فروعات مسئله قایل به جواز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ابن‌ادریس اقامه حدود را بر عبد جایز می‌داند،نهی در کلام وی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شیخ در نهایه افزون بر عبد،اقامه حد را بر ولد و زوجه،و نیز اقامه از سوی سلطان ستمگر را جایز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ترتیب،وجه توجه و منع ایشان از اقامه حدود از سوی غیر عالم به احکام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این عبارت دربردارنده حکمی است شرعی،بدون توجه به اینکه این حکم اصلاً در زمان حاضر اجرایی است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در مباحث حدود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تکامل شهود الزنا أربعة وشهدوا به،ثم ماتوا أو غابوا،جاز للحاکم أن یحکم بشهادتهم،ویقیم الحد علی المشهود علیه،لقوله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 و هذا زان بغیر خلاف</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حاکم در این عبارت،یا خصوص حاکم در این زمان‌هاست یا حاکم به صورت مطلق و در هر زمانی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قطعاً زمان غیبت را در برمی‌گیرد و بدین ترتیب،این عبارت بر جواز اقامه حاکم در زمان غیبت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این بیان نیز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این عبارت دربردارنده حکمی است شرعی،بدون توجه به اینکه این حکم اصلاً در زمان حاضر اجرایی است یا خیر؛وگرنه،باید ایشان و بسیاری از فقها بحث حدود را کلاً از کتاب‌های خویش حذف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این عبارت،در نهایت جواز اقامه حدود از سوی حاکم فهمیده می‌شود،ولی این که حاکم کیست از این عبارت قابل فهم نیست و با رجوع به دیگر عبارت‌های ایشان روشن می‌شود حاکم در اقامه حدود،معصومان و منصوبان از سوی ایشان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مباحث حدود این فقیه فرهیخته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شاهد الإمام من یزنی،أو یشرب الخمر،کان علیه أن یقیم الحد علیه،ولا ینتظر مع مشاهدته قیام البینة،ولا الإقرار،وکذلک النائب من قبله،لأنا قد بینا فی کتاب القضاء إن للحاکم أن یحکم بعلمه فی جمیع الأشیاء بغیر خلاف بین أصحابنا،ولأن علمه أقوی من الإقرار و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این سخن وی و با توجه به این اصل موضوعی که جواز عمل حاکم به علمش در مباحث حدود،به معنای جواز اقامه حدود در زمان غیبت است،برخی قول جواز را از این بیان استفاده کرده‌اند،در حالی که اولاً این دو مسئله هیچ ربطی به یکدیگر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ثانی،پاسخ این مدعا،همان جواب از عبارت پیشین است؛به‌ویژه که در این عبارت به واژه امام تصریح شده،در ادامه نایب خاص از سوی ایشان را نیز بدیشان عطف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در پایان کتاب،در مقام استدلال بر درستی حکم حاکم بر اساس علمش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الحکام جمیعهم هم المعینون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السّارِقُ وَ السّارِقَةُ فَاقْطَعُوا أَیْدِیَهُما وکذلک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 إلی غیر ذلک 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کان یؤدی إلی أن جمیع الحکام فی جمیع البلدان النواب عن رئیس الکل،لا یقیم أحد منهم حدا فی عمله،بل ینفذ المحدود إلی البلد الذی فیه الرئیس المعصوم،لیقیم الحد علیه،و هذا خروج عن أقوال جمیع الأمة،بل المعلوم السائغ المتواتر أن للحکام إقامة الحدود فی البلد الذی کل واحد منهم نائب فیه من غیر توقف فی ذلک</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عبارت نیز برای جواز در کلام ابن‌ادریس استدلال شده است،در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رابطه‌ای میان اقامه حدود و عمل حاکم به علمش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 از این بحث هم صرفاً بحثی علمی بوده است و به جنبه‌های عملی آن نداشته</w:t>
      </w:r>
      <w:bookmarkStart w:id="392" w:name="pg5664_43426"/>
    </w:p>
    <w:p>
      <w:pPr>
        <w:pStyle w:val="BookText"/>
        <w:rPr/>
      </w:pPr>
      <w:bookmarkEnd w:id="39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به‌علاوه،ذیلی که ابن‌ادریس درباره نایبان در دیگر بلاد می‌آورد،ظاهراً مخالف مراد مُستدِل محترم است و منظور این فقیه برجسته را از جمیع حکام روشن می‌سازد</w:t>
      </w:r>
      <w:r>
        <w:rPr>
          <w:rFonts w:eastAsia="IRNazanin" w:cs="IRNazanin"/>
          <w:color w:val="111111"/>
          <w:sz w:val="28"/>
          <w:szCs w:val="28"/>
          <w:rtl w:val="true"/>
          <w:lang w:bidi="fa-IR"/>
        </w:rPr>
        <w:t>.</w:t>
      </w:r>
    </w:p>
    <w:p>
      <w:pPr>
        <w:pStyle w:val="Heading6"/>
        <w:numPr>
          <w:ilvl w:val="5"/>
          <w:numId w:val="1"/>
        </w:numPr>
        <w:rPr/>
      </w:pPr>
      <w:bookmarkStart w:id="393" w:name="__RefHeading___Toc3419880_581953129"/>
      <w:bookmarkStart w:id="394" w:name="_Toc157"/>
      <w:bookmarkEnd w:id="393"/>
      <w:r>
        <w:rPr>
          <w:rtl w:val="true"/>
        </w:rPr>
        <w:t>سوم</w:t>
      </w:r>
      <w:r>
        <w:rPr>
          <w:rtl w:val="true"/>
        </w:rPr>
        <w:t>)</w:t>
      </w:r>
      <w:r>
        <w:rPr>
          <w:rtl w:val="true"/>
        </w:rPr>
        <w:t>انکار جواز تصدی از سوی ستمگران</w:t>
      </w:r>
      <w:bookmarkEnd w:id="394"/>
    </w:p>
    <w:p>
      <w:pPr>
        <w:pStyle w:val="BookText"/>
        <w:rPr/>
      </w:pPr>
      <w:r>
        <w:rPr>
          <w:rFonts w:ascii="IRNazanin" w:hAnsi="IRNazanin" w:eastAsia="IRNazanin"/>
          <w:color w:val="111111"/>
          <w:sz w:val="28"/>
          <w:sz w:val="28"/>
          <w:szCs w:val="28"/>
          <w:rtl w:val="true"/>
          <w:lang w:bidi="fa-IR"/>
        </w:rPr>
        <w:t>احتمال سوم هم هر چند با صدر کلام ابن‌ادریس سازگار است،توجه به سخن ایشان روشن می‌سازد که وی درصدد بیان حکمی کلی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دیگر،گرچه موضوع بحث اقامه حدود از سوی ستمگران است،او برای استدلال در این مقام به یک کبرای کلی استناد کرده که مختص به مورد نیست</w:t>
      </w:r>
      <w:r>
        <w:rPr>
          <w:rFonts w:eastAsia="IRNazanin" w:cs="IRNazanin"/>
          <w:color w:val="111111"/>
          <w:sz w:val="28"/>
          <w:szCs w:val="28"/>
          <w:rtl w:val="true"/>
          <w:lang w:bidi="fa-IR"/>
        </w:rPr>
        <w:t>.</w:t>
      </w:r>
    </w:p>
    <w:p>
      <w:pPr>
        <w:pStyle w:val="Heading6"/>
        <w:numPr>
          <w:ilvl w:val="5"/>
          <w:numId w:val="1"/>
        </w:numPr>
        <w:rPr/>
      </w:pPr>
      <w:bookmarkStart w:id="395" w:name="__RefHeading___Toc3419882_581953129"/>
      <w:bookmarkStart w:id="396" w:name="_Toc158"/>
      <w:bookmarkEnd w:id="395"/>
      <w:r>
        <w:rPr>
          <w:rtl w:val="true"/>
        </w:rPr>
        <w:t>چهارم</w:t>
      </w:r>
      <w:r>
        <w:rPr>
          <w:rtl w:val="true"/>
        </w:rPr>
        <w:t>)</w:t>
      </w:r>
      <w:r>
        <w:rPr>
          <w:rtl w:val="true"/>
        </w:rPr>
        <w:t>سکوت درباره تفویض و عدم تفویض این منصب به فقها</w:t>
      </w:r>
      <w:bookmarkEnd w:id="396"/>
    </w:p>
    <w:p>
      <w:pPr>
        <w:pStyle w:val="BookText"/>
        <w:rPr/>
      </w:pPr>
      <w:r>
        <w:rPr>
          <w:rFonts w:ascii="IRNazanin" w:hAnsi="IRNazanin" w:eastAsia="IRNazanin"/>
          <w:color w:val="111111"/>
          <w:sz w:val="28"/>
          <w:sz w:val="28"/>
          <w:szCs w:val="28"/>
          <w:rtl w:val="true"/>
          <w:lang w:bidi="fa-IR"/>
        </w:rPr>
        <w:t>بدین ترتیب،ظاهراً تنها احتمال آخر بدون خدشه باقی می‌ماند و با پذیرش این احتمال،این اجماع مدعی نمی‌تواند شاهد و مؤیدی بر عدم جواز پنداشته شود؛چون بی‌گمان اقامه حدود از اموری است که به همه مردم واگذار نشده و از مناصب مختص 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پرسش اینجاست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منصب به فقها تفویض شده است یا خیر؟سخن ابن‌ادریس از این نظر در مقام بیان نیست و نمی‌توان به استناد آن عدم ولایت فقها را بر اقامه حدود به اجماع مسلمین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دیگر،عبارت ایشان از نظر واگذاری این اختیار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است و در مقام بیان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نظرداشت این احتمال،این معنا از عبارت ابن‌ادریس به دست می‌آید که اقامه حدود به دست افراد عادی جایز نیست و اصل اولی در اجرای حدود این است که فقط ائمه بر این امر ولایت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اقامه حدود از سوی فقها نیز ابن‌ادریس در این فصل،در مقام بیان نیست،ولی در دیگر مقامات سخنانی دارد که می‌تواند تأیید نظریه جواز پنداشته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جمع‌بندی می‌توان گفت هر چند بیان ابن‌ادریس چندان روشن نمی‌نماید،ولی با این تفاصیل،روشن شد نسبت نظریه عدم جواز اقامه حدود از سوی فقها به وی،امری است گزاف و ناشی از عدم تأمل در صدر و ذیل عبارت این فقیه و نادیده گرفتن دیدگاه‌های او در دیگر موارد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اجماع بر عدم جواز اقامه حدود بدون اذن امام به سید ابن‌زهره نیز نسبت</w:t>
      </w:r>
      <w:bookmarkStart w:id="397" w:name="pg5664_43427"/>
    </w:p>
    <w:p>
      <w:pPr>
        <w:pStyle w:val="BookText"/>
        <w:rPr/>
      </w:pPr>
      <w:bookmarkEnd w:id="397"/>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نسبت ناشی از گفته ایشان در غنیة النزوع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للسید اقامة الحدود علی من ملکت یمینه بغیر اذن الامام و لایجوز لغیر السید ذلک الا باذنه و کل ذلک بدلیل اجماع الطائفة علیه و فیه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اجماع از سوی ابن‌زهره </w:t>
      </w:r>
      <w:r>
        <w:rPr>
          <w:rStyle w:val="FootnoteAnchor"/>
          <w:rtl w:val="true"/>
        </w:rPr>
        <w:footnoteReference w:id="447"/>
      </w:r>
      <w:r>
        <w:rPr>
          <w:rFonts w:ascii="IRNazanin" w:hAnsi="IRNazanin" w:eastAsia="IRNazanin"/>
          <w:color w:val="111111"/>
          <w:sz w:val="28"/>
          <w:sz w:val="28"/>
          <w:szCs w:val="28"/>
          <w:rtl w:val="true"/>
          <w:lang w:bidi="fa-IR"/>
        </w:rPr>
        <w:t>نیز مانند ادعای ابن‌ادریس ابهام دارد و ممکن است کلام ایشان نیز ناظر به نفی جواز اقامه حدود از سوی عامه مردم باشد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افزون بر این،همان‌گونه خود ابن‌زهره اذعان کرده،معمولاً مراد از اجماع در کلام وی،اجماع اصطلاحی به معنای اتفاق نظر علمای امامی نیست،بلکه مراد از آن در مقام احتجاج،قول معصوم است،و چون ملاک حجیت اجماع از نظر ایشان،اشتمال بر قول معصوم بوده،عنوان اجماع را برای اشاره به قول معصوم علیه السلام برگزیده است</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مؤید این مطلب اینکه ایشان در بیش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این کتاب ادعای اجماع کرده که اعتراض صاحب جواهر و شیخ انصاری را به دلیل ادعای اجماع در موارد اختلافی یا در عناوین ناموجود در کتاب‌های پیشینیان برانگیخته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به فرض که مورد این اجماع‌ها عدم جواز اقامه حدود در زمان غیبت باشد،اجماع‌هایی منقول هستند و حجیت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اقوال فقها نیز نمی‌تواند محصل چنین اجماعی باشد؛زیرا چنان‌که که 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این دیدگاه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کردیم،دیدگاه عدم جواز تنها به تعداد معدودی از فقها نسبت داده شده است،در حالی که بررسی دیدگاه‌های بیشتر این فقیهان،ناروایی این نسبت را آشکار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نتیجه،اگر نتوانیم به جرئت بگوییم دیدگاه عدم جواز ضعیف است،به یقین می‌توانیم بگوییم این دیدگاه اجماعی نیست و حتی شهرت هم ندارد</w:t>
      </w:r>
      <w:r>
        <w:rPr>
          <w:rFonts w:eastAsia="IRNazanin" w:cs="IRNazanin"/>
          <w:color w:val="111111"/>
          <w:sz w:val="28"/>
          <w:szCs w:val="28"/>
          <w:rtl w:val="true"/>
          <w:lang w:bidi="fa-IR"/>
        </w:rPr>
        <w:t>.</w:t>
      </w:r>
    </w:p>
    <w:p>
      <w:pPr>
        <w:pStyle w:val="Heading5"/>
        <w:numPr>
          <w:ilvl w:val="4"/>
          <w:numId w:val="1"/>
        </w:numPr>
        <w:rPr/>
      </w:pPr>
      <w:bookmarkStart w:id="398" w:name="__RefHeading___Toc3419884_581953129"/>
      <w:bookmarkStart w:id="399" w:name="_Toc159"/>
      <w:bookmarkEnd w:id="398"/>
      <w:r>
        <w:rPr/>
        <w:t>2</w:t>
      </w:r>
      <w:r>
        <w:rPr>
          <w:rtl w:val="true"/>
        </w:rPr>
        <w:t>-</w:t>
      </w:r>
      <w:r>
        <w:rPr>
          <w:rtl w:val="true"/>
        </w:rPr>
        <w:t>روایت اشعثیات</w:t>
      </w:r>
      <w:bookmarkEnd w:id="399"/>
    </w:p>
    <w:p>
      <w:pPr>
        <w:pStyle w:val="Heading6"/>
        <w:numPr>
          <w:ilvl w:val="5"/>
          <w:numId w:val="1"/>
        </w:numPr>
        <w:rPr/>
      </w:pPr>
      <w:bookmarkStart w:id="400" w:name="__RefHeading___Toc3419886_581953129"/>
      <w:bookmarkStart w:id="401" w:name="_Toc160"/>
      <w:bookmarkEnd w:id="400"/>
      <w:r>
        <w:rPr>
          <w:rtl w:val="true"/>
        </w:rPr>
        <w:t>اشاره</w:t>
      </w:r>
      <w:bookmarkEnd w:id="40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مقام رد نظریه عدم جواز،به وجود روایاتی اذعان کرده که</w:t>
      </w:r>
    </w:p>
    <w:p>
      <w:pPr>
        <w:pStyle w:val="BookText"/>
        <w:rPr/>
      </w:pPr>
      <w:r>
        <w:rPr>
          <w:rFonts w:ascii="IRNazanin" w:hAnsi="IRNazanin" w:eastAsia="IRNazanin"/>
          <w:color w:val="111111"/>
          <w:sz w:val="28"/>
          <w:sz w:val="28"/>
          <w:szCs w:val="28"/>
          <w:rtl w:val="true"/>
          <w:lang w:bidi="fa-IR"/>
        </w:rPr>
        <w:t>اختصاص اقامه حدود به ائمه از آنها استنباط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این روایات،شیخ جواهری به‌ویژه به روایتی از کتاب اشعثیات اشاره و در آن از نظر سند و دلالت خدشه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ایشان افزون بر روایت اشعثیات،روایت دعائم الاسلام و روایت نوادر را مورد نظر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دلیل،وجود روایاتی را تأیید کرده،ولی این روایات در متن موجود سه کتاب،از نظر متن کاملاً منطبق و بدون تفاوت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قوی این تطابق ناشی از منشأ واحد این کتاب‌هاست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سه کتاب این روایت با این متن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 الحکم و لا الحدود و لا الجمعة الا بامام</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با وجود همخوانی متن موجود در کتاب‌های دعائم،نوادر و اشعثیات،محدث نوری این روایات را با اندکی تفاوت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مستدرک از اشعثیات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و در نقل از دعائم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اضافه شده است</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علامه مجلسی نیز در بحارالانوار روایت را یک بار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مطلق </w:t>
      </w:r>
      <w:r>
        <w:rPr>
          <w:rStyle w:val="FootnoteAnchor"/>
          <w:rtl w:val="true"/>
        </w:rPr>
        <w:footnoteReference w:id="453"/>
      </w:r>
      <w:r>
        <w:rPr>
          <w:rFonts w:ascii="IRNazanin" w:hAnsi="IRNazanin" w:eastAsia="IRNazanin"/>
          <w:color w:val="111111"/>
          <w:sz w:val="28"/>
          <w:sz w:val="28"/>
          <w:szCs w:val="28"/>
          <w:rtl w:val="true"/>
          <w:lang w:bidi="fa-IR"/>
        </w:rPr>
        <w:t>و در جایی دیگر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افزون بر این سه روایت،محدث نوری در خاتمة المستدرک پس از رد دیدگاه صاحب جواهر و دفاع از اشعثیات،به روایت دیگری از این کتاب اشاره می‌کند،که چه‌بسا دلالت استوارتری بر دیدگاه عدم جواز نزد ایشان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إن أنتم فعلتموهن لم ینزل بکم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عدوکم،و إذا رفعتم إلی أئمتکم حدودکم فحکموا فیها بالعدل</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دعائم الاسلام نیز آمده است،با این تفاوت که بند سوم روایت نصیحت ائمه را دربرمی‌گیرد که با امام معصوم چندان همخوانی ندارد و ظهور واژه ائمه</w:t>
      </w:r>
      <w:bookmarkStart w:id="402" w:name="pg5664_43429"/>
    </w:p>
    <w:p>
      <w:pPr>
        <w:pStyle w:val="BookText"/>
        <w:rPr/>
      </w:pPr>
      <w:bookmarkEnd w:id="402"/>
      <w:r>
        <w:rPr>
          <w:rFonts w:ascii="IRNazanin" w:hAnsi="IRNazanin" w:eastAsia="IRNazanin"/>
          <w:color w:val="111111"/>
          <w:sz w:val="28"/>
          <w:sz w:val="28"/>
          <w:szCs w:val="28"/>
          <w:rtl w:val="true"/>
          <w:lang w:bidi="fa-IR"/>
        </w:rPr>
        <w:t>را در امام معصوم متزلزل می‌کند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به‌علاوه،ظاهر روایت دعوت ائمه به عدالت در اجرای 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به‌یقین اگر مراد از ائمه،صرفاً معصومان باشند،این دعوت لغو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 امام در این روایت،اعم از امام 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همین تزلزل ظهور،به نظر می‌رسد به بررسی جداگانه این روایت نیاز نباشد؛به‌ویژه با توجه به یکسانی مستند و تشابه الفاظ هر دو روایت</w:t>
      </w:r>
      <w:r>
        <w:rPr>
          <w:rFonts w:eastAsia="IRNazanin" w:cs="IRNazanin"/>
          <w:color w:val="111111"/>
          <w:sz w:val="28"/>
          <w:szCs w:val="28"/>
          <w:rtl w:val="true"/>
          <w:lang w:bidi="fa-IR"/>
        </w:rPr>
        <w:t>.</w:t>
      </w:r>
    </w:p>
    <w:p>
      <w:pPr>
        <w:pStyle w:val="Heading6"/>
        <w:numPr>
          <w:ilvl w:val="5"/>
          <w:numId w:val="1"/>
        </w:numPr>
        <w:rPr/>
      </w:pPr>
      <w:bookmarkStart w:id="403" w:name="__RefHeading___Toc3419888_581953129"/>
      <w:bookmarkStart w:id="404" w:name="_Toc161"/>
      <w:bookmarkEnd w:id="403"/>
      <w:r>
        <w:rPr>
          <w:rtl w:val="true"/>
        </w:rPr>
        <w:t>الف</w:t>
      </w:r>
      <w:r>
        <w:rPr>
          <w:rtl w:val="true"/>
        </w:rPr>
        <w:t>)</w:t>
      </w:r>
      <w:r>
        <w:rPr>
          <w:rtl w:val="true"/>
        </w:rPr>
        <w:t>بررسی سند</w:t>
      </w:r>
      <w:bookmarkEnd w:id="40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کتاب‌های نوادر و دعائم الاسلام به‌صورت مرسل آمده است؛با این تفاوت که دعائم روایت را مستقیماً از امیرمؤمنان علیه السلام روایت کرده،ولی در نوادر این روایت از امام صادق علیه السلام از پدرانش از امیرمؤمنان علی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اشعثیات روایت به‌صورت مسند و با این سند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 از موسی بن اسماعیل از اسماعیل بن موسی الکاظم علیه السلام از حضرت امام موسی کاظم علیه السلام از امام جعفر صادق علیه السلام از پدرانشان از امیرمؤمنان علیه السلام</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گرچه افراد قرار گرفته در این طریق مورد اعتمادند،با وجود این،سند روایت با اشکال‌های متعددی روبه‌رو شده،که بیشتر آنها به خود کتاب و معتمد بودن آن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کتاب دیدگاه‌های متفاوتی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آن را از کتاب‌های قدیم مورد اعتماد و از اصول اصطلاحی دانسته‌اند، </w:t>
      </w:r>
      <w:r>
        <w:rPr>
          <w:rStyle w:val="FootnoteAnchor"/>
          <w:rtl w:val="true"/>
        </w:rPr>
        <w:footnoteReference w:id="458"/>
      </w:r>
      <w:r>
        <w:rPr>
          <w:rFonts w:ascii="IRNazanin" w:hAnsi="IRNazanin" w:eastAsia="IRNazanin"/>
          <w:color w:val="111111"/>
          <w:sz w:val="28"/>
          <w:sz w:val="28"/>
          <w:szCs w:val="28"/>
          <w:rtl w:val="true"/>
          <w:lang w:bidi="fa-IR"/>
        </w:rPr>
        <w:t xml:space="preserve">بعضی آن را مرسل </w:t>
      </w:r>
      <w:r>
        <w:rPr>
          <w:rStyle w:val="FootnoteAnchor"/>
          <w:rtl w:val="true"/>
        </w:rPr>
        <w:footnoteReference w:id="459"/>
      </w:r>
      <w:r>
        <w:rPr>
          <w:rFonts w:ascii="IRNazanin" w:hAnsi="IRNazanin" w:eastAsia="IRNazanin"/>
          <w:color w:val="111111"/>
          <w:sz w:val="28"/>
          <w:sz w:val="28"/>
          <w:szCs w:val="28"/>
          <w:rtl w:val="true"/>
          <w:lang w:bidi="fa-IR"/>
        </w:rPr>
        <w:t xml:space="preserve">و گروهی ضعیف </w:t>
      </w:r>
      <w:r>
        <w:rPr>
          <w:rStyle w:val="FootnoteAnchor"/>
          <w:rtl w:val="true"/>
        </w:rPr>
        <w:footnoteReference w:id="460"/>
      </w:r>
      <w:r>
        <w:rPr>
          <w:rFonts w:ascii="IRNazanin" w:hAnsi="IRNazanin" w:eastAsia="IRNazanin"/>
          <w:color w:val="111111"/>
          <w:sz w:val="28"/>
          <w:sz w:val="28"/>
          <w:szCs w:val="28"/>
          <w:rtl w:val="true"/>
          <w:lang w:bidi="fa-IR"/>
        </w:rPr>
        <w:t>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خویی نیز با اذعان به مورد اعتماد بودن اصل کتاب،در تطابق آن با کتاب موجود فعلی دچار تردید گشته،چون کتاب موجود از هند به‌دست یکی از سادات به همراه مجموعه‌ای آورده شده و پیش از آن در دسترس علما نبوده است</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همین امر موجب شده روایاتی که فقط</w:t>
      </w:r>
      <w:bookmarkStart w:id="405" w:name="pg5664_43430"/>
    </w:p>
    <w:p>
      <w:pPr>
        <w:pStyle w:val="BookText"/>
        <w:rPr/>
      </w:pPr>
      <w:bookmarkEnd w:id="405"/>
      <w:r>
        <w:rPr>
          <w:rFonts w:ascii="IRNazanin" w:hAnsi="IRNazanin" w:eastAsia="IRNazanin"/>
          <w:color w:val="111111"/>
          <w:sz w:val="28"/>
          <w:sz w:val="28"/>
          <w:szCs w:val="28"/>
          <w:rtl w:val="true"/>
          <w:lang w:bidi="fa-IR"/>
        </w:rPr>
        <w:t>در این کتاب ذکر شده و در دیگر مجامع روایی موجود نیست،مورد اعتماد قرار نگیرد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در مقابل،محدث نوری نه‌تنها آن را از اصول معتبر می‌داند،بلکه چنان اعتمادی به این کتاب و روایات آن دارد که در هر بحثی اگر از اشعثیات روایتی موجود باشد،بحث را با آن روایت 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گفته شده آنچه ایشان را به تدوین مجموعه حدیثی ارزشمند مستدرک الوسایل،واداشته،دستیابی به کتاب اشعثیات بوده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کتاب اشعثیات کتابی است با بیش از هزار حدیث،که در صورت مورد اعتماد بودن،منبع سرشاری از علوم اهل بیت را فراروی تشنگان معارف ایشان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کتاب،احادیثی از بیشتر ابواب فقهی وجود دارد که بسیاری از آنان بدیع بوده،در دیگر مجامع روایی نیامده است و چه‌بسا هر کدام از این روایات بتواند در یکی از مسائل فقهی تحولی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اقامه حدود نیز این کتاب از آن نظر که تنها سند روایی مخالفان اقامه حدود در آن قرار دارد،قابل توجه و ارزشمند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مجموع روایات مجامع روایی،تنها روایت اشعثیات است که در بدو امر در اختصاص منصب اقامه حدود به ائمه ظهور دارد؛هر چند این ظهور در مقام اجتهاد و داوری با اشکال‌های عمده‌ای روبه‌روست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دلیل،لازم است با این کتاب هر چه بیشتر آشنا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بایسته است اشکال‌های سندی این کتاب بررسی شود تا از این رهگذر همراه با روشن شدن مستند روایی دیدگاه عدم جواز،دیگر تحقیقات مرتبط با روایات این کتاب از ابهام به‌درآید</w:t>
      </w:r>
      <w:r>
        <w:rPr>
          <w:rFonts w:eastAsia="IRNazanin" w:cs="IRNazanin"/>
          <w:color w:val="111111"/>
          <w:sz w:val="28"/>
          <w:szCs w:val="28"/>
          <w:rtl w:val="true"/>
          <w:lang w:bidi="fa-IR"/>
        </w:rPr>
        <w:t>.</w:t>
      </w:r>
    </w:p>
    <w:p>
      <w:pPr>
        <w:pStyle w:val="Heading6"/>
        <w:numPr>
          <w:ilvl w:val="5"/>
          <w:numId w:val="1"/>
        </w:numPr>
        <w:rPr/>
      </w:pPr>
      <w:bookmarkStart w:id="406" w:name="__RefHeading___Toc3419890_581953129"/>
      <w:bookmarkStart w:id="407" w:name="_Toc162"/>
      <w:bookmarkEnd w:id="406"/>
      <w:r>
        <w:rPr>
          <w:rtl w:val="true"/>
        </w:rPr>
        <w:t>ب</w:t>
      </w:r>
      <w:r>
        <w:rPr>
          <w:rtl w:val="true"/>
        </w:rPr>
        <w:t>)</w:t>
      </w:r>
      <w:r>
        <w:rPr>
          <w:rtl w:val="true"/>
        </w:rPr>
        <w:t>اشکال‌های سندی کتاب اشعثیات</w:t>
      </w:r>
      <w:bookmarkEnd w:id="407"/>
    </w:p>
    <w:p>
      <w:pPr>
        <w:pStyle w:val="Heading6"/>
        <w:numPr>
          <w:ilvl w:val="5"/>
          <w:numId w:val="1"/>
        </w:numPr>
        <w:rPr/>
      </w:pPr>
      <w:bookmarkStart w:id="408" w:name="__RefHeading___Toc3419892_581953129"/>
      <w:bookmarkStart w:id="409" w:name="_Toc163"/>
      <w:bookmarkEnd w:id="408"/>
      <w:r>
        <w:rPr>
          <w:rtl w:val="true"/>
        </w:rPr>
        <w:t>یکم</w:t>
      </w:r>
      <w:r>
        <w:rPr>
          <w:rtl w:val="true"/>
        </w:rPr>
        <w:t>)</w:t>
      </w:r>
      <w:r>
        <w:rPr>
          <w:rtl w:val="true"/>
        </w:rPr>
        <w:t>معلوم نبودن نویسنده کتاب</w:t>
      </w:r>
      <w:bookmarkEnd w:id="40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این کتاب را برخی محمد بن اشعث،برخی موسی بن اسماعیل </w:t>
      </w:r>
      <w:r>
        <w:rPr>
          <w:rStyle w:val="FootnoteAnchor"/>
          <w:rtl w:val="true"/>
        </w:rPr>
        <w:footnoteReference w:id="464"/>
      </w:r>
      <w:r>
        <w:rPr>
          <w:rFonts w:ascii="IRNazanin" w:hAnsi="IRNazanin" w:eastAsia="IRNazanin"/>
          <w:color w:val="111111"/>
          <w:sz w:val="28"/>
          <w:sz w:val="28"/>
          <w:szCs w:val="28"/>
          <w:rtl w:val="true"/>
          <w:lang w:bidi="fa-IR"/>
        </w:rPr>
        <w:t>و برخی اسماعیل بن موسی علیه السلام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جواهر نویسنده آن را محمد بن اشعث معرفی کرده، </w:t>
      </w:r>
      <w:r>
        <w:rPr>
          <w:rStyle w:val="FootnoteAnchor"/>
          <w:rtl w:val="true"/>
        </w:rPr>
        <w:footnoteReference w:id="465"/>
      </w:r>
      <w:r>
        <w:rPr>
          <w:rFonts w:ascii="IRNazanin" w:hAnsi="IRNazanin" w:eastAsia="IRNazanin"/>
          <w:color w:val="111111"/>
          <w:sz w:val="28"/>
          <w:sz w:val="28"/>
          <w:szCs w:val="28"/>
          <w:rtl w:val="true"/>
          <w:lang w:bidi="fa-IR"/>
        </w:rPr>
        <w:t>ولی محدث نوری بدون هیچ شکی اسماعیل بن موسی علیه السلام را نگارنده کتاب</w:t>
      </w:r>
      <w:bookmarkStart w:id="410" w:name="pg5664_43431"/>
    </w:p>
    <w:p>
      <w:pPr>
        <w:pStyle w:val="BookText"/>
        <w:rPr/>
      </w:pPr>
      <w:bookmarkEnd w:id="410"/>
      <w:r>
        <w:rPr>
          <w:rFonts w:ascii="IRNazanin" w:hAnsi="IRNazanin" w:eastAsia="IRNazanin"/>
          <w:color w:val="111111"/>
          <w:sz w:val="28"/>
          <w:sz w:val="28"/>
          <w:szCs w:val="28"/>
          <w:rtl w:val="true"/>
          <w:lang w:bidi="fa-IR"/>
        </w:rPr>
        <w:t>دانسته،معتقد است اشعثیات متعلق به اسماعیل بن موسی است و به‌واسطه فرزندش موسی بن اسماعیل به محمد بن اشعث رسیده و به وسیله وی منتشر شده و به همین دلیل به اشعثیات مشهور گشته است</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برای تحقیق هر یک از مدعاها ضروری است وثاقت این افراد را بررسی کنیم</w:t>
      </w:r>
      <w:r>
        <w:rPr>
          <w:rFonts w:eastAsia="IRNazanin" w:cs="IRNazanin"/>
          <w:color w:val="111111"/>
          <w:sz w:val="28"/>
          <w:szCs w:val="28"/>
          <w:rtl w:val="true"/>
          <w:lang w:bidi="fa-IR"/>
        </w:rPr>
        <w:t>.</w:t>
      </w:r>
    </w:p>
    <w:p>
      <w:pPr>
        <w:pStyle w:val="Heading6"/>
        <w:numPr>
          <w:ilvl w:val="5"/>
          <w:numId w:val="1"/>
        </w:numPr>
        <w:rPr/>
      </w:pPr>
      <w:bookmarkStart w:id="411" w:name="__RefHeading___Toc3419894_581953129"/>
      <w:bookmarkStart w:id="412" w:name="_Toc164"/>
      <w:bookmarkEnd w:id="411"/>
      <w:r>
        <w:rPr>
          <w:rtl w:val="true"/>
        </w:rPr>
        <w:t>دوم</w:t>
      </w:r>
      <w:r>
        <w:rPr>
          <w:rtl w:val="true"/>
        </w:rPr>
        <w:t>)</w:t>
      </w:r>
      <w:r>
        <w:rPr>
          <w:rtl w:val="true"/>
        </w:rPr>
        <w:t>محمد بن اشعث کوفی</w:t>
      </w:r>
      <w:bookmarkEnd w:id="412"/>
    </w:p>
    <w:p>
      <w:pPr>
        <w:pStyle w:val="BookText"/>
        <w:rPr/>
      </w:pPr>
      <w:r>
        <w:rPr>
          <w:rFonts w:ascii="IRNazanin" w:hAnsi="IRNazanin" w:eastAsia="IRNazanin"/>
          <w:color w:val="111111"/>
          <w:sz w:val="28"/>
          <w:sz w:val="28"/>
          <w:szCs w:val="28"/>
          <w:rtl w:val="true"/>
          <w:lang w:bidi="fa-IR"/>
        </w:rPr>
        <w:t>ابن‌اشعث ثقه است</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نجاشی او را توثیق کرده و گفته او کتاب حجی داشته که در آن،روایات عامه را در باب حج از امام جعفر صادق علیه السلام روایت کرده است</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به یقین این کتاب غیر از کتاب اشعثیات فعلی است؛چون کتاب موجود دربردارنده بیشتر ابواب فقهی است و به روایات عامه از حضرت اختصاص ندارد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صاحب منتهی المقال نیز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علی،محمد بن محمد بن اشعث اهل کوفه و ساکن مصر،مورد اطمینان و از راویان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نیز به نقل از شیخ طوسی و نجاشی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اشعث،ثقه و مورد اطمینان است</w:t>
      </w:r>
      <w:r>
        <w:rPr>
          <w:rFonts w:eastAsia="IRNazanin" w:cs="IRNazanin"/>
          <w:color w:val="111111"/>
          <w:sz w:val="28"/>
          <w:szCs w:val="28"/>
          <w:rtl w:val="true"/>
          <w:lang w:bidi="fa-IR"/>
        </w:rPr>
        <w:t>».</w:t>
      </w:r>
    </w:p>
    <w:p>
      <w:pPr>
        <w:pStyle w:val="Heading6"/>
        <w:numPr>
          <w:ilvl w:val="5"/>
          <w:numId w:val="1"/>
        </w:numPr>
        <w:rPr/>
      </w:pPr>
      <w:bookmarkStart w:id="413" w:name="__RefHeading___Toc3419896_581953129"/>
      <w:bookmarkStart w:id="414" w:name="_Toc165"/>
      <w:bookmarkEnd w:id="413"/>
      <w:r>
        <w:rPr>
          <w:rtl w:val="true"/>
        </w:rPr>
        <w:t>سوم</w:t>
      </w:r>
      <w:r>
        <w:rPr>
          <w:rtl w:val="true"/>
        </w:rPr>
        <w:t>)</w:t>
      </w:r>
      <w:r>
        <w:rPr>
          <w:rtl w:val="true"/>
        </w:rPr>
        <w:t>موسی بن اسماعیل</w:t>
      </w:r>
      <w:bookmarkEnd w:id="41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فهرست بر آن است که موسی بن اسماعیل نویسنده کتاب‌های صلوة و وضو است که محمد بن اشعث از وی روایت کرده است</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نجاشی نیز معتقد است موسی بن اسماعیل صاحب جوامع التفسیر،دارای کتاب وضو است که محمد بن اشعث آن را روایت کرده است</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این دو نقل ثابت می‌کند موسی بن اسماعیل دست به قلم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روایت عده‌ای از ثقات،نظیر محمد بن اشعث،ابن‌یحیی و ابراهیم بن هاشم، </w:t>
      </w:r>
      <w:r>
        <w:rPr>
          <w:rStyle w:val="FootnoteAnchor"/>
          <w:rtl w:val="true"/>
        </w:rPr>
        <w:footnoteReference w:id="472"/>
      </w:r>
      <w:r>
        <w:rPr>
          <w:rFonts w:ascii="IRNazanin" w:hAnsi="IRNazanin" w:eastAsia="IRNazanin"/>
          <w:color w:val="111111"/>
          <w:sz w:val="28"/>
          <w:sz w:val="28"/>
          <w:szCs w:val="28"/>
          <w:rtl w:val="true"/>
          <w:lang w:bidi="fa-IR"/>
        </w:rPr>
        <w:t>موجب ظن</w:t>
      </w:r>
      <w:bookmarkStart w:id="415" w:name="pg5664_43432"/>
    </w:p>
    <w:p>
      <w:pPr>
        <w:pStyle w:val="BookText"/>
        <w:rPr/>
      </w:pPr>
      <w:bookmarkEnd w:id="415"/>
      <w:r>
        <w:rPr>
          <w:rFonts w:ascii="IRNazanin" w:hAnsi="IRNazanin" w:eastAsia="IRNazanin"/>
          <w:color w:val="111111"/>
          <w:sz w:val="28"/>
          <w:sz w:val="28"/>
          <w:szCs w:val="28"/>
          <w:rtl w:val="true"/>
          <w:lang w:bidi="fa-IR"/>
        </w:rPr>
        <w:t>قوی به وثاقت موسی بن اسماعیل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منتهی المقال پس از نقل عبارات شیخ و نجاشی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ذکر کرده‌اند روشن می‌شود موسی بن اسماعیل از علمای امامی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ایشان نمی‌دانسته موسی،نوه امام موسی کاظم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رو،استظهار کرده که امامی است و سپس در آن تأمل کرده است</w:t>
      </w:r>
      <w:r>
        <w:rPr>
          <w:rFonts w:eastAsia="IRNazanin" w:cs="IRNazanin"/>
          <w:color w:val="111111"/>
          <w:sz w:val="28"/>
          <w:szCs w:val="28"/>
          <w:rtl w:val="true"/>
          <w:lang w:bidi="fa-IR"/>
        </w:rPr>
        <w:t xml:space="preserve">. </w:t>
      </w:r>
      <w:r>
        <w:rPr>
          <w:rStyle w:val="FootnoteAnchor"/>
          <w:rtl w:val="true"/>
        </w:rPr>
        <w:footnoteReference w:id="473"/>
      </w:r>
    </w:p>
    <w:p>
      <w:pPr>
        <w:pStyle w:val="Heading6"/>
        <w:numPr>
          <w:ilvl w:val="5"/>
          <w:numId w:val="1"/>
        </w:numPr>
        <w:rPr/>
      </w:pPr>
      <w:bookmarkStart w:id="416" w:name="__RefHeading___Toc3419898_581953129"/>
      <w:bookmarkStart w:id="417" w:name="_Toc166"/>
      <w:bookmarkEnd w:id="416"/>
      <w:r>
        <w:rPr>
          <w:rtl w:val="true"/>
        </w:rPr>
        <w:t>چهارم</w:t>
      </w:r>
      <w:r>
        <w:rPr>
          <w:rtl w:val="true"/>
        </w:rPr>
        <w:t>)</w:t>
      </w:r>
      <w:r>
        <w:rPr>
          <w:rtl w:val="true"/>
        </w:rPr>
        <w:t>اسماعیل بن موسی علیه السلام</w:t>
      </w:r>
      <w:bookmarkEnd w:id="417"/>
    </w:p>
    <w:p>
      <w:pPr>
        <w:pStyle w:val="BookText"/>
        <w:rPr/>
      </w:pPr>
      <w:r>
        <w:rPr>
          <w:rFonts w:ascii="IRNazanin" w:hAnsi="IRNazanin" w:eastAsia="IRNazanin"/>
          <w:color w:val="111111"/>
          <w:sz w:val="28"/>
          <w:sz w:val="28"/>
          <w:szCs w:val="28"/>
          <w:rtl w:val="true"/>
          <w:lang w:bidi="fa-IR"/>
        </w:rPr>
        <w:t>از فرزندان امام موسی کاظم علیه السلام است که در مصر ساکن بود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او را ابن‌کلثوم می‌خواندند و به اولادش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مامقامی حسن،سلامت و کمال،بلکه وثاقتش را تأیید کرده است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صفوان بن یحیی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 و حضرت امام جواد علیه السلام حنوط و کفن برایش فرستاد و اسماعیل را به نماز بر او امر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او در طریق ابن‌قولویه در کتاب کامل الزیارات قرار گرفته است</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صدوق در عیون و علل به سند صحیح از وی روایت کرده است</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شیخ در تهذیب روایت کرده که حضرت امام موسی کاظم علیه السلام او را متولی وقف قرار داد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شیخ مفید نیز در ارشاد پس از ذکر فرزندان امام موسی کاظم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کدام از فرزندان ابی‌الحسن موسی علیه السلام فضل و منقبت مشهوری است</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و شیخ در ترجمه اسماعیل بن موسی گفته‌اند او دارای کتاب‌های مبوّبی است که از پدرش و او نیز از پدرانش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کتاب‌ها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طهارت،کتاب صلوة،کتاب زکاة،کتاب صوم،کتاب حج،کتاب جنائز،کتاب طلاق،کتاب نکاح،کتاب حدود،کتاب دعاء،کتاب سنن و الآداب و کتاب رؤیا</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نجاشی و شیخ هر دو این ابواب را به‌عنوان نمونه برشمرده،هیچ‌کدام ابواب این کتاب را منحصر به این موارد نکرده‌اند و حتی شیخ کتاب دیات را نیز به این کتاب‌ها افزوده است</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در طریق شیخ و نجاشی به این کتاب،حسین بن عبیدالله،سهل بن احمد بن سهل،محمد بن محمد الاشعث،موسی بن اسماعیل بن موسی بن جعفر،پدرش اسماعیل،پدرش امام موسی کاظم علیه السلام،امام جعفر صادق علیه السلام و پدرانش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طریق کاملاً صحیح است</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محمد بن اشعث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اسماعیل خالی از مدح نیست و اسماعیل نیز ممدوح،بلکه ثقه است</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تنها مشکلی که در سند به نظر می‌رسد،کلام غضائری درباره سهل بن احمد بن سهل دیباجی است که او را جاعل احادیث و راوی از مجاهیل خوانده است</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اما این سخن معارض گفته‌های دیگر رجال شناسان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ابومحمد،سهل بن احمد بن عبدالله بن احمد بن سهل دیباجی،هیچ اشکالی در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اوقات اعتقاد خود را پنهان می‌داشت،ولی در آخر عمر دین خود را آشکار کرد و کتاب ایمان ابوطالب را نگاشت</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نیز با اشاره به اینکه تلعکبری</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او شنیده،هیچ ذمی درباره او نگفته است</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بنابراین،کلام نجاشی،ذم نکردن شیخ،کثیر الروایة بودن و اعتماد شیخ،نجاشی و حسین عبیدالله به روایات او از اشعثیات،و ذکر وی با کنیه در طریق،موجب اعتماد به وی می‌شود و سخن غضائری را سست می‌کند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افزون بر اینکه تضعیفات غضائری چندان مورد قبول رجال شناسان نیست و خود غضائری نیز به پذیرش روایات سهل از اشعثیات تصریح کرده است</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ذم او از سوی اهل سنت و رافضی خواندنش نیز قرینه‌ای است که ثقه</w:t>
      </w:r>
      <w:bookmarkStart w:id="418" w:name="pg5664_43434"/>
    </w:p>
    <w:p>
      <w:pPr>
        <w:pStyle w:val="BookText"/>
        <w:rPr/>
      </w:pPr>
      <w:bookmarkEnd w:id="418"/>
      <w:r>
        <w:rPr>
          <w:rFonts w:ascii="IRNazanin" w:hAnsi="IRNazanin" w:eastAsia="IRNazanin"/>
          <w:color w:val="111111"/>
          <w:sz w:val="28"/>
          <w:sz w:val="28"/>
          <w:szCs w:val="28"/>
          <w:rtl w:val="true"/>
          <w:lang w:bidi="fa-IR"/>
        </w:rPr>
        <w:t>بودن وی را 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شناسان اهل سنت او را کذاب،رافضی و زندیق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خانه‌اش بر دیوار لعن ابوبکر،عمر و باقی اصحاب عشره،جز علی علیه السلام را دیدم</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ابن‌عدی درباره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مصر از او روایت می‌نوشتم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تشیعش موجب گشت تا کتابی را برای ما بیرون بیاورد که شامل هزار حدیث بود و ادعا می‌کرد آنها را از موسی بن اسماعیل بن موسی بن جعفر روایت می‌کند و آنها هم از پدران خود روایت کرده‌اند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آیت‌الله خویی با اینکه طریق شیخ و نجاشی را به کتاب اسماعیل صحیح می‌داند،بر ادله وثاقت وی،از جمله نقل ارشاد خدشه می‌کند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او با اشاره به روایت تهذیب و ارشاد می‌فرماید با این روایت حسن فرد ثابت نمی‌شود؛چه رسد به وثاقت او و نهایت چیزی که ممکن است با این روایت ثابت گردد،این است که فرد در وقف خیانت و تعدی نمی‌کند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ناگفته پیداست که شاید این روایات هر کدام به‌تنهایی نتواند وثاقت کسی را ثابت کند،ولی نباید از نظر دور داشت که در کنار هم قرار دادن آنها،یقین به حسن و وثاقت راوی را پدید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بنابراین،به نظر نگارنده گرچه اسماعیل بن موسی به احتمال قوی نویسنده جعفریات است،ولی در هر صورت،چه نویسنده کتاب،اسماعیل بن موسی علیه السلام یا موسی بن اسماعیل یا محمد بن اشعث باشد،اصل کتاب خالی از اشکال است و سند شیخ و نجاشی به کتاب صحیح به نظر می‌رسد</w:t>
      </w:r>
      <w:r>
        <w:rPr>
          <w:rFonts w:eastAsia="IRNazanin" w:cs="IRNazanin"/>
          <w:color w:val="111111"/>
          <w:sz w:val="28"/>
          <w:szCs w:val="28"/>
          <w:rtl w:val="true"/>
          <w:lang w:bidi="fa-IR"/>
        </w:rPr>
        <w:t>.</w:t>
      </w:r>
    </w:p>
    <w:p>
      <w:pPr>
        <w:pStyle w:val="Heading6"/>
        <w:numPr>
          <w:ilvl w:val="5"/>
          <w:numId w:val="1"/>
        </w:numPr>
        <w:rPr/>
      </w:pPr>
      <w:bookmarkStart w:id="419" w:name="__RefHeading___Toc3419900_581953129"/>
      <w:bookmarkStart w:id="420" w:name="_Toc167"/>
      <w:bookmarkEnd w:id="419"/>
      <w:r>
        <w:rPr>
          <w:rtl w:val="true"/>
        </w:rPr>
        <w:t>پنجم</w:t>
      </w:r>
      <w:r>
        <w:rPr>
          <w:rtl w:val="true"/>
        </w:rPr>
        <w:t>)</w:t>
      </w:r>
      <w:r>
        <w:rPr>
          <w:rtl w:val="true"/>
        </w:rPr>
        <w:t>معتبر و مشهور نبودن اشعثیات</w:t>
      </w:r>
      <w:bookmarkEnd w:id="420"/>
    </w:p>
    <w:p>
      <w:pPr>
        <w:pStyle w:val="BookText"/>
        <w:rPr/>
      </w:pPr>
      <w:r>
        <w:rPr>
          <w:rFonts w:ascii="IRNazanin" w:hAnsi="IRNazanin" w:eastAsia="IRNazanin"/>
          <w:color w:val="111111"/>
          <w:sz w:val="28"/>
          <w:sz w:val="28"/>
          <w:szCs w:val="28"/>
          <w:rtl w:val="true"/>
          <w:lang w:bidi="fa-IR"/>
        </w:rPr>
        <w:t>گفته شده کتاب اشعثیات از اصول مشهور و معتبر نیست و هیچ‌کدام از اصحاب به صحت آن حکم نکرده‌اند و استناد آن به مصنف متواتر نیست</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صاحب ذریعه این سخن را نپذیرفته،معتقد است جعفریات از کتاب‌های قدیم</w:t>
      </w:r>
    </w:p>
    <w:p>
      <w:pPr>
        <w:pStyle w:val="BookText"/>
        <w:rPr/>
      </w:pPr>
      <w:r>
        <w:rPr>
          <w:rFonts w:ascii="IRNazanin" w:hAnsi="IRNazanin" w:eastAsia="IRNazanin"/>
          <w:color w:val="111111"/>
          <w:sz w:val="28"/>
          <w:sz w:val="28"/>
          <w:szCs w:val="28"/>
          <w:rtl w:val="true"/>
          <w:lang w:bidi="fa-IR"/>
        </w:rPr>
        <w:t>و مورد اعتماد اصحاب،بلکه از اصول اصطلاحی است که نام آن به طور خاص در اجازات آمده است</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دلایلی نیز وجود دارد که این مدعا را ثابت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ابن‌طاووس در کتاب الاقبال در تعظیم ماه رمضان روایتی از اشعثیات ذکر کرده،می‌گوید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در کتاب اشعثیات دیدم و روایت کردم و این کتاب دارای هزار حدیث است به اسناد واحد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در اصل سندش به امیرمؤمنان علی علیه السلام منتهی شده است و ما در موارد دیگر گفتیم که هر آنچه امیرمؤمنان روایت می‌کند،از پیامبر عظیم الشأن اسلام صلّی الله علیه و آله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ظاهر این سخن این است که ابن طاووس جعفریات را از اصول دانسته،مگر اینکه بگوییم مراد از اصل در این کلام،اصل اصطلاحی نیست و اصل کتاب مراد است که امری است خلاف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اسناد این کتاب،ستایش سترگی است برای اسماعیل و فرزندش موسی؛چون او در مقام مدح ایشان است،نه فوق ایشان</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این کتاب از کتاب‌های مشهور نزد شیوخ تا زمان علامه و حتی شهید اول بوده است</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علامه حلی،در اجازه بزرگ و مشهور خود نام این کتاب را در فهرست کتاب‌هایی آورده که اجازه روایت آن را به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به این کتاب دسترسی داشته،آن را پس از تلخیص اختصار الجعفریات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مجموعه شریفی است که همه آن به خط شیخ جلیل،صاحب کرامات،شمس‌الدین محمد بن علی جباعی،جد شیخ بهایی است که همه را از خط شهید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شهید در ذکری و بیان به روایت‌هایی از این کتاب استناد کرده است</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باقر شریف القرشی از علمای معاصر و از نویسندگان معتبر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بزرگوار آیت‌الله سید ابوالحسن اصفهانی بر کتاب جعفریات بسیار اعتماد می‌کرد</w:t>
      </w:r>
      <w:r>
        <w:rPr>
          <w:rFonts w:eastAsia="IRNazanin" w:cs="IRNazanin"/>
          <w:color w:val="111111"/>
          <w:sz w:val="28"/>
          <w:szCs w:val="28"/>
          <w:rtl w:val="true"/>
          <w:lang w:bidi="fa-IR"/>
        </w:rPr>
        <w:t xml:space="preserve">». </w:t>
      </w:r>
      <w:r>
        <w:rPr>
          <w:rStyle w:val="FootnoteAnchor"/>
          <w:rtl w:val="true"/>
        </w:rPr>
        <w:footnoteReference w:id="499"/>
      </w:r>
      <w:bookmarkStart w:id="421" w:name="pg5664_43436"/>
    </w:p>
    <w:p>
      <w:pPr>
        <w:pStyle w:val="Heading6"/>
        <w:numPr>
          <w:ilvl w:val="5"/>
          <w:numId w:val="1"/>
        </w:numPr>
        <w:rPr/>
      </w:pPr>
      <w:bookmarkStart w:id="422" w:name="__RefHeading___Toc3419902_581953129"/>
      <w:bookmarkStart w:id="423" w:name="_Toc168"/>
      <w:bookmarkEnd w:id="421"/>
      <w:bookmarkEnd w:id="422"/>
      <w:r>
        <w:rPr>
          <w:rtl w:val="true"/>
        </w:rPr>
        <w:t>ششم</w:t>
      </w:r>
      <w:r>
        <w:rPr>
          <w:rtl w:val="true"/>
        </w:rPr>
        <w:t>)</w:t>
      </w:r>
      <w:r>
        <w:rPr>
          <w:rtl w:val="true"/>
        </w:rPr>
        <w:t>عدم نقل بحار و وسایل به دلیل عدم اعتماد</w:t>
      </w:r>
      <w:bookmarkEnd w:id="423"/>
    </w:p>
    <w:p>
      <w:pPr>
        <w:pStyle w:val="BookText"/>
        <w:rPr/>
      </w:pPr>
      <w:r>
        <w:rPr>
          <w:rFonts w:ascii="IRNazanin" w:hAnsi="IRNazanin" w:eastAsia="IRNazanin"/>
          <w:color w:val="111111"/>
          <w:sz w:val="28"/>
          <w:sz w:val="28"/>
          <w:szCs w:val="28"/>
          <w:rtl w:val="true"/>
          <w:lang w:bidi="fa-IR"/>
        </w:rPr>
        <w:t>اشکال شده که وسایل و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عدم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کتاب روایت نکرده‌اند،در حالی که بعید است ایشان بدین کتاب دست نیافته باشند،به‌ویژه علامه مجلسی که حرص شدیدی بر حفظ کتاب‌های حدیث داشت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این اشکال نیز وارد نیست؛چون علامه مجلسی در ابتدای کتاب شریف بحارالانوار در مقام تقویت عمل به کتاب نوادر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روایات این کتاب از کتاب موسی بن اسماعیل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قراین،عمل به احادیث این کتاب قوی است</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همچنین در حاشیه فصل چهارم بحار هنگام بحث از سند اول نوادر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اشعثیات میان خاصه و عامه مشهور است و بیشتر روایات کتاب نوادر راوندی از این کتاب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نیز برخی از روایات این کتاب را از طریق دیگری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کتاب‌های رجالی طرق دیگری نیز برای این کتاب نقل شده است که ما در آخر کتاب بحار الانوار به آن اشاره خواهیم کرد</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نزد صاحب وسائل نیز نبوده؛وگرنه،به یقین از آن روایت می‌کرد؛چون ایشان از کتاب‌هایی به مراتب پایین‌تر از این کتاب از نظر مؤلف یا عدم ثبوت نسبت یا ضعف طریق،همچون فضل الشیعه صدوق،تحف العقول،تفسیر فرات،ارشاد دیلمی،نوادر احمد بن محمد بن عیسی و اختصاص مفید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به‌علاوه،شیخ حر عاملی در امل الآمل نام کتاب‌هایی را که به دلیل مجهول بودن مؤلف از آنها روایت نکرده،آورده و نامی از اشعثیات نبرده است</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همچنین شیخ حر عاملی در اعتماد به کتب،به وجوه ضعیف و قراین ناآشکار بسنده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کتاب نزد او بود،با توجه به اعتماد مشایخ و تصریح بزرگان،به یقین از آن غفلت نمی‌ورزید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ایشان در کتاب صوم روایت یاد شده را در اقبال سید با همان مدح در آن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وی با واسطه به آن اعتماد کرده،ولی بدون واسطه بر آن اعتماد نکرده است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آقا بزرگ تهرانی صاحب کتاب ارزشمند الذریعة إلی تصانیف الشیعة درباره این کتاب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و شیخ حر عاملی با وجود جست‌وجوی فراوان،بر نسخه این کتاب دست نیافتند و خداوند آن را برای محدث نوری صاحب مستدرک الوسایل ذخیره کرد و بر ایشان منت نهاد و نسخه‌ای از این کتاب را در ضمن مجموعه‌ای در اختیار وی قرار داد و مصادری دیگر که معتبر و صحیح می‌باشند نیز برای ایشان مهیا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نظر،محدث نوری در خاتمه کتاب مستدرک،این کتاب را قبل از دیگر کتاب‌ها مطرح می‌کند و در متن کتاب نیز روایات این کتاب را قبل از دیگر روایات نقل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این کتاب و کتاب‌های معتبر دیگر،کتاب مستدرک به درجه‌ای از اهمیت نایل آمده است که مراجعه به آن بر هر مجتهدی لازم 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آیت‌الله خویی نیز به جزم معتقد است این کتاب در دسترس علامه مجلسی،صاحب وسائل و حتی شیخ طوسی نبوده است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هیچ بعدی هم ندارد که ایشان بدین کتاب دست نیافته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کتاب‌های معتبری نزد شیخ حر بوده که نزد مجلسی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نزد میرلوحی که ساکن اصفهان بود،کتاب‌هایی دیده می‌شد که مجلسی با وجود نیاز شدید،از آن آگاه نبود؛همچون الرجعة فضل بن شاذان،الفرج الکبیر فی الغیبة نوشته ابو عبدالله محمد بن هبة بن جعفر وراق طرابلسی و الغیبة اثر حسن بن حمزة مرعشی</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به این کتاب ضمن مجموعه‌ای دست یافت که یکی از سادات از هند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علاوه بر اشعثیات،شامل قرب الاسناد،مسائل علی بن جعفر و کتاب سلیم بن قیس بوده است</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البته پیش از محدث نوری،برخی فقها معدود روایاتی را از این کتاب نقل کرده‌اند که در دیگر مجامع روایی نبوده است</w:t>
      </w:r>
      <w:r>
        <w:rPr>
          <w:rFonts w:eastAsia="IRNazanin" w:cs="IRNazanin"/>
          <w:color w:val="111111"/>
          <w:sz w:val="28"/>
          <w:szCs w:val="28"/>
          <w:rtl w:val="true"/>
          <w:lang w:bidi="fa-IR"/>
        </w:rPr>
        <w:t xml:space="preserve">. </w:t>
      </w:r>
      <w:r>
        <w:rPr>
          <w:rStyle w:val="FootnoteAnchor"/>
          <w:rtl w:val="true"/>
        </w:rPr>
        <w:footnoteReference w:id="509"/>
      </w:r>
      <w:bookmarkStart w:id="424" w:name="pg5664_43438"/>
    </w:p>
    <w:p>
      <w:pPr>
        <w:pStyle w:val="BookText"/>
        <w:rPr/>
      </w:pPr>
      <w:bookmarkEnd w:id="424"/>
      <w:r>
        <w:rPr>
          <w:rFonts w:ascii="IRNazanin" w:hAnsi="IRNazanin" w:eastAsia="IRNazanin"/>
          <w:color w:val="111111"/>
          <w:sz w:val="28"/>
          <w:sz w:val="28"/>
          <w:szCs w:val="28"/>
          <w:rtl w:val="true"/>
          <w:lang w:bidi="fa-IR"/>
        </w:rPr>
        <w:t>بر اساس شواهد موجود،این کتاب به دلیل دوری صاحب آن از مهد روایت آن زمان،یعنی مدینه،و سکونت وی در مصر،در دسترس نویسندگاه مجامع روایی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رو،در کافی،فقیه،تهذیب و استبصار روایت آن نیامده،مگر معدود روایاتی که با واسطه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ظاهراً در زمان علامه و شهید اول،شاید به دلیل نزدیکی ایشان به مصر،این کتاب مدت زمان کوتاهی در دسترس فقها قرار گرفته،پس از مدتی دوباره به فراموشی سپرده شده،تا این که در زمان محدث نوری یکی از سادات والامقام هندی این کتاب را به ایشان تقدیم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پرسشی که به ذهن می‌رسد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زمان شهید و بعد از آن این کتاب با اقبال فقها مواجه نگشت؟شاید بتوان در پاسخ گفت شاکله فقه آن زمان،بر اساس کتاب‌های محقق حلی شکل گرفته بود و این کتاب و روایات آن در این ساختار جایی نداشت؛چرا که روایات آن نقش مؤثری در دیدگاه‌های محقق و پیشینیان نداشت</w:t>
      </w:r>
      <w:r>
        <w:rPr>
          <w:rFonts w:eastAsia="IRNazanin" w:cs="IRNazanin"/>
          <w:color w:val="111111"/>
          <w:sz w:val="28"/>
          <w:szCs w:val="28"/>
          <w:rtl w:val="true"/>
          <w:lang w:bidi="fa-IR"/>
        </w:rPr>
        <w:t>.</w:t>
      </w:r>
    </w:p>
    <w:p>
      <w:pPr>
        <w:pStyle w:val="Heading6"/>
        <w:numPr>
          <w:ilvl w:val="5"/>
          <w:numId w:val="1"/>
        </w:numPr>
        <w:rPr/>
      </w:pPr>
      <w:bookmarkStart w:id="425" w:name="__RefHeading___Toc3419904_581953129"/>
      <w:bookmarkStart w:id="426" w:name="_Toc169"/>
      <w:bookmarkEnd w:id="425"/>
      <w:r>
        <w:rPr>
          <w:rtl w:val="true"/>
        </w:rPr>
        <w:t>هفتم</w:t>
      </w:r>
      <w:r>
        <w:rPr>
          <w:rtl w:val="true"/>
        </w:rPr>
        <w:t>)</w:t>
      </w:r>
      <w:r>
        <w:rPr>
          <w:rtl w:val="true"/>
        </w:rPr>
        <w:t>عدم تطابق کتاب موجود با نقل شیخ و نجاشی</w:t>
      </w:r>
      <w:bookmarkEnd w:id="426"/>
    </w:p>
    <w:p>
      <w:pPr>
        <w:pStyle w:val="BookText"/>
        <w:rPr/>
      </w:pPr>
      <w:r>
        <w:rPr>
          <w:rFonts w:ascii="IRNazanin" w:hAnsi="IRNazanin" w:eastAsia="IRNazanin"/>
          <w:color w:val="111111"/>
          <w:sz w:val="28"/>
          <w:sz w:val="28"/>
          <w:szCs w:val="28"/>
          <w:rtl w:val="true"/>
          <w:lang w:bidi="fa-IR"/>
        </w:rPr>
        <w:t>گرچه شیخ و نجاشی محمد بن اشعث را توثیق کرده‌اند و نجاشی گفته او کتاب حجی دارد که در آن،روایات عامه را از جعفر بن محمد در باب حج گرد آورده،ولی این کتاب به دست ما نرسیده و شیخ در فهرست نامی از آن نیاورده است</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اسماعیل بن موسی علیه السلام نیز گرچه صاحب کتاب معرفی شده،نامی از آن کتاب نیاورده‌اند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کتاب موجود،نه می‌تواند کتاب محمد بن اشعث باشد و نه کتاب اسماعیل بن موسی علیه 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نیازی به تطابق کتاب موجود با کتاب حج محمد بن اشعث</w:t>
      </w:r>
      <w:bookmarkStart w:id="427" w:name="pg5664_43439"/>
    </w:p>
    <w:p>
      <w:pPr>
        <w:pStyle w:val="BookText"/>
        <w:rPr/>
      </w:pPr>
      <w:bookmarkEnd w:id="427"/>
      <w:r>
        <w:rPr>
          <w:rFonts w:ascii="IRNazanin" w:hAnsi="IRNazanin" w:eastAsia="IRNazanin"/>
          <w:color w:val="111111"/>
          <w:sz w:val="28"/>
          <w:sz w:val="28"/>
          <w:szCs w:val="28"/>
          <w:rtl w:val="true"/>
          <w:lang w:bidi="fa-IR"/>
        </w:rPr>
        <w:t>نیست؛چون همان‌گونه که از مطالب پیش‌گفته آشکار شد،این کتاب نوشته اسماعیل بن موسی علیه السلام است و به واسطه فرزندش موسی بن اسماعیل به محمد بن اشعث رسیده است و چون اصحاب این کتاب را از او گرفته‌اند،به اشعثیات معروف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گفته‌های شیخ،نجاشی و دیگران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 نسخه‌ای را از موسی بن اسماعیل روایت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در فلاح السائل ضمن روایتی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الابناء عن 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نوشته محمد بن اشعث دانسته است</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در جمال الاسبوع به همین ترتیب کتاب یاد شده را به محمد بن اشعث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اینکه شیخ و نجاشی غیر از کتاب حج،کتاب دیگری برای او ذکر نکرده‌اند و با توجه به اینکه شیخ او را راوی نسخه‌ای از موسی بن اسماعیل دانسته و با نظرداشت اینکه کتاب‌های نوادر،اشعثیات،جعفریات و روایة الابناء عن الآباء کتاب‌های واحدی هستند،مشخص می‌شود کتاب فعلی،همان کتاب جعفریات منقول در نقل شیخ و نجاشی است و نویسنده آن اسماعیل بن موسی علیه السلام است</w:t>
      </w:r>
      <w:r>
        <w:rPr>
          <w:rFonts w:eastAsia="IRNazanin" w:cs="IRNazanin"/>
          <w:color w:val="111111"/>
          <w:sz w:val="28"/>
          <w:szCs w:val="28"/>
          <w:rtl w:val="true"/>
          <w:lang w:bidi="fa-IR"/>
        </w:rPr>
        <w:t>.</w:t>
      </w:r>
    </w:p>
    <w:p>
      <w:pPr>
        <w:pStyle w:val="Heading6"/>
        <w:numPr>
          <w:ilvl w:val="5"/>
          <w:numId w:val="1"/>
        </w:numPr>
        <w:rPr/>
      </w:pPr>
      <w:bookmarkStart w:id="428" w:name="__RefHeading___Toc3419906_581953129"/>
      <w:bookmarkStart w:id="429" w:name="_Toc170"/>
      <w:bookmarkEnd w:id="428"/>
      <w:r>
        <w:rPr>
          <w:rtl w:val="true"/>
        </w:rPr>
        <w:t>هشتم</w:t>
      </w:r>
      <w:r>
        <w:rPr>
          <w:rtl w:val="true"/>
        </w:rPr>
        <w:t>)</w:t>
      </w:r>
      <w:r>
        <w:rPr>
          <w:rtl w:val="true"/>
        </w:rPr>
        <w:t>اختلاف در ابواب و تعداد</w:t>
      </w:r>
      <w:bookmarkEnd w:id="429"/>
    </w:p>
    <w:p>
      <w:pPr>
        <w:pStyle w:val="BookText"/>
        <w:rPr/>
      </w:pPr>
      <w:r>
        <w:rPr>
          <w:rFonts w:ascii="IRNazanin" w:hAnsi="IRNazanin" w:eastAsia="IRNazanin"/>
          <w:color w:val="111111"/>
          <w:sz w:val="28"/>
          <w:sz w:val="28"/>
          <w:szCs w:val="28"/>
          <w:rtl w:val="true"/>
          <w:lang w:bidi="fa-IR"/>
        </w:rPr>
        <w:t>ابواب جعفریات موجود با آنچه شیخ و نجاشی برشمرده‌اند،تفاوت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این بزرگواران کتاب طلاق نیز آمده،ولی در کتاب فعلی چنین کتابی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کتاب موجود مشتمل بر کتاب جهاد،تفسیر،نفقات،طب،مأکول و کتاب غیرمترجم است،در حالی که اینها در نقل شیخ و نجاشی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به‌یقین این دو کتاب متغایرند یا دست‌کم اتحاد آنها ثابت نمی‌شود؛چون دلیلی برای اثبات اتحاد نداریم</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همچنین کتاب حاضر بیش از</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دارد،در حالی که در نقل‌ها دربردارنده هزار حدیث معرفی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نقد این دیدگاه به نظر می‌رسد این است که نمی‌توان به صرف عدم انطباق آنچه در کلام نجاشی و شیخ معتبر شمرده شده با آنچه در دست ماست،به عدم اعتبار اشعثیات قایل شد؛چون به هر حال انتساب این کتاب به شخصی که شیخ و نجاشی</w:t>
      </w:r>
    </w:p>
    <w:p>
      <w:pPr>
        <w:pStyle w:val="BookText"/>
        <w:rPr/>
      </w:pPr>
      <w:r>
        <w:rPr>
          <w:rFonts w:ascii="IRNazanin" w:hAnsi="IRNazanin" w:eastAsia="IRNazanin"/>
          <w:color w:val="111111"/>
          <w:sz w:val="28"/>
          <w:sz w:val="28"/>
          <w:szCs w:val="28"/>
          <w:rtl w:val="true"/>
          <w:lang w:bidi="fa-IR"/>
        </w:rPr>
        <w:t>توثیق کرده‌اند،مشهور است و در این‌صورت،اگر بتوان در سند این کتاب خدشه کرد،لازم می‌آید باب خدشه به سوی آثار بزرگان باز شود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مگر اینکه بگوییم برای انتساب شهرت کفایت نمی‌کند و دست‌کم اطمینان لازم است که در این صورت باز هم بسیاری از کتاب‌های روایی را باید به فراموشی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به‌علاوه،همان‌طور که گذشت،از سخنان شیخ و نجاشی انحصار ابواب کتاب به موارد یاد شده فهمیده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دلیلی برای عدم تطابق نقل شیخ با کتاب نمی‌ماند،مگر کتاب طلاق که در نقل‌ها موجود است،ولی در کتاب فعلی وجود ندارد که شاید این امر هم ناشی از خطای ناقلان بزرگوار باشد؛به‌ویژه که برخی معتقدند شیخ به این کتاب دسترسی نداشته </w:t>
      </w:r>
      <w:r>
        <w:rPr>
          <w:rStyle w:val="FootnoteAnchor"/>
          <w:rtl w:val="true"/>
        </w:rPr>
        <w:footnoteReference w:id="514"/>
      </w:r>
      <w:r>
        <w:rPr>
          <w:rFonts w:ascii="IRNazanin" w:hAnsi="IRNazanin" w:eastAsia="IRNazanin"/>
          <w:color w:val="111111"/>
          <w:sz w:val="28"/>
          <w:sz w:val="28"/>
          <w:szCs w:val="28"/>
          <w:rtl w:val="true"/>
          <w:lang w:bidi="fa-IR"/>
        </w:rPr>
        <w:t>و احتمالاً متن کتاب در اختیار نجاشی نیز نبوده است و ایشان با اعتماد به نقل دیباجی این کتاب‌ها را برشمرده‌اند و ممکن است در این نقل اشتباهی روی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بی‌گمان در طی قرون در بسیاری از کتاب‌ها دگرگونی‌هایی پدیدار می‌شود،مطالبی بدان افزوده یا از آن کاسته می‌شود یا اشتباه‌هایی در نقل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مانند کتب اربعه نیست که در هر عصری شیوخ اجازه آن را برای شاگردان خود قرائت می‌کردند و به آنان اجازه روایت می‌دانند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اما هیچ‌کدام از این توجیهات موجب بی‌توجهی به این میراث باارزش نمی‌گردد؛به‌ویژه که علمای شیعه به این کتاب اهتمام تام داشتند،ولی متأسفانه فقط معدودی از ایشان بدان دست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به‌علاوه،امکان اشتباه در کتابت و نقل در کتب اربعه نیز وجود دارد،ولی آیا می‌توان به این بهانه این گنجینه‌های ارزشمند معارف اهل بیت را نادیده گرفت؟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اختلاف در تعداد روایات نیز از این مسئله سرچشمه می‌گیرد که محمد بن اشعث،روایاتی را از طرقی غیر از موسی بن اسماعیل ذکر و برخی از روایات را هم از عامه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اگر روایت‌هایی را که از طریق موسی بن اسماعیل،از اسماعیل بن موسی علیه السلام روایت کرده بشماریم،همان هزار روایت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روایات ایشان از غیر موسی و از عامه،دیگر روایات را از حجیت ساقط</w:t>
      </w:r>
      <w:bookmarkStart w:id="430" w:name="pg5664_43441"/>
    </w:p>
    <w:p>
      <w:pPr>
        <w:pStyle w:val="BookText"/>
        <w:rPr/>
      </w:pPr>
      <w:bookmarkEnd w:id="430"/>
      <w:r>
        <w:rPr>
          <w:rFonts w:ascii="IRNazanin" w:hAnsi="IRNazanin" w:eastAsia="IRNazanin"/>
          <w:color w:val="111111"/>
          <w:sz w:val="28"/>
          <w:sz w:val="28"/>
          <w:szCs w:val="28"/>
          <w:rtl w:val="true"/>
          <w:lang w:bidi="fa-IR"/>
        </w:rPr>
        <w:t>نمی‌کند؛چون اسناد روایات را می‌آورد و سندها کاملاً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نتیجه،شبهه اختلاط حدیث صحیح و ضعیف پیش نمی‌آید</w:t>
      </w:r>
      <w:r>
        <w:rPr>
          <w:rFonts w:eastAsia="IRNazanin" w:cs="IRNazanin"/>
          <w:color w:val="111111"/>
          <w:sz w:val="28"/>
          <w:szCs w:val="28"/>
          <w:rtl w:val="true"/>
          <w:lang w:bidi="fa-IR"/>
        </w:rPr>
        <w:t>.</w:t>
      </w:r>
    </w:p>
    <w:p>
      <w:pPr>
        <w:pStyle w:val="Heading6"/>
        <w:numPr>
          <w:ilvl w:val="5"/>
          <w:numId w:val="1"/>
        </w:numPr>
        <w:rPr/>
      </w:pPr>
      <w:bookmarkStart w:id="431" w:name="__RefHeading___Toc3419908_581953129"/>
      <w:bookmarkStart w:id="432" w:name="_Toc171"/>
      <w:bookmarkEnd w:id="431"/>
      <w:r>
        <w:rPr>
          <w:rtl w:val="true"/>
        </w:rPr>
        <w:t>نهم</w:t>
      </w:r>
      <w:r>
        <w:rPr>
          <w:rtl w:val="true"/>
        </w:rPr>
        <w:t>)</w:t>
      </w:r>
      <w:r>
        <w:rPr>
          <w:rtl w:val="true"/>
        </w:rPr>
        <w:t>ناسازگاری با اصول</w:t>
      </w:r>
      <w:r>
        <w:rPr>
          <w:rtl w:val="true"/>
        </w:rPr>
        <w:t>«</w:t>
      </w:r>
      <w:r>
        <w:rPr>
          <w:rtl w:val="true"/>
        </w:rPr>
        <w:t>اربع مائة</w:t>
      </w:r>
      <w:r>
        <w:rPr>
          <w:rtl w:val="true"/>
        </w:rPr>
        <w:t>»</w:t>
      </w:r>
      <w:r>
        <w:rPr>
          <w:rtl w:val="true"/>
        </w:rPr>
        <w:t>و همخوانی با روایات اهل سنت</w:t>
      </w:r>
      <w:bookmarkEnd w:id="432"/>
    </w:p>
    <w:p>
      <w:pPr>
        <w:pStyle w:val="BookText"/>
        <w:rPr/>
      </w:pPr>
      <w:r>
        <w:rPr>
          <w:rFonts w:ascii="IRNazanin" w:hAnsi="IRNazanin" w:eastAsia="IRNazanin"/>
          <w:color w:val="111111"/>
          <w:sz w:val="28"/>
          <w:sz w:val="28"/>
          <w:szCs w:val="28"/>
          <w:rtl w:val="true"/>
          <w:lang w:bidi="fa-IR"/>
        </w:rPr>
        <w:t>صاحب جواهر مدعی است تتبع در این کتاب و دیگر اصول چهارصدگانه شیعه،روشن می‌سازد که روایات این کتاب مخالف این اصول و مطابق با روایات اهل سنت است</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این سخن بر محدث نوری گران آمده،به آن این گونه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خیلی غریب است؛چون این کتاب از نظر ترتیب و وضع بهترین اصول است و بیشتر روایات آن در کتب اربعه و کتب صدوق با اختلاف کمی در برخی از آنها،وجود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تعداد اندکی از روایات آن موافق عامه است که ناچار باید آنان را بر تقیه 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تعداد این دست روایات در کتب اربعه بی‌شمار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هم محدث نوری قسم می‌خورد که اگر اسماعیل بن موسی علیه السلام به مصر مهاجرت نکرده بود،این کتاب از مشهورترین کتاب‌های شیعه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ادامه،نوری یادآور می‌شود که با وجود این،بسیاری از اصحاب با مسافرت و نامه و مکاتبه سعی در به‌دست آوردن روایات آن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به‌علاوه،انکار شدید اهل سنت،خود دلیل استواری بر عدم موافقت آن با روایات عامه است</w:t>
      </w:r>
      <w:r>
        <w:rPr>
          <w:rFonts w:eastAsia="IRNazanin" w:cs="IRNazanin"/>
          <w:color w:val="111111"/>
          <w:sz w:val="28"/>
          <w:szCs w:val="28"/>
          <w:rtl w:val="true"/>
          <w:lang w:bidi="fa-IR"/>
        </w:rPr>
        <w:t xml:space="preserve">. </w:t>
      </w:r>
      <w:r>
        <w:rPr>
          <w:rStyle w:val="FootnoteAnchor"/>
          <w:rtl w:val="true"/>
        </w:rPr>
        <w:footnoteReference w:id="517"/>
      </w:r>
    </w:p>
    <w:p>
      <w:pPr>
        <w:pStyle w:val="Heading6"/>
        <w:numPr>
          <w:ilvl w:val="5"/>
          <w:numId w:val="1"/>
        </w:numPr>
        <w:rPr/>
      </w:pPr>
      <w:bookmarkStart w:id="433" w:name="__RefHeading___Toc3419910_581953129"/>
      <w:bookmarkStart w:id="434" w:name="_Toc172"/>
      <w:bookmarkEnd w:id="433"/>
      <w:r>
        <w:rPr>
          <w:rtl w:val="true"/>
        </w:rPr>
        <w:t>پاسخ و نتیجه‌گیری</w:t>
      </w:r>
      <w:bookmarkEnd w:id="43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نگارنده،هیچ کدام از اشکال‌های مطرح‌شده،وارد نیست و تنها اشکالی که به چشم می‌خورد،امکان عدم تطابق کتاب موجود با کتاب اشعثیات مشهور است؛چون می‌دانیم این کتاب مدت زمان طولانی در دسترس علما نبوده،به یک باره به وسیله سیدی از هند به محدث نوری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موجب می‌شود این شبهه پدید آید که دلیلی بر تطابق کتاب موجود با کتاب مشهور نیست؛زیرا لازمه توثیق یک اثر آن است که همچون کتب اربعه در هر دوره‌ای از سوی بزرگان نقل گردد و به شاگردان،اجازه نقل آن داده شود،در حالی که اشعثیات از این ویژگی برخوردار نبوده،طرق</w:t>
      </w:r>
      <w:bookmarkStart w:id="435" w:name="pg5664_43442"/>
    </w:p>
    <w:p>
      <w:pPr>
        <w:pStyle w:val="BookText"/>
        <w:rPr/>
      </w:pPr>
      <w:bookmarkEnd w:id="435"/>
      <w:r>
        <w:rPr>
          <w:rFonts w:ascii="IRNazanin" w:hAnsi="IRNazanin" w:eastAsia="IRNazanin"/>
          <w:color w:val="111111"/>
          <w:sz w:val="28"/>
          <w:sz w:val="28"/>
          <w:szCs w:val="28"/>
          <w:rtl w:val="true"/>
          <w:lang w:bidi="fa-IR"/>
        </w:rPr>
        <w:t>تحمل حدیث را نپیموده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جریان اصول عملیه نیز عدم تطابق را تأیید می‌کند،بنابراین به نظر نگارنده نمی‌توان به روایاتی که فقط در این کتاب آمده،اعتنا کرد؛مگر اینکه پیشینیان از اصحاب،قبل از محدث نوری،روایتی را با سند صحیح از این کتاب نقل کنند که در این صورت می‌توان بدین روایات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نباید از نظر دور داشت که با توجه به این که کتاب‌های نوادر،اشعثیات،جعفریات و روایة الابناء عن الآباء منشأ واحد دارند،وجود روایتی در هر سه کتاب،با وجود معتبر نبودن این کتاب‌ها،موجب اطمینان به موجود بودن آن در اصل کتاب می‌گردد؛زیرا اگر یک روایت در سه کتاب که از یک منبع معتبر گرفته شده‌اند،بدون هیچ تغییر نقل شود،احتمال توطئه در کذب میان نویسندگان دفع می‌شود و در نتیجه،پس از اطمینان به وجود آن در اصل کتاب،چنیین روایاتی اعتبار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بنابراین،به نظر نگارنده دو دسته از روایات کتاب جعفریات مورد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در دیگر مجامع روایی نقل شده است و روایاتی که در کتاب‌های نوادر،روایة الابناء عن الآباء و به احتمال فراوان دعائم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روایت مورد بحث ما نیز در نوادر،دعائم و جعفریات آمده،می‌تواند قابل اعتنا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به‌علاوه،در بسیاری از روایات باب حدود،واژه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 و وظایفی چون عفو مجرم و آغاز رجم در صورت اثبات جرم با اقرار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این روایات می‌تواند مفاد روایت اشعثیات را تأیید کند</w:t>
      </w:r>
      <w:r>
        <w:rPr>
          <w:rFonts w:eastAsia="IRNazanin" w:cs="IRNazanin"/>
          <w:color w:val="111111"/>
          <w:sz w:val="28"/>
          <w:szCs w:val="28"/>
          <w:rtl w:val="true"/>
          <w:lang w:bidi="fa-IR"/>
        </w:rPr>
        <w:t xml:space="preserve">. </w:t>
      </w:r>
      <w:r>
        <w:rPr>
          <w:rStyle w:val="FootnoteAnchor"/>
          <w:rtl w:val="true"/>
        </w:rPr>
        <w:footnoteReference w:id="518"/>
      </w:r>
    </w:p>
    <w:p>
      <w:pPr>
        <w:pStyle w:val="Heading6"/>
        <w:numPr>
          <w:ilvl w:val="5"/>
          <w:numId w:val="1"/>
        </w:numPr>
        <w:rPr/>
      </w:pPr>
      <w:bookmarkStart w:id="436" w:name="__RefHeading___Toc3419912_581953129"/>
      <w:bookmarkStart w:id="437" w:name="_Toc173"/>
      <w:bookmarkEnd w:id="436"/>
      <w:r>
        <w:rPr>
          <w:rtl w:val="true"/>
        </w:rPr>
        <w:t>ج</w:t>
      </w:r>
      <w:r>
        <w:rPr>
          <w:rtl w:val="true"/>
        </w:rPr>
        <w:t>)</w:t>
      </w:r>
      <w:r>
        <w:rPr>
          <w:rtl w:val="true"/>
        </w:rPr>
        <w:t>بررسی دلالت واژگان</w:t>
      </w:r>
      <w:bookmarkEnd w:id="437"/>
    </w:p>
    <w:p>
      <w:pPr>
        <w:pStyle w:val="Heading6"/>
        <w:numPr>
          <w:ilvl w:val="5"/>
          <w:numId w:val="1"/>
        </w:numPr>
        <w:rPr/>
      </w:pPr>
      <w:bookmarkStart w:id="438" w:name="__RefHeading___Toc3419914_581953129"/>
      <w:bookmarkStart w:id="439" w:name="_Toc174"/>
      <w:bookmarkEnd w:id="438"/>
      <w:r>
        <w:rPr>
          <w:rtl w:val="true"/>
        </w:rPr>
        <w:t>یکم</w:t>
      </w:r>
      <w:r>
        <w:rPr>
          <w:rtl w:val="true"/>
        </w:rPr>
        <w:t>)</w:t>
      </w:r>
      <w:r>
        <w:rPr>
          <w:rtl w:val="true"/>
        </w:rPr>
        <w:t>واژه لایصلح</w:t>
      </w:r>
      <w:bookmarkEnd w:id="43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عبارت مورد بررسی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ائمه در ابواب گوناگون عبادات و معاملات فراوان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در مفاد آن دچار اختلاف شده‌اند و مفاد آن را کراهت،حرمت یا فساد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در عوائد الایام،عائده‌ای را به بررسی معنای این عبارت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مدارک الاحکام این واژه را ظاهر در کراهت دانسته، </w:t>
      </w:r>
      <w:r>
        <w:rPr>
          <w:rStyle w:val="FootnoteAnchor"/>
          <w:rtl w:val="true"/>
        </w:rPr>
        <w:footnoteReference w:id="519"/>
      </w:r>
      <w:r>
        <w:rPr>
          <w:rFonts w:ascii="IRNazanin" w:hAnsi="IRNazanin" w:eastAsia="IRNazanin"/>
          <w:color w:val="111111"/>
          <w:sz w:val="28"/>
          <w:sz w:val="28"/>
          <w:szCs w:val="28"/>
          <w:rtl w:val="true"/>
          <w:lang w:bidi="fa-IR"/>
        </w:rPr>
        <w:t>اما در شرح المفاتیح ظهور آن در کراهت محل نظر پنداشته شده با این استدلال که صلاح در مقابل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بیشتر فقها،به‌ویژه قدما بنا را بر ظهور در حرمت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به دو دلیل ظهور در کراهت را 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بیمار به مریض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 لک الغذاء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منع تناول آن غذا و وجود مفسده فهمیده می‌شود و هر کس ببیند بیمار از آن غذا می‌خورد،او را سرزنش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در مقام استخاره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اثبات این تبادر،بنای اکثر فقها بر حرمت و حکم آنان بر حرمت به مجرد ورود این لفظ در روایات،کافی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بزرگانی که با عرف عرب آشنا هستند بنگر که چگونه از این عبارت،حرمت را فهمیده‌اند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ضمیمه عدم نقل،مطلوب ما که اثبات حرمت است،ثابت می‌گردد،بلکه از اخبار روشن می‌شود که این تبادر در عصر معصوم هم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اهل لغت به این که صلاح،خلاف فساد و نقیض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نفی صلاح،اثبات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گفته‌های جوهری،فیروزآبادی و طریحی نیز صراحت در این معنا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به معنای یجوز 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نفی آن می‌باشد،باید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نراقی در تأیید این دیدگاه به روایات متعددی نیز اشاره کرده،در عین حال یادآور می‌شود که حقیقت 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حرمت،با کاربرد آن در کراهت منافات ندارد؛چون استعمال اعم از حقیقت است و می‌تواند در معنای مجازی صورت گیرد و در روایات،کاربرد واژه‌ای که برای حرمت و وجوب وضع شده،در کراهت و استحباب فراوان است،به خلاف عکس آن؛یعنی کاربرد الفاظ وجوب و کراهت در معنای استحباب و حرمت</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نراقی در این فصل درصدد نفی ظهور این اصطلاح در کراهت بوده،تعیین نکرده که ظهور این اصطلاح در حرمت است یا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روایت</w:t>
      </w:r>
      <w:bookmarkStart w:id="440" w:name="pg5664_43444"/>
    </w:p>
    <w:p>
      <w:pPr>
        <w:pStyle w:val="BookText"/>
        <w:rPr/>
      </w:pPr>
      <w:bookmarkEnd w:id="440"/>
      <w:r>
        <w:rPr>
          <w:rFonts w:ascii="IRNazanin" w:hAnsi="IRNazanin" w:eastAsia="IRNazanin"/>
          <w:color w:val="111111"/>
          <w:sz w:val="28"/>
          <w:sz w:val="28"/>
          <w:szCs w:val="28"/>
          <w:rtl w:val="true"/>
          <w:lang w:bidi="fa-IR"/>
        </w:rPr>
        <w:t xml:space="preserve">اشعثیات هم فساد و حرمت در حکم تأثیری نمی‌گذارد؛چون امور مطرح‌شده در روایت از امور اجتماعی و حکومتی بوده،فقها عمدتاً قضا و حدود را در شمار معاملات به معنای اعم جای می‌دهند </w:t>
      </w:r>
      <w:r>
        <w:rPr>
          <w:rStyle w:val="FootnoteAnchor"/>
          <w:rtl w:val="true"/>
        </w:rPr>
        <w:footnoteReference w:id="522"/>
      </w:r>
      <w:r>
        <w:rPr>
          <w:rFonts w:ascii="IRNazanin" w:hAnsi="IRNazanin" w:eastAsia="IRNazanin"/>
          <w:color w:val="111111"/>
          <w:sz w:val="28"/>
          <w:sz w:val="28"/>
          <w:szCs w:val="28"/>
          <w:rtl w:val="true"/>
          <w:lang w:bidi="fa-IR"/>
        </w:rPr>
        <w:t>و در معاملات به معنای اعم،نهی فساد و عدم نفوذ را می‌رساند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اشعثیات نیز در عدم جواز و فساد ظهور دارد</w:t>
      </w:r>
      <w:r>
        <w:rPr>
          <w:rFonts w:eastAsia="IRNazanin" w:cs="IRNazanin"/>
          <w:color w:val="111111"/>
          <w:sz w:val="28"/>
          <w:szCs w:val="28"/>
          <w:rtl w:val="true"/>
          <w:lang w:bidi="fa-IR"/>
        </w:rPr>
        <w:t>.</w:t>
      </w:r>
    </w:p>
    <w:p>
      <w:pPr>
        <w:pStyle w:val="Heading6"/>
        <w:numPr>
          <w:ilvl w:val="5"/>
          <w:numId w:val="1"/>
        </w:numPr>
        <w:rPr/>
      </w:pPr>
      <w:bookmarkStart w:id="441" w:name="__RefHeading___Toc3419916_581953129"/>
      <w:bookmarkStart w:id="442" w:name="_Toc175"/>
      <w:bookmarkEnd w:id="441"/>
      <w:r>
        <w:rPr>
          <w:rtl w:val="true"/>
        </w:rPr>
        <w:t>دوم</w:t>
      </w:r>
      <w:r>
        <w:rPr>
          <w:rtl w:val="true"/>
        </w:rPr>
        <w:t>)</w:t>
      </w:r>
      <w:r>
        <w:rPr>
          <w:rtl w:val="true"/>
        </w:rPr>
        <w:t>واژه امام</w:t>
      </w:r>
      <w:bookmarkEnd w:id="442"/>
    </w:p>
    <w:p>
      <w:pPr>
        <w:pStyle w:val="Heading6"/>
        <w:numPr>
          <w:ilvl w:val="5"/>
          <w:numId w:val="1"/>
        </w:numPr>
        <w:rPr/>
      </w:pPr>
      <w:bookmarkStart w:id="443" w:name="__RefHeading___Toc3419918_581953129"/>
      <w:bookmarkStart w:id="444" w:name="_Toc176"/>
      <w:bookmarkEnd w:id="443"/>
      <w:r>
        <w:rPr>
          <w:rtl w:val="true"/>
        </w:rPr>
        <w:t>امام در لغت</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پیشواست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 است که از وی پیروی و به وی اقتدا شود؛خواه انسان باشد یا کتاب یا غیر آن،حق باشد یا باطل،و جمع آن ائمّه است</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 است که از وی پیروی شود؛رئیس باشد یا غیر آن،ریسمانی که بنّا به دیوار می‌کشد تا راست بنا کند،راه،متولّی امر،قرآن،پیغمبر،خلیفه،فرمانده لشکر،و آنچه بچّه هر روز یاد می‌گیرد،و نمونه‌ای‌که از روی آن نظیر آن‌را می‌سازند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معنای جامع،همان مقتدا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ازاین‌رو،ریسمانی‌که بنّا از آن پیروی می‌کند و طبق آن می‌سازد،راهی‌که انسان در امتداد آن قدم برمی‌دارد،کتابی‌که می‌خواند،همه امام و پیشوا و مقتدایند</w:t>
      </w:r>
      <w:r>
        <w:rPr>
          <w:rFonts w:eastAsia="IRNazanin" w:cs="IRNazanin"/>
          <w:color w:val="111111"/>
          <w:sz w:val="28"/>
          <w:szCs w:val="28"/>
          <w:rtl w:val="true"/>
          <w:lang w:bidi="fa-IR"/>
        </w:rPr>
        <w:t xml:space="preserve">. </w:t>
      </w:r>
      <w:r>
        <w:rPr>
          <w:rStyle w:val="FootnoteAnchor"/>
          <w:rtl w:val="true"/>
        </w:rPr>
        <w:footnoteReference w:id="525"/>
      </w:r>
    </w:p>
    <w:p>
      <w:pPr>
        <w:pStyle w:val="Heading6"/>
        <w:numPr>
          <w:ilvl w:val="5"/>
          <w:numId w:val="1"/>
        </w:numPr>
        <w:rPr/>
      </w:pPr>
      <w:bookmarkStart w:id="445" w:name="__RefHeading___Toc3419920_581953129"/>
      <w:bookmarkStart w:id="446" w:name="_Toc177"/>
      <w:bookmarkEnd w:id="445"/>
      <w:r>
        <w:rPr>
          <w:rtl w:val="true"/>
        </w:rPr>
        <w:t>امام در قرآن</w:t>
      </w:r>
      <w:bookmarkEnd w:id="44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کریم،این واژه در هفت مورد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جاعِلُکَ لِلنّاسِ إِماماً قالَ وَ مِنْ ذُرِّیَّتِی قالَ لا یَنالُ عَهْدِی الظّالِمِینَ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امام،ابراهیم علیه السلام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امامی‌که خدا از او راضی است و امامت او را خدا می‌دهد،از ستمکاران برگزیده نمی‌شود و این آیه می‌تواند بیانگر شرط لزوم عصمت امام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آن موارد،آیه دوازدهم سوره 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 نظر گرفتن آنچه در معنای لغوی امام گفتیم،معنای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کتاب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از تفسیر قمی از ابن‌عباس از امام علی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از باطل آشکار می‌کنم و این را از رسول خدا صلّی الله علیه و آله به ارث برده‌ام</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نیز از معانی الاخبار از حضرت رسول صلّی الله علیه و آله نقل کرده که درباره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امامی است که خدا در وی علم هر چیز را شمرده است</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آن‌گاه صاحب المیزان فرموده این دو حدیث در صورت صحت،ابداً راجع به تفسیر نیست،بلکه از بطن قرآن و اشارات آن است و مانعی نیست که خدا علم کتاب مبین را به‌کسی که بنده خالص و خاصّ خداست بدهد و او بعد از رسول خدا صلّی الله علیه و آله آقای یکتاپرستان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وَ إِنَّهُما لَبِإِمامٍ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از آنها انتقام کشیدیم و آن دو در راه آشکاری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در اینجا به معنای راه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خرابه‌های قوم لوط و صالح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قَبْلِهِ کِتابُ مُوسی إِماماً وَ رَحْمَةً</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به تورات امام اطلاق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قرآن پیشوایان را بدو دسته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حقّ و پیشوایان باطل؛مثل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 xml:space="preserve">) . </w:t>
      </w:r>
      <w:r>
        <w:rPr>
          <w:rStyle w:val="FootnoteAnchor"/>
          <w:rtl w:val="true"/>
        </w:rPr>
        <w:footnoteReference w:id="531"/>
      </w:r>
      <w:bookmarkStart w:id="447" w:name="pg5664_43446"/>
    </w:p>
    <w:p>
      <w:pPr>
        <w:pStyle w:val="Heading6"/>
        <w:numPr>
          <w:ilvl w:val="5"/>
          <w:numId w:val="1"/>
        </w:numPr>
        <w:rPr/>
      </w:pPr>
      <w:bookmarkStart w:id="448" w:name="__RefHeading___Toc3419922_581953129"/>
      <w:bookmarkStart w:id="449" w:name="_Toc178"/>
      <w:bookmarkEnd w:id="447"/>
      <w:bookmarkEnd w:id="448"/>
      <w:r>
        <w:rPr>
          <w:rtl w:val="true"/>
        </w:rPr>
        <w:t>امام در روایات</w:t>
      </w:r>
      <w:bookmarkEnd w:id="449"/>
    </w:p>
    <w:p>
      <w:pPr>
        <w:pStyle w:val="BookText"/>
        <w:rPr/>
      </w:pPr>
      <w:r>
        <w:rPr>
          <w:rFonts w:ascii="IRNazanin" w:hAnsi="IRNazanin" w:eastAsia="IRNazanin"/>
          <w:color w:val="111111"/>
          <w:sz w:val="28"/>
          <w:sz w:val="28"/>
          <w:szCs w:val="28"/>
          <w:rtl w:val="true"/>
          <w:lang w:bidi="fa-IR"/>
        </w:rPr>
        <w:t>واژه امام در روایات در موارد متعددی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همچون روایت اشعثیات،به‌صورت مطلق استعمال شده و در برخی دیگر چون روایت دعائم،قیدهایی چون عادل و جائر بدان اضافه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اجمالاً به ذهن متبادر می‌گردد این است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اطلاق،به امام معصوم انصراف دارد و هرگاه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اضافه شود نیز به آن بزرگوار اختصاص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واژه‌شناسان،امام به هر مقتدا و پیشوایی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دوری این دو معنا،از آن سرچشمه می‌گیرد که در دیدگاه کلامی شیعه،این واژه اصطلاحی خاص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مسئله،ذهن پژوهشگران را برمی‌انگیزاند تا در کاربردهای روایی و فقهی این واژه نیز تأمل و همسانی یا تمایز آن را با مفهوم لغوی و اصطلاحی بررسی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این مطلب نیازمند بررسی تفصیلی روایات است که در حد این وجیزه و به قدر طاقت علمی نگارنده بدان می‌پردازیم</w:t>
      </w:r>
      <w:r>
        <w:rPr>
          <w:rFonts w:eastAsia="IRNazanin" w:cs="IRNazanin"/>
          <w:color w:val="111111"/>
          <w:sz w:val="28"/>
          <w:szCs w:val="28"/>
          <w:rtl w:val="true"/>
          <w:lang w:bidi="fa-IR"/>
        </w:rPr>
        <w:t>.</w:t>
      </w:r>
    </w:p>
    <w:p>
      <w:pPr>
        <w:pStyle w:val="Heading6"/>
        <w:numPr>
          <w:ilvl w:val="5"/>
          <w:numId w:val="1"/>
        </w:numPr>
        <w:rPr/>
      </w:pPr>
      <w:bookmarkStart w:id="450" w:name="__RefHeading___Toc3419924_581953129"/>
      <w:bookmarkStart w:id="451" w:name="_Toc179"/>
      <w:bookmarkEnd w:id="450"/>
      <w:r>
        <w:rPr>
          <w:rtl w:val="true"/>
        </w:rPr>
        <w:t>امام به‌صورت مطلق</w:t>
      </w:r>
      <w:bookmarkEnd w:id="45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اشعثیات اقامه حدود در کنار اقامه جمعه آمده و هر دو امر به امام واگذار شده است که از وحدت کاربرد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روایت اشعثیات،در برخی دیگر از نصوص،اقامه جمعه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نیز از برخی روایات این‌گونه برداشت می‌شود که امام جمعه کسی است که بتواند اقامه حد کند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به همین</w:t>
      </w:r>
      <w:bookmarkStart w:id="452" w:name="pg5664_43447"/>
    </w:p>
    <w:p>
      <w:pPr>
        <w:pStyle w:val="BookText"/>
        <w:rPr/>
      </w:pPr>
      <w:bookmarkEnd w:id="452"/>
      <w:r>
        <w:rPr>
          <w:rFonts w:ascii="IRNazanin" w:hAnsi="IRNazanin" w:eastAsia="IRNazanin"/>
          <w:color w:val="111111"/>
          <w:sz w:val="28"/>
          <w:sz w:val="28"/>
          <w:szCs w:val="28"/>
          <w:rtl w:val="true"/>
          <w:lang w:bidi="fa-IR"/>
        </w:rPr>
        <w:t>دلیل،توجه به نصوص نماز جمعه در فهم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اشعثیات می‌توان کارگشا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نیز عمدتاً در بحث نماز جمعه به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مطلق چند احتمال قابل بررسی است</w:t>
      </w:r>
      <w:r>
        <w:rPr>
          <w:rFonts w:eastAsia="IRNazanin" w:cs="IRNazanin"/>
          <w:color w:val="111111"/>
          <w:sz w:val="28"/>
          <w:szCs w:val="28"/>
          <w:rtl w:val="true"/>
          <w:lang w:bidi="fa-IR"/>
        </w:rPr>
        <w:t>:</w:t>
      </w:r>
    </w:p>
    <w:p>
      <w:pPr>
        <w:pStyle w:val="Heading6"/>
        <w:numPr>
          <w:ilvl w:val="5"/>
          <w:numId w:val="1"/>
        </w:numPr>
        <w:rPr/>
      </w:pPr>
      <w:bookmarkStart w:id="453" w:name="__RefHeading___Toc3419926_581953129"/>
      <w:bookmarkStart w:id="454" w:name="_Toc180"/>
      <w:bookmarkEnd w:id="453"/>
      <w:r>
        <w:rPr>
          <w:rtl w:val="true"/>
        </w:rPr>
        <w:t>امام جماعت</w:t>
      </w:r>
      <w:bookmarkEnd w:id="454"/>
    </w:p>
    <w:p>
      <w:pPr>
        <w:pStyle w:val="BookText"/>
        <w:rPr/>
      </w:pPr>
      <w:r>
        <w:rPr>
          <w:rFonts w:ascii="IRNazanin" w:hAnsi="IRNazanin" w:eastAsia="IRNazanin"/>
          <w:color w:val="111111"/>
          <w:sz w:val="28"/>
          <w:sz w:val="28"/>
          <w:szCs w:val="28"/>
          <w:rtl w:val="true"/>
          <w:lang w:bidi="fa-IR"/>
        </w:rPr>
        <w:t>نخستین احتمال قابل طرح در این روایات این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اندک تأملی در این روایات می‌توان فهمید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گاه تصریح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روز جمعه،بدون امام نماز برگزار شود،گرچه با جماعت،چهار رکعت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یعنی با فرض جماعت و امام جماعت،اقامه نماز بدون امام پنداشته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کسی دانسته شده که قاضی و مأمور اجرای حدود است</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از این‌رو،افزون بر ظهور واژه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قید زدن به جماعت یا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قرینه‌ها نمی‌توان امام را به امام جماعت تفسیر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دلیل روشنی سستی این احتمال و اشکال‌های آن،برخی آن را به نوعی تصحیح و به‌گونه‌ای دیگر ارائه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تفسیر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فردی است که نماز جمعه را اقامه و خطبه‌ها را ایراد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 در این 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امام در روایات نماز جمعه،همان امام جماعت است؛با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بتواند دو خطبه را ایراد کند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دیگر محدثانی که گرایش اخباری دارند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ابواب نماز جمعه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هر چند در مواردی که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وجود دارد،پذیرفتنی می‌نماید،درباره صحیحه زراره و روایات اشعثیات مورد بحث،که فریضه بودن جمعه را بر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کرده،قابل قبول نیست؛زیرا تعلیق حکم بر وجود افرادی که در حد امام جماعت باشند و بتوانند دست‌کم خطبه را به جا آورند،بی‌مورد است؛چرا که در هر منطقه،چنین افرادی فراوان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455" w:name="pg5664_43448"/>
    </w:p>
    <w:p>
      <w:pPr>
        <w:pStyle w:val="BookText"/>
        <w:rPr/>
      </w:pPr>
      <w:bookmarkEnd w:id="455"/>
      <w:r>
        <w:rPr>
          <w:rFonts w:ascii="IRNazanin" w:hAnsi="IRNazanin" w:eastAsia="IRNazanin"/>
          <w:color w:val="111111"/>
          <w:sz w:val="28"/>
          <w:sz w:val="28"/>
          <w:szCs w:val="28"/>
          <w:rtl w:val="true"/>
          <w:lang w:bidi="fa-IR"/>
        </w:rPr>
        <w:t>علاوه،اگر اقامه حدود و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نباشند و اقامه آن بر همگان تکلیف باشد،باز هم تعلیق حکم،بی‌معناست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محمد بن مسلم که امام قاضی و مأمور اجرای حد دانسته شده،نمی‌توان آن را با این تفسیر سازگار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این‌رو،کسانی مانند شهید ثانی در چنین مواردی به تأویل‌هایی غریب روی آورده‌اند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به علاوه،قرینه‌های خارجی که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حاکم اسلامی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فریضة مع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حمل شود،چندان زیاد و اطمینان‌آور است که نمی‌توان از آنها چشم‌پوشی کرد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همچنین،به فرض که درباره نماز جمعه بتوان این احتمال را پذیرفت،به یقین در خصوص اقامه حدود،به دلیل مناسبات حکم و موضوع قابل پذیرش نیست؛زیرا اگر هر امام جماعتی که بتواند خطبه بخواند،بتواند اقامه حدود کند،این امر به هرج و مرج و اختلال نظام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اقامه حدود،مستلزم مقدماتی همچون اثبات جرم نزد قاضی منصوب است که صرف وجود امام جماعت،موجب تحصیل این مقدمات نمی‌گردد</w:t>
      </w:r>
      <w:r>
        <w:rPr>
          <w:rFonts w:eastAsia="IRNazanin" w:cs="IRNazanin"/>
          <w:color w:val="111111"/>
          <w:sz w:val="28"/>
          <w:szCs w:val="28"/>
          <w:rtl w:val="true"/>
          <w:lang w:bidi="fa-IR"/>
        </w:rPr>
        <w:t>.</w:t>
      </w:r>
    </w:p>
    <w:p>
      <w:pPr>
        <w:pStyle w:val="Heading6"/>
        <w:numPr>
          <w:ilvl w:val="5"/>
          <w:numId w:val="1"/>
        </w:numPr>
        <w:rPr/>
      </w:pPr>
      <w:bookmarkStart w:id="456" w:name="__RefHeading___Toc3419928_581953129"/>
      <w:bookmarkStart w:id="457" w:name="_Toc181"/>
      <w:bookmarkEnd w:id="456"/>
      <w:r>
        <w:rPr>
          <w:rtl w:val="true"/>
        </w:rPr>
        <w:t>حاکم اسلامی</w:t>
      </w:r>
      <w:bookmarkEnd w:id="45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کاربردهای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روایات،هنگامی است که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می‌رود و به معنای پیشوای جامعه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w:t>
      </w:r>
      <w:bookmarkStart w:id="458" w:name="pg5664_43449"/>
    </w:p>
    <w:p>
      <w:pPr>
        <w:pStyle w:val="BookText"/>
        <w:rPr/>
      </w:pPr>
      <w:bookmarkEnd w:id="458"/>
      <w:r>
        <w:rPr>
          <w:rFonts w:ascii="IRNazanin" w:hAnsi="IRNazanin" w:eastAsia="IRNazanin"/>
          <w:color w:val="111111"/>
          <w:sz w:val="28"/>
          <w:sz w:val="28"/>
          <w:szCs w:val="28"/>
          <w:rtl w:val="true"/>
          <w:lang w:bidi="fa-IR"/>
        </w:rPr>
        <w:t>همین معنا به‌کار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کاربرد،واژه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اجتماعی و سیاسی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با مفهوم لغوی این واژه سازگار است و از این رو،اثبات این تفسیر با ردّ دلایل اختصاص این واژه به امام معصوم ممکن است و ضرورتی برای طرح دلایل خاص برای اثبات آن نیست</w:t>
      </w:r>
      <w:r>
        <w:rPr>
          <w:rFonts w:eastAsia="IRNazanin" w:cs="IRNazanin"/>
          <w:color w:val="111111"/>
          <w:sz w:val="28"/>
          <w:szCs w:val="28"/>
          <w:rtl w:val="true"/>
          <w:lang w:bidi="fa-IR"/>
        </w:rPr>
        <w:t>.</w:t>
      </w:r>
    </w:p>
    <w:p>
      <w:pPr>
        <w:pStyle w:val="Heading6"/>
        <w:numPr>
          <w:ilvl w:val="5"/>
          <w:numId w:val="1"/>
        </w:numPr>
        <w:rPr/>
      </w:pPr>
      <w:bookmarkStart w:id="459" w:name="__RefHeading___Toc3419930_581953129"/>
      <w:bookmarkStart w:id="460" w:name="_Toc182"/>
      <w:bookmarkEnd w:id="459"/>
      <w:r>
        <w:rPr>
          <w:rtl w:val="true"/>
        </w:rPr>
        <w:t>امام معصوم</w:t>
      </w:r>
      <w:bookmarkEnd w:id="460"/>
    </w:p>
    <w:p>
      <w:pPr>
        <w:pStyle w:val="BookText"/>
        <w:rPr/>
      </w:pPr>
      <w:r>
        <w:rPr>
          <w:rFonts w:ascii="IRNazanin" w:hAnsi="IRNazanin" w:eastAsia="IRNazanin"/>
          <w:color w:val="111111"/>
          <w:sz w:val="28"/>
          <w:sz w:val="28"/>
          <w:szCs w:val="28"/>
          <w:rtl w:val="true"/>
          <w:lang w:bidi="fa-IR"/>
        </w:rPr>
        <w:t xml:space="preserve">با اینکه در این واژه هیچ نشانی از اختصاص آن به معصومان وجود ندارد،برداشت رایج در میان فقهای شیعه این است که مقصود از این واژه،همیشه امام معصوم است </w:t>
      </w:r>
      <w:r>
        <w:rPr>
          <w:rStyle w:val="FootnoteAnchor"/>
          <w:rtl w:val="true"/>
        </w:rPr>
        <w:footnoteReference w:id="540"/>
      </w:r>
      <w:r>
        <w:rPr>
          <w:rFonts w:ascii="IRNazanin" w:hAnsi="IRNazanin" w:eastAsia="IRNazanin"/>
          <w:color w:val="111111"/>
          <w:sz w:val="28"/>
          <w:sz w:val="28"/>
          <w:szCs w:val="28"/>
          <w:rtl w:val="true"/>
          <w:lang w:bidi="fa-IR"/>
        </w:rPr>
        <w:t>و ظاهراً انصراف واژه امام به امام معصوم مشهور است</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اما برخی از محققان این انصراف را فقط در قرن‌های اخیر دانسته‌اند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بر اساس این دیدگاه،در زمان صدور روایات،چنین انصرافی وجود نداشته و طبیعتاً امام به مطلق حاکم و امیر جامعه اطلاق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دهندگان این دیدگاه به برخی روایات نیز استناد کرده‌اند که در ادامه پس از بررسی آنها،روایات دیگری را بررسی می‌کنیم که در اختصاص این واژه به امام معصوم ظهور دارند</w:t>
      </w:r>
      <w:r>
        <w:rPr>
          <w:rFonts w:eastAsia="IRNazanin" w:cs="IRNazanin"/>
          <w:color w:val="111111"/>
          <w:sz w:val="28"/>
          <w:szCs w:val="28"/>
          <w:rtl w:val="true"/>
          <w:lang w:bidi="fa-IR"/>
        </w:rPr>
        <w:t>.</w:t>
      </w:r>
    </w:p>
    <w:p>
      <w:pPr>
        <w:pStyle w:val="Heading6"/>
        <w:numPr>
          <w:ilvl w:val="5"/>
          <w:numId w:val="1"/>
        </w:numPr>
        <w:rPr/>
      </w:pPr>
      <w:bookmarkStart w:id="461" w:name="__RefHeading___Toc3419932_581953129"/>
      <w:bookmarkStart w:id="462" w:name="_Toc183"/>
      <w:bookmarkEnd w:id="461"/>
      <w:r>
        <w:rPr>
          <w:rtl w:val="true"/>
        </w:rPr>
        <w:t>شواهد انکار</w:t>
      </w:r>
      <w:bookmarkEnd w:id="462"/>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امام سرقت کند،دستش قطع نمی‌شود،ولی اگر یکی از بندگان من از مال الاماره سرقت کند،دستش را قطع می‌کنم</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در این روایت به قرینه مقابله معصوم با امام،معلوم می‌شود مراد از امام،غیرمعصوم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تحف العقول و غیر آن از امام سجاد علیه السلام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سائس إمام</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بدیهی است هر سیاستمدار شامل غیرمعصوم نیز می‌شود</w:t>
      </w:r>
      <w:r>
        <w:rPr>
          <w:rFonts w:eastAsia="IRNazanin" w:cs="IRNazanin"/>
          <w:color w:val="111111"/>
          <w:sz w:val="28"/>
          <w:szCs w:val="28"/>
          <w:rtl w:val="true"/>
          <w:lang w:bidi="fa-IR"/>
        </w:rPr>
        <w:t>.</w:t>
      </w:r>
      <w:bookmarkStart w:id="463" w:name="pg5664_43450"/>
    </w:p>
    <w:p>
      <w:pPr>
        <w:pStyle w:val="BookText"/>
        <w:rPr/>
      </w:pPr>
      <w:bookmarkEnd w:id="463"/>
      <w:r>
        <w:rPr>
          <w:rFonts w:ascii="IRNazanin" w:hAnsi="IRNazanin" w:eastAsia="IRNazanin"/>
          <w:color w:val="111111"/>
          <w:sz w:val="28"/>
          <w:sz w:val="28"/>
          <w:szCs w:val="28"/>
          <w:rtl w:val="true"/>
          <w:lang w:bidi="fa-IR"/>
        </w:rPr>
        <w:t>شیخ مفید از پیامبر اعظم صلّی الله علیه و آله روایتی آورده است که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در روز قیامت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دسته کیان‌اند؟فرمود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سخن‌چینی برادرش را نزد امامی می‌کند و او را به کشتن می‌دهد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ظاهراً مراد از امام در این روایت نیز غیرمعصوم است؛زیرا هیچ‌گاه امام معصوم که علم غیب دارد،تحت‌تأثیر سخن‌چینی بدخواهان و بدگویان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نیز روایتی آورده که در آن،ابوبصیر از امام صادق علیه السلام روایت می‌کند که شنیدم حضرت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فرمان‌برداری از ائمه‌تان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من از ائمه،فرزندان عباس است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به مردی نگاه کرد که زنا می‌کند و شراب می‌نوشد،بر او واجب است حد را اقامه کند و با دیدن امام نیازی به بینه نیست؛چون او امین الله در میان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روایت نیز به ضمیمه اینکه هیچ‌گاه معصوم به صحنه زنا و شرب خمر نظر نمی‌کند،غیرمعصوم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اساس مستندات تاریخی به شخص نبی اکرم صلّی الله علیه و آله و حتی بعضی از خلفای ستم‌پیشه نیز امام اطلاق شده است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تأمل در این روایات روشن می‌کند که به‌یقین در سه روایت نخست،امام در غیرمعصوم به‌کار رفته است،ولی نباید از نظر دور داشت که در همه موارد قرینه برای این کاربرد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دیگر شواهد مطرح شده،چندان ظهوری در شمول غیرمعصوم ندارند</w:t>
      </w:r>
      <w:r>
        <w:rPr>
          <w:rFonts w:eastAsia="IRNazanin" w:cs="IRNazanin"/>
          <w:color w:val="111111"/>
          <w:sz w:val="28"/>
          <w:szCs w:val="28"/>
          <w:rtl w:val="true"/>
          <w:lang w:bidi="fa-IR"/>
        </w:rPr>
        <w:t>.</w:t>
      </w:r>
    </w:p>
    <w:p>
      <w:pPr>
        <w:pStyle w:val="Heading6"/>
        <w:numPr>
          <w:ilvl w:val="5"/>
          <w:numId w:val="1"/>
        </w:numPr>
        <w:rPr/>
      </w:pPr>
      <w:bookmarkStart w:id="464" w:name="__RefHeading___Toc3419934_581953129"/>
      <w:bookmarkStart w:id="465" w:name="_Toc184"/>
      <w:bookmarkEnd w:id="464"/>
      <w:r>
        <w:rPr>
          <w:rtl w:val="true"/>
        </w:rPr>
        <w:t>شواهد اثبات</w:t>
      </w:r>
      <w:bookmarkEnd w:id="46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این مدعا اخبار فراوان در شأن امامان و امامت است؛مثل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کسی است که از سوی خدا برگزیده شده و راهنمای مردم و پناهگاه عموم و جایگاه نجات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کسی است که حق را به پا می‌دارد و محل امید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برای این کار برگزیده و در عالم ذر،خدا او را برای این مسئولیت آفریده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نیز مانند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گناهان پاک و از عیب‌ها منزه 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مانند روایت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امامت،جایگاه پیامبران و ارث اوصیاست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امامت،جانشینی خدا و جانشینی رسول خدا صلّی الله علیه و آله است و نیز مقام امیرمؤمنان علیه السلام و میراث حسن و حسین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امامت،زمام دین و نظام مسلمانان و صلاح دنیا و عزت و سربلندی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امامت،پایه اسلام بالنده و شاخه بلند و برومند آن است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روایات دیگری نیز بر این دلالت می‌کنند که امام از سوی خدا برگزیده شده و امامت،منصبی خدایی است</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پس چنین مقامی ناچار به امام معصوم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این‌گونه روایات امام به قول مطلق،همان معصوم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قراین مؤید این تفسیر هستند و همه روایاتی که در آنها امامت به‌عنوان یکی از مبانی اعتقادی مورد نظر است،با همین معنا سازگاری دارد،ولی جای پرسش همچنان باقی است؛زیرا همان‌گونه که قرینه اقتدا،جماعت و مسجد،موجب نوعی انصراف در این واژه می‌شود،در روایات مورد نظر نیز قرینه‌های دیگری برای انصراف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نشان می‌دهد در این تعبیرات،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پرسش اینجاست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کثرت این کاربردها در</w:t>
      </w:r>
    </w:p>
    <w:p>
      <w:pPr>
        <w:pStyle w:val="BookText"/>
        <w:rPr/>
      </w:pPr>
      <w:r>
        <w:rPr>
          <w:rFonts w:ascii="IRNazanin" w:hAnsi="IRNazanin" w:eastAsia="IRNazanin"/>
          <w:color w:val="111111"/>
          <w:sz w:val="28"/>
          <w:sz w:val="28"/>
          <w:szCs w:val="28"/>
          <w:rtl w:val="true"/>
          <w:lang w:bidi="fa-IR"/>
        </w:rPr>
        <w:t xml:space="preserve">عرف روایی شیعه،به حدی رسیده که موجب انصراف به امام معصوم گردد یا خیر؟توجه به روایات فوق و روایات بی‌شمار دیگری که در میان آنها اخبار معتبر وجود دارد </w:t>
      </w:r>
      <w:r>
        <w:rPr>
          <w:rStyle w:val="FootnoteAnchor"/>
          <w:rtl w:val="true"/>
        </w:rPr>
        <w:footnoteReference w:id="552"/>
      </w:r>
      <w:r>
        <w:rPr>
          <w:rFonts w:ascii="IRNazanin" w:hAnsi="IRNazanin" w:eastAsia="IRNazanin"/>
          <w:color w:val="111111"/>
          <w:sz w:val="28"/>
          <w:sz w:val="28"/>
          <w:szCs w:val="28"/>
          <w:rtl w:val="true"/>
          <w:lang w:bidi="fa-IR"/>
        </w:rPr>
        <w:t>و در نظر گرفتن این حقیقت که به شیعه به دلیل اعتقاد به لزوم عصمت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می‌شود،همگی قرینه‌هایی است که روشن می‌سازد هرگاه در روایات امام به صورت مطلق و بدون هیچ قیدی آورده شود،منصرف به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باب حدود،روایات فراوانی دربردارنده واژه امام است،ولی فقها بدون اشاره به اختصاص این روایات به امام معصوم احکام آنها را استخراج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روایات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علی نفسه عند الإمام أنه سرق ثم جحد قطعت یده</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تاب فما علیه شئ،و إن وقع فی ید الإمام أقام علیه الحد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رفع إلی الامام قطعه،فان قال الذی سرق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أهبه له لم یدعه إلی الامام حتی یقطعه إذا رفعه إلیه،وإنما الهبة قبل أن یرفعه إلی الامام</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یعفی عن الحدود التی لله دون الامام،فأما ما کان من حق الناس فی حد فلا بأس بأن یعفا عنه دون الامام</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قامت البینة فلیس للامام أن یعفو،و إذا أقر الرجل علی نفسه فذاک إلی الامام إن شاء عفا،و إن شاء قطع</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یشفعن أحد فی حد إذا بلغ الامام،فإنه لا یملکه،واشفع فیما لم یبلغ الامام إذا رأیت الندم</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علی نفسه عند الامام بحق أحد من حقوق المسلمین فلیس علی الامام أن یقیم علیه الحد الذی أقر به عنده حتی یحضر صاحبه حق الحد أو ولیه ویطلبه بحقه</w:t>
      </w:r>
      <w:r>
        <w:rPr>
          <w:rFonts w:eastAsia="IRNazanin" w:cs="IRNazanin"/>
          <w:color w:val="111111"/>
          <w:sz w:val="28"/>
          <w:szCs w:val="28"/>
          <w:rtl w:val="true"/>
          <w:lang w:bidi="fa-IR"/>
        </w:rPr>
        <w:t xml:space="preserve">». </w:t>
      </w:r>
      <w:r>
        <w:rPr>
          <w:rStyle w:val="FootnoteAnchor"/>
          <w:rtl w:val="true"/>
        </w:rPr>
        <w:footnoteReference w:id="559"/>
      </w:r>
      <w:bookmarkStart w:id="466" w:name="pg5664_43453"/>
    </w:p>
    <w:p>
      <w:pPr>
        <w:pStyle w:val="BookText"/>
        <w:rPr/>
      </w:pPr>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الزانی المحصن کان أول من یرجمه الإمام ثم الناس،فإذا قامت علیه البینة کان أول من یرجمه البینة ثم الإمام ثم الناس</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یضربهما ولیس لهما خصم؟قال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علی الامام إذا رفعا إلیه</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برخی از محققان با اشاره به این روایات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به نظر می‌رسد که امام باقر علیه السلام و امام صادق علیه السلام در تمام این روایات که از اجرای حدود الهی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گفته‌اند،فقط به تعیین تکلیف برای امام معصومی پرداخته‌اند که تا صدها سال دیگر در منصب حکومت نخواهد نشست و زمانی هم که در این منصب قرار بگیرد،خود به وظیفه‌اش آشناست و نیازی به بیان آن از سوی امامان قبل ندارد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اما نباید از نظر دور داشت که تباعدی که پس از گذشت بیش از هزار سال برای ما پدیدار گشته،موجب نمی‌شود بتوانیم در مفاد و مفاهیم واژگان روایات تصرف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به‌علاوه،ائمه وظیفه دارند احکام الهی را تبیین کنند؛چه مردم صلاحیت و ظرفیت پذیرش و اجرای آنها را داشته باشند و چه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شیعه نیز با درک همین وظیفه،بسیاری از مسائل جزایی و قضایی را در کتاب‌های فقهی خود آورده‌اند،در حالی که در بیشتر این زمان‌ها امکان اجرای آنها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تاکنون کسی این کار را بیهوده دانسته است؟درباره این روایات نیز باید یادآور شد که در بیشتر آنها قرینه‌ای وجود دارد که مفهوم آن را روشن می‌کند،ولی در مواردی که قرینه‌ای در کلام نیست،بر اساس آنچه گفته شد،باید آنها را از وظایف امام معصوم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روایات قرینه‌هایی است که به مدد آن اختصاص منصب اقامه حدود به معصومان تأیید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صاحب جواهر نیز از وجود روایاتی علاوه بر روایت اشعثیات همین روایات بوده است</w:t>
      </w:r>
      <w:r>
        <w:rPr>
          <w:rFonts w:eastAsia="IRNazanin" w:cs="IRNazanin"/>
          <w:color w:val="111111"/>
          <w:sz w:val="28"/>
          <w:szCs w:val="28"/>
          <w:rtl w:val="true"/>
          <w:lang w:bidi="fa-IR"/>
        </w:rPr>
        <w:t>.</w:t>
      </w:r>
    </w:p>
    <w:p>
      <w:pPr>
        <w:pStyle w:val="Heading6"/>
        <w:numPr>
          <w:ilvl w:val="5"/>
          <w:numId w:val="1"/>
        </w:numPr>
        <w:rPr/>
      </w:pPr>
      <w:bookmarkStart w:id="467" w:name="__RefHeading___Toc3419936_581953129"/>
      <w:bookmarkStart w:id="468" w:name="_Toc185"/>
      <w:bookmarkEnd w:id="467"/>
      <w:r>
        <w:rPr>
          <w:rtl w:val="true"/>
        </w:rPr>
        <w:t>مقید به عادل</w:t>
      </w:r>
      <w:bookmarkEnd w:id="46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امامت را به معنای زعامت به کار می‌بریم و آن را با عدالت مقرون می‌سازیم،قابل انطباق بر پیشوایان معصوم است،ولی آیا به آنها اختصاص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گستره 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پیشوایی را که از شرایط لازم رهبری</w:t>
      </w:r>
    </w:p>
    <w:p>
      <w:pPr>
        <w:pStyle w:val="BookText"/>
        <w:rPr/>
      </w:pPr>
      <w:r>
        <w:rPr>
          <w:rFonts w:ascii="IRNazanin" w:hAnsi="IRNazanin" w:eastAsia="IRNazanin"/>
          <w:color w:val="111111"/>
          <w:sz w:val="28"/>
          <w:sz w:val="28"/>
          <w:szCs w:val="28"/>
          <w:rtl w:val="true"/>
          <w:lang w:bidi="fa-IR"/>
        </w:rPr>
        <w:t xml:space="preserve">برخوردار باشد،دربرمی‌گیرد،ولی محققانی مانند صاحب مستند </w:t>
      </w:r>
      <w:r>
        <w:rPr>
          <w:rStyle w:val="FootnoteAnchor"/>
          <w:rtl w:val="true"/>
        </w:rPr>
        <w:footnoteReference w:id="563"/>
      </w:r>
      <w:r>
        <w:rPr>
          <w:rFonts w:ascii="IRNazanin" w:hAnsi="IRNazanin" w:eastAsia="IRNazanin"/>
          <w:color w:val="111111"/>
          <w:sz w:val="28"/>
          <w:sz w:val="28"/>
          <w:szCs w:val="28"/>
          <w:rtl w:val="true"/>
          <w:lang w:bidi="fa-IR"/>
        </w:rPr>
        <w:t xml:space="preserve">و صاحب مفتاح الکرامه </w:t>
      </w:r>
      <w:r>
        <w:rPr>
          <w:rStyle w:val="FootnoteAnchor"/>
          <w:rtl w:val="true"/>
        </w:rPr>
        <w:footnoteReference w:id="564"/>
      </w:r>
      <w:r>
        <w:rPr>
          <w:rFonts w:ascii="IRNazanin" w:hAnsi="IRNazanin" w:eastAsia="IRNazanin"/>
          <w:color w:val="111111"/>
          <w:sz w:val="28"/>
          <w:sz w:val="28"/>
          <w:szCs w:val="28"/>
          <w:rtl w:val="true"/>
          <w:lang w:bidi="fa-IR"/>
        </w:rPr>
        <w:t>به روایاتی استناد جسته‌اند تا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معصوم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درباره قتال با اهل بغی وارد شده که اگر بر امام عادل خروج کنند،با آنها بجنگند،و اگر بر امام جائر خروج کردند،با آنها نجنگند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نیز درباره حدّ سرقت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سارق از انباری که متعلق به امام جائر است سرقت نماید،قطع دستش جایز نیست؛زیرا حق خود را گرفته است،ولی اگر از انبار امام عادل دزدی کند،باید کشته شود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درباره قصاص کسی که ناصبی را به قتل رساند،آمده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جماعت او را می‌کشند،ولی اگر به امام عادلی که ظاهر است رجوع کنند،او را نمی‌کشد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درباره زنی که در مقام دفاع از خود اجنبی را کشته است،می‌خوانیم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امام عادل رجوع کنند،خون اجنبی را هدر می‌داند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نراقی در مستند الشیعه مدعی است اگر از امام به‌صورت مطلق،چنین تبادری وجود نداشته باشد،تردیدی نیست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روایات،مجموعه دیگری از روایات،گویای تعمیم است</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بی‌گمان</w:t>
      </w:r>
      <w:bookmarkStart w:id="469" w:name="pg5664_43455"/>
    </w:p>
    <w:p>
      <w:pPr>
        <w:pStyle w:val="BookText"/>
        <w:rPr/>
      </w:pPr>
      <w:bookmarkEnd w:id="469"/>
      <w:r>
        <w:rPr>
          <w:rFonts w:ascii="IRNazanin" w:hAnsi="IRNazanin" w:eastAsia="IRNazanin"/>
          <w:color w:val="111111"/>
          <w:sz w:val="28"/>
          <w:sz w:val="28"/>
          <w:szCs w:val="28"/>
          <w:rtl w:val="true"/>
          <w:lang w:bidi="fa-IR"/>
        </w:rPr>
        <w:t>در هر دو دسته روایات،قرینه‌هایی برای استعمال وجود داشته است،ولی نباید فراموش کرد که در روایات شیعه،معمولاً هر جا امام عادل در مقابل امام جائر قرار گرفته،مراد از آن معصومان هستند و مواردی که امام عادل شامل غیرمعصوم می‌شود،معمولاً چنین مقابله‌ای دیده نمی‌شود</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به عبارت دیگر،می‌توان گفت متبادر از امام عادل،به دلیل مقابله آن با امام جائر،امام معصوم است</w:t>
      </w:r>
      <w:r>
        <w:rPr>
          <w:rFonts w:eastAsia="IRNazanin" w:cs="IRNazanin"/>
          <w:color w:val="111111"/>
          <w:sz w:val="28"/>
          <w:szCs w:val="28"/>
          <w:rtl w:val="true"/>
          <w:lang w:bidi="fa-IR"/>
        </w:rPr>
        <w:t>.</w:t>
      </w:r>
    </w:p>
    <w:p>
      <w:pPr>
        <w:pStyle w:val="Heading6"/>
        <w:numPr>
          <w:ilvl w:val="5"/>
          <w:numId w:val="1"/>
        </w:numPr>
        <w:rPr/>
      </w:pPr>
      <w:bookmarkStart w:id="470" w:name="__RefHeading___Toc3419938_581953129"/>
      <w:bookmarkStart w:id="471" w:name="_Toc186"/>
      <w:bookmarkEnd w:id="470"/>
      <w:r>
        <w:rPr>
          <w:rtl w:val="true"/>
        </w:rPr>
        <w:t>امام در کلام فقها</w:t>
      </w:r>
      <w:bookmarkEnd w:id="471"/>
    </w:p>
    <w:p>
      <w:pPr>
        <w:pStyle w:val="BookText"/>
        <w:rPr/>
      </w:pPr>
      <w:r>
        <w:rPr>
          <w:rFonts w:ascii="IRNazanin" w:hAnsi="IRNazanin" w:eastAsia="IRNazanin"/>
          <w:color w:val="111111"/>
          <w:sz w:val="28"/>
          <w:sz w:val="28"/>
          <w:szCs w:val="28"/>
          <w:rtl w:val="true"/>
          <w:lang w:bidi="fa-IR"/>
        </w:rPr>
        <w:t>عبارت مرحوم علامه حلی در ابتدای کتاب جهاد صراحت دارد که اذن امام یا نماینده خاص او در جواز جهاد شرط است و عبارت ایشان در فصل ششم،بیانگر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روشنی گفته است که در امام،تصریح بر امامت و معصوم بودن او شرط است و این معنا فقط درامام معصوم تحقق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ریاض‌المسائل و مفتاح‌الکرامه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المتبادر من لفظ الإمام حیث یطلق و لم یضف إلی الجماعة،إنّما هو المعصوم علیه السلام</w:t>
      </w:r>
      <w:r>
        <w:rPr>
          <w:rFonts w:eastAsia="IRNazanin" w:cs="IRNazanin"/>
          <w:color w:val="111111"/>
          <w:sz w:val="28"/>
          <w:szCs w:val="28"/>
          <w:rtl w:val="true"/>
          <w:lang w:bidi="fa-IR"/>
        </w:rPr>
        <w:t xml:space="preserve">». </w:t>
      </w:r>
      <w:r>
        <w:rPr>
          <w:rStyle w:val="FootnoteAnchor"/>
          <w:rtl w:val="true"/>
        </w:rPr>
        <w:footnoteReference w:id="57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نراقی نیز در دفاع از این تفسیر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متبادر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ترتیب که فاضل تونی و خوانساری هم تصریح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ازاین‌رو،جماعتی از علمای عرب،مثل علّامه در منتهی،امام را به معصوم حمل کرده‌اند و جماعت دیگری مانند ابن‌ابی‌عقیل،سیدمرتضی،شیخ طوسی و ابن‌ادریس واژه امام را به‌صورت مطلق به کار برده‌اند و مقصودشان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اطلاق امام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قرینه است؛مثل امام مسجد،امام نماز و امام بلد،و از این‌رو،به اثناعشریه،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عرف فقها هم‌معناهای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نهایة الاحکام، </w:t>
      </w:r>
      <w:r>
        <w:rPr>
          <w:rStyle w:val="FootnoteAnchor"/>
          <w:rtl w:val="true"/>
        </w:rPr>
        <w:footnoteReference w:id="573"/>
      </w:r>
      <w:r>
        <w:rPr>
          <w:rFonts w:ascii="IRNazanin" w:hAnsi="IRNazanin" w:eastAsia="IRNazanin"/>
          <w:color w:val="111111"/>
          <w:sz w:val="28"/>
          <w:sz w:val="28"/>
          <w:szCs w:val="28"/>
          <w:rtl w:val="true"/>
          <w:lang w:bidi="fa-IR"/>
        </w:rPr>
        <w:t xml:space="preserve">منتهی المطلب، </w:t>
      </w:r>
      <w:r>
        <w:rPr>
          <w:rStyle w:val="FootnoteAnchor"/>
          <w:rtl w:val="true"/>
        </w:rPr>
        <w:footnoteReference w:id="574"/>
      </w:r>
      <w:r>
        <w:rPr>
          <w:rFonts w:ascii="IRNazanin" w:hAnsi="IRNazanin" w:eastAsia="IRNazanin"/>
          <w:color w:val="111111"/>
          <w:sz w:val="28"/>
          <w:sz w:val="28"/>
          <w:szCs w:val="28"/>
          <w:rtl w:val="true"/>
          <w:lang w:bidi="fa-IR"/>
        </w:rPr>
        <w:t xml:space="preserve">تذکرة، </w:t>
      </w:r>
      <w:r>
        <w:rPr>
          <w:rStyle w:val="FootnoteAnchor"/>
          <w:rtl w:val="true"/>
        </w:rPr>
        <w:footnoteReference w:id="575"/>
      </w:r>
      <w:r>
        <w:rPr>
          <w:rFonts w:ascii="IRNazanin" w:hAnsi="IRNazanin" w:eastAsia="IRNazanin"/>
          <w:color w:val="111111"/>
          <w:sz w:val="28"/>
          <w:sz w:val="28"/>
          <w:szCs w:val="28"/>
          <w:rtl w:val="true"/>
          <w:lang w:bidi="fa-IR"/>
        </w:rPr>
        <w:t xml:space="preserve">ذکری </w:t>
      </w:r>
      <w:r>
        <w:rPr>
          <w:rStyle w:val="FootnoteAnchor"/>
          <w:rtl w:val="true"/>
        </w:rPr>
        <w:footnoteReference w:id="576"/>
      </w:r>
      <w:bookmarkStart w:id="472" w:name="pg5664_43456"/>
    </w:p>
    <w:p>
      <w:pPr>
        <w:pStyle w:val="BookText"/>
        <w:rPr/>
      </w:pPr>
      <w:bookmarkEnd w:id="472"/>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577"/>
      </w:r>
      <w:r>
        <w:rPr>
          <w:rFonts w:ascii="IRNazanin" w:hAnsi="IRNazanin" w:eastAsia="IRNazanin"/>
          <w:color w:val="111111"/>
          <w:sz w:val="28"/>
          <w:sz w:val="28"/>
          <w:szCs w:val="28"/>
          <w:rtl w:val="true"/>
          <w:lang w:bidi="fa-IR"/>
        </w:rPr>
        <w:t>سلطان عادل متعین در امام معصوم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الملة</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همین معنا به کار رفته است</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با توجه به بررسی‌های به عمل آمده درباره مفردات روایت،مفهوم کلی آن نیز روشن می‌شود و می‌توان گفت مفهوم آن،اختصاص جواز اقامه حدود به امام معصوم،و حرام و غیرنافذ بودن اقامه آن از سوی غیرمعصوم است</w:t>
      </w:r>
      <w:r>
        <w:rPr>
          <w:rFonts w:eastAsia="IRNazanin" w:cs="IRNazanin"/>
          <w:color w:val="111111"/>
          <w:sz w:val="28"/>
          <w:szCs w:val="28"/>
          <w:rtl w:val="true"/>
          <w:lang w:bidi="fa-IR"/>
        </w:rPr>
        <w:t>.</w:t>
      </w:r>
    </w:p>
    <w:p>
      <w:pPr>
        <w:pStyle w:val="Heading6"/>
        <w:numPr>
          <w:ilvl w:val="5"/>
          <w:numId w:val="1"/>
        </w:numPr>
        <w:rPr/>
      </w:pPr>
      <w:bookmarkStart w:id="473" w:name="__RefHeading___Toc3419940_581953129"/>
      <w:bookmarkStart w:id="474" w:name="_Toc187"/>
      <w:bookmarkEnd w:id="473"/>
      <w:r>
        <w:rPr>
          <w:rtl w:val="true"/>
        </w:rPr>
        <w:t>د</w:t>
      </w:r>
      <w:r>
        <w:rPr>
          <w:rtl w:val="true"/>
        </w:rPr>
        <w:t>)</w:t>
      </w:r>
      <w:r>
        <w:rPr>
          <w:rtl w:val="true"/>
        </w:rPr>
        <w:t>اشکال دلالی</w:t>
      </w:r>
      <w:bookmarkEnd w:id="474"/>
    </w:p>
    <w:p>
      <w:pPr>
        <w:pStyle w:val="Heading6"/>
        <w:numPr>
          <w:ilvl w:val="5"/>
          <w:numId w:val="1"/>
        </w:numPr>
        <w:rPr/>
      </w:pPr>
      <w:bookmarkStart w:id="475" w:name="__RefHeading___Toc3419942_581953129"/>
      <w:bookmarkStart w:id="476" w:name="_Toc188"/>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اشکال دلالی،عدم امکان التزام به برخی بندهای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حدیث،هیچ‌یک از سه امرِ جمعه،قضا و اجرای حدود بدون اذن امام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جمله نخست روایت که می‌گوید حکم بدون امام جایز نیست،قطعی البطلان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بنا به نظر صحیح و مشهور که اقامه جمعه را جایز می‌دانند،جمله دوم روایت نیز باطل خواهد بود</w:t>
      </w:r>
      <w:r>
        <w:rPr>
          <w:rFonts w:eastAsia="IRNazanin" w:cs="IRNazanin"/>
          <w:color w:val="111111"/>
          <w:sz w:val="28"/>
          <w:szCs w:val="28"/>
          <w:rtl w:val="true"/>
          <w:lang w:bidi="fa-IR"/>
        </w:rPr>
        <w:t xml:space="preserve">. </w:t>
      </w:r>
      <w:r>
        <w:rPr>
          <w:rStyle w:val="FootnoteAnchor"/>
          <w:rtl w:val="true"/>
        </w:rPr>
        <w:footnoteReference w:id="580"/>
      </w:r>
    </w:p>
    <w:p>
      <w:pPr>
        <w:pStyle w:val="Heading6"/>
        <w:numPr>
          <w:ilvl w:val="5"/>
          <w:numId w:val="1"/>
        </w:numPr>
        <w:rPr/>
      </w:pPr>
      <w:bookmarkStart w:id="477" w:name="__RefHeading___Toc3419944_581953129"/>
      <w:bookmarkStart w:id="478" w:name="_Toc189"/>
      <w:bookmarkEnd w:id="477"/>
      <w:r>
        <w:rPr>
          <w:rtl w:val="true"/>
        </w:rPr>
        <w:t>پاسخ و نتیجه‌گیری</w:t>
      </w:r>
      <w:bookmarkEnd w:id="478"/>
    </w:p>
    <w:p>
      <w:pPr>
        <w:pStyle w:val="BookText"/>
        <w:rPr/>
      </w:pPr>
      <w:r>
        <w:rPr>
          <w:rFonts w:ascii="IRNazanin" w:hAnsi="IRNazanin" w:eastAsia="IRNazanin"/>
          <w:color w:val="111111"/>
          <w:sz w:val="28"/>
          <w:sz w:val="28"/>
          <w:szCs w:val="28"/>
          <w:rtl w:val="true"/>
          <w:lang w:bidi="fa-IR"/>
        </w:rPr>
        <w:t>در پاسخ به این اشکال می‌توان یک پاسخ نقضی و دو پاسخ حلّی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به دلیل عدم امکان التزام یک بند نمی‌توان به باقی بندها عمل کرد،باید توقیع شریف را نیز مردود دانست،چون در این توقیع خمس برای شیعیان مباح دانسته شده است،در حالی که فقها،مباح بودن خمس را نپذیرفته‌اند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با مردود شمردن این روایت،یکی از دلایل عمده دیدگاه جواز نیز فاقد اعتبار می‌گردد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حلی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دیدگاه‌های اصولیون،دلالت تضمنی از دلالت مطابقی پیروی نمی‌کند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بندهای روایت نیز هر کدام اخبار جداگانه به شمار می‌آیند و سقوط</w:t>
      </w:r>
    </w:p>
    <w:p>
      <w:pPr>
        <w:pStyle w:val="BookText"/>
        <w:rPr/>
      </w:pPr>
      <w:r>
        <w:rPr>
          <w:rFonts w:ascii="IRNazanin" w:hAnsi="IRNazanin" w:eastAsia="IRNazanin"/>
          <w:color w:val="111111"/>
          <w:sz w:val="28"/>
          <w:sz w:val="28"/>
          <w:szCs w:val="28"/>
          <w:rtl w:val="true"/>
          <w:lang w:bidi="fa-IR"/>
        </w:rPr>
        <w:t>یکی از بندها،موجب اسقاط حجیت دیگری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فرض،سقوط از حجیت یکی از بندها،سبب اسقاط همه روایت از حجیت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افعال یاد شده در روایت،مناصب امام است و اگر اذن از ایشان در بعضی از موارد ثابت شود،لازم است بر همان مورد اقتصار کرد و اذن خاص یا عام در اجرای حدود از سوی امام ثابت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اشتمال حدیث بر امری که هیچ فقیهی بر آن فتوا نداده،آن را از حجیت ساقط نمی‌کند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این سخن از این نظر که موارد یاد شده را از مناصب خاص امام می‌داند،درست به نظر می‌رسد،ولی از این نظر که وجود اذن خاص یا عام را در اجرای حدود انکار کرده،جای بسی تأمل است؛زیرا ادله نیابت عامه فقیه،همان‌گونه که نیابت ایشان در قضا را ثابت می‌کند،می‌تواند شامل اقامه حدود نیز گردد</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بنابراین،می‌توان گفت مراد از این روایت جعل اولی است؛یعنی این مناصب در درجه نخست برای ائمه جعل شده،ولی خود این بزرگواران منصب اقامه حدود را همچون منصب فتوا و قضا،برای جانشینانشان در علم و عمل قرار داده‌اند</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بیان اصولی می‌توان گفت دو احتمال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نخست اینکه ادله نیابت،نظارت و حکومت بر روایت اشعثیات داشته باشند،و احتمال دوم اینکه روایت اشعثیات،به فرض صحت سند،بر ادله ولایت فقیه حاکم باشند که در این صورت،اقامه حدود از دایره نیابت عامه خارج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احتمال نخست صحیح باشد و ادله نیابت عامه فقها،بر روایت اشعثیات حکومت دارد؛زیرا یک دلیل وقتی حاکم بر دلیل دیگر است که به آن نظر داشته باشد؛یعنی گویا هنگام جعل،دلیل محکوم مدّنظر شارع بوده،دلیل حاکم را برای توسعه یا تضییق آن جعل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نیابت عامه فقیه چنین ویژگی‌ای دارد و با جعل ولایت برای فقها،دایره شمول ولایت را بر اجرای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روایت اشعثیات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روایت اشعثیات به یقین توجهی به ادله نیابت ندارد؛زیرا درصدد بیان حکم اولی</w:t>
      </w:r>
    </w:p>
    <w:p>
      <w:pPr>
        <w:pStyle w:val="BookText"/>
        <w:rPr/>
      </w:pPr>
      <w:r>
        <w:rPr>
          <w:rFonts w:ascii="IRNazanin" w:hAnsi="IRNazanin" w:eastAsia="IRNazanin"/>
          <w:color w:val="111111"/>
          <w:sz w:val="28"/>
          <w:sz w:val="28"/>
          <w:szCs w:val="28"/>
          <w:rtl w:val="true"/>
          <w:lang w:bidi="fa-IR"/>
        </w:rPr>
        <w:t>اجرای حدود است،نه اینکه بخواهد دایره ادله نیابت را محدود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تأیید این مطلب می‌توان به روایاتی اشاره کرد که به صراحت قضاوت میان مردم را از مناصب اختصاصی ائمه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روایتی حضرت امیرمؤمنان علیه السلام به شریح قاضی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شریح قد جلست مجلسا لا یجلسه الا نبی او وصی او شقی</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یا فرمایش امام صادق علیه السلام که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الحکومة،انما هی للامام العالم بالقضاء العادل بین المسلمین کنبی او وصی</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مشخص است این‌گونه اختصاص،با صدور اذن از سوی خود ائمه منافات ندارد و هیچ فقیهی این روایات را حاکم بر ادله نیابت فقها در قضا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تفسیر را از روایت نپذیریم و اصرار کنیم که بر اساس مفاد روایت،فقط امام معصوم حق اقامه حدود را دارد و صدور اذن از سوی ایشان ثابت نشده است،باید بگوییم روایت اشعثیات بر ادله ولایت فقیه حکومت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این مدعا،تخصیص مطلقات و عمومات ادله حدود با این روایت است،در حالی که تخصیص کتاب به خبر واحد مورد اتفاق فقها و اصولیون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همچنین،هر چند ما اصل کتاب اشعثیات را معتبر و سند روایت مورد بحث را قابل اعتماد دانستیم،ولی تخصیص کتاب عزیز به صرف چنین روایتی که مشهور آن را ضعیف دانسته‌اند،جسارتی می‌خواهد که نگارنده فاقد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اصرار بر لزوم تصدی امام معصوم بر اقامه حدود،ولایت نایبان خاص و منصوبان ایشان را بر اقامه حدود در زمان حضور نیز با تردید مواجه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روشن است که این تفسیر از روایت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منتفی نیست که روایت صرفاً در مقام بیان عدم جواز تصدی اقامه حدود از سوی آحاد مردم است،بدون نظرداشت به عدم جواز تصدی اقامه حدود از سوی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احتمال را هم نمی‌توان به طور کلی منتفی دانست که واژه امام در این روایت،مختص به امام معصوم نباشد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 با در نظر گرفتن دیگر ادله،این حدیث را می‌توان این‌چنین تبیین کرد که این سه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قضاوت،اجرای حدود و اقامه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اهمیت سیاسی،</w:t>
      </w:r>
      <w:bookmarkStart w:id="479" w:name="pg5664_43459"/>
    </w:p>
    <w:p>
      <w:pPr>
        <w:pStyle w:val="BookText"/>
        <w:rPr/>
      </w:pPr>
      <w:bookmarkEnd w:id="479"/>
      <w:r>
        <w:rPr>
          <w:rFonts w:ascii="IRNazanin" w:hAnsi="IRNazanin" w:eastAsia="IRNazanin"/>
          <w:color w:val="111111"/>
          <w:sz w:val="28"/>
          <w:sz w:val="28"/>
          <w:szCs w:val="28"/>
          <w:rtl w:val="true"/>
          <w:lang w:bidi="fa-IR"/>
        </w:rPr>
        <w:t>اجتماعی و حقوقی،فقط باید از طریق حکومت اسلامی و حکومت امام به اشخاص واگذار شود،نه آنکه هر کس خودسرانه قوه قضاییه یا مجریه را به‌دست گیرد و یا نماز جمعه را که از عبادت‌های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است،برپا کند</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مؤید این برداشت از روایت،روایتی است که در خود اشعثیات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العشیرة اذا کان علیهم امیر یقیم الحدود فقد وجبت علیهم الجمعة و التشریق</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در این روایت،اقامه جمعه منوط به وجود امیری شده که اقامه حدود کند،با توجه به اینکه مراد از امیر،کسی است که از سوی حکومت اسلامی نصب شده است،پس اقامه حدود و نماز جمعه بدون وجود حکومت اسلامی ممکن نیست و در زمان غیبت،این مهم با سپردن حکومت به فقیه جامع شرایط،میسر می‌گردد</w:t>
      </w:r>
      <w:r>
        <w:rPr>
          <w:rFonts w:eastAsia="IRNazanin" w:cs="IRNazanin"/>
          <w:color w:val="111111"/>
          <w:sz w:val="28"/>
          <w:szCs w:val="28"/>
          <w:rtl w:val="true"/>
          <w:lang w:bidi="fa-IR"/>
        </w:rPr>
        <w:t>.</w:t>
      </w:r>
    </w:p>
    <w:p>
      <w:pPr>
        <w:pStyle w:val="Heading5"/>
        <w:numPr>
          <w:ilvl w:val="4"/>
          <w:numId w:val="1"/>
        </w:numPr>
        <w:rPr/>
      </w:pPr>
      <w:bookmarkStart w:id="480" w:name="__RefHeading___Toc3419946_581953129"/>
      <w:bookmarkStart w:id="481" w:name="_Toc190"/>
      <w:bookmarkEnd w:id="480"/>
      <w:r>
        <w:rPr/>
        <w:t>3</w:t>
      </w:r>
      <w:r>
        <w:rPr>
          <w:rtl w:val="true"/>
        </w:rPr>
        <w:t>-</w:t>
      </w:r>
      <w:r>
        <w:rPr>
          <w:rtl w:val="true"/>
        </w:rPr>
        <w:t>قاعده درأ</w:t>
      </w:r>
      <w:bookmarkEnd w:id="481"/>
    </w:p>
    <w:p>
      <w:pPr>
        <w:pStyle w:val="Heading6"/>
        <w:numPr>
          <w:ilvl w:val="5"/>
          <w:numId w:val="1"/>
        </w:numPr>
        <w:rPr/>
      </w:pPr>
      <w:bookmarkStart w:id="482" w:name="__RefHeading___Toc3419948_581953129"/>
      <w:bookmarkStart w:id="483" w:name="_Toc191"/>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مشهورترین قاعده باب حدود،قاعده درأ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سخن اصحاب و فقهای امامی و حتی اهل سنت پذیرش این قاعده و تسالم بر آن است</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اما هیچ‌یک از فقها به این قاعده برای عدم مشروعیت مجازات‌های حدی در زمان غیبت استناد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این،یکی از نویسندگان معاصر به استناد این روایت و با توجه به نظر برخی فقها بر عدم جواز اقامه حدود،مدعی شده در زمان ما شبهه دایمی در اجرای حدود وجود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برخی از فقهای بزرگ مبنی بر تعطیل اجرای حدود و قصاص در عصر غیبت امام معصوم و دلایل آنها بر لزوم اجرای حدود و قصاص توسط پیشوای معصوم و ممنوعیت اجرای آن از سوی دیگران،یک شبهه دایمی و در حکم شبهه حکیمه است که می‌تواند موجب توقف مجازات مرگ برای همیشه باشد و این به‌جز شبهه مصداقی و موضوعی است که برای هر پرونده‌ای به نحو اختصاصی می‌تواند وجود داشته باشد</w:t>
      </w:r>
      <w:r>
        <w:rPr>
          <w:rFonts w:eastAsia="IRNazanin" w:cs="IRNazanin"/>
          <w:color w:val="111111"/>
          <w:sz w:val="28"/>
          <w:szCs w:val="28"/>
          <w:rtl w:val="true"/>
          <w:lang w:bidi="fa-IR"/>
        </w:rPr>
        <w:t xml:space="preserve">. </w:t>
      </w:r>
      <w:r>
        <w:rPr>
          <w:rStyle w:val="FootnoteAnchor"/>
          <w:rtl w:val="true"/>
        </w:rPr>
        <w:footnoteReference w:id="590"/>
      </w:r>
      <w:bookmarkStart w:id="484" w:name="pg5664_43460"/>
    </w:p>
    <w:p>
      <w:pPr>
        <w:pStyle w:val="BookText"/>
        <w:rPr/>
      </w:pPr>
      <w:bookmarkEnd w:id="484"/>
      <w:r>
        <w:rPr>
          <w:rFonts w:ascii="IRNazanin" w:hAnsi="IRNazanin" w:eastAsia="IRNazanin"/>
          <w:color w:val="111111"/>
          <w:sz w:val="28"/>
          <w:sz w:val="28"/>
          <w:szCs w:val="28"/>
          <w:rtl w:val="true"/>
          <w:lang w:bidi="fa-IR"/>
        </w:rPr>
        <w:t>به‌منظور بررسی این دیدگاه،لازم است پس از بررسی مستند قاعده،مفاد آن به‌ویژه مراد از شبهه در این قاعده،تحلیل شود تا معلوم گردد آیا این‌چنین شبهاتی را نیز دربرمی‌گیرد یا خیر</w:t>
      </w:r>
      <w:r>
        <w:rPr>
          <w:rFonts w:eastAsia="IRNazanin" w:cs="IRNazanin"/>
          <w:color w:val="111111"/>
          <w:sz w:val="28"/>
          <w:szCs w:val="28"/>
          <w:rtl w:val="true"/>
          <w:lang w:bidi="fa-IR"/>
        </w:rPr>
        <w:t>.</w:t>
      </w:r>
    </w:p>
    <w:p>
      <w:pPr>
        <w:pStyle w:val="Heading6"/>
        <w:numPr>
          <w:ilvl w:val="5"/>
          <w:numId w:val="1"/>
        </w:numPr>
        <w:rPr/>
      </w:pPr>
      <w:bookmarkStart w:id="485" w:name="__RefHeading___Toc3419950_581953129"/>
      <w:bookmarkStart w:id="486" w:name="_Toc192"/>
      <w:bookmarkEnd w:id="485"/>
      <w:r>
        <w:rPr>
          <w:rtl w:val="true"/>
        </w:rPr>
        <w:t>الف</w:t>
      </w:r>
      <w:r>
        <w:rPr>
          <w:rtl w:val="true"/>
        </w:rPr>
        <w:t>)</w:t>
      </w:r>
      <w:r>
        <w:rPr>
          <w:rtl w:val="true"/>
        </w:rPr>
        <w:t>فقها و قاعده درأ</w:t>
      </w:r>
      <w:bookmarkEnd w:id="486"/>
    </w:p>
    <w:p>
      <w:pPr>
        <w:pStyle w:val="BookText"/>
        <w:rPr/>
      </w:pPr>
      <w:r>
        <w:rPr>
          <w:rFonts w:ascii="IRNazanin" w:hAnsi="IRNazanin" w:eastAsia="IRNazanin"/>
          <w:color w:val="111111"/>
          <w:sz w:val="28"/>
          <w:sz w:val="28"/>
          <w:szCs w:val="28"/>
          <w:rtl w:val="true"/>
          <w:lang w:bidi="fa-IR"/>
        </w:rPr>
        <w:t>این روایت در آثار متقدمین از فقها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محققانی که آثار ابن ابی‌عقیل را تحقیق کرده‌اند،به این روایت در لابه‌لای آثار وی اشاره کرده‌اند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سید مرتضی در انتصار این روایت را به نقل از عامه ذکر کرده،بدون اینکه در سند آن خدشه‌ای وارد کند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شیخ طوسی نیز در کتاب خلاف در موارد متعدد به این روایت اشاره و در برخی موارد بدان استدلال کرده است</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همچنین شیخ در مبسوط نیز در موارد متعددی به این روایت استدلال کرده،یک‌جا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روایت آورده است</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ابن‌براج نیز در دو اثر خود المهذب </w:t>
      </w:r>
      <w:r>
        <w:rPr>
          <w:rStyle w:val="FootnoteAnchor"/>
          <w:rtl w:val="true"/>
        </w:rPr>
        <w:footnoteReference w:id="595"/>
      </w:r>
      <w:r>
        <w:rPr>
          <w:rFonts w:ascii="IRNazanin" w:hAnsi="IRNazanin" w:eastAsia="IRNazanin"/>
          <w:color w:val="111111"/>
          <w:sz w:val="28"/>
          <w:sz w:val="28"/>
          <w:szCs w:val="28"/>
          <w:rtl w:val="true"/>
          <w:lang w:bidi="fa-IR"/>
        </w:rPr>
        <w:t>و جواهر الفقه به این روایت استناد کرده است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با وجود اینکه ابن‌ادریس اعتباری برای اخبار آحاد قایل نیست،در کتاب سرائر در بیست مورد به این روایت استناد کرده،گاه آن را مُجمعٌ علیه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باب حد قذف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شبهه حد جاری نمی‌شود،به دلیل روایتی که مورد اجماع فقهاست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ادروؤ الحدود بالشبهات؛حدود را به شبهات دفع کنید</w:t>
      </w:r>
      <w:r>
        <w:rPr>
          <w:rFonts w:eastAsia="IRNazanin" w:cs="IRNazanin"/>
          <w:color w:val="111111"/>
          <w:sz w:val="28"/>
          <w:szCs w:val="28"/>
          <w:rtl w:val="true"/>
          <w:lang w:bidi="fa-IR"/>
        </w:rPr>
        <w:t xml:space="preserve">». </w:t>
      </w:r>
      <w:r>
        <w:rPr>
          <w:rStyle w:val="FootnoteAnchor"/>
          <w:rtl w:val="true"/>
        </w:rPr>
        <w:footnoteReference w:id="59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کتاب جواهر الکلام به نقل از بخش دیگری از کتاب سرائر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شبهه،حد دفع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آن،روایتی است که مورد اجماع است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علامه حلی در کتاب مختلف به این حدیث استناد کرده،در جایی از این کتاب عبارت سرائر را 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علیه السلام 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مقدس اردبیلی رحمة الله در کتاب مجمع الفائدة و البرهان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شاهد از شهادتش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 اشتباه کردم،احتمال می‌رود که حد قذف از او ساقط شود،به دلیل قول پیامبر صلّی الله علیه و آله که مشهور بین شیعه و سنی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 نیست که این مورد از موارد شبهه است</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 محقق کرکی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مسلمین اختلافی نیست در اینکه رسول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آیت‌الله خویی در کتاب مبانی تکملة المنهاج پس از اینکه مرسله صدوق را مؤید روایات برخی مسائل قرار داده،می‌نویسد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صاحب ریاض در ذیل مسئله دوم از مسائل سه‌گانه که در پایان بحث حد سرقت آورده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در این مورد به اصل مصونیت خون مگر در جایی که یقین به عدم مصونیت آن باشد،تمسک کنیم و به مقتضای نص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حد به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کرده باشیم</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ایشان در جایی دیگر از این کتاب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 ادعای اکراه به زنا کند،از او پذیرفته می‌شود،ولی نه به این دلیل که حدود به شبهه دفع می‌شود؛چرا که پیش از این ثابت نبودن این قاعده گذشت</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عبارت معلوم می‌شود ایشان وثوق به صدور مرسله صدوق ندارد؛چه رسد به اینکه آن را مشهور،متواتر یا مُجمعٌ علیه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این امر از مبنای ایشان در حجیت خبر واحد سرچشمه می‌گیرد؛زیرا از طرفداران دیدگاه وثوق سندی</w:t>
      </w:r>
      <w:bookmarkStart w:id="487" w:name="pg5664_43462"/>
    </w:p>
    <w:p>
      <w:pPr>
        <w:pStyle w:val="BookText"/>
        <w:rPr/>
      </w:pPr>
      <w:bookmarkEnd w:id="487"/>
      <w:r>
        <w:rPr>
          <w:rFonts w:ascii="IRNazanin" w:hAnsi="IRNazanin" w:eastAsia="IRNazanin"/>
          <w:color w:val="111111"/>
          <w:sz w:val="28"/>
          <w:sz w:val="28"/>
          <w:szCs w:val="28"/>
          <w:rtl w:val="true"/>
          <w:lang w:bidi="fa-IR"/>
        </w:rPr>
        <w:t>است و تنها به سند روایت می‌نگرد و دیگر قرینه‌ها را نامعتبر می‌داند</w:t>
      </w:r>
      <w:r>
        <w:rPr>
          <w:rFonts w:eastAsia="IRNazanin" w:cs="IRNazanin"/>
          <w:color w:val="111111"/>
          <w:sz w:val="28"/>
          <w:szCs w:val="28"/>
          <w:rtl w:val="true"/>
          <w:lang w:bidi="fa-IR"/>
        </w:rPr>
        <w:t>.</w:t>
      </w:r>
    </w:p>
    <w:p>
      <w:pPr>
        <w:pStyle w:val="Heading6"/>
        <w:numPr>
          <w:ilvl w:val="5"/>
          <w:numId w:val="1"/>
        </w:numPr>
        <w:rPr/>
      </w:pPr>
      <w:bookmarkStart w:id="488" w:name="__RefHeading___Toc3419952_581953129"/>
      <w:bookmarkStart w:id="489" w:name="_Toc193"/>
      <w:bookmarkEnd w:id="488"/>
      <w:r>
        <w:rPr>
          <w:rtl w:val="true"/>
        </w:rPr>
        <w:t>ب</w:t>
      </w:r>
      <w:r>
        <w:rPr>
          <w:rtl w:val="true"/>
        </w:rPr>
        <w:t>)</w:t>
      </w:r>
      <w:r>
        <w:rPr>
          <w:rtl w:val="true"/>
        </w:rPr>
        <w:t>مستند روایی قاعده درأ</w:t>
      </w:r>
      <w:bookmarkEnd w:id="489"/>
    </w:p>
    <w:p>
      <w:pPr>
        <w:pStyle w:val="Heading6"/>
        <w:numPr>
          <w:ilvl w:val="5"/>
          <w:numId w:val="1"/>
        </w:numPr>
        <w:rPr/>
      </w:pPr>
      <w:bookmarkStart w:id="490" w:name="__RefHeading___Toc3419954_581953129"/>
      <w:bookmarkStart w:id="491" w:name="_Toc194"/>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این قاعده در مدارک زیر آمده است</w:t>
      </w:r>
      <w:r>
        <w:rPr>
          <w:rFonts w:eastAsia="IRNazanin" w:cs="IRNazanin"/>
          <w:color w:val="111111"/>
          <w:sz w:val="28"/>
          <w:szCs w:val="28"/>
          <w:rtl w:val="true"/>
          <w:lang w:bidi="fa-IR"/>
        </w:rPr>
        <w:t>.</w:t>
      </w:r>
    </w:p>
    <w:p>
      <w:pPr>
        <w:pStyle w:val="Heading6"/>
        <w:numPr>
          <w:ilvl w:val="5"/>
          <w:numId w:val="1"/>
        </w:numPr>
        <w:rPr/>
      </w:pPr>
      <w:bookmarkStart w:id="492" w:name="__RefHeading___Toc3419956_581953129"/>
      <w:bookmarkStart w:id="493" w:name="_Toc195"/>
      <w:bookmarkEnd w:id="492"/>
      <w:r>
        <w:rPr>
          <w:rtl w:val="true"/>
        </w:rPr>
        <w:t>یکم</w:t>
      </w:r>
      <w:r>
        <w:rPr>
          <w:rtl w:val="true"/>
        </w:rPr>
        <w:t>)</w:t>
      </w:r>
      <w:r>
        <w:rPr>
          <w:rtl w:val="true"/>
        </w:rPr>
        <w:t>من لایحضر</w:t>
      </w:r>
      <w:bookmarkEnd w:id="493"/>
    </w:p>
    <w:p>
      <w:pPr>
        <w:pStyle w:val="BookText"/>
        <w:rPr/>
      </w:pPr>
      <w:r>
        <w:rPr>
          <w:rFonts w:ascii="IRNazanin" w:hAnsi="IRNazanin" w:eastAsia="IRNazanin"/>
          <w:color w:val="111111"/>
          <w:sz w:val="28"/>
          <w:sz w:val="28"/>
          <w:szCs w:val="28"/>
          <w:rtl w:val="true"/>
          <w:lang w:bidi="fa-IR"/>
        </w:rPr>
        <w:t xml:space="preserve">شیخ صدوق محمد بن علی بن بابویه این روایت را در کتاب من لایحضره الفقیه آورده، </w:t>
      </w:r>
      <w:r>
        <w:rPr>
          <w:rStyle w:val="FootnoteAnchor"/>
          <w:rtl w:val="true"/>
        </w:rPr>
        <w:footnoteReference w:id="604"/>
      </w:r>
      <w:r>
        <w:rPr>
          <w:rFonts w:ascii="IRNazanin" w:hAnsi="IRNazanin" w:eastAsia="IRNazanin"/>
          <w:color w:val="111111"/>
          <w:sz w:val="28"/>
          <w:sz w:val="28"/>
          <w:szCs w:val="28"/>
          <w:rtl w:val="true"/>
          <w:lang w:bidi="fa-IR"/>
        </w:rPr>
        <w:t>علامه محدث عاملی نیز در وسائل الشیعه از آن کتاب نقل می‌کند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 ولا شفاعة ولا کفالة ولا یمین فی حدّ؛حدود را با شبهات دفع کنید و شفاعت و کفالت و قسم،در حد وجود ندارد</w:t>
      </w:r>
      <w:r>
        <w:rPr>
          <w:rFonts w:eastAsia="IRNazanin" w:cs="IRNazanin"/>
          <w:color w:val="111111"/>
          <w:sz w:val="28"/>
          <w:szCs w:val="28"/>
          <w:rtl w:val="true"/>
          <w:lang w:bidi="fa-IR"/>
        </w:rPr>
        <w:t>».</w:t>
      </w:r>
    </w:p>
    <w:p>
      <w:pPr>
        <w:pStyle w:val="Heading6"/>
        <w:numPr>
          <w:ilvl w:val="5"/>
          <w:numId w:val="1"/>
        </w:numPr>
        <w:rPr/>
      </w:pPr>
      <w:bookmarkStart w:id="494" w:name="__RefHeading___Toc3419958_581953129"/>
      <w:bookmarkStart w:id="495" w:name="_Toc196"/>
      <w:bookmarkEnd w:id="494"/>
      <w:r>
        <w:rPr>
          <w:rtl w:val="true"/>
        </w:rPr>
        <w:t>دوم</w:t>
      </w:r>
      <w:r>
        <w:rPr>
          <w:rtl w:val="true"/>
        </w:rPr>
        <w:t>)</w:t>
      </w:r>
      <w:r>
        <w:rPr>
          <w:rtl w:val="true"/>
        </w:rPr>
        <w:t>المقنع</w:t>
      </w:r>
      <w:bookmarkEnd w:id="495"/>
    </w:p>
    <w:p>
      <w:pPr>
        <w:pStyle w:val="BookText"/>
        <w:rPr/>
      </w:pPr>
      <w:r>
        <w:rPr>
          <w:rFonts w:ascii="IRNazanin" w:hAnsi="IRNazanin" w:eastAsia="IRNazanin"/>
          <w:color w:val="111111"/>
          <w:sz w:val="28"/>
          <w:sz w:val="28"/>
          <w:szCs w:val="28"/>
          <w:rtl w:val="true"/>
          <w:lang w:bidi="fa-IR"/>
        </w:rPr>
        <w:t>شیخ صدوق در المقنع از امیرمؤمنان علیه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ادرؤوا الحدود بالشبهات؛ </w:t>
      </w:r>
      <w:r>
        <w:rPr>
          <w:rStyle w:val="FootnoteAnchor"/>
          <w:rtl w:val="true"/>
        </w:rPr>
        <w:footnoteReference w:id="606"/>
      </w:r>
      <w:r>
        <w:rPr>
          <w:rFonts w:ascii="IRNazanin" w:hAnsi="IRNazanin" w:eastAsia="IRNazanin"/>
          <w:color w:val="111111"/>
          <w:sz w:val="28"/>
          <w:sz w:val="28"/>
          <w:szCs w:val="28"/>
          <w:rtl w:val="true"/>
          <w:lang w:bidi="fa-IR"/>
        </w:rPr>
        <w:t>حدود را با شبهات دفع کنید</w:t>
      </w:r>
      <w:r>
        <w:rPr>
          <w:rFonts w:eastAsia="IRNazanin" w:cs="IRNazanin"/>
          <w:color w:val="111111"/>
          <w:sz w:val="28"/>
          <w:szCs w:val="28"/>
          <w:rtl w:val="true"/>
          <w:lang w:bidi="fa-IR"/>
        </w:rPr>
        <w:t>».</w:t>
      </w:r>
    </w:p>
    <w:p>
      <w:pPr>
        <w:pStyle w:val="Heading6"/>
        <w:numPr>
          <w:ilvl w:val="5"/>
          <w:numId w:val="1"/>
        </w:numPr>
        <w:rPr/>
      </w:pPr>
      <w:bookmarkStart w:id="496" w:name="__RefHeading___Toc3419960_581953129"/>
      <w:bookmarkStart w:id="497" w:name="_Toc197"/>
      <w:bookmarkEnd w:id="496"/>
      <w:r>
        <w:rPr>
          <w:rtl w:val="true"/>
        </w:rPr>
        <w:t>سوم</w:t>
      </w:r>
      <w:r>
        <w:rPr>
          <w:rtl w:val="true"/>
        </w:rPr>
        <w:t>)</w:t>
      </w:r>
      <w:r>
        <w:rPr>
          <w:rtl w:val="true"/>
        </w:rPr>
        <w:t>دعائم الاسلام</w:t>
      </w:r>
      <w:bookmarkEnd w:id="497"/>
    </w:p>
    <w:p>
      <w:pPr>
        <w:pStyle w:val="BookText"/>
        <w:rPr/>
      </w:pPr>
      <w:r>
        <w:rPr>
          <w:rFonts w:ascii="IRNazanin" w:hAnsi="IRNazanin" w:eastAsia="IRNazanin"/>
          <w:color w:val="111111"/>
          <w:sz w:val="28"/>
          <w:sz w:val="28"/>
          <w:szCs w:val="28"/>
          <w:rtl w:val="true"/>
          <w:lang w:bidi="fa-IR"/>
        </w:rPr>
        <w:t>عن رسول الله صلّی الله علیه و آله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ادرؤا الحدود بالشبهات و أقیلوا الکرام عثراتهم الا فی حدّ من حدود الله؛ </w:t>
      </w:r>
      <w:r>
        <w:rPr>
          <w:rStyle w:val="FootnoteAnchor"/>
          <w:rtl w:val="true"/>
        </w:rPr>
        <w:footnoteReference w:id="607"/>
      </w:r>
      <w:r>
        <w:rPr>
          <w:rFonts w:ascii="IRNazanin" w:hAnsi="IRNazanin" w:eastAsia="IRNazanin"/>
          <w:color w:val="111111"/>
          <w:sz w:val="28"/>
          <w:sz w:val="28"/>
          <w:szCs w:val="28"/>
          <w:rtl w:val="true"/>
          <w:lang w:bidi="fa-IR"/>
        </w:rPr>
        <w:t>حدود را با شبهات دفع کنید و لغزش‌های بزرگان را بازدارید،مگر در حدود خداوند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همین روایت را بدون هیچ‌گونه تغییری و با ذکر این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 علیه السلام عن أبیه عن آبائه علیهم السلام عن أمیرالمؤمنین علیه السلام عن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608"/>
      </w:r>
      <w:bookmarkStart w:id="498" w:name="pg5664_43463"/>
    </w:p>
    <w:p>
      <w:pPr>
        <w:pStyle w:val="Heading6"/>
        <w:numPr>
          <w:ilvl w:val="5"/>
          <w:numId w:val="1"/>
        </w:numPr>
        <w:rPr/>
      </w:pPr>
      <w:bookmarkStart w:id="499" w:name="__RefHeading___Toc3419962_581953129"/>
      <w:bookmarkStart w:id="500" w:name="_Toc198"/>
      <w:bookmarkEnd w:id="498"/>
      <w:bookmarkEnd w:id="499"/>
      <w:r>
        <w:rPr>
          <w:rtl w:val="true"/>
        </w:rPr>
        <w:t>چهارم</w:t>
      </w:r>
      <w:r>
        <w:rPr>
          <w:rtl w:val="true"/>
        </w:rPr>
        <w:t>)</w:t>
      </w:r>
      <w:r>
        <w:rPr>
          <w:rtl w:val="true"/>
        </w:rPr>
        <w:t>مستدرک الوسائل</w:t>
      </w:r>
      <w:bookmarkEnd w:id="500"/>
    </w:p>
    <w:p>
      <w:pPr>
        <w:pStyle w:val="BookText"/>
        <w:rPr/>
      </w:pPr>
      <w:r>
        <w:rPr>
          <w:rFonts w:ascii="IRNazanin" w:hAnsi="IRNazanin" w:eastAsia="IRNazanin"/>
          <w:color w:val="111111"/>
          <w:sz w:val="28"/>
          <w:sz w:val="28"/>
          <w:szCs w:val="28"/>
          <w:rtl w:val="true"/>
          <w:lang w:bidi="fa-IR"/>
        </w:rPr>
        <w:t>وان أحدث امرئة مع رجل قد فجر بها فقالت المرئة استکرهنی فإنه یدرأ عنها الحدّ،لأنها وقعت شبهة وقال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ادرؤوا الحدود بالشبهات؛ </w:t>
      </w:r>
      <w:r>
        <w:rPr>
          <w:rStyle w:val="FootnoteAnchor"/>
          <w:rtl w:val="true"/>
        </w:rPr>
        <w:footnoteReference w:id="609"/>
      </w:r>
      <w:r>
        <w:rPr>
          <w:rFonts w:ascii="IRNazanin" w:hAnsi="IRNazanin" w:eastAsia="IRNazanin"/>
          <w:color w:val="111111"/>
          <w:sz w:val="28"/>
          <w:sz w:val="28"/>
          <w:szCs w:val="28"/>
          <w:rtl w:val="true"/>
          <w:lang w:bidi="fa-IR"/>
        </w:rPr>
        <w:t>اگر زنی با مردی زنا کرد و زن مدعی شد او را مجبور کرده است،حد از زن رفع می‌شود؛زیرا زنا شبهه به‌شمار می‌آید و امیرمؤمنان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را با شبهات دفع کنید</w:t>
      </w:r>
      <w:r>
        <w:rPr>
          <w:rFonts w:eastAsia="IRNazanin" w:cs="IRNazanin"/>
          <w:color w:val="111111"/>
          <w:sz w:val="28"/>
          <w:szCs w:val="28"/>
          <w:rtl w:val="true"/>
          <w:lang w:bidi="fa-IR"/>
        </w:rPr>
        <w:t>».</w:t>
      </w:r>
    </w:p>
    <w:p>
      <w:pPr>
        <w:pStyle w:val="Heading6"/>
        <w:numPr>
          <w:ilvl w:val="5"/>
          <w:numId w:val="1"/>
        </w:numPr>
        <w:rPr/>
      </w:pPr>
      <w:bookmarkStart w:id="501" w:name="__RefHeading___Toc3419964_581953129"/>
      <w:bookmarkStart w:id="502" w:name="_Toc199"/>
      <w:bookmarkEnd w:id="501"/>
      <w:r>
        <w:rPr>
          <w:rtl w:val="true"/>
        </w:rPr>
        <w:t>پنجم</w:t>
      </w:r>
      <w:r>
        <w:rPr>
          <w:rtl w:val="true"/>
        </w:rPr>
        <w:t>)</w:t>
      </w:r>
      <w:r>
        <w:rPr>
          <w:rtl w:val="true"/>
        </w:rPr>
        <w:t>عهدنامه مالک اشتر</w:t>
      </w:r>
      <w:bookmarkEnd w:id="502"/>
    </w:p>
    <w:p>
      <w:pPr>
        <w:pStyle w:val="BookText"/>
        <w:rPr/>
      </w:pPr>
      <w:r>
        <w:rPr>
          <w:rFonts w:ascii="IRNazanin" w:hAnsi="IRNazanin" w:eastAsia="IRNazanin"/>
          <w:color w:val="111111"/>
          <w:sz w:val="28"/>
          <w:sz w:val="28"/>
          <w:szCs w:val="28"/>
          <w:rtl w:val="true"/>
          <w:lang w:bidi="fa-IR"/>
        </w:rPr>
        <w:t>این عهدنامه در تحف العقول،بحار الانوار و نهج البلاغه آمده است،و به نقل از کتاب مصادر نهج البلاغه،نویری در نهایة الارب آن را نیز آورده است</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در نقل بحار الانوار و تحف العقول این جمله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واقبَل العذر وادرَءِ الحدود بالشبهات؛عذر را بپذیر،و حدود را با شبهات دفع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ولی در نهج البلاغه این عبارت نیامده است</w:t>
      </w:r>
      <w:r>
        <w:rPr>
          <w:rFonts w:eastAsia="IRNazanin" w:cs="IRNazanin"/>
          <w:color w:val="111111"/>
          <w:sz w:val="28"/>
          <w:szCs w:val="28"/>
          <w:rtl w:val="true"/>
          <w:lang w:bidi="fa-IR"/>
        </w:rPr>
        <w:t>.</w:t>
      </w:r>
    </w:p>
    <w:p>
      <w:pPr>
        <w:pStyle w:val="Heading6"/>
        <w:numPr>
          <w:ilvl w:val="5"/>
          <w:numId w:val="1"/>
        </w:numPr>
        <w:rPr/>
      </w:pPr>
      <w:bookmarkStart w:id="503" w:name="__RefHeading___Toc3419966_581953129"/>
      <w:bookmarkStart w:id="504" w:name="_Toc200"/>
      <w:bookmarkEnd w:id="503"/>
      <w:r>
        <w:rPr>
          <w:rtl w:val="true"/>
        </w:rPr>
        <w:t>ششم</w:t>
      </w:r>
      <w:r>
        <w:rPr>
          <w:rtl w:val="true"/>
        </w:rPr>
        <w:t>)</w:t>
      </w:r>
      <w:r>
        <w:rPr>
          <w:rtl w:val="true"/>
        </w:rPr>
        <w:t>کتاب عوالی اللئالی</w:t>
      </w:r>
      <w:bookmarkEnd w:id="504"/>
    </w:p>
    <w:p>
      <w:pPr>
        <w:pStyle w:val="BookText"/>
        <w:rPr/>
      </w:pPr>
      <w:r>
        <w:rPr>
          <w:rFonts w:ascii="IRNazanin" w:hAnsi="IRNazanin" w:eastAsia="IRNazanin"/>
          <w:color w:val="111111"/>
          <w:sz w:val="28"/>
          <w:sz w:val="28"/>
          <w:szCs w:val="28"/>
          <w:rtl w:val="true"/>
          <w:lang w:bidi="fa-IR"/>
        </w:rPr>
        <w:t>در این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احادیثی است که متضمن برخی از ابواب فقه است و یکی از فقها آنها را در پاره‌ای از کتاب‌های خود آورده و من این احادیث را به طریقی که به او دارم روایت می‌کنم</w:t>
      </w:r>
      <w:r>
        <w:rPr>
          <w:rFonts w:eastAsia="IRNazanin" w:cs="IRNazanin"/>
          <w:color w:val="111111"/>
          <w:sz w:val="28"/>
          <w:szCs w:val="28"/>
          <w:rtl w:val="true"/>
          <w:lang w:bidi="fa-IR"/>
        </w:rPr>
        <w:t xml:space="preserve">.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همچنین در باب دوم همین کتاب ضمن احادیثی که مربوط به تک تک باب‌های فقهی است و صاحب عوالی می‌گوید این روایات را از طریق فخر المحققین نقل کرده،آمده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دیگری از کتاب عوالی اللئالی نیز همین حدیث از طریق ابن‌فهد حلی نقل</w:t>
      </w:r>
      <w:bookmarkStart w:id="505" w:name="pg5664_43464"/>
    </w:p>
    <w:p>
      <w:pPr>
        <w:pStyle w:val="BookText"/>
        <w:rPr/>
      </w:pPr>
      <w:bookmarkEnd w:id="50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615"/>
      </w:r>
    </w:p>
    <w:p>
      <w:pPr>
        <w:pStyle w:val="Heading6"/>
        <w:numPr>
          <w:ilvl w:val="5"/>
          <w:numId w:val="1"/>
        </w:numPr>
        <w:rPr/>
      </w:pPr>
      <w:bookmarkStart w:id="506" w:name="__RefHeading___Toc3419968_581953129"/>
      <w:bookmarkStart w:id="507" w:name="_Toc201"/>
      <w:bookmarkEnd w:id="506"/>
      <w:r>
        <w:rPr>
          <w:rtl w:val="true"/>
        </w:rPr>
        <w:t>ج</w:t>
      </w:r>
      <w:r>
        <w:rPr>
          <w:rtl w:val="true"/>
        </w:rPr>
        <w:t>)</w:t>
      </w:r>
      <w:r>
        <w:rPr>
          <w:rtl w:val="true"/>
        </w:rPr>
        <w:t>رجال‌شناسی و درایت حدیث</w:t>
      </w:r>
      <w:bookmarkEnd w:id="507"/>
    </w:p>
    <w:p>
      <w:pPr>
        <w:pStyle w:val="Heading6"/>
        <w:numPr>
          <w:ilvl w:val="5"/>
          <w:numId w:val="1"/>
        </w:numPr>
        <w:rPr/>
      </w:pPr>
      <w:bookmarkStart w:id="508" w:name="__RefHeading___Toc3419970_581953129"/>
      <w:bookmarkStart w:id="509" w:name="_Toc202"/>
      <w:bookmarkEnd w:id="508"/>
      <w:r>
        <w:rPr>
          <w:rtl w:val="true"/>
        </w:rPr>
        <w:t>یکم</w:t>
      </w:r>
      <w:r>
        <w:rPr>
          <w:rtl w:val="true"/>
        </w:rPr>
        <w:t>)</w:t>
      </w:r>
      <w:r>
        <w:rPr>
          <w:rtl w:val="true"/>
        </w:rPr>
        <w:t>روایت صدوق</w:t>
      </w:r>
      <w:bookmarkEnd w:id="509"/>
    </w:p>
    <w:p>
      <w:pPr>
        <w:pStyle w:val="BookText"/>
        <w:rPr/>
      </w:pPr>
      <w:r>
        <w:rPr>
          <w:rFonts w:ascii="IRNazanin" w:hAnsi="IRNazanin" w:eastAsia="IRNazanin"/>
          <w:color w:val="111111"/>
          <w:sz w:val="28"/>
          <w:sz w:val="28"/>
          <w:szCs w:val="28"/>
          <w:rtl w:val="true"/>
          <w:lang w:bidi="fa-IR"/>
        </w:rPr>
        <w:t>روایت من لایحضره الفقیه مرسله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چنان که شیخ صدوق در پیش‌فصل کتاب خود بیان کرده،تنها روایت‌هایی در این کتاب گرد آمده که درستی آن نزد وی ثابت شده است</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 بر پایه همین گفته مصنف،تمام روایات من لا یحضره الفقیه را معتبر و صحیح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آقا رضا همدانی در مصباح الفقیه </w:t>
      </w:r>
      <w:r>
        <w:rPr>
          <w:rStyle w:val="FootnoteAnchor"/>
          <w:rtl w:val="true"/>
        </w:rPr>
        <w:footnoteReference w:id="617"/>
      </w:r>
      <w:r>
        <w:rPr>
          <w:rFonts w:ascii="IRNazanin" w:hAnsi="IRNazanin" w:eastAsia="IRNazanin"/>
          <w:color w:val="111111"/>
          <w:sz w:val="28"/>
          <w:sz w:val="28"/>
          <w:szCs w:val="28"/>
          <w:rtl w:val="true"/>
          <w:lang w:bidi="fa-IR"/>
        </w:rPr>
        <w:t xml:space="preserve">و فقیه سبزواری </w:t>
      </w:r>
      <w:r>
        <w:rPr>
          <w:rStyle w:val="FootnoteAnchor"/>
          <w:rtl w:val="true"/>
        </w:rPr>
        <w:footnoteReference w:id="618"/>
      </w:r>
      <w:r>
        <w:rPr>
          <w:rFonts w:ascii="IRNazanin" w:hAnsi="IRNazanin" w:eastAsia="IRNazanin"/>
          <w:color w:val="111111"/>
          <w:sz w:val="28"/>
          <w:sz w:val="28"/>
          <w:szCs w:val="28"/>
          <w:rtl w:val="true"/>
          <w:lang w:bidi="fa-IR"/>
        </w:rPr>
        <w:t>روایات من لایحضره الفقیه را صحیح می‌دانستند،ولی شمار دیگری،روایات این کتاب را دسته‌بندی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سلسله سند راویان روایات مسند ثقه و معتبر باشد،روایت صحیح یا از دیگر اقسام حدیث خواهد بود،ولی اگر روایت مرسله باشد،شماری از عالمان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آیت‌الله خوئی،شهید ثانی،محقق عاملی،شیخ حسن صاحب معالم و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برای مرسله بودنشان ضعیف و ناپذیرفتنی دانسته‌اند؛گرچه راوی آن ثقه یا از اصحاب اجماع و یا از مشایخ ثلاثه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خوئی حتی مرسلات ابن ابی‌عمیر را نیز نپذیرفته است</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بر اساس این دیدگاه که مورد پذیرش نگارنده نیز می‌باشد،مرسلات صدوق فاقد اعتبار است و در نتیجه،مرسله صدوق نمی‌تواند مدرک قابل اعتمادی برای قاعده درأ قرار گیرد</w:t>
      </w:r>
      <w:r>
        <w:rPr>
          <w:rFonts w:eastAsia="IRNazanin" w:cs="IRNazanin"/>
          <w:color w:val="111111"/>
          <w:sz w:val="28"/>
          <w:szCs w:val="28"/>
          <w:rtl w:val="true"/>
          <w:lang w:bidi="fa-IR"/>
        </w:rPr>
        <w:t xml:space="preserve">. </w:t>
      </w:r>
      <w:r>
        <w:rPr>
          <w:rStyle w:val="FootnoteAnchor"/>
          <w:rtl w:val="true"/>
        </w:rPr>
        <w:footnoteReference w:id="620"/>
      </w:r>
      <w:bookmarkStart w:id="510" w:name="pg5664_43465"/>
    </w:p>
    <w:p>
      <w:pPr>
        <w:pStyle w:val="Heading6"/>
        <w:numPr>
          <w:ilvl w:val="5"/>
          <w:numId w:val="1"/>
        </w:numPr>
        <w:rPr/>
      </w:pPr>
      <w:bookmarkStart w:id="511" w:name="__RefHeading___Toc3419972_581953129"/>
      <w:bookmarkStart w:id="512" w:name="_Toc203"/>
      <w:bookmarkEnd w:id="510"/>
      <w:bookmarkEnd w:id="511"/>
      <w:r>
        <w:rPr>
          <w:rtl w:val="true"/>
        </w:rPr>
        <w:t>شهرت روایی روایت</w:t>
      </w:r>
      <w:bookmarkEnd w:id="51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سه روایت در المقنع،یک روایت در من لایحضره الفقیه،یک روایت در بحارالانوار،یک روایت در دعائم الاسلام و سه روایت در عوالی اللئالی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روایات،روایتی است که محدث نوری در مستدرک الوسائل از دعائم الاسلام آورده است؛البته اگر عهدنامه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صنف سند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بشماریم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هرحال،درصورتی‌که تحف العقول و بحارالانوار را دو مدرک بپذیریم،روایت یاد شده را در بیش از هفت مدرک از منابع روایی قدما خواهیم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شهرت روایی دارد و اگر مرسله صدوق را به دلیل ارسال آن ضعیف بدانیم،شهرت روایی،ضعف سند آن را جبران خواهد کرد؛زیرا بیشتر فقیهان شیعی معتقدند شهرت روایی و فتوایی ضعف سند را جبران می‌کند </w:t>
      </w:r>
      <w:r>
        <w:rPr>
          <w:rStyle w:val="FootnoteAnchor"/>
          <w:rtl w:val="true"/>
        </w:rPr>
        <w:footnoteReference w:id="621"/>
      </w:r>
      <w:r>
        <w:rPr>
          <w:rFonts w:ascii="IRNazanin" w:hAnsi="IRNazanin" w:eastAsia="IRNazanin"/>
          <w:color w:val="111111"/>
          <w:sz w:val="28"/>
          <w:sz w:val="28"/>
          <w:szCs w:val="28"/>
          <w:rtl w:val="true"/>
          <w:lang w:bidi="fa-IR"/>
        </w:rPr>
        <w:t>و روایت ضعیف،ولی مشهور را می‌توان پذیرفت و معتبر دانست</w:t>
      </w:r>
      <w:r>
        <w:rPr>
          <w:rFonts w:eastAsia="IRNazanin" w:cs="IRNazanin"/>
          <w:color w:val="111111"/>
          <w:sz w:val="28"/>
          <w:szCs w:val="28"/>
          <w:rtl w:val="true"/>
          <w:lang w:bidi="fa-IR"/>
        </w:rPr>
        <w:t>.</w:t>
      </w:r>
      <w:bookmarkStart w:id="513" w:name="pg5664_43466"/>
    </w:p>
    <w:p>
      <w:pPr>
        <w:pStyle w:val="Heading6"/>
        <w:numPr>
          <w:ilvl w:val="5"/>
          <w:numId w:val="1"/>
        </w:numPr>
        <w:rPr/>
      </w:pPr>
      <w:bookmarkStart w:id="514" w:name="__RefHeading___Toc3419974_581953129"/>
      <w:bookmarkStart w:id="515" w:name="_Toc204"/>
      <w:bookmarkEnd w:id="513"/>
      <w:bookmarkEnd w:id="514"/>
      <w:r>
        <w:rPr>
          <w:rtl w:val="true"/>
        </w:rPr>
        <w:t>دوم</w:t>
      </w:r>
      <w:r>
        <w:rPr>
          <w:rtl w:val="true"/>
        </w:rPr>
        <w:t>)</w:t>
      </w:r>
      <w:r>
        <w:rPr>
          <w:rtl w:val="true"/>
        </w:rPr>
        <w:t>عهدنامه مالک اشتر</w:t>
      </w:r>
      <w:bookmarkEnd w:id="515"/>
    </w:p>
    <w:p>
      <w:pPr>
        <w:pStyle w:val="BookText"/>
        <w:rPr/>
      </w:pPr>
      <w:r>
        <w:rPr>
          <w:rFonts w:ascii="IRNazanin" w:hAnsi="IRNazanin" w:eastAsia="IRNazanin"/>
          <w:color w:val="111111"/>
          <w:sz w:val="28"/>
          <w:sz w:val="28"/>
          <w:szCs w:val="28"/>
          <w:rtl w:val="true"/>
          <w:lang w:bidi="fa-IR"/>
        </w:rPr>
        <w:t>این حدیث هر چند در تحف العقول به صورت مرسل نقل شده،ولی سند آن به سه طریق در الفهرست شیخ طوسی و نجاشی آمده است که برخی از این طریق‌ها معتبر یا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بنابراین،روایت مرسله صدوق،یعنی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ادروءوا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روایت مرسله تحف العقول که در حقیقت،مسند و دارای اعتبار و صحّت است،اعتبار می‌یابد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این نامه به اندازه‌ای مشهور بوده که نجاشی به آن طریق داشته و آن را دارای سند دانسته است؛چنان‌که شیخ طوسی نیز همین مطلب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بنابراین،عهدنامه امیر مؤمنان علیه السلام مسند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درباره این روایت چنین اشکال کنند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وادروا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عهدنامه امیرمؤمنان علیه السلام به مالک در تحف العقول آمده،در نهج البلاغه در ضمن این عهدنامه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دیگر،نمی‌دانیم سندی که برای این عهدنامه در الفهرست شیخ و نجاشی آمده،آیا برای نسخه تحف العقول است یا نسخه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بنابراین،نمی‌توان به یقین گفت روایت تحف العقول مسند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می‌توان گفت آنچه در نهج البلاغه نقل شده،تمامی عهدنامه نیست،بلکه گزیده‌ای از آن است و معلوم است که سند شیخ و نجاشی برای تمامی عهدنامه است،نه گزیده آن</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سید کاظم حائری در کتاب القضاء فی الفقه الاسلامی بحث مفصلی درباره سند عهدنامه مالک اشتر مطرح کرده،و در نهایت سند شیخ و نجاشی را با اشکالاتی مواجه دانسته است</w:t>
      </w:r>
      <w:r>
        <w:rPr>
          <w:rFonts w:eastAsia="IRNazanin" w:cs="IRNazanin"/>
          <w:color w:val="111111"/>
          <w:sz w:val="28"/>
          <w:szCs w:val="28"/>
          <w:rtl w:val="true"/>
          <w:lang w:bidi="fa-IR"/>
        </w:rPr>
        <w:t xml:space="preserve">. </w:t>
      </w:r>
      <w:r>
        <w:rPr>
          <w:rStyle w:val="FootnoteAnchor"/>
          <w:rtl w:val="true"/>
        </w:rPr>
        <w:footnoteReference w:id="624"/>
      </w:r>
      <w:bookmarkStart w:id="516" w:name="pg5664_43467"/>
    </w:p>
    <w:p>
      <w:pPr>
        <w:pStyle w:val="BookText"/>
        <w:rPr/>
      </w:pPr>
      <w:bookmarkEnd w:id="516"/>
      <w:r>
        <w:rPr>
          <w:rFonts w:ascii="IRNazanin" w:hAnsi="IRNazanin" w:eastAsia="IRNazanin"/>
          <w:color w:val="111111"/>
          <w:sz w:val="28"/>
          <w:sz w:val="28"/>
          <w:szCs w:val="28"/>
          <w:rtl w:val="true"/>
          <w:lang w:bidi="fa-IR"/>
        </w:rPr>
        <w:t>با وجود همه این گفت‌وگوها درباره سند قاعده،به نظر نگارنده،روایات درء حدّ با شبهه،شهرت روایی دارد و این شهرت مؤید اعتبار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آن،مؤیدات دیگری نیز دارد؛مثل بنای حدود بر تخفیف و احتیاط در دماء</w:t>
      </w:r>
      <w:r>
        <w:rPr>
          <w:rFonts w:eastAsia="IRNazanin" w:cs="IRNazanin"/>
          <w:color w:val="111111"/>
          <w:sz w:val="28"/>
          <w:szCs w:val="28"/>
          <w:rtl w:val="true"/>
          <w:lang w:bidi="fa-IR"/>
        </w:rPr>
        <w:t>.</w:t>
      </w:r>
    </w:p>
    <w:p>
      <w:pPr>
        <w:pStyle w:val="Heading6"/>
        <w:numPr>
          <w:ilvl w:val="5"/>
          <w:numId w:val="1"/>
        </w:numPr>
        <w:rPr/>
      </w:pPr>
      <w:bookmarkStart w:id="517" w:name="__RefHeading___Toc3419976_581953129"/>
      <w:bookmarkStart w:id="518" w:name="_Toc205"/>
      <w:bookmarkEnd w:id="517"/>
      <w:r>
        <w:rPr>
          <w:rtl w:val="true"/>
        </w:rPr>
        <w:t>د</w:t>
      </w:r>
      <w:r>
        <w:rPr>
          <w:rtl w:val="true"/>
        </w:rPr>
        <w:t>)</w:t>
      </w:r>
      <w:r>
        <w:rPr>
          <w:rtl w:val="true"/>
        </w:rPr>
        <w:t>مفهوم‌شناسی</w:t>
      </w:r>
      <w:bookmarkEnd w:id="518"/>
    </w:p>
    <w:p>
      <w:pPr>
        <w:pStyle w:val="Heading6"/>
        <w:numPr>
          <w:ilvl w:val="5"/>
          <w:numId w:val="1"/>
        </w:numPr>
        <w:rPr/>
      </w:pPr>
      <w:bookmarkStart w:id="519" w:name="__RefHeading___Toc3419978_581953129"/>
      <w:bookmarkStart w:id="520" w:name="_Toc206"/>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با معتبر دانستن سند روایی قاعده،می‌توان به بررسی واژگان روایت و دریافت مفهوم کلی قاعده بر اساس روایت یاد شده پرداخت</w:t>
      </w:r>
      <w:r>
        <w:rPr>
          <w:rFonts w:eastAsia="IRNazanin" w:cs="IRNazanin"/>
          <w:color w:val="111111"/>
          <w:sz w:val="28"/>
          <w:szCs w:val="28"/>
          <w:rtl w:val="true"/>
          <w:lang w:bidi="fa-IR"/>
        </w:rPr>
        <w:t>.</w:t>
      </w:r>
    </w:p>
    <w:p>
      <w:pPr>
        <w:pStyle w:val="Heading6"/>
        <w:numPr>
          <w:ilvl w:val="5"/>
          <w:numId w:val="1"/>
        </w:numPr>
        <w:rPr/>
      </w:pPr>
      <w:bookmarkStart w:id="521" w:name="__RefHeading___Toc3419980_581953129"/>
      <w:bookmarkStart w:id="522" w:name="_Toc207"/>
      <w:bookmarkEnd w:id="521"/>
      <w:r>
        <w:rPr>
          <w:rtl w:val="true"/>
        </w:rPr>
        <w:t>یکم</w:t>
      </w:r>
      <w:r>
        <w:rPr>
          <w:rtl w:val="true"/>
        </w:rPr>
        <w:t>)</w:t>
      </w:r>
      <w:r>
        <w:rPr>
          <w:rtl w:val="true"/>
        </w:rPr>
        <w:t>درأ</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مفهوم دفع است و هر دو در قرآن به کار رفته‌اند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با توجه به اینکه دفع نیز در اصل به معنای منع است، </w:t>
      </w:r>
      <w:r>
        <w:rPr>
          <w:rStyle w:val="FootnoteAnchor"/>
          <w:rtl w:val="true"/>
        </w:rPr>
        <w:footnoteReference w:id="626"/>
      </w:r>
      <w:r>
        <w:rPr>
          <w:rFonts w:ascii="IRNazanin" w:hAnsi="IRNazanin" w:eastAsia="IRNazanin"/>
          <w:color w:val="111111"/>
          <w:sz w:val="28"/>
          <w:sz w:val="28"/>
          <w:szCs w:val="28"/>
          <w:rtl w:val="true"/>
          <w:lang w:bidi="fa-IR"/>
        </w:rPr>
        <w:t>مقتضی قاعده درأ عدم ثبوت حد است،نه سقوط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بنابراین،این قاعده بیان کننده یکی از علت‌های رافع مسئولیت کیفری و مجازات است،نه از علل سقوط آن</w:t>
      </w:r>
      <w:r>
        <w:rPr>
          <w:rFonts w:eastAsia="IRNazanin" w:cs="IRNazanin"/>
          <w:color w:val="111111"/>
          <w:sz w:val="28"/>
          <w:szCs w:val="28"/>
          <w:rtl w:val="true"/>
          <w:lang w:bidi="fa-IR"/>
        </w:rPr>
        <w:t>.</w:t>
      </w:r>
    </w:p>
    <w:p>
      <w:pPr>
        <w:pStyle w:val="Heading6"/>
        <w:numPr>
          <w:ilvl w:val="5"/>
          <w:numId w:val="1"/>
        </w:numPr>
        <w:rPr/>
      </w:pPr>
      <w:bookmarkStart w:id="523" w:name="__RefHeading___Toc3419982_581953129"/>
      <w:bookmarkStart w:id="524" w:name="_Toc208"/>
      <w:bookmarkEnd w:id="523"/>
      <w:r>
        <w:rPr>
          <w:rtl w:val="true"/>
        </w:rPr>
        <w:t>دوم</w:t>
      </w:r>
      <w:r>
        <w:rPr>
          <w:rtl w:val="true"/>
        </w:rPr>
        <w:t>)</w:t>
      </w:r>
      <w:r>
        <w:rPr>
          <w:rtl w:val="true"/>
        </w:rPr>
        <w:t>حدود</w:t>
      </w:r>
      <w:bookmarkEnd w:id="52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حدود در فصل آغازین گذشت و دانستیم که این واژه در روایات کاربردهای گوناگونی دارد و در مواردی که قرینه‌ای بر هیچ‌یک از معانی در دست نیست،بر اساس شیوه‌های واژه‌شناسی باید مطلق مجازات را مفاد آن بدانیم؛مگر اینکه در مقام عمل،احتیاط امر دیگری را اقتضا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اساس،شمول حد بر تعزیر و قصاص در این قاعده بدیهی می‌نماید،ولی برداشت فقها از این روایت به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این قاعده را از اختصاصات حدود دانسته‌اند، </w:t>
      </w:r>
      <w:r>
        <w:rPr>
          <w:rStyle w:val="FootnoteAnchor"/>
          <w:rtl w:val="true"/>
        </w:rPr>
        <w:footnoteReference w:id="627"/>
      </w:r>
      <w:r>
        <w:rPr>
          <w:rFonts w:ascii="IRNazanin" w:hAnsi="IRNazanin" w:eastAsia="IRNazanin"/>
          <w:color w:val="111111"/>
          <w:sz w:val="28"/>
          <w:sz w:val="28"/>
          <w:szCs w:val="28"/>
          <w:rtl w:val="true"/>
          <w:lang w:bidi="fa-IR"/>
        </w:rPr>
        <w:t>اما بیشتر فقها به جریان این قاعده در باب قصاص و تعزیرات تصریح و حتی برخی ادعای اولویت کرده‌اند</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البته باید توجه داشت ممکن است لازم باشد میان قصاص و تعزیر تفاوت گذاشته شود؛زیرا قصاص</w:t>
      </w:r>
      <w:bookmarkStart w:id="525" w:name="pg5664_43468"/>
    </w:p>
    <w:p>
      <w:pPr>
        <w:pStyle w:val="BookText"/>
        <w:rPr/>
      </w:pPr>
      <w:bookmarkEnd w:id="525"/>
      <w:r>
        <w:rPr>
          <w:rFonts w:ascii="IRNazanin" w:hAnsi="IRNazanin" w:eastAsia="IRNazanin"/>
          <w:color w:val="111111"/>
          <w:sz w:val="28"/>
          <w:sz w:val="28"/>
          <w:szCs w:val="28"/>
          <w:rtl w:val="true"/>
          <w:lang w:bidi="fa-IR"/>
        </w:rPr>
        <w:t>در فقه اسلامی بیش از جنبه حق اللهی،جنبه حق الناسی دارد و به جنبه شخصی آن بیش از جنبه عمومی جرم توجه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رو،جریان قاعده درأ در قصاص گرچه موافق احتیاط در دماء است،با قواعد مسلّم جزایی دیگر،همچون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دلیل،نمی‌توان درباره قصاص قاعده درأ را با جسارت جاری ساخت و باید وجه جمعی میان این دو قاعده لایبطل و درأ ارائه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بتوان این دو قاعده را بدین صورت جمع کرد که در مرحله تعقیب جرم،قاضی به‌منظور صیانت از حقوق شخصی افراد و جلوگیری از هدر رفتن خون مسلمانان،بدون توجه به قاعده درأ،نظام تفتیشی را در پی‌گیرد،ولی در مرحله دادرسی،به‌منظور صیانت از خون انسانی بی‌گناه،به قاعده درأ روی آورد و تا زمانی که به لزوم قصاص یقین پیدا نکرده،حکم به قصاص را صادر نکند</w:t>
      </w:r>
      <w:r>
        <w:rPr>
          <w:rFonts w:eastAsia="IRNazanin" w:cs="IRNazanin"/>
          <w:color w:val="111111"/>
          <w:sz w:val="28"/>
          <w:szCs w:val="28"/>
          <w:rtl w:val="true"/>
          <w:lang w:bidi="fa-IR"/>
        </w:rPr>
        <w:t>.</w:t>
      </w:r>
    </w:p>
    <w:p>
      <w:pPr>
        <w:pStyle w:val="Heading6"/>
        <w:numPr>
          <w:ilvl w:val="5"/>
          <w:numId w:val="1"/>
        </w:numPr>
        <w:rPr/>
      </w:pPr>
      <w:bookmarkStart w:id="526" w:name="__RefHeading___Toc3419984_581953129"/>
      <w:bookmarkStart w:id="527" w:name="_Toc209"/>
      <w:bookmarkEnd w:id="526"/>
      <w:r>
        <w:rPr>
          <w:rtl w:val="true"/>
        </w:rPr>
        <w:t>سوم</w:t>
      </w:r>
      <w:r>
        <w:rPr>
          <w:rtl w:val="true"/>
        </w:rPr>
        <w:t>)</w:t>
      </w:r>
      <w:r>
        <w:rPr>
          <w:rtl w:val="true"/>
        </w:rPr>
        <w:t>شبهه</w:t>
      </w:r>
      <w:bookmarkEnd w:id="527"/>
    </w:p>
    <w:p>
      <w:pPr>
        <w:pStyle w:val="BookText"/>
        <w:rPr/>
      </w:pPr>
      <w:r>
        <w:rPr>
          <w:rFonts w:ascii="IRNazanin" w:hAnsi="IRNazanin" w:eastAsia="IRNazanin"/>
          <w:color w:val="111111"/>
          <w:sz w:val="28"/>
          <w:sz w:val="28"/>
          <w:szCs w:val="28"/>
          <w:rtl w:val="true"/>
          <w:lang w:bidi="fa-IR"/>
        </w:rPr>
        <w:t>راغب درباره معنای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هو أن لایتمیز أحد الشیئین من الآخر لما بینهما من التشابه</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امیر مؤمنان علیه السلام در نهج البلاغه در وجه نام‌گذاری شبهه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سمیت الشبهة شبهة لأنّها تشبه الحق؛ </w:t>
      </w:r>
      <w:r>
        <w:rPr>
          <w:rStyle w:val="FootnoteAnchor"/>
          <w:rtl w:val="true"/>
        </w:rPr>
        <w:footnoteReference w:id="630"/>
      </w:r>
      <w:r>
        <w:rPr>
          <w:rFonts w:ascii="IRNazanin" w:hAnsi="IRNazanin" w:eastAsia="IRNazanin"/>
          <w:color w:val="111111"/>
          <w:sz w:val="28"/>
          <w:sz w:val="28"/>
          <w:szCs w:val="28"/>
          <w:rtl w:val="true"/>
          <w:lang w:bidi="fa-IR"/>
        </w:rPr>
        <w:t>شبهه نامیده شده؛زیرا مشابهت به حق می‌رساند</w:t>
      </w:r>
      <w:r>
        <w:rPr>
          <w:rFonts w:eastAsia="IRNazanin" w:cs="IRNazanin"/>
          <w:color w:val="111111"/>
          <w:sz w:val="28"/>
          <w:szCs w:val="28"/>
          <w:rtl w:val="true"/>
          <w:lang w:bidi="fa-IR"/>
        </w:rPr>
        <w:t>».</w:t>
      </w:r>
    </w:p>
    <w:p>
      <w:pPr>
        <w:pStyle w:val="Heading6"/>
        <w:numPr>
          <w:ilvl w:val="5"/>
          <w:numId w:val="1"/>
        </w:numPr>
        <w:rPr/>
      </w:pPr>
      <w:bookmarkStart w:id="528" w:name="__RefHeading___Toc3419986_581953129"/>
      <w:bookmarkStart w:id="529" w:name="_Toc210"/>
      <w:bookmarkEnd w:id="528"/>
      <w:r>
        <w:rPr>
          <w:rtl w:val="true"/>
        </w:rPr>
        <w:t>گستره شمول شبهه‌ها در روایت درأ</w:t>
      </w:r>
      <w:bookmarkEnd w:id="529"/>
    </w:p>
    <w:p>
      <w:pPr>
        <w:pStyle w:val="Heading6"/>
        <w:numPr>
          <w:ilvl w:val="5"/>
          <w:numId w:val="1"/>
        </w:numPr>
        <w:rPr/>
      </w:pPr>
      <w:bookmarkStart w:id="530" w:name="__RefHeading___Toc3419988_581953129"/>
      <w:bookmarkStart w:id="531" w:name="_Toc211"/>
      <w:bookmarkEnd w:id="530"/>
      <w:r>
        <w:rPr>
          <w:rtl w:val="true"/>
        </w:rPr>
        <w:t>اشتباه حکمی و موضوعی؛شبهه قاضی و متهم</w:t>
      </w:r>
      <w:bookmarkEnd w:id="53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اطلاق روایتی که مستند قاعده درأ است مراجعه شود،واژه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بوده،این روایات هر شبهه‌ای اعم از اشتباه حکمی و موضوعی و اعم از شبهه قاضی و متهم را 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حکمی،جهل یا اشتباهی است که درباره قانون یا تفسیر آن صورت گیرد؛ </w:t>
      </w:r>
      <w:r>
        <w:rPr>
          <w:rStyle w:val="FootnoteAnchor"/>
          <w:rtl w:val="true"/>
        </w:rPr>
        <w:footnoteReference w:id="631"/>
      </w:r>
      <w:r>
        <w:rPr>
          <w:rFonts w:ascii="IRNazanin" w:hAnsi="IRNazanin" w:eastAsia="IRNazanin"/>
          <w:color w:val="111111"/>
          <w:sz w:val="28"/>
          <w:sz w:val="28"/>
          <w:szCs w:val="28"/>
          <w:rtl w:val="true"/>
          <w:lang w:bidi="fa-IR"/>
        </w:rPr>
        <w:t>مانند موردی است که فاعل حکم را نداند</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اشتباه</w:t>
      </w:r>
      <w:bookmarkStart w:id="532" w:name="pg5664_43469"/>
    </w:p>
    <w:p>
      <w:pPr>
        <w:pStyle w:val="BookText"/>
        <w:rPr/>
      </w:pPr>
      <w:bookmarkEnd w:id="532"/>
      <w:r>
        <w:rPr>
          <w:rFonts w:ascii="IRNazanin" w:hAnsi="IRNazanin" w:eastAsia="IRNazanin"/>
          <w:color w:val="111111"/>
          <w:sz w:val="28"/>
          <w:sz w:val="28"/>
          <w:szCs w:val="28"/>
          <w:rtl w:val="true"/>
          <w:lang w:bidi="fa-IR"/>
        </w:rPr>
        <w:t>موضوعی در جایی است که مرتکب حکم شرع و قانون را می‌داند،ولی در برخورد با مصادیق و موضوعات خارجی دچار خطا و اشتباه می‌شود؛مانند اینکه فاعل از حرمت نوشیدن خمر آگاهی دارد،ولی نمی‌داند مایعی که می‌نوشد،خمر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خاصی که حد را با شبهه دفع می‌کند نیز تنها درباره شبهه‌های موضوعی نیست،بلکه برخی درباره شبهه‌های موضوعی،شماری درباره شبهه‌های حکمی و بعضی نیز دربرگیرنده هر دو مورد است</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البته با توجه به اینکه آیت‌لله خویی حدیث درأ را ثابت نمی‌داند، </w:t>
      </w:r>
      <w:r>
        <w:rPr>
          <w:rStyle w:val="FootnoteAnchor"/>
          <w:rtl w:val="true"/>
        </w:rPr>
        <w:footnoteReference w:id="634"/>
      </w:r>
      <w:r>
        <w:rPr>
          <w:rFonts w:ascii="IRNazanin" w:hAnsi="IRNazanin" w:eastAsia="IRNazanin"/>
          <w:color w:val="111111"/>
          <w:sz w:val="28"/>
          <w:sz w:val="28"/>
          <w:szCs w:val="28"/>
          <w:rtl w:val="true"/>
          <w:lang w:bidi="fa-IR"/>
        </w:rPr>
        <w:t xml:space="preserve">موارد جهل تقصیری را درصورتی که فرد متوجه جهل خود است،از موارد شبهه خارج می‌کند </w:t>
      </w:r>
      <w:r>
        <w:rPr>
          <w:rStyle w:val="FootnoteAnchor"/>
          <w:rtl w:val="true"/>
        </w:rPr>
        <w:footnoteReference w:id="635"/>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کسی عالم به حکم ظاهری است و جهل او به واقع،در فرض مسئله برای او عذر نیست،به همین سبب،اطلاقات ادلّه‌ای که بر نفی حد از جاهل دلالت می‌کند،شامل حال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بودن شبهات در روایت،برای موارد جهل به حکم با التفات به جهل هنگام عمل،روشن است و این اشکال که مرحوم خویی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آگاه از جهل هنگام عمل،عالم به حکم ظاهری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صحیح نمی‌نماید؛زیرا هر چند فرد جاهل،عالم به حکم وجوب فحص است،ولی عالم به حکم حرمت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بر این اساس که ادله معذریت جاهل امتنانی است و شامل جاهل مقصرِ آگاه از جهل نمی‌شود،و البته با فرض عدم ثبوت قاعده درأ،این نظر قابل دفاع است</w:t>
      </w:r>
      <w:r>
        <w:rPr>
          <w:rFonts w:eastAsia="IRNazanin" w:cs="IRNazanin"/>
          <w:color w:val="111111"/>
          <w:sz w:val="28"/>
          <w:szCs w:val="28"/>
          <w:rtl w:val="true"/>
          <w:lang w:bidi="fa-IR"/>
        </w:rPr>
        <w:t>.</w:t>
      </w:r>
    </w:p>
    <w:p>
      <w:pPr>
        <w:pStyle w:val="Heading6"/>
        <w:numPr>
          <w:ilvl w:val="5"/>
          <w:numId w:val="1"/>
        </w:numPr>
        <w:rPr/>
      </w:pPr>
      <w:bookmarkStart w:id="533" w:name="__RefHeading___Toc3419990_581953129"/>
      <w:bookmarkStart w:id="534" w:name="_Toc212"/>
      <w:bookmarkEnd w:id="533"/>
      <w:r>
        <w:rPr>
          <w:rtl w:val="true"/>
        </w:rPr>
        <w:t>ملاک در شبهه،ظن یا احتمال</w:t>
      </w:r>
      <w:bookmarkEnd w:id="53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فقها سید علی طباطبائی و آیت‌الله خوانساری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ما أوجبت ظنّ الاباحة</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و شهید ثانی ضمن اینکه در جایی همین ملاک را پذیرفته، </w:t>
      </w:r>
      <w:r>
        <w:rPr>
          <w:rStyle w:val="FootnoteAnchor"/>
          <w:rtl w:val="true"/>
        </w:rPr>
        <w:footnoteReference w:id="637"/>
      </w:r>
      <w:r>
        <w:rPr>
          <w:rFonts w:ascii="IRNazanin" w:hAnsi="IRNazanin" w:eastAsia="IRNazanin"/>
          <w:color w:val="111111"/>
          <w:sz w:val="28"/>
          <w:sz w:val="28"/>
          <w:szCs w:val="28"/>
          <w:rtl w:val="true"/>
          <w:lang w:bidi="fa-IR"/>
        </w:rPr>
        <w:t>در جای دیگر</w:t>
      </w:r>
      <w:bookmarkStart w:id="535" w:name="pg5664_43470"/>
    </w:p>
    <w:p>
      <w:pPr>
        <w:pStyle w:val="BookText"/>
        <w:rPr/>
      </w:pPr>
      <w:bookmarkEnd w:id="535"/>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وضابطها توهّم الفاعل أو المفعول أنّ ذلک الفعل سائغ له؛ </w:t>
      </w:r>
      <w:r>
        <w:rPr>
          <w:rStyle w:val="FootnoteAnchor"/>
          <w:rtl w:val="true"/>
        </w:rPr>
        <w:footnoteReference w:id="638"/>
      </w:r>
      <w:r>
        <w:rPr>
          <w:rFonts w:ascii="IRNazanin" w:hAnsi="IRNazanin" w:eastAsia="IRNazanin"/>
          <w:color w:val="111111"/>
          <w:sz w:val="28"/>
          <w:sz w:val="28"/>
          <w:szCs w:val="28"/>
          <w:rtl w:val="true"/>
          <w:lang w:bidi="fa-IR"/>
        </w:rPr>
        <w:t>ملاک شبهه آن است که فاعل یا مفعول گمان کند این کار برای او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حنفیان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مایشبه الثابت ولیس بثابت؛ </w:t>
      </w:r>
      <w:r>
        <w:rPr>
          <w:rStyle w:val="FootnoteAnchor"/>
          <w:rtl w:val="true"/>
        </w:rPr>
        <w:footnoteReference w:id="639"/>
      </w:r>
      <w:r>
        <w:rPr>
          <w:rFonts w:ascii="IRNazanin" w:hAnsi="IRNazanin" w:eastAsia="IRNazanin"/>
          <w:color w:val="111111"/>
          <w:sz w:val="28"/>
          <w:sz w:val="28"/>
          <w:szCs w:val="28"/>
          <w:rtl w:val="true"/>
          <w:lang w:bidi="fa-IR"/>
        </w:rPr>
        <w:t>چیزی که مشابهت می‌رساند به امر ثابت،اما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ملاک‌های ارائه شده شبهه را امر وجودی برمی‌شمارد و می‌تواند به جهل مرکب اشاره داشته باشد،ولی دلیلی بر تخصیص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نکته قابل توجه در این دو ملاک این است که صاحب ریاض ظن به اباحه را معتبر دانسته،ولی شهید ثانی با توجه به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الفاعل او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احتمال اباحه را کافی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ملاک ارائه شده از سوی شهید ثانی با گفته‌های واژه‌شناسان،دیدگاه‌های فقها و روایات سازگارتر بوده،حتی دیدگاه حنفیان نیز به ملاک شهید ثانی نزدیک‌تر است</w:t>
      </w:r>
      <w:r>
        <w:rPr>
          <w:rFonts w:eastAsia="IRNazanin" w:cs="IRNazanin"/>
          <w:color w:val="111111"/>
          <w:sz w:val="28"/>
          <w:szCs w:val="28"/>
          <w:rtl w:val="true"/>
          <w:lang w:bidi="fa-IR"/>
        </w:rPr>
        <w:t>.</w:t>
      </w:r>
    </w:p>
    <w:p>
      <w:pPr>
        <w:pStyle w:val="Heading6"/>
        <w:numPr>
          <w:ilvl w:val="5"/>
          <w:numId w:val="1"/>
        </w:numPr>
        <w:rPr/>
      </w:pPr>
      <w:bookmarkStart w:id="536" w:name="__RefHeading___Toc3419992_581953129"/>
      <w:bookmarkStart w:id="537" w:name="_Toc213"/>
      <w:bookmarkEnd w:id="536"/>
      <w:r>
        <w:rPr>
          <w:rtl w:val="true"/>
        </w:rPr>
        <w:t>شبهه در بدیهیات</w:t>
      </w:r>
      <w:bookmarkEnd w:id="537"/>
    </w:p>
    <w:p>
      <w:pPr>
        <w:pStyle w:val="BookText"/>
        <w:rPr/>
      </w:pPr>
      <w:r>
        <w:rPr>
          <w:rFonts w:ascii="IRNazanin" w:hAnsi="IRNazanin" w:eastAsia="IRNazanin"/>
          <w:color w:val="111111"/>
          <w:sz w:val="28"/>
          <w:sz w:val="28"/>
          <w:szCs w:val="28"/>
          <w:rtl w:val="true"/>
          <w:lang w:bidi="fa-IR"/>
        </w:rPr>
        <w:t>در این بحث بدین نکته می‌پردازیم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شبهه در قاعده درأ،شامل هر شبهه‌ای،حتی ادعای جهل به حرمت ازدواج با محارم می‌شود یا این‌گونه موارد روشن و ضروری را دربرنمی‌گیرد یا باید به حسب موارد،به تفصیل قایل شد؟مثلاً در موردی که احتمال صدق در حق مدعی جهل باشد،مانند اینکه شخص،تازه‌مسلمان و ناآشنای با احکام اسلامی باشد،قاعده درأ جاری می‌شود و در دیگر موارد جاری نمی‌شود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روایات و کلمات فقها استفاده می‌شود،قول به تفصیل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حکم،روایاتی است که بر رجحان و وجوب اجرای حدود و حرمت تعطیل آن دلالت می‌کنند</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بنابراین،با توجه به روایات یاد شده،نمی‌توانیم شبهه را در قاعده درأ به‌گونه‌ای تفسیر کنیم که به تعطیل حدود بینجامد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شدن شبهه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ادروءوا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که حتی در مسائل روشن و ضروری ادعای شبهه کند،مستلزم تعطیل حدود است</w:t>
      </w:r>
      <w:r>
        <w:rPr>
          <w:rFonts w:eastAsia="IRNazanin" w:cs="IRNazanin"/>
          <w:color w:val="111111"/>
          <w:sz w:val="28"/>
          <w:szCs w:val="28"/>
          <w:rtl w:val="true"/>
          <w:lang w:bidi="fa-IR"/>
        </w:rPr>
        <w:t>.</w:t>
      </w:r>
      <w:bookmarkStart w:id="538" w:name="pg5664_43471"/>
    </w:p>
    <w:p>
      <w:pPr>
        <w:pStyle w:val="BookText"/>
        <w:rPr/>
      </w:pPr>
      <w:bookmarkEnd w:id="538"/>
      <w:r>
        <w:rPr>
          <w:rFonts w:ascii="IRNazanin" w:hAnsi="IRNazanin" w:eastAsia="IRNazanin"/>
          <w:color w:val="111111"/>
          <w:sz w:val="28"/>
          <w:sz w:val="28"/>
          <w:szCs w:val="28"/>
          <w:rtl w:val="true"/>
          <w:lang w:bidi="fa-IR"/>
        </w:rPr>
        <w:t>افزون بر روایات مربوط به حرمت تعطیل حدود که پذیرفته نشدن ادعای جهل در مسائل ضروری و بدیهی به ملازمه از آنها استفاده شد،از برخی روایات نیز این مطلب به‌دست می‌آید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از برخی روایات نیز استفاده می‌شود که شبهه،در صورتی موجب دفع حد می‌شود که احتمال آن درباره مدّعی شبهه باشد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از کلمات فقها نیز این‌چنین برمی‌آید که مقتضای ادله،قول به تفصیل است</w:t>
      </w:r>
      <w:r>
        <w:rPr>
          <w:rFonts w:eastAsia="IRNazanin" w:cs="IRNazanin"/>
          <w:color w:val="111111"/>
          <w:sz w:val="28"/>
          <w:szCs w:val="28"/>
          <w:rtl w:val="true"/>
          <w:lang w:bidi="fa-IR"/>
        </w:rPr>
        <w:t xml:space="preserve">. </w:t>
      </w:r>
      <w:r>
        <w:rPr>
          <w:rStyle w:val="FootnoteAnchor"/>
          <w:rtl w:val="true"/>
        </w:rPr>
        <w:footnoteReference w:id="643"/>
      </w:r>
    </w:p>
    <w:p>
      <w:pPr>
        <w:pStyle w:val="Heading6"/>
        <w:numPr>
          <w:ilvl w:val="5"/>
          <w:numId w:val="1"/>
        </w:numPr>
        <w:rPr/>
      </w:pPr>
      <w:bookmarkStart w:id="539" w:name="__RefHeading___Toc3419994_581953129"/>
      <w:bookmarkStart w:id="540" w:name="_Toc214"/>
      <w:bookmarkEnd w:id="539"/>
      <w:r>
        <w:rPr>
          <w:rtl w:val="true"/>
        </w:rPr>
        <w:t>مفهوم کلی قاعده</w:t>
      </w:r>
      <w:bookmarkEnd w:id="540"/>
    </w:p>
    <w:p>
      <w:pPr>
        <w:pStyle w:val="BookText"/>
        <w:rPr/>
      </w:pPr>
      <w:r>
        <w:rPr>
          <w:rFonts w:ascii="IRNazanin" w:hAnsi="IRNazanin" w:eastAsia="IRNazanin"/>
          <w:color w:val="111111"/>
          <w:sz w:val="28"/>
          <w:sz w:val="28"/>
          <w:szCs w:val="28"/>
          <w:rtl w:val="true"/>
          <w:lang w:bidi="fa-IR"/>
        </w:rPr>
        <w:t>دانستیم که مراد از درأ،دفع مجازات و انکار مسئولیت کیفری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نیز به معنای مطلق مجازات است و قصاص و تعزیر را نیز دربرمی‌گیرد؛البته با نظرداشت نکته‌ای که درباره قصاص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شبهه همان‌طور که اشتباه موضوعی را شامل می‌شود،اشتباه حکمی و شبهات قاضی و متهم را نیز دربرمی‌گیرد؛هر چند در فراگیری شبهه بر بدیهیات باید به تفصیل قایل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صدق شبهه،باید دست‌کم احتمال اباحه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اساس،مفاد این قاعده این است که با وجود احتمال اباحه در جرایم،چه در موارد موضوعی و چه حکمی،چه از سوی متهم و چه از سوی قاضی،در صورتی که مورد شبهه از بدیهیات نباشد،مجازات از متهم دفع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با توجه به اینکه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ادروءوا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مرسله صدوق در فقیه و مقنع و نیز در عهدنامه امیرمؤمنان علیه السلام به مالک اشتر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إدرء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امر به کار رفته است،می‌توان حدیث را این‌گونه معنا کرد که قاضی باید در موضوع حدّ،شبهه بیفکند و حدّ را دفع کرده،راه گریز را به اقرارکننده نشان دهد؛مانند اینکه قاضی به کسی که شراب خورده بیاموزد که بگوید حرمت شراب را نمی‌دانستم یا گمان می‌کردم آب است و نوشیدم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مواردی که</w:t>
      </w:r>
    </w:p>
    <w:p>
      <w:pPr>
        <w:pStyle w:val="BookText"/>
        <w:rPr/>
      </w:pPr>
      <w:r>
        <w:rPr>
          <w:rFonts w:ascii="IRNazanin" w:hAnsi="IRNazanin" w:eastAsia="IRNazanin"/>
          <w:color w:val="111111"/>
          <w:sz w:val="28"/>
          <w:sz w:val="28"/>
          <w:szCs w:val="28"/>
          <w:rtl w:val="true"/>
          <w:lang w:bidi="fa-IR"/>
        </w:rPr>
        <w:t>پیامبر و امیرمؤمنان اقرار کننده را تبرئه می‌کردند و او را از اقرار بازمی‌داشتند نیز به همین دلیل و به‌منظور احتیاط در نگاه داشت دماء بوده است؛چرا که شارع مقدس دقت در دماء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ظاهر آن است که این معنا با معنای سابق،قابل جمع نیست و یکی از این دو معنا می‌تواند مراد باشد و بنا براین،همان معنای اول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دیگری که در این روایت احتمال می‌رود و مناسب به نظر می‌رسد،این است که از روایت دفع حدود به شبهات استفاده می‌شود که تحقیق و تفحّص برای اثبات جرم،لازم نیست و به محض یافتن شبهه و ادعای آن از سوی مرتکب جرم،در صورتی که احتمال شبهه درباره او برود،می‌توان و بلکه لازم است از او دست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درباره قصاص،تحقیق و تفحّص تا شناسایی قاتل یا جانی،لازم است و نباید حق اولیای مقتول یا کسی که جنایت بر او وارد شده،ضایع شود و این یکی از فرقه‌های میان حق اللّه و حق الناس است</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با روشن شدن مفهوم قاعده،اکنون می‌توان به شبهه‌ای که در آغاز این بحث مطرح شد،پاسخ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قاعده درأ در موارد شبهه‌های حکمی،چه شبهه متهم و چه شبهه قاضی جریان می‌یابد،ولی در اجرای حدود در عصر غیبت جاری نمی‌شود؛زیرا هر چند این شبهه از نوع شبهه قاضی است،مخالفت عده‌ای از فقها نمی‌تواند در قاضی‌ای که خود به جواز قایل است،شبهه‌ای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اینکه به تصریح فقها این قاعده در موارد فقد دلیل معتبر است،نه در جایی که دلیل معتبری بر حکم وجود دارد</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علاوه بر این دو اشکال،اشکال‌های دیگری نیز به ذهن نگارنده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مراد از شبهه،چه حکمی و چه موضوعی آن،شبهه‌های جزئی است و به موارد خاص اشاره دارد و شبهه‌هایی کلی از این دست را در برنمی‌گیرد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قاعده،فرع بر مشروعیت اقامه حدود است؛یعنی باید اجرای حدود مشروع باشد تا امر به دفع آن شود؛وگرنه،این امر لغو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بنابراین،اثبات عدم مشروعیت اقامه حدود از سوی این قاعده،افزون بر ناصحیح بودن،مستلزم خلف است</w:t>
      </w:r>
      <w:r>
        <w:rPr>
          <w:rFonts w:eastAsia="IRNazanin" w:cs="IRNazanin"/>
          <w:color w:val="111111"/>
          <w:sz w:val="28"/>
          <w:szCs w:val="28"/>
          <w:rtl w:val="true"/>
          <w:lang w:bidi="fa-IR"/>
        </w:rPr>
        <w:t>.</w:t>
      </w:r>
      <w:bookmarkStart w:id="541" w:name="pg5664_43473"/>
    </w:p>
    <w:p>
      <w:pPr>
        <w:pStyle w:val="BookText"/>
        <w:rPr/>
      </w:pPr>
      <w:bookmarkEnd w:id="541"/>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روایاتی که بر اهمیت اقامه حدود تأکید و از تعطیلی حدود منع می‌کند،نمی‌توان این قاعده را به‌گونه‌ای تفسیر کرد که به تعطیلی حدود بینجامد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تصور شود میان این دسته روایات و روایاتی که مستند قاعده درأ قرار گرفت،نوعی تعارض وجود دارد،ولی این‌چنین نیست و این روایات به یکی از اصول سیاست جنایی اسلام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سیاست جنایی اسلام در کنار اینکه برای هر جرمی مجازات مناسب و متناسب در نظر گرفته شده،هیچ اصراری بر اثبات و اعلام وقوع جرم نیست و اسلام تلاش نمی‌کند همه جرایم را به مجازات برساند،اما در صورت اثبات جرم،به هیچ نحو اجازه نمی‌دهد در اجرای مجازات خللی وارد گردد و این تصور در ذهن مجرم پدید آید که پس از اثبات جرم می‌توان از مجازات گریخت؛مگر اینکه مجرم اصلاح شده باشد که در این صورت حاکم می‌تواند او را عفو کند</w:t>
      </w:r>
      <w:r>
        <w:rPr>
          <w:rFonts w:eastAsia="IRNazanin" w:cs="IRNazanin"/>
          <w:color w:val="111111"/>
          <w:sz w:val="28"/>
          <w:szCs w:val="28"/>
          <w:rtl w:val="true"/>
          <w:lang w:bidi="fa-IR"/>
        </w:rPr>
        <w:t>.</w:t>
      </w:r>
    </w:p>
    <w:p>
      <w:pPr>
        <w:pStyle w:val="Heading6"/>
        <w:numPr>
          <w:ilvl w:val="5"/>
          <w:numId w:val="1"/>
        </w:numPr>
        <w:rPr/>
      </w:pPr>
      <w:bookmarkStart w:id="542" w:name="__RefHeading___Toc3419996_581953129"/>
      <w:bookmarkStart w:id="543" w:name="_Toc215"/>
      <w:bookmarkEnd w:id="542"/>
      <w:r>
        <w:rPr>
          <w:rtl w:val="true"/>
        </w:rPr>
        <w:t>ه</w:t>
      </w:r>
      <w:r>
        <w:rPr>
          <w:rtl w:val="true"/>
        </w:rPr>
        <w:t>)</w:t>
      </w:r>
      <w:r>
        <w:rPr>
          <w:rtl w:val="true"/>
        </w:rPr>
        <w:t>احتیاط در دماء</w:t>
      </w:r>
      <w:bookmarkEnd w:id="543"/>
    </w:p>
    <w:p>
      <w:pPr>
        <w:pStyle w:val="BookText"/>
        <w:rPr/>
      </w:pPr>
      <w:r>
        <w:rPr>
          <w:rFonts w:ascii="IRNazanin" w:hAnsi="IRNazanin" w:eastAsia="IRNazanin"/>
          <w:color w:val="111111"/>
          <w:sz w:val="28"/>
          <w:sz w:val="28"/>
          <w:szCs w:val="28"/>
          <w:rtl w:val="true"/>
          <w:lang w:bidi="fa-IR"/>
        </w:rPr>
        <w:t>یکی از اصول مورد اهتمام شارع در مجازات‌ها،اصل احتیاط در دماء است که به تعبیرات متفاوتی در کلام فقها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دماء،حفظ دماء معصومه </w:t>
      </w:r>
      <w:r>
        <w:rPr>
          <w:rStyle w:val="FootnoteAnchor"/>
          <w:rtl w:val="true"/>
        </w:rPr>
        <w:footnoteReference w:id="646"/>
      </w:r>
      <w:r>
        <w:rPr>
          <w:rFonts w:ascii="IRNazanin" w:hAnsi="IRNazanin" w:eastAsia="IRNazanin"/>
          <w:color w:val="111111"/>
          <w:sz w:val="28"/>
          <w:sz w:val="28"/>
          <w:szCs w:val="28"/>
          <w:rtl w:val="true"/>
          <w:lang w:bidi="fa-IR"/>
        </w:rPr>
        <w:t xml:space="preserve">و حفظ نفوس محترمه </w:t>
      </w:r>
      <w:r>
        <w:rPr>
          <w:rStyle w:val="FootnoteAnchor"/>
          <w:rtl w:val="true"/>
        </w:rPr>
        <w:footnoteReference w:id="647"/>
      </w:r>
      <w:r>
        <w:rPr>
          <w:rFonts w:ascii="IRNazanin" w:hAnsi="IRNazanin" w:eastAsia="IRNazanin"/>
          <w:color w:val="111111"/>
          <w:sz w:val="28"/>
          <w:sz w:val="28"/>
          <w:szCs w:val="28"/>
          <w:rtl w:val="true"/>
          <w:lang w:bidi="fa-IR"/>
        </w:rPr>
        <w:t>از جمله این تعبیرهاست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اصل،در مواردی که با جان انسان‌ها در ارتباط است،باید نهایت دقت مبذول گردد تا یک نفس انسانی بیهوده تلف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 اردبیلی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قتل امری است عظیم به دلیل اهتمام شارع به حفظ نفس؛چرا که نفس مدار تکالیف و سعادت است و به همین دلیل حفظ آن واجب شده است؛به‌گونه‌ای که جایز نیست ترک دفاع از آن تا کشته شود،بلکه دفاع از آن واجب است حتی اگر دیگری کشته شود،و عقل نیز فی‌الجمله این حکم را تأیید می‌کند</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دیگر فقها نیز در موارد متعدد به این اصل استناد شده است</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بی‌گمان در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جزایی این قاعده کاربرد فراوانی دارد،ولی پرسش اینجاست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به این اصل برای عدم جواز اقامه حدود در زمان غیبت نیز تمسک کرد؟به نظر می‌رسد با توجه به آنچه درباره قاعده درأ گفتیم،پاسخ روشن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اصول تنها در مواردی جریان می‌یابد که دلیلی در دست نباشد،ولی اگر دلیل معتبری موجود باشد،نوبت به جریان این اصل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در مسئله قتل عبد پس از هفت بار اجرای حد بر 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در صورتی که ظن اجتهادی قائم مقام علم به وجوب قتل در بار هشتم داریم،معتبر نیست؛چرا که در این صورت احتیاط معنایی ندارد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افزون بر اینکه نباید این اصول را به‌گونه‌ای جاری کرد که به تعطیلی حدود بینجامد؛هرچند صاحب جواهر ضرر قتل نفس محترم را بیش از ضرر تعطیلی حدود می‌داند</w:t>
      </w:r>
      <w:r>
        <w:rPr>
          <w:rFonts w:eastAsia="IRNazanin" w:cs="IRNazanin"/>
          <w:color w:val="111111"/>
          <w:sz w:val="28"/>
          <w:szCs w:val="28"/>
          <w:rtl w:val="true"/>
          <w:lang w:bidi="fa-IR"/>
        </w:rPr>
        <w:t xml:space="preserve">. </w:t>
      </w:r>
      <w:r>
        <w:rPr>
          <w:rStyle w:val="FootnoteAnchor"/>
          <w:rtl w:val="true"/>
        </w:rPr>
        <w:footnoteReference w:id="651"/>
      </w:r>
      <w:bookmarkStart w:id="544" w:name="pg5664_43476"/>
    </w:p>
    <w:p>
      <w:pPr>
        <w:pStyle w:val="Heading3"/>
        <w:numPr>
          <w:ilvl w:val="2"/>
          <w:numId w:val="1"/>
        </w:numPr>
        <w:rPr/>
      </w:pPr>
      <w:bookmarkStart w:id="545" w:name="__RefHeading___Toc3419998_581953129"/>
      <w:bookmarkStart w:id="546" w:name="_Toc216"/>
      <w:bookmarkEnd w:id="544"/>
      <w:bookmarkEnd w:id="545"/>
      <w:r>
        <w:rPr/>
        <w:t>3</w:t>
      </w:r>
      <w:r>
        <w:rPr>
          <w:rtl w:val="true"/>
        </w:rPr>
        <w:t>-</w:t>
      </w:r>
      <w:r>
        <w:rPr>
          <w:rtl w:val="true"/>
        </w:rPr>
        <w:t>کیفرهای جایگزین</w:t>
      </w:r>
      <w:bookmarkEnd w:id="546"/>
    </w:p>
    <w:p>
      <w:pPr>
        <w:pStyle w:val="BookText"/>
        <w:rPr/>
      </w:pPr>
      <w:r>
        <w:rPr>
          <w:rFonts w:ascii="IRNazanin" w:hAnsi="IRNazanin" w:eastAsia="IRNazanin"/>
          <w:color w:val="111111"/>
          <w:sz w:val="28"/>
          <w:sz w:val="28"/>
          <w:szCs w:val="28"/>
          <w:rtl w:val="true"/>
          <w:lang w:bidi="fa-IR"/>
        </w:rPr>
        <w:t>کیفرهای جایگزین</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کیفرهای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جانشین‌های کیفری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تبیین و توضیح آن پرداخت و اکنون نیز از طریق جنبش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موضوع بحث روز است</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اما مراد این نوشتار از کیفرهای جایگزین،نه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است و 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جانشین‌های کیفری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نوشتار کیفرهای جایگزین،به مجازات‌ها یا راهکارهایی اشاره دارد که در صورت عدم جواز اقامه حدود،به‌منظور حفظ نظم عمومی و هنجارهای اجتماعی باید در نظام کیفری اتخاذ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دیدگاه فقهای قایل به اجرای حدود مطرح است،مصالح جامعه اسلامی اقتضا دارد که مجرم،متخلف و مرتکب جرم به جزای خود برسند و رهایی آنان از بند عقوبت،سلامت روان جامعه را دچار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صورت،چگونه باید چاره‌اندیشی کرد؟</w:t>
      </w:r>
    </w:p>
    <w:p>
      <w:pPr>
        <w:pStyle w:val="BookText"/>
        <w:rPr/>
      </w:pPr>
      <w:r>
        <w:rPr>
          <w:rFonts w:ascii="IRNazanin" w:hAnsi="IRNazanin" w:eastAsia="IRNazanin"/>
          <w:color w:val="111111"/>
          <w:sz w:val="28"/>
          <w:sz w:val="28"/>
          <w:szCs w:val="28"/>
          <w:rtl w:val="true"/>
          <w:lang w:bidi="fa-IR"/>
        </w:rPr>
        <w:t>میرزای قمی که در اجرای حدود توقف و تأمل دارد،می‌نویسد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این جماعت را تعزیر می‌کند،به هر چه صلاح داند و آن وظیفه حاکم شرع است</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استاد محقق داماد نیز در مصاحبه‌ای در پاسخ این پرسش می‌گوید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توقف در اجرای حدود،از طریق تبدیل آن به تعزیر که از اختیارات حکومت اسلامی است،با رعایت شرایط زمان و مکان و در نظر داشتن</w:t>
      </w:r>
    </w:p>
    <w:p>
      <w:pPr>
        <w:pStyle w:val="BookText"/>
        <w:rPr/>
      </w:pPr>
      <w:r>
        <w:rPr>
          <w:rFonts w:ascii="IRNazanin" w:hAnsi="IRNazanin" w:eastAsia="IRNazanin"/>
          <w:color w:val="111111"/>
          <w:sz w:val="28"/>
          <w:sz w:val="28"/>
          <w:szCs w:val="28"/>
          <w:rtl w:val="true"/>
          <w:lang w:bidi="fa-IR"/>
        </w:rPr>
        <w:t>مصالح جامعه می‌توان شخص متخلف را تعزیر کرد،و در عین اینکه حکومت انسان مجرم را به جزای عملش رسانده،اجرای حدود سنگین مثل رجم یا اعدام یا قطع ید که حکم دادن نسبت به آنها پذیرش مسئولیتی سنگین است،از دوش قاضی برداشته شده</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آیت‌الله سید محمد شیرازی نیز که اقامه حدود را در زمان فعلی روا نمی‌داند،تعیین راهکار نهایی را به شورای فقیهان واگذار کرده،این امر را از وظایف ایشان شمرده است؛البته ایشان در نظری بدوی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حکومت اسلامی اقامه حدود را برای مدتی،تا زمانی که همه جوانب اقتصادی،سیاسی،اجتماعی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عملی گردد،به تأخیر بیندازد و در این زمان مجازات‌ها را به تأدیب با زندان و دیگر چیزهایی که بازدارندگی دارد،تبدیل کند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در عبارت این فقیه معاصر،واژه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نیست مراد ایشان از این واژه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مفهوم دیگری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فقها معمولاً این عبارت را برای اشاره به مجازات کودکان به کار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ایشان تعزیر باشد،نشان می‌دهد به نظر ایشان حکومت اسلامی می‌تواند از باب تعزیر افراد خاطی را زندان کند یا هر اقدام دیگری که صلاح بداند،در پیش گیرد،ولی اگر مراد امری مغایر با مفهوم تعزیر باشد،گویای این مطلب است که به نظر این بزرگوار،زندان و اموری از این دست نمی‌تواند مصداق تعزیر باشد و شاید به همین دلیل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اصطلاحی خاص و مشخصی دارد،استفاده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جمع‌بندی می‌توان گفت سه راهکار برای به مجازات رساندن مرتکبان جرایم حدی،در صورت توقف در جواز اقامه حدود قابل ارائه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مجازات حدی به شلاق تعزیری؛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مجازات حدی به حبس و دیگر مجازات‌های تعزیری جز شلاق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اجرای تعزیر به غیرشلاق جایز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مجازات حدی به هر مجازاتی که حاکم صلاح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احکام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اساسی که به چشم می‌خورد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مجازات‌های غیرحدی فوق،به چه ملاکی در جرایم حدی ثابت می‌شود؟شارع مقدس شرایط وقوع جرم حدی را با موشکافی تمام مشخص و پس از وجود همه شرایط،مجازات دقیق آن و شرایط ثبوت این مجازات را تعیین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دقت و سخت‌گیری آنچه از سوی شارع در جرایم حدی تشریع شده،مجازات‌های حدی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به‌یقین حضور و عدم حضور امام نقشی در ثبوت جرم و مجازات ندارد و فقط دخیل در اجرای مجازات است</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پس در این موارد،هم جرم حدی ثابت است و هم مجازات 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نتیجه،دلیلی برای ثبوت مجازات غیرحدی برای جرایم حدی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می‌توان گفت بر اساس دیدگاه عدم جواز اقامه حدود در عصر غیبت،هر چند حضور امام شرط ثبوت مجازات نیست،شرط اثبات آن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بنابراین،گرچه در حقیقت حد ثابت است،در خارج نمی‌توان بدان حکم کرد و آن را ثابت دانست و از این نظر مرتکب جرم حدی با کسی که جرمش در هیچ دادگاهی اثبات نشده،تفاوتی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مسئله سبب نمی‌شود مرتکب جرم حدی پس از ارتکاب و اثبات جرم بتواند خود را از چنگال مجازات برهاند؛زیرا همچنان ملاک‌ها و ادله دیگر مجازات‌ها شامل وی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لکل عمل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الغای مجازات حدی،تعزیر می‌تواند کیفر جانشین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حاکم اسلامی به دلیل حق قانون‌گذاری که بدو سپرده شده،می‌تواند حتی در صورت نبود ملاک تعزیر شرعی،به دفاع از حق اجتماع برخیزد و به‌منظور دفاع از امنیت جامعه و تضمین سلامت روحی و جسمی آن،مجازات مناسب و متناسب وضع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همه این تمهیدات در صورتی سودمند است که اجرای تعزیر در زمان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مشروع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برخی از کسانی که اجرای حدود را جایز نمی‌دانند،اقامه تعزیر را تجویز کرده،حتی آن را راهکاری برای حفظ نظام و جلوگیری از هرج و مرج پیشنهاد می‌دانند،ولی به نظر نگارنده،بر اساس دلایل و پیش‌فرض‌های ایشان،نباید میان اقامه حد و تعزیر تفاوتی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دلایلی که از دیدگاه ایشان اقامه حدود را ناروا می‌سازد،می‌تواند اقامه تعزیرات را نیز به چالش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مطلب را در فصل بعد پی‌گرفته می‌گیریم</w:t>
      </w:r>
      <w:r>
        <w:rPr>
          <w:rFonts w:eastAsia="IRNazanin" w:cs="IRNazanin"/>
          <w:color w:val="111111"/>
          <w:sz w:val="28"/>
          <w:szCs w:val="28"/>
          <w:rtl w:val="true"/>
          <w:lang w:bidi="fa-IR"/>
        </w:rPr>
        <w:t>.</w:t>
      </w:r>
      <w:bookmarkStart w:id="547" w:name="pg5664_43480"/>
    </w:p>
    <w:p>
      <w:pPr>
        <w:pStyle w:val="Heading3"/>
        <w:numPr>
          <w:ilvl w:val="2"/>
          <w:numId w:val="1"/>
        </w:numPr>
        <w:rPr/>
      </w:pPr>
      <w:bookmarkStart w:id="548" w:name="__RefHeading___Toc3420000_581953129"/>
      <w:bookmarkStart w:id="549" w:name="_Toc217"/>
      <w:bookmarkEnd w:id="547"/>
      <w:bookmarkEnd w:id="548"/>
      <w:r>
        <w:rPr/>
        <w:t>4</w:t>
      </w:r>
      <w:r>
        <w:rPr>
          <w:rtl w:val="true"/>
        </w:rPr>
        <w:t>-</w:t>
      </w:r>
      <w:r>
        <w:rPr>
          <w:rtl w:val="true"/>
        </w:rPr>
        <w:t>جواز اقامه تعزیرات</w:t>
      </w:r>
      <w:bookmarkEnd w:id="549"/>
    </w:p>
    <w:p>
      <w:pPr>
        <w:pStyle w:val="Heading4"/>
        <w:numPr>
          <w:ilvl w:val="3"/>
          <w:numId w:val="1"/>
        </w:numPr>
        <w:rPr/>
      </w:pPr>
      <w:bookmarkStart w:id="550" w:name="__RefHeading___Toc3420002_581953129"/>
      <w:bookmarkStart w:id="551" w:name="_Toc218"/>
      <w:bookmarkEnd w:id="550"/>
      <w:r>
        <w:rPr>
          <w:rtl w:val="true"/>
        </w:rPr>
        <w:t>دیدگاه فقها</w:t>
      </w:r>
      <w:bookmarkEnd w:id="551"/>
    </w:p>
    <w:p>
      <w:pPr>
        <w:pStyle w:val="BookText"/>
        <w:rPr/>
      </w:pPr>
      <w:r>
        <w:rPr>
          <w:rFonts w:ascii="IRNazanin" w:hAnsi="IRNazanin" w:eastAsia="IRNazanin"/>
          <w:color w:val="111111"/>
          <w:sz w:val="28"/>
          <w:sz w:val="28"/>
          <w:szCs w:val="28"/>
          <w:rtl w:val="true"/>
          <w:lang w:bidi="fa-IR"/>
        </w:rPr>
        <w:t>با بررسی دیدگاه‌های فقها،به نظر می‌رسد فقهای قبل از میرزای قمی،هیچ‌یک متعرض امکان تعزیر و عدم امکان آن نشده‌اند و عمدتاً همه فراز و فرودها در مسئله اقامه حدود جریان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 در جامع الشتات پس از اینکه در اجرای حدود تأمل می‌کند،می‌نویسد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شرع،این جماعت را تعزیر کند به هر چه صلاح داند،و آن وظیفه حاکم شرع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بلی،هرگاه حاکم شرع را آن اقتدار نیست،بر دیگران تنبیه ایشان از باب امر به معروف و نهی از منکر،به هر نحو که اقتضا کند و شرایط آن محقق شود جایز،بلکه واجب است؛بالاسهل فالاسهل</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شیخ بهایی نیز در جامع عباسی اقامه حدود را تا وقتی به قتل و جرح نینجامد،جایز می‌داند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از این کلام ایشان می‌توان جواز مجازات‌هایی را که به قتل و جرح نمی‌انجامد،استنباط کرد که تعزیرات نیز معمولاً از همین دسته مجازات‌هایند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استدلال شیخ انصاری،فقط اموری که در مشروعیت آنها تردید وجود دارد،نظیر اقامه حدود از حیطه ولایت فقیه خارج است،ولی در اقامه تعزیرات تردیدی از سوی فقها ابراز نشده و همچنان در دایره ولایت فقیه باقی می‌ماند</w:t>
      </w:r>
      <w:r>
        <w:rPr>
          <w:rFonts w:eastAsia="IRNazanin" w:cs="IRNazanin"/>
          <w:color w:val="111111"/>
          <w:sz w:val="28"/>
          <w:szCs w:val="28"/>
          <w:rtl w:val="true"/>
          <w:lang w:bidi="fa-IR"/>
        </w:rPr>
        <w:t>.</w:t>
      </w:r>
      <w:bookmarkStart w:id="552" w:name="pg5664_43481"/>
    </w:p>
    <w:p>
      <w:pPr>
        <w:pStyle w:val="BookText"/>
        <w:rPr/>
      </w:pPr>
      <w:bookmarkEnd w:id="552"/>
      <w:r>
        <w:rPr>
          <w:rFonts w:ascii="IRNazanin" w:hAnsi="IRNazanin" w:eastAsia="IRNazanin"/>
          <w:color w:val="111111"/>
          <w:sz w:val="28"/>
          <w:sz w:val="28"/>
          <w:szCs w:val="28"/>
          <w:rtl w:val="true"/>
          <w:lang w:bidi="fa-IR"/>
        </w:rPr>
        <w:t>این کلام ایشان در جواز اقامه تعزیرات گویاست و بعید نیست فقهای پیش از ایشان نیز همین دیدگاه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فقهایی که اقامه حدود را جایز می‌دانند،به طریق اولی باید اقامه تعزیرات را جایز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فقهایی نیز که اقامه حدود را جایز نمی‌دانند،یا به جواز اقامه تعزیرات تصریح کرده‌اند یا اصلاً به آن اشاره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نتیجه،به کمک اجماع مرکب می‌توان اقامه تعزیرات را جایز دانست</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در تبیین این اجماع مرکب می‌توان گفت فقها،یا متعرض جواز اقامه حدود شده‌اند یا عدم جواز حدود،و هیچ‌یک متعرض قول دیگری نشده‌اند که عدم جواز اقامه تعزیرات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ازاین‌رو،اجماع مرکب بر جواز اقامه تعزیرات به‌دست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برخی از فقها بر جواز تعزیر نیز مؤید همین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 دیگری نیز می‌توان بر جواز تعزیرات استدلال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اصل اقامه حدود و تعزیرات جایز،و بلکه واجب است؛البته درباره منتها در مورد حدود این امکان وجود دارد که مشروعیت اقامه حدود منوط به اذن امام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ازاین‌رو،تمسک به عمومات با تردید مواجه می‌شود،ولی درباره تعزیرات کسی این شبهه را مطرح نکرده است و حتی کسانی که اذن امام را در اجرای حدود لازم می‌دانند،اقامه تعزیرات را جایز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نتیجه،اقامه تعزیرات همچنان بدون شبهه تحت عمومات جواز باقی است</w:t>
      </w:r>
      <w:r>
        <w:rPr>
          <w:rFonts w:eastAsia="IRNazanin" w:cs="IRNazanin"/>
          <w:color w:val="111111"/>
          <w:sz w:val="28"/>
          <w:szCs w:val="28"/>
          <w:rtl w:val="true"/>
          <w:lang w:bidi="fa-IR"/>
        </w:rPr>
        <w:t>.</w:t>
      </w:r>
    </w:p>
    <w:p>
      <w:pPr>
        <w:pStyle w:val="Heading4"/>
        <w:numPr>
          <w:ilvl w:val="3"/>
          <w:numId w:val="1"/>
        </w:numPr>
        <w:rPr/>
      </w:pPr>
      <w:bookmarkStart w:id="553" w:name="__RefHeading___Toc3420004_581953129"/>
      <w:bookmarkStart w:id="554" w:name="_Toc219"/>
      <w:bookmarkEnd w:id="553"/>
      <w:r>
        <w:rPr>
          <w:rtl w:val="true"/>
        </w:rPr>
        <w:t>نقد و بررسی</w:t>
      </w:r>
      <w:bookmarkEnd w:id="554"/>
    </w:p>
    <w:p>
      <w:pPr>
        <w:pStyle w:val="Heading5"/>
        <w:numPr>
          <w:ilvl w:val="4"/>
          <w:numId w:val="1"/>
        </w:numPr>
        <w:rPr/>
      </w:pPr>
      <w:bookmarkStart w:id="555" w:name="__RefHeading___Toc3420006_581953129"/>
      <w:bookmarkStart w:id="556" w:name="_Toc220"/>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به نظر نگارنده،دیدگاه‌های متفاوت در مسئله اجرای حدود،تأثیری مستقیم بر اقامه تعزیرات نیز دارد و در صورتی که اقامه حدود را جایز ندانیم،همه این دلایل و هر آنچه از فقها مبنی بر جواز تعزیرات ابراز شد،با تردید مواجه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دلیل،مناسب است حکم تعزیرات را بر اساس هر دیدگاه جداگانه بررسی کنیم</w:t>
      </w:r>
      <w:r>
        <w:rPr>
          <w:rFonts w:eastAsia="IRNazanin" w:cs="IRNazanin"/>
          <w:color w:val="111111"/>
          <w:sz w:val="28"/>
          <w:szCs w:val="28"/>
          <w:rtl w:val="true"/>
          <w:lang w:bidi="fa-IR"/>
        </w:rPr>
        <w:t>.</w:t>
      </w:r>
    </w:p>
    <w:p>
      <w:pPr>
        <w:pStyle w:val="Heading5"/>
        <w:numPr>
          <w:ilvl w:val="4"/>
          <w:numId w:val="1"/>
        </w:numPr>
        <w:rPr/>
      </w:pPr>
      <w:bookmarkStart w:id="557" w:name="__RefHeading___Toc3420008_581953129"/>
      <w:bookmarkStart w:id="558" w:name="_Toc221"/>
      <w:bookmarkEnd w:id="557"/>
      <w:r>
        <w:rPr/>
        <w:t>1</w:t>
      </w:r>
      <w:r>
        <w:rPr>
          <w:rtl w:val="true"/>
        </w:rPr>
        <w:t>-</w:t>
      </w:r>
      <w:r>
        <w:rPr>
          <w:rtl w:val="true"/>
        </w:rPr>
        <w:t>بر اساس دیدگاه جواز اقامه حدود</w:t>
      </w:r>
      <w:bookmarkEnd w:id="55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دیدگاه،به یقین اجرای تعزیرات نیز مشروع خواهد بود،به سه دلیل</w:t>
      </w:r>
      <w:r>
        <w:rPr>
          <w:rFonts w:eastAsia="IRNazanin" w:cs="IRNazanin"/>
          <w:color w:val="111111"/>
          <w:sz w:val="28"/>
          <w:szCs w:val="28"/>
          <w:rtl w:val="true"/>
          <w:lang w:bidi="fa-IR"/>
        </w:rPr>
        <w:t>:</w:t>
      </w:r>
      <w:bookmarkStart w:id="559" w:name="pg5664_43482"/>
    </w:p>
    <w:p>
      <w:pPr>
        <w:pStyle w:val="BookText"/>
        <w:rPr/>
      </w:pPr>
      <w:bookmarkEnd w:id="559"/>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اجرای حدود که عموماً مستلزم قتل و جرح هستند،جایز باشد،به یقین اجرای تعزیرات که شدت کمتری دارد،جایز بوده،منوط به نظر امام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معنای حد و شمول تعزیرات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حد در روایات در معنای اعم از تعزیر بسیار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بنابراین،این دو در بسیاری از احکام مشترک هستند و دلایل جواز اقامه حدود،بر اقامه تعزیرات نیز دلالت می‌کند؛به‌ویژه که به نظر نگارنده،هرگاه واژه حد،بدون هیچ قرینه‌ای در روایات به کار رود،قطعاً شامل تعزیر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فقها در جواز و عدم جواز حد است و هیچ‌یک به عدم جواز تعزیر قایل نشده‌اند</w:t>
      </w:r>
      <w:r>
        <w:rPr>
          <w:rFonts w:eastAsia="IRNazanin" w:cs="IRNazanin"/>
          <w:color w:val="111111"/>
          <w:sz w:val="28"/>
          <w:szCs w:val="28"/>
          <w:rtl w:val="true"/>
          <w:lang w:bidi="fa-IR"/>
        </w:rPr>
        <w:t>.</w:t>
      </w:r>
    </w:p>
    <w:p>
      <w:pPr>
        <w:pStyle w:val="Heading5"/>
        <w:numPr>
          <w:ilvl w:val="4"/>
          <w:numId w:val="1"/>
        </w:numPr>
        <w:rPr/>
      </w:pPr>
      <w:bookmarkStart w:id="560" w:name="__RefHeading___Toc3420010_581953129"/>
      <w:bookmarkStart w:id="561" w:name="_Toc222"/>
      <w:bookmarkEnd w:id="560"/>
      <w:r>
        <w:rPr/>
        <w:t>2</w:t>
      </w:r>
      <w:r>
        <w:rPr>
          <w:rtl w:val="true"/>
        </w:rPr>
        <w:t>-</w:t>
      </w:r>
      <w:r>
        <w:rPr>
          <w:rtl w:val="true"/>
        </w:rPr>
        <w:t>بر اساس دیدگاه عدم جواز اقامه حدود</w:t>
      </w:r>
      <w:bookmarkEnd w:id="561"/>
    </w:p>
    <w:p>
      <w:pPr>
        <w:pStyle w:val="BookText"/>
        <w:rPr/>
      </w:pPr>
      <w:r>
        <w:rPr>
          <w:rFonts w:ascii="IRNazanin" w:hAnsi="IRNazanin" w:eastAsia="IRNazanin"/>
          <w:color w:val="111111"/>
          <w:sz w:val="28"/>
          <w:sz w:val="28"/>
          <w:szCs w:val="28"/>
          <w:rtl w:val="true"/>
          <w:lang w:bidi="fa-IR"/>
        </w:rPr>
        <w:t>گرچه معتقدان به عدم جواز حدود،تعزیرات را نامشروع نمی‌دانند،به نظر می‌رسد بر اساس این دیدگاه نمی‌توان اقامه تعزیرات را در زمان غیبت جایز دانست؛زیرا بیشتر ادله‌ای که از نظر صاحبان دیدگاه عدم جواز اقامه حدود معتبر است،شامل تعزیرات نیز می‌شود و اجرای تعزیرات را به چالش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اول این نوشتار اثبات کردیم که هرگاه قرینه‌ای در کلام نباشد،حد در روایات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بنابراین،روایت اشعثیات،قاعده درأ و قاعده تخفیف در حدود شامل تعزیرات نیز می‌گردد و اجرای آن را از دیدگاه مانعان اقامه حدود،با تردید مواجه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این،اگر آن طور که در دیدگاه عدم جواز ابراز شده،به دلیل کاربرد واژه امام در روایات باب حدود،اقامه حدود مختص به امام معصوم است و حتی فقها مجاز به اقامه حدود نیستند،باید اقامه تعزیز نیز مختص به معصومان باشد و تصدی غیر ایشان بر اقامه تعزیر نامشروع باشد؛چراکه در روایات و کلام فقها تعزیرات به امام واگذار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مبسوط روایتی را از رسول خدا صلّی الله علیه و آله نقل می‌کند که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یجلد فوق عشر جلدات إلا فی حد من حدود الله و التعزیر موکول إلی الإمام</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خلاف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إلی الإمام بلا خلاف</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نیز در پایان بحث قذف از کتابِ حدود شرائع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فعل محرما أو ترک واجبا،فللإمام علیه السلام تعزیره بما لا یبلغ الحد وتقدیره إلی الإمام</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نیز تعزیر را از وظایف امام دانسته،می‌گوید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فعل محرما،أو ترک واجبا،فللإمام تعزیره بما لا یبلغ الحد،وکمیته منوطة بنظر الإمام</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مدقّق و محقق صاحب جواهر نیز تعزیر را به امام واگذار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فعل محرما أو ترک واجبا وکان من الکبائر فللإمام تعزیره بما لا یبلغ الحد وتقدیره إلی الإمام</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فقهای معاصر نیز تقدیر تعزیر را منوط به نظر امام دانسته،نوشته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والمشهور بین الأصحاب أن تقدیر التعزیر إلی الإمام کغیره مما یثبت فیه التعزیر لاطلاق نصوصه</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البته فتواها و دیدگاه‌های فقها بسیار بیش از اینهاست و موراد پیش‌گفته،صرفاً نمونه‌هایی از کلام فقها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نمونه‌ها به‌خوبی گویای این مطلب است که اگر بنا بر دیدگاه عدم جواز،امام در کلام فقها و روایات منحصراً به امام معصوم اشاره داشته باشد،اقامه تعزیرات نیز باید در زمان غیبت مشروع نباشد؛گرچه هیچ فقیهی چنین فتوا نداده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نیز امام در روایات در امام معصوم ظهور دارد،ولی این ظهور اولیه به هیچ وجه مخالفتی با این ندارد که ایشان،مناصب اختصاصی خویش را به دیگران تفویض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بنابراین،به نظر نگارنده،موارد یادشده در کلام فقها به حکم اولی تعزیر اشاره دارد و مختص زمان حضور است،اما در زمان غیبت،این امور به فقها واگذار شده که حاکم شرع از سوی امام معصوم هستند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ادله دیدگاه عدم جواز تعزیرات را نیز در برمی‌گیرد،ولی نباید این نکته را از نظر دور داشت که شمول برخی ادله دیدگاه جواز،همچون لزوم حفظ نظام بر تعزیرات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ازاین‌رو،می‌توان با وجود انکار مشروعیت اجرای حدود،به‌منظور حفظ نظام جمعی و حیات اجتماعی،تعزیرات بدنی،حبسی و مالی را وضع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فقهایی که به‌رغم پذیرش دیدگاه عدم جواز حدود،تعزیر را جایز می‌دانند،به همین نکته توجه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باید توجه داشت که این امر بر جوازِ تعزیر غیربدنی مبتنی است،که مخالف نظر مشهور فقهاست</w:t>
      </w:r>
      <w:r>
        <w:rPr>
          <w:rFonts w:eastAsia="IRNazanin" w:cs="IRNazanin"/>
          <w:color w:val="111111"/>
          <w:sz w:val="28"/>
          <w:szCs w:val="28"/>
          <w:rtl w:val="true"/>
          <w:lang w:bidi="fa-IR"/>
        </w:rPr>
        <w:t>.</w:t>
      </w:r>
      <w:bookmarkStart w:id="562" w:name="pg5664_43486"/>
    </w:p>
    <w:p>
      <w:pPr>
        <w:pStyle w:val="Heading2"/>
        <w:numPr>
          <w:ilvl w:val="1"/>
          <w:numId w:val="1"/>
        </w:numPr>
        <w:rPr/>
      </w:pPr>
      <w:bookmarkStart w:id="563" w:name="__RefHeading___Toc3420012_581953129"/>
      <w:bookmarkStart w:id="564" w:name="_Toc223"/>
      <w:bookmarkEnd w:id="562"/>
      <w:bookmarkEnd w:id="563"/>
      <w:r>
        <w:rPr>
          <w:rtl w:val="true"/>
        </w:rPr>
        <w:t>بخش سوم</w:t>
      </w:r>
      <w:r>
        <w:rPr>
          <w:rtl w:val="true"/>
        </w:rPr>
        <w:t>:</w:t>
      </w:r>
      <w:r>
        <w:rPr>
          <w:rtl w:val="true"/>
        </w:rPr>
        <w:t>دیدگاه جواز اقامه حدود</w:t>
      </w:r>
      <w:bookmarkEnd w:id="564"/>
    </w:p>
    <w:p>
      <w:pPr>
        <w:pStyle w:val="Heading3"/>
        <w:numPr>
          <w:ilvl w:val="2"/>
          <w:numId w:val="1"/>
        </w:numPr>
        <w:rPr/>
      </w:pPr>
      <w:bookmarkStart w:id="565" w:name="__RefHeading___Toc3420014_581953129"/>
      <w:bookmarkStart w:id="566" w:name="_Toc224"/>
      <w:bookmarkEnd w:id="565"/>
      <w:r>
        <w:rPr>
          <w:rtl w:val="true"/>
        </w:rPr>
        <w:t>اشاره</w:t>
      </w:r>
      <w:bookmarkEnd w:id="56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جواز اقامه حدود</w:t>
      </w:r>
    </w:p>
    <w:p>
      <w:pPr>
        <w:pStyle w:val="BookText"/>
        <w:rPr/>
      </w:pPr>
      <w:r>
        <w:rPr>
          <w:rFonts w:ascii="IRNazanin" w:hAnsi="IRNazanin" w:eastAsia="IRNazanin"/>
          <w:color w:val="111111"/>
          <w:sz w:val="28"/>
          <w:sz w:val="28"/>
          <w:szCs w:val="28"/>
          <w:rtl w:val="true"/>
          <w:lang w:bidi="fa-IR"/>
        </w:rPr>
        <w:t>پس از آنکه در بخش پیشین از دیدگاه عدم جواز اقامه حدود و ادله آن به تفصیل سخن راندیم،انصاف علمی اقتضا دارد در این قسمت از نوشتار به دیدگاه مخالف توجه کنیم که مدعی جواز اقامه حدود در عصر غیبت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پس از اینکه در فصل گذشته،دلیل استوار و قابل اعتنایی ارائه نشد که بتواند منصب اقامه حدود را در زمان غیبت نیز به معصومان اختصاص دهد،ضروری می‌نماید ادله دال بر مشروعیت اقامه حدود را بررسی کنیم تا روشن شود این منصب به فرد یا افراد خاصی تفویض شده است یا خیر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منظور،مطالب این بخش را در سه فصل سامان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 صاحبان دیدگاه جواز اقامه حدود را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دوم که شاید مهم‌ترین بخش این نوشتار باشد،دلایل دیدگاه جواز را نقد و بررسی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فصل نیز پس از بررسی دلایل،متصدی اقامه حدود را در زمان غیبت مشخص خواهیم کرد</w:t>
      </w:r>
      <w:r>
        <w:rPr>
          <w:rFonts w:eastAsia="IRNazanin" w:cs="IRNazanin"/>
          <w:color w:val="111111"/>
          <w:sz w:val="28"/>
          <w:szCs w:val="28"/>
          <w:rtl w:val="true"/>
          <w:lang w:bidi="fa-IR"/>
        </w:rPr>
        <w:t>.</w:t>
      </w:r>
      <w:bookmarkStart w:id="567" w:name="pg5664_43488"/>
    </w:p>
    <w:p>
      <w:pPr>
        <w:pStyle w:val="Heading3"/>
        <w:numPr>
          <w:ilvl w:val="2"/>
          <w:numId w:val="1"/>
        </w:numPr>
        <w:rPr/>
      </w:pPr>
      <w:bookmarkStart w:id="568" w:name="__RefHeading___Toc3420016_581953129"/>
      <w:bookmarkStart w:id="569" w:name="_Toc225"/>
      <w:bookmarkEnd w:id="567"/>
      <w:bookmarkEnd w:id="568"/>
      <w:r>
        <w:rPr/>
        <w:t>1</w:t>
      </w:r>
      <w:r>
        <w:rPr>
          <w:rtl w:val="true"/>
        </w:rPr>
        <w:t>-</w:t>
      </w:r>
      <w:r>
        <w:rPr>
          <w:rtl w:val="true"/>
        </w:rPr>
        <w:t>صاحبان دیدگاه جواز اقامه حدود</w:t>
      </w:r>
      <w:bookmarkEnd w:id="569"/>
    </w:p>
    <w:p>
      <w:pPr>
        <w:pStyle w:val="Heading4"/>
        <w:numPr>
          <w:ilvl w:val="3"/>
          <w:numId w:val="1"/>
        </w:numPr>
        <w:rPr/>
      </w:pPr>
      <w:bookmarkStart w:id="570" w:name="__RefHeading___Toc3420018_581953129"/>
      <w:bookmarkStart w:id="571" w:name="_Toc226"/>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مشهور فقهای امامی به جواز اجرای حدود در زمان غیبت از سوی فقیه جامع شرایط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ایشان بدین قرارند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مفید،شیخ طوسی،شهید ثانی،شیخ جعفرکاشف الغطاء،محقق کرکی،محقق اردبیلی،صاحب جواهر،محقق نراقی،آیت‌الله خویی،امام خمینی،آیت‌الله روحانی و آیت‌الله گلپایگانی</w:t>
      </w:r>
      <w:r>
        <w:rPr>
          <w:rFonts w:eastAsia="IRNazanin" w:cs="IRNazanin"/>
          <w:color w:val="111111"/>
          <w:sz w:val="28"/>
          <w:szCs w:val="28"/>
          <w:rtl w:val="true"/>
          <w:lang w:bidi="fa-IR"/>
        </w:rPr>
        <w:t>.</w:t>
      </w:r>
    </w:p>
    <w:p>
      <w:pPr>
        <w:pStyle w:val="Heading4"/>
        <w:numPr>
          <w:ilvl w:val="3"/>
          <w:numId w:val="1"/>
        </w:numPr>
        <w:rPr/>
      </w:pPr>
      <w:bookmarkStart w:id="572" w:name="__RefHeading___Toc3420020_581953129"/>
      <w:bookmarkStart w:id="573" w:name="_Toc227"/>
      <w:bookmarkEnd w:id="572"/>
      <w:r>
        <w:rPr>
          <w:rtl w:val="true"/>
        </w:rPr>
        <w:t>متقدمین</w:t>
      </w:r>
      <w:bookmarkEnd w:id="573"/>
    </w:p>
    <w:p>
      <w:pPr>
        <w:pStyle w:val="Heading5"/>
        <w:numPr>
          <w:ilvl w:val="4"/>
          <w:numId w:val="1"/>
        </w:numPr>
        <w:rPr/>
      </w:pPr>
      <w:bookmarkStart w:id="574" w:name="__RefHeading___Toc3420022_581953129"/>
      <w:bookmarkStart w:id="575" w:name="_Toc228"/>
      <w:bookmarkEnd w:id="574"/>
      <w:r>
        <w:rPr/>
        <w:t>1</w:t>
      </w:r>
      <w:r>
        <w:rPr>
          <w:rtl w:val="true"/>
        </w:rPr>
        <w:t>-</w:t>
      </w:r>
      <w:r>
        <w:rPr>
          <w:rtl w:val="true"/>
        </w:rPr>
        <w:t>شیخ مفید</w:t>
      </w:r>
      <w:bookmarkEnd w:id="575"/>
    </w:p>
    <w:p>
      <w:pPr>
        <w:pStyle w:val="BookText"/>
        <w:rPr/>
      </w:pPr>
      <w:r>
        <w:rPr>
          <w:rFonts w:ascii="IRNazanin" w:hAnsi="IRNazanin" w:eastAsia="IRNazanin"/>
          <w:color w:val="111111"/>
          <w:sz w:val="28"/>
          <w:sz w:val="28"/>
          <w:szCs w:val="28"/>
          <w:rtl w:val="true"/>
          <w:lang w:bidi="fa-IR"/>
        </w:rPr>
        <w:t>شیخ مفید از فقهای بزرگ تاریخ شیعه در قرن چهارم و پنجم هجری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کتاب مقنعه در باب امر به معروف و نهی از منکر،پس از بیان مراتب امر به معروف و نهی از منکر،وقتی به بالاترین مرحله،یعنی کشتن و صدمه زدن می‌رسد،می‌گوید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مکلّف در مقام امر به معروف یا نهی از منکر،حقّ کشتن یا جراحت وارد کردن را ندارد،مگر آنکه سلطان و حاکم زمان،که برای تدبیر و اداره امور مردم منصوب شده،اجازه دهد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سپس در ادامه همین بخش می‌گوید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مسئله اجرای حدود الهی،مربوط به سلطان و حاکم اسلامی است که از سوی خداوند متعال نصب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عبارت‌اند از امامان هدایت از آل محمّد و</w:t>
      </w:r>
      <w:bookmarkStart w:id="576" w:name="pg5664_43489"/>
    </w:p>
    <w:p>
      <w:pPr>
        <w:pStyle w:val="BookText"/>
        <w:rPr/>
      </w:pPr>
      <w:bookmarkEnd w:id="576"/>
      <w:r>
        <w:rPr>
          <w:rFonts w:ascii="IRNazanin" w:hAnsi="IRNazanin" w:eastAsia="IRNazanin"/>
          <w:color w:val="111111"/>
          <w:sz w:val="28"/>
          <w:sz w:val="28"/>
          <w:szCs w:val="28"/>
          <w:rtl w:val="true"/>
          <w:lang w:bidi="fa-IR"/>
        </w:rPr>
        <w:t>کسانی که ائمه آنها را در مقام امیر یا حاکم نصب کنند و ائمه اظهار نظر در این مطلب را،به فرض امکان آن،به فقهای شیعه و پیرو خود واگذار کرده‌اند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در این عبارات،شیخ مفید ابتدا سلطان منصوب از سوی خدا را مطرح می‌کند و او را مرجع تصمیم‌گیری در قتل و جرح برای امر به معروف و نهی از منکر می‌داند،سپس به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مصداقی برجسته از مصادیق امر به معروف و نهی از منکر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تکرار این مطلب که انجام این مهم بر عهده سلطان اسلام است که از سوی خداوند نصب می‌شود،افزون بر امامان معصوم به نایبان خاصّ ایشان که به صورت مشخّص برای تصدّی امور سیاسی منصوب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مالک‌اشتر در روزگار علی یا نواب اربعه در عصر غیبت صغرای امام 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نایبان عام آنان،یعنی فقهای شیعه،که با عنوانی کلّی برای تصدّی این امور منصوب شده‌اند،اشاره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وی توجّه دارد که چه‌بسا برای فقیهان شیعه امکان عمل به این وظیفه الهی فراهم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اشاره می‌کند و سپس در ادامه به مواردی که احتمال این امکان در آن بیشتر است،می‌پردازد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فقیهی بتواند حدود الهی را درباره فرزندان خود جاری کند و از سلطان جور و حاکم ظلم بر این مطلب خوف ضرری نداشته باشد،باید آن را اجرا نماید</w:t>
      </w:r>
      <w:r>
        <w:rPr>
          <w:rFonts w:eastAsia="IRNazanin" w:cs="IRNazanin"/>
          <w:color w:val="111111"/>
          <w:sz w:val="28"/>
          <w:szCs w:val="28"/>
          <w:rtl w:val="true"/>
          <w:lang w:bidi="fa-IR"/>
        </w:rPr>
        <w:t xml:space="preserve">. </w:t>
      </w:r>
      <w:r>
        <w:rPr>
          <w:rStyle w:val="FootnoteAnchor"/>
          <w:rtl w:val="true"/>
        </w:rPr>
        <w:footnoteReference w:id="668"/>
      </w:r>
    </w:p>
    <w:p>
      <w:pPr>
        <w:pStyle w:val="Heading5"/>
        <w:numPr>
          <w:ilvl w:val="4"/>
          <w:numId w:val="1"/>
        </w:numPr>
        <w:rPr/>
      </w:pPr>
      <w:bookmarkStart w:id="577" w:name="__RefHeading___Toc3420024_581953129"/>
      <w:bookmarkStart w:id="578" w:name="_Toc229"/>
      <w:bookmarkEnd w:id="577"/>
      <w:r>
        <w:rPr/>
        <w:t>2</w:t>
      </w:r>
      <w:r>
        <w:rPr>
          <w:rtl w:val="true"/>
        </w:rPr>
        <w:t>-</w:t>
      </w:r>
      <w:r>
        <w:rPr>
          <w:rtl w:val="true"/>
        </w:rPr>
        <w:t>شیخ طوسی</w:t>
      </w:r>
      <w:bookmarkEnd w:id="57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از نخستین فقیهانی است که فقه شیعه را در مجموعه‌هایی مدوّن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صد سال پس از شیخ،عظمت و بزرگی او از سویی،و آرای مشتمل بر استدلال‌های متقن و مبتنی بر روایات صحیح از وی در کتاب‌هایش،به هیچ فقیهی جرئت نمی‌داد بر خلاف شیخ نظر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فتواهایی که در آثار متقدمین و متأخرین به شیخ نسبت داده شده،جواز اقامه حدود در زمان غیبت است</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با وجود</w:t>
      </w:r>
      <w:bookmarkStart w:id="579" w:name="pg5664_43490"/>
    </w:p>
    <w:p>
      <w:pPr>
        <w:pStyle w:val="BookText"/>
        <w:rPr/>
      </w:pPr>
      <w:bookmarkEnd w:id="579"/>
      <w:r>
        <w:rPr>
          <w:rFonts w:ascii="IRNazanin" w:hAnsi="IRNazanin" w:eastAsia="IRNazanin"/>
          <w:color w:val="111111"/>
          <w:sz w:val="28"/>
          <w:sz w:val="28"/>
          <w:szCs w:val="28"/>
          <w:rtl w:val="true"/>
          <w:lang w:bidi="fa-IR"/>
        </w:rPr>
        <w:t>شهرت این نسبت،در آثار شیخ هیچ تصریحی به این مطلب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عبارت شیخ در نهایه موجب شده دیدگاه جواز به شیخ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رخص فی حال قصور أیدی أئمة الحق وتغلب الظالمین،أن یقیم الإنسان الحد علی ولده وأهله وممالیکه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استخلفه سلطان ظالم علی قوم،وجعل إلیه إقامة الحدود،جاز له أن یقیمها علیهم علی الکمال،ویعتقد أنه إنما یفعل ذلک بإذن سلطان الحق،لا بإذن سلطان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 المؤمنین معونته وتمکینه من ذلک</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در این کلام شیخ،موارد ترخیص در اقامه حدود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فقهای پس از شیخ نقل این موارد را به‌منزله پذیرش جواز اقامه حدود برشمرده‌اند؛به‌ویژه اقامه حدود از سوی ستمگران،می‌تواند نشان‌دهنده جواز اصل اقامه حدود باشد؛چرا که اگر این امر نامشروع باشد،پذیرش ولایت در این امور نیز نامشروع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توضیحی که شیخ در ادامه مطرح می‌کند و از مجری حدود می‌خواهد این کار را با این باور انجام دهد که از سوی سلطان حق و امام معصوم مأذون است،تنها در صورتی پذیرفتنی است که چنین اذنی وجود داشته باشد؛وگرنه،بدون وجود اذن،صرف اعتقاد نمی‌تواند تصحیح کننده عمل باشد</w:t>
      </w:r>
      <w:r>
        <w:rPr>
          <w:rFonts w:eastAsia="IRNazanin" w:cs="IRNazanin"/>
          <w:color w:val="111111"/>
          <w:sz w:val="28"/>
          <w:szCs w:val="28"/>
          <w:rtl w:val="true"/>
          <w:lang w:bidi="fa-IR"/>
        </w:rPr>
        <w:t>.</w:t>
      </w:r>
    </w:p>
    <w:p>
      <w:pPr>
        <w:pStyle w:val="Heading5"/>
        <w:numPr>
          <w:ilvl w:val="4"/>
          <w:numId w:val="1"/>
        </w:numPr>
        <w:rPr/>
      </w:pPr>
      <w:bookmarkStart w:id="580" w:name="__RefHeading___Toc3420026_581953129"/>
      <w:bookmarkStart w:id="581" w:name="_Toc230"/>
      <w:bookmarkEnd w:id="580"/>
      <w:r>
        <w:rPr/>
        <w:t>3</w:t>
      </w:r>
      <w:r>
        <w:rPr>
          <w:rtl w:val="true"/>
        </w:rPr>
        <w:t>-</w:t>
      </w:r>
      <w:r>
        <w:rPr>
          <w:rtl w:val="true"/>
        </w:rPr>
        <w:t>سلّار</w:t>
      </w:r>
      <w:bookmarkEnd w:id="581"/>
    </w:p>
    <w:p>
      <w:pPr>
        <w:pStyle w:val="BookText"/>
        <w:rPr/>
      </w:pPr>
      <w:r>
        <w:rPr>
          <w:rFonts w:ascii="IRNazanin" w:hAnsi="IRNazanin" w:eastAsia="IRNazanin"/>
          <w:color w:val="111111"/>
          <w:sz w:val="28"/>
          <w:sz w:val="28"/>
          <w:szCs w:val="28"/>
          <w:rtl w:val="true"/>
          <w:lang w:bidi="fa-IR"/>
        </w:rPr>
        <w:t>ابوحمزه دیلمی معروف به سلّار که از فقهای نامی پیش از ابن‌ادریس به شمار می‌رود،با شیخ مفید در مسئله اقامه حدود هم‌عقیده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قتل و جراحت در امر به معروف و نهی از منکر به سلطان یا کسی که سلطان بدو امر می‌نماید واگذار شده،ولی اگر مانعی پدید آمد،اقامه حدود و داوری میان مردم را به فقها تفویض کرده‌اند؛مشروط به اینکه از واجبی تعدی نکنند و به حدی تجاوز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شیعیان را هم تا وقتی فقها بر روش خود استوارند،به یاری آنان امر کرده‌اند</w:t>
      </w:r>
      <w:r>
        <w:rPr>
          <w:rFonts w:eastAsia="IRNazanin" w:cs="IRNazanin"/>
          <w:color w:val="111111"/>
          <w:sz w:val="28"/>
          <w:szCs w:val="28"/>
          <w:rtl w:val="true"/>
          <w:lang w:bidi="fa-IR"/>
        </w:rPr>
        <w:t xml:space="preserve">. </w:t>
      </w:r>
      <w:r>
        <w:rPr>
          <w:rStyle w:val="FootnoteAnchor"/>
          <w:rtl w:val="true"/>
        </w:rPr>
        <w:footnoteReference w:id="67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این عبارت سلّار به روشنی دیدگاه وی را در این مسئله روشن می‌کند،ولی این فقیه بزرگوار در ادامه مطلبی گفته که برخی را به تردید در موضع ایشان</w:t>
      </w:r>
      <w:bookmarkStart w:id="582" w:name="pg5664_43491"/>
    </w:p>
    <w:p>
      <w:pPr>
        <w:pStyle w:val="BookText"/>
        <w:rPr/>
      </w:pPr>
      <w:bookmarkEnd w:id="582"/>
      <w:r>
        <w:rPr>
          <w:rFonts w:ascii="IRNazanin" w:hAnsi="IRNazanin" w:eastAsia="IRNazanin"/>
          <w:color w:val="111111"/>
          <w:sz w:val="28"/>
          <w:sz w:val="28"/>
          <w:szCs w:val="28"/>
          <w:rtl w:val="true"/>
          <w:lang w:bidi="fa-IR"/>
        </w:rPr>
        <w:t>واداشته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ان للانسان ان یقیم علی ولده و عبده الحدود اذا کان فقیها،و لم یخف من ذلک علی نفسه،و الاول اثبت</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ظاهر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والاول اثبت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انسانِ حتی فقیه هم نمی‌تواند بر ولد و عبد خویش اقامه حدود کند،در حالی که ایشان به‌طور مطلق اقامه حدود را پذیرفته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این کلام ایشان را استثنایی بر کلام سابقش دانسته‌اند، </w:t>
      </w:r>
      <w:r>
        <w:rPr>
          <w:rStyle w:val="FootnoteAnchor"/>
          <w:rtl w:val="true"/>
        </w:rPr>
        <w:footnoteReference w:id="673"/>
      </w:r>
      <w:r>
        <w:rPr>
          <w:rFonts w:ascii="IRNazanin" w:hAnsi="IRNazanin" w:eastAsia="IRNazanin"/>
          <w:color w:val="111111"/>
          <w:sz w:val="28"/>
          <w:sz w:val="28"/>
          <w:szCs w:val="28"/>
          <w:rtl w:val="true"/>
          <w:lang w:bidi="fa-IR"/>
        </w:rPr>
        <w:t>و برخی دیگر نیز وجوه زیر را در توجیه این کلام سلّار برشمرده‌اند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روایت که سلّار به آن استشهاد کرده،اقتضای انحصار جواز اقامه حدود فقط بر عبد و فرزند می‌کند،مورد پسند سلّار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اطلاق جواز اقامه حدود اشاره می‌کند و آن را اولی از تخصیص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نظر جواز اقامه حدود بر فرزند و عبد اطلاق زمانی دارد؛یعنی زمان حضور معصوم را نیز در برمی‌گیرد که این مورد قبول سلّار نیست و با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 در زمان حضور معصوم اقامه حدود از سوی امام یا حاکم از طرف ایشان اولی است</w:t>
      </w:r>
      <w:r>
        <w:rPr>
          <w:rFonts w:eastAsia="IRNazanin" w:cs="IRNazanin"/>
          <w:color w:val="111111"/>
          <w:sz w:val="28"/>
          <w:szCs w:val="28"/>
          <w:rtl w:val="true"/>
          <w:lang w:bidi="fa-IR"/>
        </w:rPr>
        <w:t xml:space="preserve">. </w:t>
      </w:r>
      <w:r>
        <w:rPr>
          <w:rStyle w:val="FootnoteAnchor"/>
          <w:rtl w:val="true"/>
        </w:rPr>
        <w:footnoteReference w:id="674"/>
      </w:r>
    </w:p>
    <w:p>
      <w:pPr>
        <w:pStyle w:val="Heading4"/>
        <w:numPr>
          <w:ilvl w:val="3"/>
          <w:numId w:val="1"/>
        </w:numPr>
        <w:rPr/>
      </w:pPr>
      <w:bookmarkStart w:id="583" w:name="__RefHeading___Toc3420028_581953129"/>
      <w:bookmarkStart w:id="584" w:name="_Toc231"/>
      <w:bookmarkEnd w:id="583"/>
      <w:r>
        <w:rPr>
          <w:rtl w:val="true"/>
        </w:rPr>
        <w:t>متأخرین</w:t>
      </w:r>
      <w:bookmarkEnd w:id="584"/>
    </w:p>
    <w:p>
      <w:pPr>
        <w:pStyle w:val="Heading5"/>
        <w:numPr>
          <w:ilvl w:val="4"/>
          <w:numId w:val="1"/>
        </w:numPr>
        <w:rPr/>
      </w:pPr>
      <w:bookmarkStart w:id="585" w:name="__RefHeading___Toc3420030_581953129"/>
      <w:bookmarkStart w:id="586" w:name="_Toc232"/>
      <w:bookmarkEnd w:id="585"/>
      <w:r>
        <w:rPr/>
        <w:t>1</w:t>
      </w:r>
      <w:r>
        <w:rPr>
          <w:rtl w:val="true"/>
        </w:rPr>
        <w:t>-</w:t>
      </w:r>
      <w:r>
        <w:rPr>
          <w:rtl w:val="true"/>
        </w:rPr>
        <w:t>علامه حلی</w:t>
      </w:r>
      <w:bookmarkEnd w:id="586"/>
    </w:p>
    <w:p>
      <w:pPr>
        <w:pStyle w:val="BookText"/>
        <w:rPr/>
      </w:pPr>
      <w:r>
        <w:rPr>
          <w:rFonts w:ascii="IRNazanin" w:hAnsi="IRNazanin" w:eastAsia="IRNazanin"/>
          <w:color w:val="111111"/>
          <w:sz w:val="28"/>
          <w:sz w:val="28"/>
          <w:szCs w:val="28"/>
          <w:rtl w:val="true"/>
          <w:lang w:bidi="fa-IR"/>
        </w:rPr>
        <w:t>علامه با اینکه در برخی آثار خود،توقف در مسئله را برگزیده،در قواعد الاحکام همراه با پذیرش دیدگاه جواز،استدل‌های بدیعی به نفع آن طرح کرده،می‌نویسد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حدود تنها وظیفه امام معصوم یا کسی است که از سوی آن حضرت اجازه داشته باشد و در زمان غیبت،فقهای شیعه این وظیفه را بر عهده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و داوری میان مردم در صورت ایمنی از ستم‌پیشگان و نیز سهم‌بندی زکات و خمس و افتاء،وظیفه فقیهان است</w:t>
      </w:r>
      <w:r>
        <w:rPr>
          <w:rFonts w:eastAsia="IRNazanin" w:cs="IRNazanin"/>
          <w:color w:val="111111"/>
          <w:sz w:val="28"/>
          <w:szCs w:val="28"/>
          <w:rtl w:val="true"/>
          <w:lang w:bidi="fa-IR"/>
        </w:rPr>
        <w:t xml:space="preserve">. </w:t>
      </w:r>
      <w:r>
        <w:rPr>
          <w:rStyle w:val="FootnoteAnchor"/>
          <w:rtl w:val="true"/>
        </w:rPr>
        <w:footnoteReference w:id="675"/>
      </w:r>
      <w:bookmarkStart w:id="587" w:name="pg5664_43492"/>
    </w:p>
    <w:p>
      <w:pPr>
        <w:pStyle w:val="BookText"/>
        <w:rPr/>
      </w:pPr>
      <w:bookmarkEnd w:id="587"/>
      <w:r>
        <w:rPr>
          <w:rFonts w:ascii="IRNazanin" w:hAnsi="IRNazanin" w:eastAsia="IRNazanin"/>
          <w:color w:val="111111"/>
          <w:sz w:val="28"/>
          <w:sz w:val="28"/>
          <w:szCs w:val="28"/>
          <w:rtl w:val="true"/>
          <w:lang w:bidi="fa-IR"/>
        </w:rPr>
        <w:t>علامه بایستگی اقامه حدود را افزون بر دلیل نقلی،متکی بر دلیل عقلی نیز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ماست تعطیل حدود،به انجام حرام‌ها و گسترش فسادها می‌انجامد که بی‌گمان شارع به آن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عمربن حنظله و مانند آن،که دلالت می‌کند بر روا بودن اجرای حکم برای فقیهان و آن عام است در اقامه حدود و غیر آن</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ایشان در تبصرة المتعلمین نیز همچون ارشاد،مختلف و تحریر،اقامه حدود را برای فقیهان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حدود در صورت ایمن بودن از ضرر،برای فقها جایز است،و بر مردم واجب است آنان را یاری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فتوا دادن و بیان احکام الهی و داوری میان مردم،وظیفه فقیهانِ دارای ویژگی‌های فتواست</w:t>
      </w:r>
      <w:r>
        <w:rPr>
          <w:rFonts w:eastAsia="IRNazanin" w:cs="IRNazanin"/>
          <w:color w:val="111111"/>
          <w:sz w:val="28"/>
          <w:szCs w:val="28"/>
          <w:rtl w:val="true"/>
          <w:lang w:bidi="fa-IR"/>
        </w:rPr>
        <w:t xml:space="preserve">. </w:t>
      </w:r>
      <w:r>
        <w:rPr>
          <w:rStyle w:val="FootnoteAnchor"/>
          <w:rtl w:val="true"/>
        </w:rPr>
        <w:footnoteReference w:id="677"/>
      </w:r>
    </w:p>
    <w:p>
      <w:pPr>
        <w:pStyle w:val="Heading5"/>
        <w:numPr>
          <w:ilvl w:val="4"/>
          <w:numId w:val="1"/>
        </w:numPr>
        <w:rPr/>
      </w:pPr>
      <w:bookmarkStart w:id="588" w:name="__RefHeading___Toc3420032_581953129"/>
      <w:bookmarkStart w:id="589" w:name="_Toc233"/>
      <w:bookmarkEnd w:id="588"/>
      <w:r>
        <w:rPr/>
        <w:t>2</w:t>
      </w:r>
      <w:r>
        <w:rPr>
          <w:rtl w:val="true"/>
        </w:rPr>
        <w:t>-</w:t>
      </w:r>
      <w:r>
        <w:rPr>
          <w:rtl w:val="true"/>
        </w:rPr>
        <w:t>شهید اول</w:t>
      </w:r>
      <w:bookmarkEnd w:id="589"/>
    </w:p>
    <w:p>
      <w:pPr>
        <w:pStyle w:val="BookText"/>
        <w:rPr/>
      </w:pPr>
      <w:r>
        <w:rPr>
          <w:rFonts w:ascii="IRNazanin" w:hAnsi="IRNazanin" w:eastAsia="IRNazanin"/>
          <w:color w:val="111111"/>
          <w:sz w:val="28"/>
          <w:sz w:val="28"/>
          <w:szCs w:val="28"/>
          <w:rtl w:val="true"/>
          <w:lang w:bidi="fa-IR"/>
        </w:rPr>
        <w:t>شیخ شمس الدین محمد بن محمد مکی عاملی معروف به شهید اول،از فقهای بزرگ شیعه در آثار خود دیدگاه جواز را برگزیده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کتاب اللمعة الدمشقیه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در صورت وجود امنیت،فقها می‌توانند اقامه حدود و بین مردم قضاوت کنند؛در صورتی که دارای صفات مفتی باشند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ایمان،عدالت،شناخت احکام با ادله،و توانایی بازگشت دادن فروع به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این شهید بزرگوار در کتاب ارزشمند الدروس الشریعة فی فقه الامامیة نیز اقامه حدود را از ویژگی‌های ائمه و نایبان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نایبان عام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و تعزیرات به دست امام و نایب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زمان غیبت برای فقیهی که دارای شرایطی است که در بحث قضا طرح خواهد شد،در صورت امکان اقامه حدود جایز است و بر عامه مردم تقویت فقها واجب می‌باشد</w:t>
      </w:r>
      <w:r>
        <w:rPr>
          <w:rFonts w:eastAsia="IRNazanin" w:cs="IRNazanin"/>
          <w:color w:val="111111"/>
          <w:sz w:val="28"/>
          <w:szCs w:val="28"/>
          <w:rtl w:val="true"/>
          <w:lang w:bidi="fa-IR"/>
        </w:rPr>
        <w:t xml:space="preserve">. </w:t>
      </w:r>
      <w:r>
        <w:rPr>
          <w:rStyle w:val="FootnoteAnchor"/>
          <w:rtl w:val="true"/>
        </w:rPr>
        <w:footnoteReference w:id="679"/>
      </w:r>
      <w:bookmarkStart w:id="590" w:name="pg5664_43493"/>
    </w:p>
    <w:p>
      <w:pPr>
        <w:pStyle w:val="Heading5"/>
        <w:numPr>
          <w:ilvl w:val="4"/>
          <w:numId w:val="1"/>
        </w:numPr>
        <w:rPr/>
      </w:pPr>
      <w:bookmarkStart w:id="591" w:name="__RefHeading___Toc3420034_581953129"/>
      <w:bookmarkStart w:id="592" w:name="_Toc234"/>
      <w:bookmarkEnd w:id="590"/>
      <w:bookmarkEnd w:id="591"/>
      <w:r>
        <w:rPr/>
        <w:t>3</w:t>
      </w:r>
      <w:r>
        <w:rPr>
          <w:rtl w:val="true"/>
        </w:rPr>
        <w:t>-</w:t>
      </w:r>
      <w:r>
        <w:rPr>
          <w:rtl w:val="true"/>
        </w:rPr>
        <w:t>ابن‌فهد حلی</w:t>
      </w:r>
      <w:bookmarkEnd w:id="592"/>
    </w:p>
    <w:p>
      <w:pPr>
        <w:pStyle w:val="BookText"/>
        <w:rPr/>
      </w:pPr>
      <w:r>
        <w:rPr>
          <w:rFonts w:ascii="IRNazanin" w:hAnsi="IRNazanin" w:eastAsia="IRNazanin"/>
          <w:color w:val="111111"/>
          <w:sz w:val="28"/>
          <w:sz w:val="28"/>
          <w:szCs w:val="28"/>
          <w:rtl w:val="true"/>
          <w:lang w:bidi="fa-IR"/>
        </w:rPr>
        <w:t>ابن‌فهد حلی در کتاب فقهی خود مهذب البارع درباره ولایت فقها بر اقامه حدود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عهده فقهاست که بر عموم مردم حدود را جاری سازند و این عقیده شیخ طوسی و ابی‌یعلی است و علاّمه نیز،به دلیلی که پیش از این یادآور شده‌ایم و روایت عمر بن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برگزیده است،ولی ابن‌ادریس از آن منع کرده و گفته است که غیر امام فقط می‌تواند بر مملوک اقامه حد کند</w:t>
      </w:r>
      <w:r>
        <w:rPr>
          <w:rFonts w:eastAsia="IRNazanin" w:cs="IRNazanin"/>
          <w:color w:val="111111"/>
          <w:sz w:val="28"/>
          <w:szCs w:val="28"/>
          <w:rtl w:val="true"/>
          <w:lang w:bidi="fa-IR"/>
        </w:rPr>
        <w:t xml:space="preserve">. </w:t>
      </w:r>
      <w:r>
        <w:rPr>
          <w:rStyle w:val="FootnoteAnchor"/>
          <w:rtl w:val="true"/>
        </w:rPr>
        <w:footnoteReference w:id="680"/>
      </w:r>
    </w:p>
    <w:p>
      <w:pPr>
        <w:pStyle w:val="Heading5"/>
        <w:numPr>
          <w:ilvl w:val="4"/>
          <w:numId w:val="1"/>
        </w:numPr>
        <w:rPr/>
      </w:pPr>
      <w:bookmarkStart w:id="593" w:name="__RefHeading___Toc3420036_581953129"/>
      <w:bookmarkStart w:id="594" w:name="_Toc235"/>
      <w:bookmarkEnd w:id="593"/>
      <w:r>
        <w:rPr/>
        <w:t>4</w:t>
      </w:r>
      <w:r>
        <w:rPr>
          <w:rtl w:val="true"/>
        </w:rPr>
        <w:t>-</w:t>
      </w:r>
      <w:r>
        <w:rPr>
          <w:rtl w:val="true"/>
        </w:rPr>
        <w:t>فاضل مقداد</w:t>
      </w:r>
      <w:bookmarkEnd w:id="594"/>
    </w:p>
    <w:p>
      <w:pPr>
        <w:pStyle w:val="BookText"/>
        <w:rPr/>
      </w:pPr>
      <w:r>
        <w:rPr>
          <w:rFonts w:ascii="IRNazanin" w:hAnsi="IRNazanin" w:eastAsia="IRNazanin"/>
          <w:color w:val="111111"/>
          <w:sz w:val="28"/>
          <w:sz w:val="28"/>
          <w:szCs w:val="28"/>
          <w:rtl w:val="true"/>
          <w:lang w:bidi="fa-IR"/>
        </w:rPr>
        <w:t>ایشان در التنقیح الرائع که شرح مختصر النافع است،در ذیل عبارت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قیل یقیم الفقهاء الحدود فی زمان الغیبة اذا امنوا و یجب علی الناس مساعدتهم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این قول،شیخ مفید و شیخ طوسی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قول آن دو را برگزیده،در حالی که استدلال می‌کند بر این قول،به دو دسته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و عمومات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 اینکه،تعطیل شدن اجرای حدود به انجام حرام‌ها و گسترش فسادها می‌انجامد که بی‌گمان شارع به آن راضی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دوم،روایت عمر بن حنظله</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فاضل مقداد پس از ذکر دلیل‌های علامه بر این مسئله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عمومات،به آوردن دو روایت از پیامبراکرم صلّی الله علیه و آله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عالمان،وارثان انبیاءاند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پیامبران چیزی به ارث نگذاشته‌اند که علما از آن بهره‌ای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ارث‌بری علما از پیامبران،دانش یا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که روشن است و به شناساندن نیاز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مراد،همان دومی است که حکومت اسلامی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امت من،بسان انبیای بنی‌اسرائیل هستند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ایشان درباره دلیل عقلی نیز می‌نویسد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عقل،مقتضی اقامه حدود در زمان غیبت نیز موجود است و از این</w:t>
      </w:r>
      <w:bookmarkStart w:id="595" w:name="pg5664_43494"/>
    </w:p>
    <w:p>
      <w:pPr>
        <w:pStyle w:val="BookText"/>
        <w:rPr/>
      </w:pPr>
      <w:bookmarkEnd w:id="595"/>
      <w:r>
        <w:rPr>
          <w:rFonts w:ascii="IRNazanin" w:hAnsi="IRNazanin" w:eastAsia="IRNazanin"/>
          <w:color w:val="111111"/>
          <w:sz w:val="28"/>
          <w:sz w:val="28"/>
          <w:szCs w:val="28"/>
          <w:rtl w:val="true"/>
          <w:lang w:bidi="fa-IR"/>
        </w:rPr>
        <w:t>حیث فرقی میان زمان حضور و زمان غیبت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حکمت اقامه حدود به اقامه کننده آن برنمی‌گردد،بلکه یا به مستحق حد برمی‌گردد یا به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نیز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تقدیر،اقامه حدود لازم و گریزناپذیر است</w:t>
      </w:r>
      <w:r>
        <w:rPr>
          <w:rFonts w:eastAsia="IRNazanin" w:cs="IRNazanin"/>
          <w:color w:val="111111"/>
          <w:sz w:val="28"/>
          <w:szCs w:val="28"/>
          <w:rtl w:val="true"/>
          <w:lang w:bidi="fa-IR"/>
        </w:rPr>
        <w:t xml:space="preserve">. </w:t>
      </w:r>
      <w:r>
        <w:rPr>
          <w:rStyle w:val="FootnoteAnchor"/>
          <w:rtl w:val="true"/>
        </w:rPr>
        <w:footnoteReference w:id="683"/>
      </w:r>
    </w:p>
    <w:p>
      <w:pPr>
        <w:pStyle w:val="Heading5"/>
        <w:numPr>
          <w:ilvl w:val="4"/>
          <w:numId w:val="1"/>
        </w:numPr>
        <w:rPr/>
      </w:pPr>
      <w:bookmarkStart w:id="596" w:name="__RefHeading___Toc3420038_581953129"/>
      <w:bookmarkStart w:id="597" w:name="_Toc236"/>
      <w:bookmarkEnd w:id="596"/>
      <w:r>
        <w:rPr/>
        <w:t>5</w:t>
      </w:r>
      <w:r>
        <w:rPr>
          <w:rtl w:val="true"/>
        </w:rPr>
        <w:t>-</w:t>
      </w:r>
      <w:r>
        <w:rPr>
          <w:rtl w:val="true"/>
        </w:rPr>
        <w:t>محقق کرکی</w:t>
      </w:r>
      <w:bookmarkEnd w:id="597"/>
    </w:p>
    <w:p>
      <w:pPr>
        <w:pStyle w:val="BookText"/>
        <w:rPr/>
      </w:pPr>
      <w:r>
        <w:rPr>
          <w:rFonts w:ascii="IRNazanin" w:hAnsi="IRNazanin" w:eastAsia="IRNazanin"/>
          <w:color w:val="111111"/>
          <w:sz w:val="28"/>
          <w:sz w:val="28"/>
          <w:szCs w:val="28"/>
          <w:rtl w:val="true"/>
          <w:lang w:bidi="fa-IR"/>
        </w:rPr>
        <w:t>از نظر محقق کرکی عموم نیابت،نه تنها ثابت شده است،بلکه وی این نظر را مورد اتفاق علمای شیعه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شیعه اتفاق نظر دارند که فقیه عادل امین و دارای همه ویژگی‌های علمی و عملی،که از او به مجتهد در احکام شرعی تعبیر می‌شود،از سوی ائمه در همه ساحت‌هایی که نیابت در آنها نقش دارد،نایب است</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در باب امر به معروف و نهی از منکر نیز در توضیح عبارت قواعد ابتدا دو دیدگاه موجود را درباره مرتبه اعلای آن،که به جرح و قتل می‌انجامد،مطرح می‌کند و در ادامه نظر خویش را درباره چنین مرتبه‌ای از امر به معروف به‌دست فقها بیان داشته،آن را بر جواز اقامه حدود در زمان غیبت مبتنی می‌داند</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همچنین وی دیدگاه‌های متفاوت را درباره دیگر موارد جواز در کلام فقها در پی می‌آورد و در پایان،بحث اقامه حدود را از سوی ستمگران مطرح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آن است که اقامه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مجری حدود دارای صفات حکم باشد،جایز است</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محقق کرکی در برخی از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عموم نیابت استثنا کرده،آن را به اصحاب نسبت داده است</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با توجه به مقام علمی این فقیه برجسته،بعید است مراد ایشان،اجماع اصحاب یا حتی مشهور اصحاب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دلیل،صاحب</w:t>
      </w:r>
      <w:bookmarkStart w:id="598" w:name="pg5664_43495"/>
    </w:p>
    <w:p>
      <w:pPr>
        <w:pStyle w:val="BookText"/>
        <w:rPr/>
      </w:pPr>
      <w:bookmarkEnd w:id="598"/>
      <w:r>
        <w:rPr>
          <w:rFonts w:ascii="IRNazanin" w:hAnsi="IRNazanin" w:eastAsia="IRNazanin"/>
          <w:color w:val="111111"/>
          <w:sz w:val="28"/>
          <w:sz w:val="28"/>
          <w:szCs w:val="28"/>
          <w:rtl w:val="true"/>
          <w:lang w:bidi="fa-IR"/>
        </w:rPr>
        <w:t>جواهر در توضیح فرمایش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ایشان بعض اصحاب باشد و ابن‌ادریس و ابن‌زهره مورد نظر باشند</w:t>
      </w:r>
      <w:r>
        <w:rPr>
          <w:rFonts w:eastAsia="IRNazanin" w:cs="IRNazanin"/>
          <w:color w:val="111111"/>
          <w:sz w:val="28"/>
          <w:szCs w:val="28"/>
          <w:rtl w:val="true"/>
          <w:lang w:bidi="fa-IR"/>
        </w:rPr>
        <w:t xml:space="preserve">». </w:t>
      </w:r>
      <w:r>
        <w:rPr>
          <w:rStyle w:val="FootnoteAnchor"/>
          <w:rtl w:val="true"/>
        </w:rPr>
        <w:footnoteReference w:id="688"/>
      </w:r>
    </w:p>
    <w:p>
      <w:pPr>
        <w:pStyle w:val="Heading5"/>
        <w:numPr>
          <w:ilvl w:val="4"/>
          <w:numId w:val="1"/>
        </w:numPr>
        <w:rPr/>
      </w:pPr>
      <w:bookmarkStart w:id="599" w:name="__RefHeading___Toc3420040_581953129"/>
      <w:bookmarkStart w:id="600" w:name="_Toc237"/>
      <w:bookmarkEnd w:id="599"/>
      <w:r>
        <w:rPr/>
        <w:t>6</w:t>
      </w:r>
      <w:r>
        <w:rPr>
          <w:rtl w:val="true"/>
        </w:rPr>
        <w:t>-</w:t>
      </w:r>
      <w:r>
        <w:rPr>
          <w:rtl w:val="true"/>
        </w:rPr>
        <w:t>شهید ثانی</w:t>
      </w:r>
      <w:bookmarkEnd w:id="600"/>
    </w:p>
    <w:p>
      <w:pPr>
        <w:pStyle w:val="BookText"/>
        <w:rPr/>
      </w:pPr>
      <w:r>
        <w:rPr>
          <w:rFonts w:ascii="IRNazanin" w:hAnsi="IRNazanin" w:eastAsia="IRNazanin"/>
          <w:color w:val="111111"/>
          <w:sz w:val="28"/>
          <w:sz w:val="28"/>
          <w:szCs w:val="28"/>
          <w:rtl w:val="true"/>
          <w:lang w:bidi="fa-IR"/>
        </w:rPr>
        <w:t>شهید ثانی،زین‌الدین جبعی عاملی شامی،در بحث امر به معروف و نهی از منکر،در این باره که اقامه حدود،برای فقیهان رواست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قول،مذهب شیخ طوسی و مفید و گروهی از فقیهان شیعه است؛چرا که اقامه حدود از امور حکومتی است و در اقامه آن مصلحت عمومی از باب لطف در زمینه ترک حرام‌ها و جلوگیری از دامن گستری فسادها در نظر بوده و این قول قوی است</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ایشان در کتاب روض الجنان فی شرح ارشاد الاذهان نیز ضمن بحث نماز جمعه،بر آن است که فقها به دلیل مقبوله عمر بن حنظله،منصوب عام از سوی امام هستند و از این‌رو،اقامه حدود و قضا به‌دست ایشان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الفقیه الشرعی منصوب من قبل الامام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لقول الصادق علیه السلام فی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تمضی احکامه و یجب مساعدته علی اقامة الحدود و القضاء بین الناس و هذه الاشیاء اعظم من مباشرة الامام الصلاة</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شهید ثانی در کتاب دیگر خود الروضة البهیة معروف به شرح لمعه دیدگاه شهید اول را بدون نقد ذکر می‌کند که به معنای پذیرش دیدگاه جواز در این کتاب است</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در غایة المرام نیز با آوردن نظر علامه در مختلف،در دفاع از دیدگاه جواز استدلال می‌کند</w:t>
      </w:r>
      <w:r>
        <w:rPr>
          <w:rFonts w:eastAsia="IRNazanin" w:cs="IRNazanin"/>
          <w:color w:val="111111"/>
          <w:sz w:val="28"/>
          <w:szCs w:val="28"/>
          <w:rtl w:val="true"/>
          <w:lang w:bidi="fa-IR"/>
        </w:rPr>
        <w:t xml:space="preserve">. </w:t>
      </w:r>
      <w:r>
        <w:rPr>
          <w:rStyle w:val="FootnoteAnchor"/>
          <w:rtl w:val="true"/>
        </w:rPr>
        <w:footnoteReference w:id="692"/>
      </w:r>
    </w:p>
    <w:p>
      <w:pPr>
        <w:pStyle w:val="Heading4"/>
        <w:numPr>
          <w:ilvl w:val="3"/>
          <w:numId w:val="1"/>
        </w:numPr>
        <w:rPr/>
      </w:pPr>
      <w:bookmarkStart w:id="601" w:name="__RefHeading___Toc3420042_581953129"/>
      <w:bookmarkStart w:id="602" w:name="_Toc238"/>
      <w:bookmarkEnd w:id="601"/>
      <w:r>
        <w:rPr>
          <w:rtl w:val="true"/>
        </w:rPr>
        <w:t>متأخرِ متأخرین</w:t>
      </w:r>
      <w:bookmarkEnd w:id="602"/>
    </w:p>
    <w:p>
      <w:pPr>
        <w:pStyle w:val="Heading5"/>
        <w:numPr>
          <w:ilvl w:val="4"/>
          <w:numId w:val="1"/>
        </w:numPr>
        <w:rPr/>
      </w:pPr>
      <w:bookmarkStart w:id="603" w:name="__RefHeading___Toc3420044_581953129"/>
      <w:bookmarkStart w:id="604" w:name="_Toc239"/>
      <w:bookmarkEnd w:id="603"/>
      <w:r>
        <w:rPr/>
        <w:t>1</w:t>
      </w:r>
      <w:r>
        <w:rPr>
          <w:rtl w:val="true"/>
        </w:rPr>
        <w:t>-</w:t>
      </w:r>
      <w:r>
        <w:rPr>
          <w:rtl w:val="true"/>
        </w:rPr>
        <w:t>مقدس اردبیلی</w:t>
      </w:r>
      <w:bookmarkEnd w:id="60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اردبیلی با اینکه معتقد است در لزوم اذن امام در اقامه حدود هیچ خلافی</w:t>
      </w:r>
      <w:bookmarkStart w:id="605" w:name="pg5664_43496"/>
    </w:p>
    <w:p>
      <w:pPr>
        <w:pStyle w:val="BookText"/>
        <w:rPr/>
      </w:pPr>
      <w:bookmarkEnd w:id="605"/>
      <w:r>
        <w:rPr>
          <w:rFonts w:ascii="IRNazanin" w:hAnsi="IRNazanin" w:eastAsia="IRNazanin"/>
          <w:color w:val="111111"/>
          <w:sz w:val="28"/>
          <w:sz w:val="28"/>
          <w:szCs w:val="28"/>
          <w:rtl w:val="true"/>
          <w:lang w:bidi="fa-IR"/>
        </w:rPr>
        <w:t xml:space="preserve">نیست، </w:t>
      </w:r>
      <w:r>
        <w:rPr>
          <w:rStyle w:val="FootnoteAnchor"/>
          <w:rtl w:val="true"/>
        </w:rPr>
        <w:footnoteReference w:id="693"/>
      </w:r>
      <w:r>
        <w:rPr>
          <w:rFonts w:ascii="IRNazanin" w:hAnsi="IRNazanin" w:eastAsia="IRNazanin"/>
          <w:color w:val="111111"/>
          <w:sz w:val="28"/>
          <w:sz w:val="28"/>
          <w:szCs w:val="28"/>
          <w:rtl w:val="true"/>
          <w:lang w:bidi="fa-IR"/>
        </w:rPr>
        <w:t>در مسئله متولی از سوی ستمگران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الوالی ان کان مجتهدا فلا ینبغی التردد فی جوازه و ان کان باعتبار الخلاف فی اقامة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 نیت نیابت یا اذن امام،اگر متولی به اقامه حدود،مجتهد باشد،باید در جواز تردیدی به خود راه نداد</w:t>
      </w:r>
      <w:r>
        <w:rPr>
          <w:rFonts w:eastAsia="IRNazanin" w:cs="IRNazanin"/>
          <w:color w:val="111111"/>
          <w:sz w:val="28"/>
          <w:szCs w:val="28"/>
          <w:rtl w:val="true"/>
          <w:lang w:bidi="fa-IR"/>
        </w:rPr>
        <w:t xml:space="preserve">. </w:t>
      </w:r>
      <w:r>
        <w:rPr>
          <w:rStyle w:val="FootnoteAnchor"/>
          <w:rtl w:val="true"/>
        </w:rPr>
        <w:footnoteReference w:id="694"/>
      </w:r>
    </w:p>
    <w:p>
      <w:pPr>
        <w:pStyle w:val="Heading5"/>
        <w:numPr>
          <w:ilvl w:val="4"/>
          <w:numId w:val="1"/>
        </w:numPr>
        <w:rPr/>
      </w:pPr>
      <w:bookmarkStart w:id="606" w:name="__RefHeading___Toc3420046_581953129"/>
      <w:bookmarkStart w:id="607" w:name="_Toc240"/>
      <w:bookmarkEnd w:id="606"/>
      <w:r>
        <w:rPr/>
        <w:t>2</w:t>
      </w:r>
      <w:r>
        <w:rPr>
          <w:rtl w:val="true"/>
        </w:rPr>
        <w:t>-</w:t>
      </w:r>
      <w:r>
        <w:rPr>
          <w:rtl w:val="true"/>
        </w:rPr>
        <w:t>فیض کاشانی</w:t>
      </w:r>
      <w:bookmarkEnd w:id="607"/>
    </w:p>
    <w:p>
      <w:pPr>
        <w:pStyle w:val="BookText"/>
        <w:rPr/>
      </w:pPr>
      <w:r>
        <w:rPr>
          <w:rFonts w:ascii="IRNazanin" w:hAnsi="IRNazanin" w:eastAsia="IRNazanin"/>
          <w:color w:val="111111"/>
          <w:sz w:val="28"/>
          <w:sz w:val="28"/>
          <w:szCs w:val="28"/>
          <w:rtl w:val="true"/>
          <w:lang w:bidi="fa-IR"/>
        </w:rPr>
        <w:t>فیض کاشانی افزون بر اقامه حدود،افتاء و قضاوت،دیگر سیاست‌های دینی و حتی وجوب جهاد را از ضروریات دین دانسته،معتقد است دلیل نیابت،فقها را متولی این امور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بودن امر به معروف و نهی از منکر و یاری بر نیکی و تقوا و فتوا و حکم کردن میان مردم بر اساس حق،و اقامه حدود و تعزیرات و اجرای دیگر موردهای اجتماعی و سیاسی دین،از ضروری‌ها و بایسته‌های آن است و این امر محور بزرگ دین و مسئله مهمی است که خداوند انبیاء را برای آن برانگیخته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امور ترک شود،نبوت بی‌نتیجه ماند و دین سیر نابودی پوید و جوانمردی رو به نشیب رود و گمراهی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گسترش یابد و شهرها خراب و بندگان هلاک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بر عهده فقیهان است به دلیل نیابتی که دارند،آن را اقامه کنند،همچنان‌که شیخ مفید و طوسی و علامه و شماری از علماء چنین نظر داده‌اند؛زیرا فقهاء از طرف ائمه اجازه انجام کارها را دارند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در پی این فصل،فیض جهادی را که برای دعوت به اسلام باشد،به اذن امام مشروط و به تعطیلی آن در زمان غیبت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امر به معروف و نهی از منکر را نامشروط به حضور امام می‌شمارد و قول به اشتراط را افترایی به شیعه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نیز به اقامه حدود و تعزیرات می‌پردازد و می‌گوید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حدود و تعزیرات و دیگر سیاسات دینی نیز مشروط به حضور امام نیستند و اقامه این امور در زمان غیبت،به عهده فقهایی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حاکمان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هستند</w:t>
      </w:r>
      <w:r>
        <w:rPr>
          <w:rFonts w:eastAsia="IRNazanin" w:cs="IRNazanin"/>
          <w:color w:val="111111"/>
          <w:sz w:val="28"/>
          <w:szCs w:val="28"/>
          <w:rtl w:val="true"/>
          <w:lang w:bidi="fa-IR"/>
        </w:rPr>
        <w:t xml:space="preserve">. </w:t>
      </w:r>
      <w:r>
        <w:rPr>
          <w:rStyle w:val="FootnoteAnchor"/>
          <w:rtl w:val="true"/>
        </w:rPr>
        <w:footnoteReference w:id="696"/>
      </w:r>
      <w:bookmarkStart w:id="608" w:name="pg5664_43497"/>
    </w:p>
    <w:p>
      <w:pPr>
        <w:pStyle w:val="Heading5"/>
        <w:numPr>
          <w:ilvl w:val="4"/>
          <w:numId w:val="1"/>
        </w:numPr>
        <w:rPr/>
      </w:pPr>
      <w:bookmarkStart w:id="609" w:name="__RefHeading___Toc3420048_581953129"/>
      <w:bookmarkStart w:id="610" w:name="_Toc241"/>
      <w:bookmarkEnd w:id="608"/>
      <w:bookmarkEnd w:id="609"/>
      <w:r>
        <w:rPr/>
        <w:t>3</w:t>
      </w:r>
      <w:r>
        <w:rPr>
          <w:rtl w:val="true"/>
        </w:rPr>
        <w:t>-</w:t>
      </w:r>
      <w:r>
        <w:rPr>
          <w:rtl w:val="true"/>
        </w:rPr>
        <w:t>کاشف الغطاء</w:t>
      </w:r>
      <w:bookmarkEnd w:id="610"/>
    </w:p>
    <w:p>
      <w:pPr>
        <w:pStyle w:val="BookText"/>
        <w:rPr/>
      </w:pPr>
      <w:r>
        <w:rPr>
          <w:rFonts w:ascii="IRNazanin" w:hAnsi="IRNazanin" w:eastAsia="IRNazanin"/>
          <w:color w:val="111111"/>
          <w:sz w:val="28"/>
          <w:sz w:val="28"/>
          <w:szCs w:val="28"/>
          <w:rtl w:val="true"/>
          <w:lang w:bidi="fa-IR"/>
        </w:rPr>
        <w:t>شیخ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فقه و کلام و از فرهیختگان معرفت و احکام بود و در سادگی و احکام،معروف،و در نظر بزرگان و حکام مورد تعظیم،و در امر به معروف و نهی از منکر بسیار کوشا،و در حوادث و تعییرات روزگار باوقار،و نزد عرب‌ها و دیگران مطاع،و بر دیگر اقارن برتر بود</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وی درباره اقامه حدود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اجرای حدود به دست امام یا نایب خاص یا نایب عام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امام زمان،اقامه حدود،بر فقیهان رواست و بر همه مکلفان واجب است او را پشتیبانی کنند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ایشان چند سطر بعد نیز درباره اقامه حدود و تعزیرات در حکومت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به معروف واجب و نهی از منکر متوقف بر تعزیر باشد،هر کس مجاز است آن را برپا بدارد،ولی حد مخصوص مجتهد است،مگر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می‌تواند بر عبد خود حد اجرا کند</w:t>
      </w:r>
      <w:r>
        <w:rPr>
          <w:rFonts w:eastAsia="IRNazanin" w:cs="IRNazanin"/>
          <w:color w:val="111111"/>
          <w:sz w:val="28"/>
          <w:szCs w:val="28"/>
          <w:rtl w:val="true"/>
          <w:lang w:bidi="fa-IR"/>
        </w:rPr>
        <w:t xml:space="preserve">]» </w:t>
      </w:r>
      <w:r>
        <w:rPr>
          <w:rStyle w:val="FootnoteAnchor"/>
          <w:rtl w:val="true"/>
        </w:rPr>
        <w:footnoteReference w:id="699"/>
      </w:r>
    </w:p>
    <w:p>
      <w:pPr>
        <w:pStyle w:val="Heading5"/>
        <w:numPr>
          <w:ilvl w:val="4"/>
          <w:numId w:val="1"/>
        </w:numPr>
        <w:rPr/>
      </w:pPr>
      <w:bookmarkStart w:id="611" w:name="__RefHeading___Toc3420050_581953129"/>
      <w:bookmarkStart w:id="612" w:name="_Toc242"/>
      <w:bookmarkEnd w:id="611"/>
      <w:r>
        <w:rPr/>
        <w:t>4</w:t>
      </w:r>
      <w:r>
        <w:rPr>
          <w:rtl w:val="true"/>
        </w:rPr>
        <w:t>-</w:t>
      </w:r>
      <w:r>
        <w:rPr>
          <w:rtl w:val="true"/>
        </w:rPr>
        <w:t>محقق نراقی</w:t>
      </w:r>
      <w:bookmarkEnd w:id="612"/>
    </w:p>
    <w:p>
      <w:pPr>
        <w:pStyle w:val="BookText"/>
        <w:rPr/>
      </w:pPr>
      <w:r>
        <w:rPr>
          <w:rFonts w:ascii="IRNazanin" w:hAnsi="IRNazanin" w:eastAsia="IRNazanin"/>
          <w:color w:val="111111"/>
          <w:sz w:val="28"/>
          <w:sz w:val="28"/>
          <w:szCs w:val="28"/>
          <w:rtl w:val="true"/>
          <w:lang w:bidi="fa-IR"/>
        </w:rPr>
        <w:t>نراقی در عوائد الایام به صورت کاملاً بدیع و برای نخستین بار یک باب از کتاب خود را به ولایت فقیه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موجب شده برخی به غلط نراقی را مبتکر نظریه ولایت فقیه بدانند، </w:t>
      </w:r>
      <w:r>
        <w:rPr>
          <w:rStyle w:val="FootnoteAnchor"/>
          <w:rtl w:val="true"/>
        </w:rPr>
        <w:footnoteReference w:id="700"/>
      </w:r>
      <w:r>
        <w:rPr>
          <w:rFonts w:ascii="IRNazanin" w:hAnsi="IRNazanin" w:eastAsia="IRNazanin"/>
          <w:color w:val="111111"/>
          <w:sz w:val="28"/>
          <w:sz w:val="28"/>
          <w:szCs w:val="28"/>
          <w:rtl w:val="true"/>
          <w:lang w:bidi="fa-IR"/>
        </w:rPr>
        <w:t xml:space="preserve">در حالی که این نظریه از اصول مسلّم فقه شیعه است و فقهای پیش از نراقی نیز بدان ملتزم بوده‌اند، </w:t>
      </w:r>
      <w:r>
        <w:rPr>
          <w:rStyle w:val="FootnoteAnchor"/>
          <w:rtl w:val="true"/>
        </w:rPr>
        <w:footnoteReference w:id="701"/>
      </w:r>
      <w:r>
        <w:rPr>
          <w:rFonts w:ascii="IRNazanin" w:hAnsi="IRNazanin" w:eastAsia="IRNazanin"/>
          <w:color w:val="111111"/>
          <w:sz w:val="28"/>
          <w:sz w:val="28"/>
          <w:szCs w:val="28"/>
          <w:rtl w:val="true"/>
          <w:lang w:bidi="fa-IR"/>
        </w:rPr>
        <w:t>گرچه مباحث مربوط به آن را به صورت نامستقل و در لابه‌لای دیگر مباحث مرتبط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در این باب بحثی را هم به ولایت فقها بر اقامه حدود و تعزیرات اختصاص داده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الحدود و التعزیرات و اختلفوا فی ثبوت ولایتها للفقیه فی زمن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للقاعدتین المتقدمتین مضافتین الی روایة حفص بن</w:t>
      </w:r>
      <w:bookmarkStart w:id="613" w:name="pg5664_43498"/>
    </w:p>
    <w:p>
      <w:pPr>
        <w:pStyle w:val="BookText"/>
        <w:rPr/>
      </w:pPr>
      <w:bookmarkEnd w:id="613"/>
      <w:r>
        <w:rPr>
          <w:rFonts w:ascii="IRNazanin" w:hAnsi="IRNazanin" w:eastAsia="IRNazanin"/>
          <w:color w:val="111111"/>
          <w:sz w:val="28"/>
          <w:sz w:val="28"/>
          <w:szCs w:val="28"/>
          <w:rtl w:val="true"/>
          <w:lang w:bidi="fa-IR"/>
        </w:rPr>
        <w:t>غیاث المنجبر ضعفها لو کان بالشهرة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ابا عبد الله علیه السلام من یقیم الحدود،السلطان او القاضی؟فقال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الحدود الی من الیه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ویؤیده روایة ابی مریم قال</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نراقی به دلیل دو قاعده‌ای که بر اصل ولایت فقیه اقامه کرده است و روایت حفص و برخی دیگر از ادله دیدگاه جواز را برمی‌گزیند</w:t>
      </w:r>
      <w:r>
        <w:rPr>
          <w:rFonts w:eastAsia="IRNazanin" w:cs="IRNazanin"/>
          <w:color w:val="111111"/>
          <w:sz w:val="28"/>
          <w:szCs w:val="28"/>
          <w:rtl w:val="true"/>
          <w:lang w:bidi="fa-IR"/>
        </w:rPr>
        <w:t>.</w:t>
      </w:r>
    </w:p>
    <w:p>
      <w:pPr>
        <w:pStyle w:val="Heading5"/>
        <w:numPr>
          <w:ilvl w:val="4"/>
          <w:numId w:val="1"/>
        </w:numPr>
        <w:rPr/>
      </w:pPr>
      <w:bookmarkStart w:id="614" w:name="__RefHeading___Toc3420052_581953129"/>
      <w:bookmarkStart w:id="615" w:name="_Toc243"/>
      <w:bookmarkEnd w:id="614"/>
      <w:r>
        <w:rPr/>
        <w:t>5</w:t>
      </w:r>
      <w:r>
        <w:rPr>
          <w:rtl w:val="true"/>
        </w:rPr>
        <w:t>-</w:t>
      </w:r>
      <w:r>
        <w:rPr>
          <w:rtl w:val="true"/>
        </w:rPr>
        <w:t>صاحب جواهر</w:t>
      </w:r>
      <w:bookmarkEnd w:id="615"/>
    </w:p>
    <w:p>
      <w:pPr>
        <w:pStyle w:val="BookText"/>
        <w:rPr/>
      </w:pPr>
      <w:r>
        <w:rPr>
          <w:rFonts w:ascii="IRNazanin" w:hAnsi="IRNazanin" w:eastAsia="IRNazanin"/>
          <w:color w:val="111111"/>
          <w:sz w:val="28"/>
          <w:sz w:val="28"/>
          <w:szCs w:val="28"/>
          <w:rtl w:val="true"/>
          <w:lang w:bidi="fa-IR"/>
        </w:rPr>
        <w:t>فقیه نام‌آور شیعه،محقق نجفی،صاحب کتاب گران‌سنگ جواهر الکلام درباره مشروعیت اجرای حدود در عصر غیبت و واگذاری این اختیار از سوی امام معصوم به فقهای شیعه،در بحثی مفصل با قاطعیت تمام از این مشروعیت دفاع و برای اثبات این نظریه،به ادله گوناگونی استناد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جمله،روایات متعددی که بر اساس آن،فقیه جامع شرایط در عصر غیبت در مقام امین پیامبر و جانشین معصوم علیه السلام در اجرای حدود الهی معرفی گردیده است</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کثرت این روایات درکنار تنوع راویان آن،از مجموعه آنها،روایاتی در حد استفاضه ساخته است</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مرحوم صاحب جواهر در پایان این ادله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ولایت عام فقیه جامع شرایط و از جمله اختیار اجرای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آشکار است که به استدلال نیاز ندارد و شگفت‌آور است که برخی در این مسئله وسوسه می‌کنند؛گویا این دسته،حتی اندکی هم طعم فقه را نچشیده‌اند</w:t>
      </w:r>
      <w:r>
        <w:rPr>
          <w:rFonts w:eastAsia="IRNazanin" w:cs="IRNazanin"/>
          <w:color w:val="111111"/>
          <w:sz w:val="28"/>
          <w:szCs w:val="28"/>
          <w:rtl w:val="true"/>
          <w:lang w:bidi="fa-IR"/>
        </w:rPr>
        <w:t xml:space="preserve">. </w:t>
      </w:r>
      <w:r>
        <w:rPr>
          <w:rStyle w:val="FootnoteAnchor"/>
          <w:rtl w:val="true"/>
        </w:rPr>
        <w:footnoteReference w:id="70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پایان این بحث درباره روایتی که از کتاب اشعثیات نقل و بر مبنای آن،اجرای حدود از اختیارات ویژه امام معصوم پنداشته شده است،می‌گوید این روایت،هم از نظر سند ضعیف و نامعتبر است و هم کتاب یاد شده اعتبار لازم را ندارد</w:t>
      </w:r>
      <w:r>
        <w:rPr>
          <w:rFonts w:eastAsia="IRNazanin" w:cs="IRNazanin"/>
          <w:color w:val="111111"/>
          <w:sz w:val="28"/>
          <w:szCs w:val="28"/>
          <w:rtl w:val="true"/>
          <w:lang w:bidi="fa-IR"/>
        </w:rPr>
        <w:t xml:space="preserve">. </w:t>
      </w:r>
      <w:r>
        <w:rPr>
          <w:rStyle w:val="FootnoteAnchor"/>
          <w:rtl w:val="true"/>
        </w:rPr>
        <w:footnoteReference w:id="706"/>
      </w:r>
      <w:bookmarkStart w:id="616" w:name="pg5664_43499"/>
    </w:p>
    <w:p>
      <w:pPr>
        <w:pStyle w:val="Heading5"/>
        <w:numPr>
          <w:ilvl w:val="4"/>
          <w:numId w:val="1"/>
        </w:numPr>
        <w:rPr/>
      </w:pPr>
      <w:bookmarkStart w:id="617" w:name="__RefHeading___Toc3420054_581953129"/>
      <w:bookmarkStart w:id="618" w:name="_Toc244"/>
      <w:bookmarkEnd w:id="616"/>
      <w:bookmarkEnd w:id="617"/>
      <w:r>
        <w:rPr/>
        <w:t>6</w:t>
      </w:r>
      <w:r>
        <w:rPr>
          <w:rtl w:val="true"/>
        </w:rPr>
        <w:t>-</w:t>
      </w:r>
      <w:r>
        <w:rPr>
          <w:rtl w:val="true"/>
        </w:rPr>
        <w:t>سید عبدالحسین موسوی لاری</w:t>
      </w:r>
      <w:bookmarkEnd w:id="618"/>
    </w:p>
    <w:p>
      <w:pPr>
        <w:pStyle w:val="BookText"/>
        <w:rPr/>
      </w:pPr>
      <w:r>
        <w:rPr>
          <w:rFonts w:ascii="IRNazanin" w:hAnsi="IRNazanin" w:eastAsia="IRNazanin"/>
          <w:color w:val="111111"/>
          <w:sz w:val="28"/>
          <w:sz w:val="28"/>
          <w:szCs w:val="28"/>
          <w:rtl w:val="true"/>
          <w:lang w:bidi="fa-IR"/>
        </w:rPr>
        <w:t>سید در ابتدای قرن گذشته،یعنی در حدود سال</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احیای نماز جمعه پرداخت و خود در مقام مرجعیت تقلید به ایراد خطبه‌های جمعه و اقامه نماز همت گماشت</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سید لاری از فقهای دوران مشروطیت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ملزومات حکومت از نگاه فقهای دوره مشروطیت،بحث اقامه حدود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 و از جمله مسائل بحث‌انگیز اساسی این دوره،به دو مسئله زیر می‌توان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حدود شرعی در غیبت امام زمان باید اجرا شود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اجرا،قدرت اجرایی با کیست؟</w:t>
      </w:r>
    </w:p>
    <w:p>
      <w:pPr>
        <w:pStyle w:val="BookText"/>
        <w:rPr/>
      </w:pPr>
      <w:r>
        <w:rPr>
          <w:rFonts w:ascii="IRNazanin" w:hAnsi="IRNazanin" w:eastAsia="IRNazanin"/>
          <w:color w:val="111111"/>
          <w:sz w:val="28"/>
          <w:sz w:val="28"/>
          <w:szCs w:val="28"/>
          <w:rtl w:val="true"/>
          <w:lang w:bidi="fa-IR"/>
        </w:rPr>
        <w:t xml:space="preserve">سید لاری اجرای حدود را در عصر غیبت لازم و ضروری می‌دانست و معتقد بود آیات متعدد قرآنی،از جمله آیه دوم سوره نور،آیات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آیات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مؤید آن است که اجرای حدود محدود به زمان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و برای همه زمان‌ها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مسئله دوم،به اعتقاد لاری،روایات و احادیث بیانگر آن است که اجرای حدود مخصوص حاکم است و هیچ‌کس حق مخالفت و معارضه با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ولایت کلیه اجرای حدود شرعیه و سیاسات الهیه و احکام تکلیفه از هر جهت حق حقیقت حاکم شرع عادل است لاغیر و کسی را حق مخالفت و معارضه نیست</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بنابراین،از دیدگاه سید لاری،جلوگیری از فساد،امور حرام،هرج و مرج و حفظ جان و مال و ناموس مردم،مصلحتی است که به زمانی خاص اختصاص ندارد و ازاین‌رو،ضرورت مقابله با کسانی که به حقوق مردم دست درازی می‌کنند،امری ضروری و اجتناب‌ناپذیر است و این اقدام فقط باید به دست حاکمان عادل یا نمایندگان و نایبان آنها اجرا شود و از نظر سید لاری،نماینده حاکم عادل در عصر غیبت،فقیه جامع شرایط است</w:t>
      </w:r>
      <w:r>
        <w:rPr>
          <w:rFonts w:eastAsia="IRNazanin" w:cs="IRNazanin"/>
          <w:color w:val="111111"/>
          <w:sz w:val="28"/>
          <w:szCs w:val="28"/>
          <w:rtl w:val="true"/>
          <w:lang w:bidi="fa-IR"/>
        </w:rPr>
        <w:t>.</w:t>
      </w:r>
      <w:bookmarkStart w:id="619" w:name="pg5664_43500"/>
    </w:p>
    <w:p>
      <w:pPr>
        <w:pStyle w:val="Heading5"/>
        <w:numPr>
          <w:ilvl w:val="4"/>
          <w:numId w:val="1"/>
        </w:numPr>
        <w:rPr/>
      </w:pPr>
      <w:bookmarkStart w:id="620" w:name="__RefHeading___Toc3420056_581953129"/>
      <w:bookmarkStart w:id="621" w:name="_Toc245"/>
      <w:bookmarkEnd w:id="619"/>
      <w:bookmarkEnd w:id="620"/>
      <w:r>
        <w:rPr/>
        <w:t>7</w:t>
      </w:r>
      <w:r>
        <w:rPr>
          <w:rtl w:val="true"/>
        </w:rPr>
        <w:t>-</w:t>
      </w:r>
      <w:r>
        <w:rPr>
          <w:rtl w:val="true"/>
        </w:rPr>
        <w:t>علامه مظفر</w:t>
      </w:r>
      <w:bookmarkEnd w:id="621"/>
    </w:p>
    <w:p>
      <w:pPr>
        <w:pStyle w:val="BookText"/>
        <w:rPr/>
      </w:pPr>
      <w:r>
        <w:rPr>
          <w:rFonts w:ascii="IRNazanin" w:hAnsi="IRNazanin" w:eastAsia="IRNazanin"/>
          <w:color w:val="111111"/>
          <w:sz w:val="28"/>
          <w:sz w:val="28"/>
          <w:szCs w:val="28"/>
          <w:rtl w:val="true"/>
          <w:lang w:bidi="fa-IR"/>
        </w:rPr>
        <w:t>علامه محمدرضا مظفر،فقیهی است که بیشتر دانشمندی اصولی و متکلم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کتاب عقائد الامامیه درباره اختیارات مجتهد جامع شرایط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 باوریم که مجتهد جامع شرایط،نایب امام در زمان غیبت و حاکم و رئیس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قضاوت میان مردم،همان اختیار که برای امام علیه السلام است،برای او هم می‌باشد و در حدیث از امام صادق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حکم او را نپذیرد،حکم امام و در واقع حکم خدا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جامع شرایط،تنها مرجع در فتوا نیست،بلکه برای او ولایت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و تعزیرات جایز نیست مگر به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و دخالت در اموال امام نیز از ویژگی‌های فقیه جامع شرایط است و این جایگاه و این ریاست عامه‌ای که او از آن برخوردار است،از طرف امام به او بخشیده شده است و به همین دلیل به او نایب امام می‌گویند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در این جمله مرحوم مظفر تصریح می‌کند که اقامه حدود و تعزیرات از جمله وظایف نایبان ائمه است که در عصر ما فقهای جامع شرایط هستند</w:t>
      </w:r>
      <w:r>
        <w:rPr>
          <w:rFonts w:eastAsia="IRNazanin" w:cs="IRNazanin"/>
          <w:color w:val="111111"/>
          <w:sz w:val="28"/>
          <w:szCs w:val="28"/>
          <w:rtl w:val="true"/>
          <w:lang w:bidi="fa-IR"/>
        </w:rPr>
        <w:t>.</w:t>
      </w:r>
    </w:p>
    <w:p>
      <w:pPr>
        <w:pStyle w:val="Heading4"/>
        <w:numPr>
          <w:ilvl w:val="3"/>
          <w:numId w:val="1"/>
        </w:numPr>
        <w:rPr/>
      </w:pPr>
      <w:bookmarkStart w:id="622" w:name="__RefHeading___Toc3420058_581953129"/>
      <w:bookmarkStart w:id="623" w:name="_Toc246"/>
      <w:bookmarkEnd w:id="622"/>
      <w:r>
        <w:rPr>
          <w:rtl w:val="true"/>
        </w:rPr>
        <w:t>فقهای معاصر</w:t>
      </w:r>
      <w:bookmarkEnd w:id="623"/>
    </w:p>
    <w:p>
      <w:pPr>
        <w:pStyle w:val="Heading5"/>
        <w:numPr>
          <w:ilvl w:val="4"/>
          <w:numId w:val="1"/>
        </w:numPr>
        <w:rPr/>
      </w:pPr>
      <w:bookmarkStart w:id="624" w:name="__RefHeading___Toc3420060_581953129"/>
      <w:bookmarkStart w:id="625" w:name="_Toc247"/>
      <w:bookmarkEnd w:id="624"/>
      <w:r>
        <w:rPr/>
        <w:t>1</w:t>
      </w:r>
      <w:r>
        <w:rPr>
          <w:rtl w:val="true"/>
        </w:rPr>
        <w:t>-</w:t>
      </w:r>
      <w:r>
        <w:rPr>
          <w:rtl w:val="true"/>
        </w:rPr>
        <w:t>امام خمینی</w:t>
      </w:r>
      <w:bookmarkEnd w:id="625"/>
    </w:p>
    <w:p>
      <w:pPr>
        <w:pStyle w:val="BookText"/>
        <w:rPr/>
      </w:pPr>
      <w:r>
        <w:rPr>
          <w:rFonts w:ascii="IRNazanin" w:hAnsi="IRNazanin" w:eastAsia="IRNazanin"/>
          <w:color w:val="111111"/>
          <w:sz w:val="28"/>
          <w:sz w:val="28"/>
          <w:szCs w:val="28"/>
          <w:rtl w:val="true"/>
          <w:lang w:bidi="fa-IR"/>
        </w:rPr>
        <w:t>بنیانگذار و رهبر کبیر انقلاب اسلامی،حضرت امام خمینی که توانست زحمات</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علمای شیعه را با انقلاب اسلامی به ثمر رساند،در کتاب تحریر الوسیله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ولی عصر عجّل الله تعالی فرجه الشریف نایبان عام ایشان که فقهای جامع شرایط فتوی و قضا می‌باشند،جانشین امام در اجرای امور سیاسی اسلام،و همه مناصب و مختصات امام هستند،مگر شروع به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Style w:val="FootnoteAnchor"/>
          <w:rtl w:val="true"/>
        </w:rPr>
        <w:footnoteReference w:id="71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ولایت بر همه امور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اسلام،جز جهاد ابتدایی را از وظایف فقها در زمان غیبت می‌داند و عمومیت این عبارت به خوبی شامل حدود را نیز دربرمی‌گیرد</w:t>
      </w:r>
      <w:r>
        <w:rPr>
          <w:rFonts w:eastAsia="IRNazanin" w:cs="IRNazanin"/>
          <w:color w:val="111111"/>
          <w:sz w:val="28"/>
          <w:szCs w:val="28"/>
          <w:rtl w:val="true"/>
          <w:lang w:bidi="fa-IR"/>
        </w:rPr>
        <w:t>.</w:t>
      </w:r>
      <w:bookmarkStart w:id="626" w:name="pg5664_43501"/>
    </w:p>
    <w:p>
      <w:pPr>
        <w:pStyle w:val="Heading5"/>
        <w:numPr>
          <w:ilvl w:val="4"/>
          <w:numId w:val="1"/>
        </w:numPr>
        <w:rPr/>
      </w:pPr>
      <w:bookmarkStart w:id="627" w:name="__RefHeading___Toc3420062_581953129"/>
      <w:bookmarkStart w:id="628" w:name="_Toc248"/>
      <w:bookmarkEnd w:id="626"/>
      <w:bookmarkEnd w:id="627"/>
      <w:r>
        <w:rPr/>
        <w:t>2</w:t>
      </w:r>
      <w:r>
        <w:rPr>
          <w:rtl w:val="true"/>
        </w:rPr>
        <w:t>-</w:t>
      </w:r>
      <w:r>
        <w:rPr>
          <w:rtl w:val="true"/>
        </w:rPr>
        <w:t>سید ابوالقاسم خویی</w:t>
      </w:r>
      <w:bookmarkEnd w:id="628"/>
    </w:p>
    <w:p>
      <w:pPr>
        <w:pStyle w:val="BookText"/>
        <w:rPr/>
      </w:pPr>
      <w:r>
        <w:rPr>
          <w:rFonts w:ascii="IRNazanin" w:hAnsi="IRNazanin" w:eastAsia="IRNazanin"/>
          <w:color w:val="111111"/>
          <w:sz w:val="28"/>
          <w:sz w:val="28"/>
          <w:szCs w:val="28"/>
          <w:rtl w:val="true"/>
          <w:lang w:bidi="fa-IR"/>
        </w:rPr>
        <w:t xml:space="preserve">آیت‌الله خویی در مبانی تکملة المنهاج،جواز اقامه حدود از سوی حاکم شرع را اظهر دانسته </w:t>
      </w:r>
      <w:r>
        <w:rPr>
          <w:rStyle w:val="FootnoteAnchor"/>
          <w:rtl w:val="true"/>
        </w:rPr>
        <w:footnoteReference w:id="711"/>
      </w:r>
      <w:r>
        <w:rPr>
          <w:rFonts w:ascii="IRNazanin" w:hAnsi="IRNazanin" w:eastAsia="IRNazanin"/>
          <w:color w:val="111111"/>
          <w:sz w:val="28"/>
          <w:sz w:val="28"/>
          <w:szCs w:val="28"/>
          <w:rtl w:val="true"/>
          <w:lang w:bidi="fa-IR"/>
        </w:rPr>
        <w:t>،چنین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آنکه،اجرای حدود در برنامه انتظامی اسلام،و در جهت مصلحت همگانی و سلامت جامعه تشریع شده است برای جلوگیری از فساد و گسترش بدی‌ها و سرکشی میان مردم،و این مطلب همیشگی است و به زمان حضور امام ویژگی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اینکه،دیگر دلیل‌هایی که در کتاب و سنت آمده و بیانگر بایستگی اجرای احکام انتظامی اسلام هستند،اطلاق دارند و زمان ویژه‌ای را دربرنمی‌گیرند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ایشان در ادامه،در اینکه اجرا کننده احکام چه کسی باشد،می‌نویسد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بیان روشنی از شارع نرسید است و از دیدگاه عقل ضروری می‌نماید که مسئول اجرای این‌گونه امور،تک تک مردم نباشند؛زیرا این خود،ازهم‌گسستگی نظام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به‌علاوه،از برخی روایات،عدم جواز اقامه حدود از سوی آحاد مردم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به قدر متیقن که حاکم شرعی است،بسنده کرد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پس از آن،روایت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الحوادث الواقعه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حفص بن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یاری می‌آورد تا ثابت کند اجرای حدود در اختیار فقیهان است</w:t>
      </w:r>
      <w:r>
        <w:rPr>
          <w:rFonts w:eastAsia="IRNazanin" w:cs="IRNazanin"/>
          <w:color w:val="111111"/>
          <w:sz w:val="28"/>
          <w:szCs w:val="28"/>
          <w:rtl w:val="true"/>
          <w:lang w:bidi="fa-IR"/>
        </w:rPr>
        <w:t xml:space="preserve">. </w:t>
      </w:r>
      <w:r>
        <w:rPr>
          <w:rStyle w:val="FootnoteAnchor"/>
          <w:rtl w:val="true"/>
        </w:rPr>
        <w:footnoteReference w:id="71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فقیه گران‌مایه سپس با ذکر ادله‌ای که بر عدم جواز اقامه شده،به ردّ آنها می‌پردازد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همچنین ایشان در بحث ولایت فقیه مصباح الفقاهه،در بین بحث‌ها به‌طور ضمنی اقامه حدود را به دست فقها جایز شمرده،ولایت دیگران را بر این مسئله نفی کرده است</w:t>
      </w:r>
      <w:r>
        <w:rPr>
          <w:rFonts w:eastAsia="IRNazanin" w:cs="IRNazanin"/>
          <w:color w:val="111111"/>
          <w:sz w:val="28"/>
          <w:szCs w:val="28"/>
          <w:rtl w:val="true"/>
          <w:lang w:bidi="fa-IR"/>
        </w:rPr>
        <w:t xml:space="preserve">. </w:t>
      </w:r>
      <w:r>
        <w:rPr>
          <w:rStyle w:val="FootnoteAnchor"/>
          <w:rtl w:val="true"/>
        </w:rPr>
        <w:footnoteReference w:id="716"/>
      </w:r>
      <w:bookmarkStart w:id="629" w:name="pg5664_43502"/>
    </w:p>
    <w:p>
      <w:pPr>
        <w:pStyle w:val="Heading5"/>
        <w:numPr>
          <w:ilvl w:val="4"/>
          <w:numId w:val="1"/>
        </w:numPr>
        <w:rPr/>
      </w:pPr>
      <w:bookmarkStart w:id="630" w:name="__RefHeading___Toc3420064_581953129"/>
      <w:bookmarkStart w:id="631" w:name="_Toc249"/>
      <w:bookmarkEnd w:id="629"/>
      <w:bookmarkEnd w:id="630"/>
      <w:r>
        <w:rPr/>
        <w:t>3</w:t>
      </w:r>
      <w:r>
        <w:rPr>
          <w:rtl w:val="true"/>
        </w:rPr>
        <w:t>-</w:t>
      </w:r>
      <w:r>
        <w:rPr>
          <w:rtl w:val="true"/>
        </w:rPr>
        <w:t>سید محمدرضا گلپایگانی</w:t>
      </w:r>
      <w:bookmarkEnd w:id="631"/>
    </w:p>
    <w:p>
      <w:pPr>
        <w:pStyle w:val="BookText"/>
        <w:rPr/>
      </w:pPr>
      <w:r>
        <w:rPr>
          <w:rFonts w:ascii="IRNazanin" w:hAnsi="IRNazanin" w:eastAsia="IRNazanin"/>
          <w:color w:val="111111"/>
          <w:sz w:val="28"/>
          <w:sz w:val="28"/>
          <w:szCs w:val="28"/>
          <w:rtl w:val="true"/>
          <w:lang w:bidi="fa-IR"/>
        </w:rPr>
        <w:t>آیت‌الله گلپایگانی در کتاب در المنضود در بحث عمل حاکم به علم خویش،نظر محقق حلی را در تفصیل میان حدود الله و حقوق الناس بیان کرده،به این مسئله نیز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ادامه نظر خود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بحث قابل 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بحث‌ها،وجوب اقامه 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دیگر در این است که بعد از وجوب،بر چه کسی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سوم در جواز عمل حاکم به علم خویش،و چهارمین بحث در تفصیل بین حقوق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درباره اول،ظاهر این است که اقامه حدود واجب است،و این بدین دلیل است که اداره امور و حفظ نظام هر دو واجب است و هیچ گریزی از آنها نیست،در حالی که هر دو اینها بر اقامه حدود الله و اقامه امر الهی متوقف است</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ایشان در ادامه بیان می‌دارد که به یقین اجرای حدود وظیفه عامه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بحث دوم احتمالاتی قابل 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اقامه حدود بر همه کسانی که تکلیف متوجه آنان است،وجوب بر مجتهدان جامع شرایط فتوی،و جوب بر خصوص سلطان و حاکمی که اداره امور و حفظ نظام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احتمال اول صحیح نیست به دلایلی که در محل مناسب آن ذکر شده است؛از قبیل لزوم هرج و مرج و غیر اینها</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از این عبارت روشن می‌شود عامه مردم نمی‌توانند اقامه حدود کنند،اما آیا هر فقیهی می‌تواند اقامه حدود نماید یا فقط ولی فقیه حاکم بر جامعه و حافظ کیان آن وظیفه اقامه حدود را بر عهده دارد؟آیت‌الله گلپایگانی به این مسئله نمی‌پردازد،ولی دلیلی که در نفی ولایت عامه مردم ارائه می‌کند،می‌تواند ولایت عامه فقها را نیز با تردید مواجه سازد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گلپایگانی در کتاب الهدایة به‌صورت تفصیلی وارد این 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تصریح می‌کند که این وظیفه به فقها واگذار شده است و ایشان قدر متیقن بین طبقات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فقیه اهل بیت بر دلیل عقلی به روایت حفص استناد کرده،روایاتی نظیر روایت ابی‌مریم و روایت ابی‌عقبه را در تأیید آن آورده است</w:t>
      </w:r>
      <w:r>
        <w:rPr>
          <w:rFonts w:eastAsia="IRNazanin" w:cs="IRNazanin"/>
          <w:color w:val="111111"/>
          <w:sz w:val="28"/>
          <w:szCs w:val="28"/>
          <w:rtl w:val="true"/>
          <w:lang w:bidi="fa-IR"/>
        </w:rPr>
        <w:t xml:space="preserve">. </w:t>
      </w:r>
      <w:r>
        <w:rPr>
          <w:rStyle w:val="FootnoteAnchor"/>
          <w:rtl w:val="true"/>
        </w:rPr>
        <w:footnoteReference w:id="719"/>
      </w:r>
      <w:bookmarkStart w:id="632" w:name="pg5664_43503"/>
    </w:p>
    <w:p>
      <w:pPr>
        <w:pStyle w:val="Heading5"/>
        <w:numPr>
          <w:ilvl w:val="4"/>
          <w:numId w:val="1"/>
        </w:numPr>
        <w:rPr/>
      </w:pPr>
      <w:bookmarkStart w:id="633" w:name="__RefHeading___Toc3420066_581953129"/>
      <w:bookmarkStart w:id="634" w:name="_Toc250"/>
      <w:bookmarkEnd w:id="632"/>
      <w:bookmarkEnd w:id="633"/>
      <w:r>
        <w:rPr/>
        <w:t>4</w:t>
      </w:r>
      <w:r>
        <w:rPr>
          <w:rtl w:val="true"/>
        </w:rPr>
        <w:t>-</w:t>
      </w:r>
      <w:r>
        <w:rPr>
          <w:rtl w:val="true"/>
        </w:rPr>
        <w:t>سید محمدصادق روحانی</w:t>
      </w:r>
      <w:bookmarkEnd w:id="634"/>
    </w:p>
    <w:p>
      <w:pPr>
        <w:pStyle w:val="BookText"/>
        <w:rPr/>
      </w:pPr>
      <w:r>
        <w:rPr>
          <w:rFonts w:ascii="IRNazanin" w:hAnsi="IRNazanin" w:eastAsia="IRNazanin"/>
          <w:color w:val="111111"/>
          <w:sz w:val="28"/>
          <w:sz w:val="28"/>
          <w:szCs w:val="28"/>
          <w:rtl w:val="true"/>
          <w:lang w:bidi="fa-IR"/>
        </w:rPr>
        <w:t>کتاب ارزشمند فقه الصادق،کتابی است علمی،متقن و استدلالی در شرح تبصرة المتعلمین که عمق و فراگیری استدلال‌هایش،از تیزبینی و دقت نظر مصنف و در عین حال احاطه ایشان به فقه اهل بیت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سید محمد صادق روحانی در جلد سیزدهم این کتاب به‌تفصیل جواز اقامه حدود را به دست فقها بررسی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پنج وجه را در دفاع از دیدگاه جواز مطرح می‌کند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یا صحیحه حفص بن غیاث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نصوصی که بر نصب فقها بر منصب قضا و حکومت دلالت دارد؛مانند مقبوله عمر بن حنظله و صحیحه ابی‌خدیجه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بودن ادله حدود در کتاب و سنت و عدم تقید آنان به زمانی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حاکم شرعی را خلیفه رسول گرامی اسلام صلّی الله علیه و آله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برای مصلحت عامه و دفع مفاسد و جلوگیری از ارتکاب محارم تشریع شده است و این حکمت،مقتضی تشریع حدود در زمان غیبت نیز می‌باشد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ایشان در ادامه ادله مخالفان را نیز طرح و بررسی می‌کند، </w:t>
      </w:r>
      <w:r>
        <w:rPr>
          <w:rStyle w:val="FootnoteAnchor"/>
          <w:rtl w:val="true"/>
        </w:rPr>
        <w:footnoteReference w:id="721"/>
      </w:r>
      <w:r>
        <w:rPr>
          <w:rFonts w:ascii="IRNazanin" w:hAnsi="IRNazanin" w:eastAsia="IRNazanin"/>
          <w:color w:val="111111"/>
          <w:sz w:val="28"/>
          <w:sz w:val="28"/>
          <w:szCs w:val="28"/>
          <w:rtl w:val="true"/>
          <w:lang w:bidi="fa-IR"/>
        </w:rPr>
        <w:t xml:space="preserve">همچنین در جلد بیست‌وپنجم نیز به این مسئله اشاره شده است </w:t>
      </w:r>
      <w:r>
        <w:rPr>
          <w:rStyle w:val="FootnoteAnchor"/>
          <w:rtl w:val="true"/>
        </w:rPr>
        <w:footnoteReference w:id="722"/>
      </w:r>
      <w:r>
        <w:rPr>
          <w:rFonts w:ascii="IRNazanin" w:hAnsi="IRNazanin" w:eastAsia="IRNazanin"/>
          <w:color w:val="111111"/>
          <w:sz w:val="28"/>
          <w:sz w:val="28"/>
          <w:szCs w:val="28"/>
          <w:rtl w:val="true"/>
          <w:lang w:bidi="fa-IR"/>
        </w:rPr>
        <w:t>که در اینجا ضرورت و مجالی برای اشاره به همه این عبارت‌ها احساس نمی‌شود</w:t>
      </w:r>
      <w:r>
        <w:rPr>
          <w:rFonts w:eastAsia="IRNazanin" w:cs="IRNazanin"/>
          <w:color w:val="111111"/>
          <w:sz w:val="28"/>
          <w:szCs w:val="28"/>
          <w:rtl w:val="true"/>
          <w:lang w:bidi="fa-IR"/>
        </w:rPr>
        <w:t>.</w:t>
      </w:r>
    </w:p>
    <w:p>
      <w:pPr>
        <w:pStyle w:val="Heading4"/>
        <w:numPr>
          <w:ilvl w:val="3"/>
          <w:numId w:val="1"/>
        </w:numPr>
        <w:rPr/>
      </w:pPr>
      <w:bookmarkStart w:id="635" w:name="__RefHeading___Toc3420068_581953129"/>
      <w:bookmarkStart w:id="636" w:name="_Toc251"/>
      <w:bookmarkEnd w:id="635"/>
      <w:r>
        <w:rPr>
          <w:rtl w:val="true"/>
        </w:rPr>
        <w:t>استفتائات</w:t>
      </w:r>
      <w:bookmarkEnd w:id="636"/>
    </w:p>
    <w:p>
      <w:pPr>
        <w:pStyle w:val="Heading5"/>
        <w:numPr>
          <w:ilvl w:val="4"/>
          <w:numId w:val="1"/>
        </w:numPr>
        <w:rPr/>
      </w:pPr>
      <w:bookmarkStart w:id="637" w:name="__RefHeading___Toc3420070_581953129"/>
      <w:bookmarkStart w:id="638" w:name="_Toc252"/>
      <w:bookmarkEnd w:id="637"/>
      <w:r>
        <w:rPr>
          <w:rtl w:val="true"/>
        </w:rPr>
        <w:t>اشاره</w:t>
      </w:r>
      <w:bookmarkEnd w:id="63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جواز به برخی دیگر از فقهای معاصر،مانند آیت‌الله نائینی </w:t>
      </w:r>
      <w:r>
        <w:rPr>
          <w:rStyle w:val="FootnoteAnchor"/>
          <w:rtl w:val="true"/>
        </w:rPr>
        <w:footnoteReference w:id="723"/>
      </w:r>
      <w:r>
        <w:rPr>
          <w:rFonts w:ascii="IRNazanin" w:hAnsi="IRNazanin" w:eastAsia="IRNazanin"/>
          <w:color w:val="111111"/>
          <w:sz w:val="28"/>
          <w:sz w:val="28"/>
          <w:szCs w:val="28"/>
          <w:rtl w:val="true"/>
          <w:lang w:bidi="fa-IR"/>
        </w:rPr>
        <w:t xml:space="preserve">و آیت‌الله بروجردی </w:t>
      </w:r>
      <w:r>
        <w:rPr>
          <w:rStyle w:val="FootnoteAnchor"/>
          <w:rtl w:val="true"/>
        </w:rPr>
        <w:footnoteReference w:id="724"/>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از این بزرگان نیز بدون اشاره به ادله در جواب استفتاء،ولایت فقها را بر اقامه حدود را پذیرفته‌اند؛از آن جمله‌اند حضرات آیات شیخ جواد تبریزی،مقام معظم رهبری،مکارم شیرازی،موسوی اردبیلی و نوری همدانی</w:t>
      </w:r>
      <w:r>
        <w:rPr>
          <w:rFonts w:eastAsia="IRNazanin" w:cs="IRNazanin"/>
          <w:color w:val="111111"/>
          <w:sz w:val="28"/>
          <w:szCs w:val="28"/>
          <w:rtl w:val="true"/>
          <w:lang w:bidi="fa-IR"/>
        </w:rPr>
        <w:t>.</w:t>
      </w:r>
      <w:bookmarkStart w:id="639" w:name="pg5664_43504"/>
    </w:p>
    <w:p>
      <w:pPr>
        <w:pStyle w:val="Heading5"/>
        <w:numPr>
          <w:ilvl w:val="4"/>
          <w:numId w:val="1"/>
        </w:numPr>
        <w:rPr/>
      </w:pPr>
      <w:bookmarkStart w:id="640" w:name="__RefHeading___Toc3420072_581953129"/>
      <w:bookmarkStart w:id="641" w:name="_Toc253"/>
      <w:bookmarkEnd w:id="639"/>
      <w:bookmarkEnd w:id="640"/>
      <w:r>
        <w:rPr/>
        <w:t>1</w:t>
      </w:r>
      <w:r>
        <w:rPr>
          <w:rtl w:val="true"/>
        </w:rPr>
        <w:t>-</w:t>
      </w:r>
      <w:r>
        <w:rPr>
          <w:rtl w:val="true"/>
        </w:rPr>
        <w:t>شیخ جواد تبریزی</w:t>
      </w:r>
      <w:bookmarkEnd w:id="64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ذکرتم فی المبانی جواز إقامة الحدود و التعزیرات من قبل المجتهد العادل فی زمان الغیبة،فهل یجب علی المجتهد السعی إلی توفیر الامکان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ذلک،والله العالم</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با این توضیح که معمولاً هرگاه آیت‌الله تبریزی در صراط النجاة نظر مخالف آیت‌الله خویی داشته باشد،یادآور می‌شود</w:t>
      </w:r>
      <w:r>
        <w:rPr>
          <w:rFonts w:eastAsia="IRNazanin" w:cs="IRNazanin"/>
          <w:color w:val="111111"/>
          <w:sz w:val="28"/>
          <w:szCs w:val="28"/>
          <w:rtl w:val="true"/>
          <w:lang w:bidi="fa-IR"/>
        </w:rPr>
        <w:t>.</w:t>
      </w:r>
    </w:p>
    <w:p>
      <w:pPr>
        <w:pStyle w:val="Heading5"/>
        <w:numPr>
          <w:ilvl w:val="4"/>
          <w:numId w:val="1"/>
        </w:numPr>
        <w:rPr/>
      </w:pPr>
      <w:bookmarkStart w:id="642" w:name="__RefHeading___Toc3420074_581953129"/>
      <w:bookmarkStart w:id="643" w:name="_Toc254"/>
      <w:bookmarkEnd w:id="642"/>
      <w:r>
        <w:rPr/>
        <w:t>2</w:t>
      </w:r>
      <w:r>
        <w:rPr>
          <w:rtl w:val="true"/>
        </w:rPr>
        <w:t>-</w:t>
      </w:r>
      <w:r>
        <w:rPr>
          <w:rtl w:val="true"/>
        </w:rPr>
        <w:t>مقام معظم رهبری</w:t>
      </w:r>
      <w:bookmarkEnd w:id="6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للمجتهد الجامع للشرائط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فی إجراء الحدود؟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إجراء الحدود فی عصر الغیبة أیضا،والولایة علی ذلک خاصة بولی أمرالمسلمین</w:t>
      </w:r>
      <w:r>
        <w:rPr>
          <w:rFonts w:eastAsia="IRNazanin" w:cs="IRNazanin"/>
          <w:color w:val="111111"/>
          <w:sz w:val="28"/>
          <w:szCs w:val="28"/>
          <w:rtl w:val="true"/>
          <w:lang w:bidi="fa-IR"/>
        </w:rPr>
        <w:t xml:space="preserve">. </w:t>
      </w:r>
      <w:r>
        <w:rPr>
          <w:rStyle w:val="FootnoteAnchor"/>
          <w:rtl w:val="true"/>
        </w:rPr>
        <w:footnoteReference w:id="726"/>
      </w:r>
    </w:p>
    <w:p>
      <w:pPr>
        <w:pStyle w:val="Heading5"/>
        <w:numPr>
          <w:ilvl w:val="4"/>
          <w:numId w:val="1"/>
        </w:numPr>
        <w:rPr/>
      </w:pPr>
      <w:bookmarkStart w:id="644" w:name="__RefHeading___Toc3420076_581953129"/>
      <w:bookmarkStart w:id="645" w:name="_Toc255"/>
      <w:bookmarkEnd w:id="644"/>
      <w:r>
        <w:rPr/>
        <w:t>3</w:t>
      </w:r>
      <w:r>
        <w:rPr>
          <w:rtl w:val="true"/>
        </w:rPr>
        <w:t>-</w:t>
      </w:r>
      <w:r>
        <w:rPr>
          <w:rtl w:val="true"/>
        </w:rPr>
        <w:t>ناصر مکارم شیرازی</w:t>
      </w:r>
      <w:bookmarkEnd w:id="6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وضع کنونی افغانستان،چه کسانی عهده‌دار اجرای احکام و حدود الهی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مجتهد عادلی که در آن منطقه است می‌تواند اقدام کند و در صورت نبودن مجتهد،علمای عادل که نمایندگی از طرف مجتهد جامع الشرایط داشته باشند،می‌توانند مجری حدود شوند</w:t>
      </w:r>
      <w:r>
        <w:rPr>
          <w:rFonts w:eastAsia="IRNazanin" w:cs="IRNazanin"/>
          <w:color w:val="111111"/>
          <w:sz w:val="28"/>
          <w:szCs w:val="28"/>
          <w:rtl w:val="true"/>
          <w:lang w:bidi="fa-IR"/>
        </w:rPr>
        <w:t xml:space="preserve">. </w:t>
      </w:r>
      <w:r>
        <w:rPr>
          <w:rStyle w:val="FootnoteAnchor"/>
          <w:rtl w:val="true"/>
        </w:rPr>
        <w:footnoteReference w:id="727"/>
      </w:r>
    </w:p>
    <w:p>
      <w:pPr>
        <w:pStyle w:val="Heading5"/>
        <w:numPr>
          <w:ilvl w:val="4"/>
          <w:numId w:val="1"/>
        </w:numPr>
        <w:rPr/>
      </w:pPr>
      <w:bookmarkStart w:id="646" w:name="__RefHeading___Toc3420078_581953129"/>
      <w:bookmarkStart w:id="647" w:name="_Toc256"/>
      <w:bookmarkEnd w:id="646"/>
      <w:r>
        <w:rPr/>
        <w:t>4</w:t>
      </w:r>
      <w:r>
        <w:rPr>
          <w:rtl w:val="true"/>
        </w:rPr>
        <w:t>-</w:t>
      </w:r>
      <w:r>
        <w:rPr>
          <w:rtl w:val="true"/>
        </w:rPr>
        <w:t>سید عبدالکریم موسوی اردبیلی</w:t>
      </w:r>
      <w:bookmarkEnd w:id="6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اجرای حدود و تعزیرات و اقامه آن در زمان غیبت بر مجتهد و مسلمین واجب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و تعزیرات در زمان غیبت مانند زمان حضور است</w:t>
      </w:r>
      <w:r>
        <w:rPr>
          <w:rFonts w:eastAsia="IRNazanin" w:cs="IRNazanin"/>
          <w:color w:val="111111"/>
          <w:sz w:val="28"/>
          <w:szCs w:val="28"/>
          <w:rtl w:val="true"/>
          <w:lang w:bidi="fa-IR"/>
        </w:rPr>
        <w:t xml:space="preserve">. </w:t>
      </w:r>
      <w:r>
        <w:rPr>
          <w:rStyle w:val="FootnoteAnchor"/>
          <w:rtl w:val="true"/>
        </w:rPr>
        <w:footnoteReference w:id="728"/>
      </w:r>
      <w:bookmarkStart w:id="648" w:name="pg5664_43505"/>
    </w:p>
    <w:p>
      <w:pPr>
        <w:pStyle w:val="Heading5"/>
        <w:numPr>
          <w:ilvl w:val="4"/>
          <w:numId w:val="1"/>
        </w:numPr>
        <w:rPr/>
      </w:pPr>
      <w:bookmarkStart w:id="649" w:name="__RefHeading___Toc3420080_581953129"/>
      <w:bookmarkStart w:id="650" w:name="_Toc257"/>
      <w:bookmarkEnd w:id="648"/>
      <w:bookmarkEnd w:id="649"/>
      <w:r>
        <w:rPr/>
        <w:t>5</w:t>
      </w:r>
      <w:r>
        <w:rPr>
          <w:rtl w:val="true"/>
        </w:rPr>
        <w:t>-</w:t>
      </w:r>
      <w:r>
        <w:rPr>
          <w:rtl w:val="true"/>
        </w:rPr>
        <w:t>حسین نوری همدانی</w:t>
      </w:r>
      <w:bookmarkEnd w:id="6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قتل نفس یک گناه کبیره است؛از آنجا که به تعبیر صریح قرآن کریم،قتل نفس جز در برابر نفس با فساد در زمین،مانند آن است که آدمی همه انسان‌های روی زمین را کشته باشد؛از آن جا که به دلایل عقلی و شرعی،آدمی باید از نزدیک شدن به موارد گناه و جرم اجتناب کند و هرچه گناه یا جرم بزرگ‌تر باشد،اجتناب از آن عقلاً و شرعاً لازم‌تر خواهد بود؛از آن جا که به مصداق قاعده فقهی الحدود تدرأ بالشبهات،اگر کمترین شکی در مصداق یک حد باشد آن حد رفع می‌شود؛از آن جا که انسان جایز الخطاست،و در هر شرایطی ممکن است در تشخیص مصداق اشتباه کند؛و از آن جا که اجرای حکم اعدام با توجه به امکان اشتباه قاضی و شهود ممکن است به قتل یک بی‌گناه و در نتیجه،گناه کبیره عظمایی مانند قتل همه انسان‌های روی زمین منجر شود،لطفاً با توجه به تمامی موارد فوق، بفرمایید نظر مبارک شما در مورد اجرای حکم اعدام و یا حتی نزدیک شدن به آن،در غیبت معصوم و امکان اشتباه در تشخیص مصداق چیست؟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اعدام،در موارد دیگر هم هست و منحصر به دو مورد مذکور نیست که قاضی بر اساس مقررات اسلامی،حکم شرعی را صادر می‌کند،و همان‌طور که در زمان حضور،حدود اجرا می‌شود،در زمان غیبت هم اجرای حدود لازم است</w:t>
      </w:r>
      <w:r>
        <w:rPr>
          <w:rFonts w:eastAsia="IRNazanin" w:cs="IRNazanin"/>
          <w:color w:val="111111"/>
          <w:sz w:val="28"/>
          <w:szCs w:val="28"/>
          <w:rtl w:val="true"/>
          <w:lang w:bidi="fa-IR"/>
        </w:rPr>
        <w:t xml:space="preserve">. </w:t>
      </w:r>
      <w:r>
        <w:rPr>
          <w:rStyle w:val="FootnoteAnchor"/>
          <w:rtl w:val="true"/>
        </w:rPr>
        <w:footnoteReference w:id="729"/>
      </w:r>
      <w:bookmarkStart w:id="651" w:name="pg5664_43506"/>
    </w:p>
    <w:p>
      <w:pPr>
        <w:pStyle w:val="Heading3"/>
        <w:numPr>
          <w:ilvl w:val="2"/>
          <w:numId w:val="1"/>
        </w:numPr>
        <w:rPr/>
      </w:pPr>
      <w:bookmarkStart w:id="652" w:name="__RefHeading___Toc3420082_581953129"/>
      <w:bookmarkStart w:id="653" w:name="_Toc258"/>
      <w:bookmarkEnd w:id="651"/>
      <w:bookmarkEnd w:id="652"/>
      <w:r>
        <w:rPr/>
        <w:t>2</w:t>
      </w:r>
      <w:r>
        <w:rPr>
          <w:rtl w:val="true"/>
        </w:rPr>
        <w:t>-</w:t>
      </w:r>
      <w:r>
        <w:rPr>
          <w:rtl w:val="true"/>
        </w:rPr>
        <w:t>دلایل دیدگاه جواز اقامه حدود</w:t>
      </w:r>
      <w:bookmarkEnd w:id="653"/>
    </w:p>
    <w:p>
      <w:pPr>
        <w:pStyle w:val="Heading4"/>
        <w:numPr>
          <w:ilvl w:val="3"/>
          <w:numId w:val="1"/>
        </w:numPr>
        <w:rPr/>
      </w:pPr>
      <w:bookmarkStart w:id="654" w:name="__RefHeading___Toc3420084_581953129"/>
      <w:bookmarkStart w:id="655" w:name="_Toc259"/>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هر دیدگاهی هر چند طرفداران فراوانی داشته باشد،تا وقتی به ادله متین،محکم و عقل‌پسند مستند نباشد،توفیق چندانی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جواز نیز از این امر مستثنا نیست و به‌منظور تثبیت آن،لازم است دلایل آن به دقت نقد و بررسی گردد و شبهه‌ها و اشکال‌هایی که گاه رخ می‌دهد،زدوده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منظور،در ادامه دلایل دیدگاه جواز اقامه حدود را در دو فصلِ دلایل تحلیلی و دلایل نقلی بررسی می‌کنیم</w:t>
      </w:r>
      <w:r>
        <w:rPr>
          <w:rFonts w:eastAsia="IRNazanin" w:cs="IRNazanin"/>
          <w:color w:val="111111"/>
          <w:sz w:val="28"/>
          <w:szCs w:val="28"/>
          <w:rtl w:val="true"/>
          <w:lang w:bidi="fa-IR"/>
        </w:rPr>
        <w:t>.</w:t>
      </w:r>
    </w:p>
    <w:p>
      <w:pPr>
        <w:pStyle w:val="Heading4"/>
        <w:numPr>
          <w:ilvl w:val="3"/>
          <w:numId w:val="1"/>
        </w:numPr>
        <w:rPr/>
      </w:pPr>
      <w:bookmarkStart w:id="656" w:name="__RefHeading___Toc3420086_581953129"/>
      <w:bookmarkStart w:id="657" w:name="_Toc260"/>
      <w:bookmarkEnd w:id="656"/>
      <w:r>
        <w:rPr>
          <w:rtl w:val="true"/>
        </w:rPr>
        <w:t>دلایل تحلیلی</w:t>
      </w:r>
      <w:bookmarkEnd w:id="657"/>
    </w:p>
    <w:p>
      <w:pPr>
        <w:pStyle w:val="Heading5"/>
        <w:numPr>
          <w:ilvl w:val="4"/>
          <w:numId w:val="1"/>
        </w:numPr>
        <w:rPr/>
      </w:pPr>
      <w:bookmarkStart w:id="658" w:name="__RefHeading___Toc3420088_581953129"/>
      <w:bookmarkStart w:id="659" w:name="_Toc261"/>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همان‌گونه که در فصل پیش یادآور شدیم،مراد ما از دلیل تحلیلی،دلایلی است که بر تحلیل‌های عقلی متکی است؛هر چند نتوان آن را حکم عقل مستقل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پیش‌فرض در ادامه،به چهار دلیل به‌عنوان دلایل تحلیلی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دلایل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مبغوضیت تعطیلی حدود،اختلال نظام،وجود فلسفه و مصلحت تشریع حدود،و استناد به ولایت حسبه</w:t>
      </w:r>
      <w:r>
        <w:rPr>
          <w:rFonts w:eastAsia="IRNazanin" w:cs="IRNazanin"/>
          <w:color w:val="111111"/>
          <w:sz w:val="28"/>
          <w:szCs w:val="28"/>
          <w:rtl w:val="true"/>
          <w:lang w:bidi="fa-IR"/>
        </w:rPr>
        <w:t>.</w:t>
      </w:r>
    </w:p>
    <w:p>
      <w:pPr>
        <w:pStyle w:val="Heading5"/>
        <w:numPr>
          <w:ilvl w:val="4"/>
          <w:numId w:val="1"/>
        </w:numPr>
        <w:rPr/>
      </w:pPr>
      <w:bookmarkStart w:id="660" w:name="__RefHeading___Toc3420090_581953129"/>
      <w:bookmarkStart w:id="661" w:name="_Toc262"/>
      <w:bookmarkEnd w:id="660"/>
      <w:r>
        <w:rPr/>
        <w:t>1</w:t>
      </w:r>
      <w:r>
        <w:rPr>
          <w:rtl w:val="true"/>
        </w:rPr>
        <w:t>-</w:t>
      </w:r>
      <w:r>
        <w:rPr>
          <w:rtl w:val="true"/>
        </w:rPr>
        <w:t>مبغوضیت تعطیلی حدود</w:t>
      </w:r>
      <w:bookmarkEnd w:id="661"/>
    </w:p>
    <w:p>
      <w:pPr>
        <w:pStyle w:val="Heading6"/>
        <w:numPr>
          <w:ilvl w:val="5"/>
          <w:numId w:val="1"/>
        </w:numPr>
        <w:rPr/>
      </w:pPr>
      <w:bookmarkStart w:id="662" w:name="__RefHeading___Toc3420092_581953129"/>
      <w:bookmarkStart w:id="663" w:name="_Toc263"/>
      <w:bookmarkEnd w:id="662"/>
      <w:r>
        <w:rPr>
          <w:rtl w:val="true"/>
        </w:rPr>
        <w:t>اشاره</w:t>
      </w:r>
      <w:bookmarkEnd w:id="66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مختلف الشیعة،پیش از طرح ادله نقلی،دلیلی عقلی بر جواز و لزوم اقامه حدود در عصر غیبت اقامه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حدود،به ارتکاب محارم و انتشار مفاسد می‌انجامد که در نظر شرع ترک آن مطلوب است</w:t>
      </w:r>
      <w:r>
        <w:rPr>
          <w:rFonts w:eastAsia="IRNazanin" w:cs="IRNazanin"/>
          <w:color w:val="111111"/>
          <w:sz w:val="28"/>
          <w:szCs w:val="28"/>
          <w:rtl w:val="true"/>
          <w:lang w:bidi="fa-IR"/>
        </w:rPr>
        <w:t xml:space="preserve">». </w:t>
      </w:r>
      <w:r>
        <w:rPr>
          <w:rStyle w:val="FootnoteAnchor"/>
          <w:rtl w:val="true"/>
        </w:rPr>
        <w:footnoteReference w:id="730"/>
      </w:r>
      <w:bookmarkStart w:id="664" w:name="pg5664_43507"/>
    </w:p>
    <w:p>
      <w:pPr>
        <w:pStyle w:val="Heading6"/>
        <w:numPr>
          <w:ilvl w:val="5"/>
          <w:numId w:val="1"/>
        </w:numPr>
        <w:rPr/>
      </w:pPr>
      <w:bookmarkStart w:id="665" w:name="__RefHeading___Toc3420094_581953129"/>
      <w:bookmarkStart w:id="666" w:name="_Toc264"/>
      <w:bookmarkEnd w:id="664"/>
      <w:bookmarkEnd w:id="665"/>
      <w:r>
        <w:rPr>
          <w:rtl w:val="true"/>
        </w:rPr>
        <w:t>الف</w:t>
      </w:r>
      <w:r>
        <w:rPr>
          <w:rtl w:val="true"/>
        </w:rPr>
        <w:t>)</w:t>
      </w:r>
      <w:r>
        <w:rPr>
          <w:rtl w:val="true"/>
        </w:rPr>
        <w:t>تبیین استدلال</w:t>
      </w:r>
      <w:bookmarkEnd w:id="666"/>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حدود مستلزم افزایش ارتکاب محرمات الهی و انتشار مفاسد اجتماعی است که مبغوض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عملی که مبغوض شارع است،جایز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تعطیلی حدود جایز نیست و حدود الهی باید در هر زمانی اقامه شود</w:t>
      </w:r>
      <w:r>
        <w:rPr>
          <w:rFonts w:eastAsia="IRNazanin" w:cs="IRNazanin"/>
          <w:color w:val="111111"/>
          <w:sz w:val="28"/>
          <w:szCs w:val="28"/>
          <w:rtl w:val="true"/>
          <w:lang w:bidi="fa-IR"/>
        </w:rPr>
        <w:t>.</w:t>
      </w:r>
    </w:p>
    <w:p>
      <w:pPr>
        <w:pStyle w:val="Heading6"/>
        <w:numPr>
          <w:ilvl w:val="5"/>
          <w:numId w:val="1"/>
        </w:numPr>
        <w:rPr/>
      </w:pPr>
      <w:bookmarkStart w:id="667" w:name="__RefHeading___Toc3420096_581953129"/>
      <w:bookmarkStart w:id="668" w:name="_Toc265"/>
      <w:bookmarkEnd w:id="667"/>
      <w:r>
        <w:rPr>
          <w:rtl w:val="true"/>
        </w:rPr>
        <w:t>ب</w:t>
      </w:r>
      <w:r>
        <w:rPr>
          <w:rtl w:val="true"/>
        </w:rPr>
        <w:t>)</w:t>
      </w:r>
      <w:r>
        <w:rPr>
          <w:rtl w:val="true"/>
        </w:rPr>
        <w:t>اشکال‌ها</w:t>
      </w:r>
      <w:bookmarkEnd w:id="668"/>
    </w:p>
    <w:p>
      <w:pPr>
        <w:pStyle w:val="Heading6"/>
        <w:numPr>
          <w:ilvl w:val="5"/>
          <w:numId w:val="1"/>
        </w:numPr>
        <w:rPr/>
      </w:pPr>
      <w:bookmarkStart w:id="669" w:name="__RefHeading___Toc3420098_581953129"/>
      <w:bookmarkStart w:id="670" w:name="_Toc266"/>
      <w:bookmarkEnd w:id="669"/>
      <w:r>
        <w:rPr>
          <w:rtl w:val="true"/>
        </w:rPr>
        <w:t>یکم</w:t>
      </w:r>
      <w:r>
        <w:rPr>
          <w:rtl w:val="true"/>
        </w:rPr>
        <w:t>)</w:t>
      </w:r>
      <w:r>
        <w:rPr>
          <w:rtl w:val="true"/>
        </w:rPr>
        <w:t>عدم تلازم تعطیلی حدود و انتشار مفاسد</w:t>
      </w:r>
      <w:bookmarkEnd w:id="670"/>
    </w:p>
    <w:p>
      <w:pPr>
        <w:pStyle w:val="BookText"/>
        <w:rPr/>
      </w:pPr>
      <w:r>
        <w:rPr>
          <w:rFonts w:ascii="IRNazanin" w:hAnsi="IRNazanin" w:eastAsia="IRNazanin"/>
          <w:color w:val="111111"/>
          <w:sz w:val="28"/>
          <w:sz w:val="28"/>
          <w:szCs w:val="28"/>
          <w:rtl w:val="true"/>
          <w:lang w:bidi="fa-IR"/>
        </w:rPr>
        <w:t xml:space="preserve">به نظر جامعه‌شناسان،جرم پدیده‌ای است طبیعی و ناگزیر </w:t>
      </w:r>
      <w:r>
        <w:rPr>
          <w:rStyle w:val="FootnoteAnchor"/>
          <w:rtl w:val="true"/>
        </w:rPr>
        <w:footnoteReference w:id="731"/>
      </w:r>
      <w:r>
        <w:rPr>
          <w:rFonts w:ascii="IRNazanin" w:hAnsi="IRNazanin" w:eastAsia="IRNazanin"/>
          <w:color w:val="111111"/>
          <w:sz w:val="28"/>
          <w:sz w:val="28"/>
          <w:szCs w:val="28"/>
          <w:rtl w:val="true"/>
          <w:lang w:bidi="fa-IR"/>
        </w:rPr>
        <w:t>،ولی بی‌گمان اجرای حدود اسلامی با همه شرایط مقرر آن،اثر انکارناپذیری در پیشگیری از مفاسد اجتماعی و کاهش جرم و جنایت در جامعه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طبیعی تعطیلی حدود نیز می‌تواند اثر قابل توجهی بر افزایش آمار جرم و جنایت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شاید نتوان به طور قطع رابطه تلازم همیشگی میان این دو امر برقرار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دلیل،مقدس اردبیلی مدعی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یمنع الافضاء الی الفساد؛ </w:t>
      </w:r>
      <w:r>
        <w:rPr>
          <w:rStyle w:val="FootnoteAnchor"/>
          <w:rtl w:val="true"/>
        </w:rPr>
        <w:footnoteReference w:id="732"/>
      </w:r>
      <w:r>
        <w:rPr>
          <w:rFonts w:ascii="IRNazanin" w:hAnsi="IRNazanin" w:eastAsia="IRNazanin"/>
          <w:color w:val="111111"/>
          <w:sz w:val="28"/>
          <w:sz w:val="28"/>
          <w:szCs w:val="28"/>
          <w:rtl w:val="true"/>
          <w:lang w:bidi="fa-IR"/>
        </w:rPr>
        <w:t>گاهی تعطیلی حدود به انتشار مفاسد نمی‌انجامد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به‌علاوه،عدم امکان اجرای حدود موجب نمی‌شود نتوان تعزیرات شرعی را اقامه کرد و اقامه تعزیرات نیز می‌تواند اثر پیشگیرانه قابل توجهی داشته باشد و چه‌بسا بتواند مانع انتشار مفاسد اجتماعی و محرمات الهی گردد و نتایج منفی تعطیلی حدود را به میزان قابل توجهی کاهش دهد؛البته مشروط به این که اقامه تعزیرات جایز باشد</w:t>
      </w:r>
      <w:r>
        <w:rPr>
          <w:rFonts w:eastAsia="IRNazanin" w:cs="IRNazanin"/>
          <w:color w:val="111111"/>
          <w:sz w:val="28"/>
          <w:szCs w:val="28"/>
          <w:rtl w:val="true"/>
          <w:lang w:bidi="fa-IR"/>
        </w:rPr>
        <w:t xml:space="preserve">. </w:t>
      </w:r>
      <w:r>
        <w:rPr>
          <w:rStyle w:val="FootnoteAnchor"/>
          <w:rtl w:val="true"/>
        </w:rPr>
        <w:footnoteReference w:id="733"/>
      </w:r>
    </w:p>
    <w:p>
      <w:pPr>
        <w:pStyle w:val="Heading6"/>
        <w:numPr>
          <w:ilvl w:val="5"/>
          <w:numId w:val="1"/>
        </w:numPr>
        <w:rPr/>
      </w:pPr>
      <w:bookmarkStart w:id="671" w:name="__RefHeading___Toc3420100_581953129"/>
      <w:bookmarkStart w:id="672" w:name="_Toc267"/>
      <w:bookmarkEnd w:id="671"/>
      <w:r>
        <w:rPr>
          <w:rtl w:val="true"/>
        </w:rPr>
        <w:t>دوم</w:t>
      </w:r>
      <w:r>
        <w:rPr>
          <w:rtl w:val="true"/>
        </w:rPr>
        <w:t>)</w:t>
      </w:r>
      <w:r>
        <w:rPr>
          <w:rtl w:val="true"/>
        </w:rPr>
        <w:t>تعارض با لزوم حفظ نفوس محترمه</w:t>
      </w:r>
      <w:bookmarkEnd w:id="67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حدود بدون اذن و نظارت معصوم به‌یقین مفاسدی در پی دارد؛به‌ویژه که حدود معمولاً مستلزم جرح و قتل است،در حالی که می‌دانیم شارع تأکید فراوانی بر</w:t>
      </w:r>
      <w:bookmarkStart w:id="673" w:name="pg5664_43508"/>
    </w:p>
    <w:p>
      <w:pPr>
        <w:pStyle w:val="BookText"/>
        <w:rPr/>
      </w:pPr>
      <w:bookmarkEnd w:id="673"/>
      <w:r>
        <w:rPr>
          <w:rFonts w:ascii="IRNazanin" w:hAnsi="IRNazanin" w:eastAsia="IRNazanin"/>
          <w:color w:val="111111"/>
          <w:sz w:val="28"/>
          <w:sz w:val="28"/>
          <w:szCs w:val="28"/>
          <w:rtl w:val="true"/>
          <w:lang w:bidi="fa-IR"/>
        </w:rPr>
        <w:t>حفظ نفوس محترم دارد و راضی نیست هیچ بی‌گناهی به واسطه اجرای حدود به مجازات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قواعدی که ثمره اجرای آنها مجازات‌زدایی است،نظیر،قاعده درأ،احتیاط در دماء،تخفیف در حدود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مؤید این اهتمام شارع به حفظ نفوس محترم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این تأکید و اهتمام می‌توان ملاک حفظ نفوس محترم را بر مبغوضیت تعطیل حدود ترجیح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 و صاحب جواهر نیز بر این ترجیح اذعان کرده،پذیرفته‌اند ضرر قتل نفس محترم بیش از ضرر تعطیلی حدود است</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به فرض که چنین ترجیحی وجود نداشته باشد،دست‌کم این دو ملاک با هم در تعارض قرار می‌گیرند و دلیلی بر ترجیح ملاک مبغوضیت تعطیل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نتیجه،با فرض نبود هر گونه دلیل فقاهتی و اجتهادی،در هر صورت،چه ملاک حفظ نفوس را ترجیح دهیم و چه بر مساوات این دو ملاک نظر دهیم،نمی‌توان به صرف مبغوضیت تعطیلی حدود،لزوم اجرای آن را در عصر غیبت به اثبات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می‌توان وجه جمعی نیز میان دو دسته ملاک ارائه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مبغوضیت تعطیل حدود،لزوم اجرای همه حدود ثابت می‌شود و بر پایه لزوم حفظ نفوس محترم،می‌توان حدودی را که به قتل می‌انجامد،از این عموم خارج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نتیجه،حدودی که عادتاً قتل را در پی ندارند و به قتل نمی‌انجامند،همچنان برحکم لزوم اجرا و اقامه باقی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همین ملاک برخی از فقهای بزرگ همچون شیخ بهایی و سید عبدالله جزائری به تفصیل در جواز قایل شده‌اند</w:t>
      </w:r>
      <w:r>
        <w:rPr>
          <w:rFonts w:eastAsia="IRNazanin" w:cs="IRNazanin"/>
          <w:color w:val="111111"/>
          <w:sz w:val="28"/>
          <w:szCs w:val="28"/>
          <w:rtl w:val="true"/>
          <w:lang w:bidi="fa-IR"/>
        </w:rPr>
        <w:t xml:space="preserve">. </w:t>
      </w:r>
      <w:r>
        <w:rPr>
          <w:rStyle w:val="FootnoteAnchor"/>
          <w:rtl w:val="true"/>
        </w:rPr>
        <w:footnoteReference w:id="735"/>
      </w:r>
    </w:p>
    <w:p>
      <w:pPr>
        <w:pStyle w:val="Heading5"/>
        <w:numPr>
          <w:ilvl w:val="4"/>
          <w:numId w:val="1"/>
        </w:numPr>
        <w:rPr/>
      </w:pPr>
      <w:bookmarkStart w:id="674" w:name="__RefHeading___Toc3420102_581953129"/>
      <w:bookmarkStart w:id="675" w:name="_Toc268"/>
      <w:bookmarkEnd w:id="674"/>
      <w:r>
        <w:rPr/>
        <w:t>2</w:t>
      </w:r>
      <w:r>
        <w:rPr>
          <w:rtl w:val="true"/>
        </w:rPr>
        <w:t>-</w:t>
      </w:r>
      <w:r>
        <w:rPr>
          <w:rtl w:val="true"/>
        </w:rPr>
        <w:t>اختلال نظام</w:t>
      </w:r>
      <w:bookmarkEnd w:id="675"/>
    </w:p>
    <w:p>
      <w:pPr>
        <w:pStyle w:val="Heading6"/>
        <w:numPr>
          <w:ilvl w:val="5"/>
          <w:numId w:val="1"/>
        </w:numPr>
        <w:rPr/>
      </w:pPr>
      <w:bookmarkStart w:id="676" w:name="__RefHeading___Toc3420104_581953129"/>
      <w:bookmarkStart w:id="677" w:name="_Toc269"/>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روشن شد که صرف مبغوضیت تعطیل حدود،نمی‌تواند دلیل قابل قبولی برای جواز اجرای حدود در عصر غیبت پنداشته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همین مسئله،سید شفتی را بر آن داشته تا به جای اکتفا به مبغوضیت تعطیل حدود،اختلال نظام ناشی از تعطیل حدود را یادآور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و انگیزه قانون‌گذار حکیم از وضع احکام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ناموس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نفوس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ارتکاب جرایم حدی است که هلاکت نفوس</w:t>
      </w:r>
      <w:bookmarkStart w:id="678" w:name="pg5664_43509"/>
    </w:p>
    <w:p>
      <w:pPr>
        <w:pStyle w:val="BookText"/>
        <w:rPr/>
      </w:pPr>
      <w:bookmarkEnd w:id="678"/>
      <w:r>
        <w:rPr>
          <w:rFonts w:ascii="IRNazanin" w:hAnsi="IRNazanin" w:eastAsia="IRNazanin"/>
          <w:color w:val="111111"/>
          <w:sz w:val="28"/>
          <w:sz w:val="28"/>
          <w:szCs w:val="28"/>
          <w:rtl w:val="true"/>
          <w:lang w:bidi="fa-IR"/>
        </w:rPr>
        <w:t>و اختلال نظام را موجب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این هدف،اقدام به حدود در هر عصر و زمانی است تا موجب اجتناب از اسباب حدود گردد</w:t>
      </w:r>
      <w:r>
        <w:rPr>
          <w:rFonts w:eastAsia="IRNazanin" w:cs="IRNazanin"/>
          <w:color w:val="111111"/>
          <w:sz w:val="28"/>
          <w:szCs w:val="28"/>
          <w:rtl w:val="true"/>
          <w:lang w:bidi="fa-IR"/>
        </w:rPr>
        <w:t xml:space="preserve">. </w:t>
      </w:r>
      <w:r>
        <w:rPr>
          <w:rStyle w:val="FootnoteAnchor"/>
          <w:rtl w:val="true"/>
        </w:rPr>
        <w:footnoteReference w:id="736"/>
      </w:r>
    </w:p>
    <w:p>
      <w:pPr>
        <w:pStyle w:val="Heading6"/>
        <w:numPr>
          <w:ilvl w:val="5"/>
          <w:numId w:val="1"/>
        </w:numPr>
        <w:rPr/>
      </w:pPr>
      <w:bookmarkStart w:id="679" w:name="__RefHeading___Toc3420106_581953129"/>
      <w:bookmarkStart w:id="680" w:name="_Toc270"/>
      <w:bookmarkEnd w:id="679"/>
      <w:r>
        <w:rPr>
          <w:rtl w:val="true"/>
        </w:rPr>
        <w:t>الف</w:t>
      </w:r>
      <w:r>
        <w:rPr>
          <w:rtl w:val="true"/>
        </w:rPr>
        <w:t>)</w:t>
      </w:r>
      <w:r>
        <w:rPr>
          <w:rtl w:val="true"/>
        </w:rPr>
        <w:t>دیدگاه فقها</w:t>
      </w:r>
      <w:bookmarkEnd w:id="680"/>
    </w:p>
    <w:p>
      <w:pPr>
        <w:pStyle w:val="BookText"/>
        <w:rPr/>
      </w:pPr>
      <w:r>
        <w:rPr>
          <w:rFonts w:ascii="IRNazanin" w:hAnsi="IRNazanin" w:eastAsia="IRNazanin"/>
          <w:color w:val="111111"/>
          <w:sz w:val="28"/>
          <w:sz w:val="28"/>
          <w:szCs w:val="28"/>
          <w:rtl w:val="true"/>
          <w:lang w:bidi="fa-IR"/>
        </w:rPr>
        <w:t>برخی فقهای معاصر نیز حفظ نظام را یکی از دلایل جواز اقامه حدود برشمرده،ادله نیابت فقیه را دلیل جواز اقامه حدود به وسیله فقها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حیث یکون إقامة الحدود من السیاسات الدینیة التی لا بد من القیام بها فی کل زمان حفظا للنظام،فأدلة نیابة الفقیه تصلح دلیلا علی جواز ذلک للفقیه </w:t>
      </w:r>
      <w:r>
        <w:rPr>
          <w:rStyle w:val="FootnoteAnchor"/>
          <w:rtl w:val="true"/>
        </w:rPr>
        <w:footnoteReference w:id="737"/>
      </w:r>
      <w:r>
        <w:rPr>
          <w:rFonts w:ascii="IRNazanin" w:hAnsi="IRNazanin" w:eastAsia="IRNazanin"/>
          <w:color w:val="111111"/>
          <w:sz w:val="28"/>
          <w:sz w:val="28"/>
          <w:szCs w:val="28"/>
          <w:rtl w:val="true"/>
          <w:lang w:bidi="fa-IR"/>
        </w:rPr>
        <w:t>به‌علاوه،از این نظر که اقامه حدود از سیاسات دینی است که در هر زمانی قیام به این امور به دلیل حفظ نظام واجب است،پس ادله نیابت فقیه شایسته دلالت بر جواز اقامه حدود به دست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فقها نیز تصدی فقیه را بر اقامه حدود به دلیل لزوم حفظ نظام،گریزناپذیر می‌داند و عنوان یکی از ادله جواز را این‌گونه انتخاب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لابدیة تصدی الفقیه العادل لإقامة الحدود الشرعیة حفظا للنظام</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البته این فقیه گران‌قدر ذیل این عنوان،به اطلاق ازمانی ادله حدود اشاره و سخنان آیت‌الله خویی را در مبانی را ذکر کرده و آن را تأیید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نائینی،عدم رضای شارع به اختلال نظام را،دلیل ثبوت نیابت فقها در عصر غیبت می‌داند و می‌نویسد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قطعیات مذهب ما طائفه امامیه این است که در این عصر غیبت،علی مغیبه السلام،آنچه از ولایات نوعیه را که عدم رضای شارع مقدس به اهمال آن،حتی در این زمینه معلوم باشد،وظایف حسبیه نامیده و نیابت فقهای عصر غیبت را در آن،قدر متیقن و ثابت دانستیم،حتی با عدم ثبوت نیابت عامّه در جمیع مناصب،و چون عدم رضای شارع مقدس به اختلال نظام و ذهاب بیضه اسلام،بلکه اهمیت وظایفِ راجعه به حفظ و نظم ممالک اسلامیه از تمام امور حسبیه،از اوضح قطعیات است،لهذا ثبوت نیابت فقها و نوّاب عام عصر غیبت در اقامه وظایف مذکوره،از قطعیات مذهب خواهد بود</w:t>
      </w:r>
      <w:r>
        <w:rPr>
          <w:rFonts w:eastAsia="IRNazanin" w:cs="IRNazanin"/>
          <w:color w:val="111111"/>
          <w:sz w:val="28"/>
          <w:szCs w:val="28"/>
          <w:rtl w:val="true"/>
          <w:lang w:bidi="fa-IR"/>
        </w:rPr>
        <w:t xml:space="preserve">. </w:t>
      </w:r>
      <w:r>
        <w:rPr>
          <w:rStyle w:val="FootnoteAnchor"/>
          <w:rtl w:val="true"/>
        </w:rPr>
        <w:footnoteReference w:id="739"/>
      </w:r>
      <w:bookmarkStart w:id="681" w:name="pg5664_43510"/>
    </w:p>
    <w:p>
      <w:pPr>
        <w:pStyle w:val="BookText"/>
        <w:rPr/>
      </w:pPr>
      <w:bookmarkEnd w:id="681"/>
      <w:r>
        <w:rPr>
          <w:rFonts w:ascii="IRNazanin" w:hAnsi="IRNazanin" w:eastAsia="IRNazanin"/>
          <w:color w:val="111111"/>
          <w:sz w:val="28"/>
          <w:sz w:val="28"/>
          <w:szCs w:val="28"/>
          <w:rtl w:val="true"/>
          <w:lang w:bidi="fa-IR"/>
        </w:rPr>
        <w:t>ایشان،با ارتکازی دانستن عدم رضای شارع به اختلال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هرج و مرج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را در عصر غیبت ثابت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در صورتی که ثابت شود تعطیلی حدود،اختلال نظام را در پی دارد،استدلال فوق در کلام نائینی،ولایت فقها را بر اقامه حدود نیز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منع از اجرای برخی مجازات‌های خاص نیز تمسک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مثال،امام خمینی درباره اجرای حکم سنگسار فرموده‌اند که اگر موجب وهن نظام باشد،باید تعطیل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موجب وهن نظام باشد،نظام را تضعیف می‌کند،در حالی که حفظ نظام،بالاترین مصلحت است</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برای بررسی استدلال‌های فوق لازم است ابتدا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اختلال آن را روشن،و امکان اختلال نظام را در صورت تعطیل حدود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هم لازم است پس از روشن شدن موضوع،حکم اختلال نظام را توضیح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استدلال‌های فوق این‌گونه به نظر می‌رسد که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فقهی بدیهی است،اما به نظر می‌رسد این مدعایی شایسته تحقیق است</w:t>
      </w:r>
      <w:r>
        <w:rPr>
          <w:rFonts w:eastAsia="IRNazanin" w:cs="IRNazanin"/>
          <w:color w:val="111111"/>
          <w:sz w:val="28"/>
          <w:szCs w:val="28"/>
          <w:rtl w:val="true"/>
          <w:lang w:bidi="fa-IR"/>
        </w:rPr>
        <w:t>.</w:t>
      </w:r>
    </w:p>
    <w:p>
      <w:pPr>
        <w:pStyle w:val="Heading6"/>
        <w:numPr>
          <w:ilvl w:val="5"/>
          <w:numId w:val="1"/>
        </w:numPr>
        <w:rPr/>
      </w:pPr>
      <w:bookmarkStart w:id="682" w:name="__RefHeading___Toc3420108_581953129"/>
      <w:bookmarkStart w:id="683" w:name="_Toc271"/>
      <w:bookmarkEnd w:id="682"/>
      <w:r>
        <w:rPr>
          <w:rtl w:val="true"/>
        </w:rPr>
        <w:t>ب</w:t>
      </w:r>
      <w:r>
        <w:rPr>
          <w:rtl w:val="true"/>
        </w:rPr>
        <w:t>)</w:t>
      </w:r>
      <w:r>
        <w:rPr>
          <w:rtl w:val="true"/>
        </w:rPr>
        <w:t>مفهوم حفظ و اختلال نظام</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تقابل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هر مسئله‌ای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مخاطره اندازد،به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حضرت امام خمینی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از امور مورد تأکید شارع و اختلال امور مسلمین مبغوض شارع است</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واجب و اخلال در آن حرام است</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در این کلام،تلازم این دو امر به خوبی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همین تلازم،برای دانستن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باید به مفهوم نظام و حفظ آن رجوع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متون و نوشته‌های فقهی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معنا استعمال</w:t>
      </w:r>
    </w:p>
    <w:p>
      <w:pPr>
        <w:pStyle w:val="BookText"/>
        <w:rPr/>
      </w:pPr>
      <w:r>
        <w:rPr>
          <w:rFonts w:ascii="IRNazanin" w:hAnsi="IRNazanin" w:eastAsia="IRNazanin"/>
          <w:color w:val="111111"/>
          <w:sz w:val="28"/>
          <w:sz w:val="28"/>
          <w:szCs w:val="28"/>
          <w:rtl w:val="true"/>
          <w:lang w:bidi="fa-IR"/>
        </w:rPr>
        <w:t xml:space="preserve">می‌شود؛زیرا گاهی مقصود از آن،حفظ و نگه‌داری حاکمیت اسلامی و جلوگیری از خدشه‌دار شدن آن به وسیله دشمنان داخلی و خارجی اسلام است </w:t>
      </w:r>
      <w:r>
        <w:rPr>
          <w:rStyle w:val="FootnoteAnchor"/>
          <w:rtl w:val="true"/>
        </w:rPr>
        <w:footnoteReference w:id="743"/>
      </w:r>
      <w:r>
        <w:rPr>
          <w:rFonts w:ascii="IRNazanin" w:hAnsi="IRNazanin" w:eastAsia="IRNazanin"/>
          <w:color w:val="111111"/>
          <w:sz w:val="28"/>
          <w:sz w:val="28"/>
          <w:szCs w:val="28"/>
          <w:rtl w:val="true"/>
          <w:lang w:bidi="fa-IR"/>
        </w:rPr>
        <w:t>که می‌توان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بیضه اسلام</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را نیز به همین معنا یا دارای معنایی نزدیک به این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 از مداخله اجانب و تحذّر از حیل معموله در این باب و تهیه قوه دفاعیه و استعدادات حربیه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لسان متشرعان،حفظ بیضه اسلام،و در بیان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گاهی هم مراد از آن،حفظ نظم در درون جامعه اسلامی و برقراری انضباط میان مردم و سازمان‌ها و دستگاه‌های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به این معنا،در مقابل اختلال و هرج و مرج به‌کار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مورد بحث،در بیشتر موارد در معنای دوم به کار رفته است</w:t>
      </w:r>
      <w:r>
        <w:rPr>
          <w:rFonts w:eastAsia="IRNazanin" w:cs="IRNazanin"/>
          <w:color w:val="111111"/>
          <w:sz w:val="28"/>
          <w:szCs w:val="28"/>
          <w:rtl w:val="true"/>
          <w:lang w:bidi="fa-IR"/>
        </w:rPr>
        <w:t xml:space="preserve">». </w:t>
      </w:r>
      <w:r>
        <w:rPr>
          <w:rStyle w:val="FootnoteAnchor"/>
          <w:rtl w:val="true"/>
        </w:rPr>
        <w:footnoteReference w:id="74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همچون قرین خود در این دو معنا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مثال،علامه حلی در مسئله لزوم عصمت امام </w:t>
      </w:r>
      <w:r>
        <w:rPr>
          <w:rStyle w:val="FootnoteAnchor"/>
          <w:rtl w:val="true"/>
        </w:rPr>
        <w:footnoteReference w:id="747"/>
      </w:r>
      <w:r>
        <w:rPr>
          <w:rFonts w:ascii="IRNazanin" w:hAnsi="IRNazanin" w:eastAsia="IRNazanin"/>
          <w:color w:val="111111"/>
          <w:sz w:val="28"/>
          <w:sz w:val="28"/>
          <w:szCs w:val="28"/>
          <w:rtl w:val="true"/>
          <w:lang w:bidi="fa-IR"/>
        </w:rPr>
        <w:t xml:space="preserve">و نائینی در ولایت حاکم </w:t>
      </w:r>
      <w:r>
        <w:rPr>
          <w:rStyle w:val="FootnoteAnchor"/>
          <w:rtl w:val="true"/>
        </w:rPr>
        <w:footnoteReference w:id="748"/>
      </w:r>
      <w:r>
        <w:rPr>
          <w:rFonts w:ascii="IRNazanin" w:hAnsi="IRNazanin" w:eastAsia="IRNazanin"/>
          <w:color w:val="111111"/>
          <w:sz w:val="28"/>
          <w:sz w:val="28"/>
          <w:szCs w:val="28"/>
          <w:rtl w:val="true"/>
          <w:lang w:bidi="fa-IR"/>
        </w:rPr>
        <w:t>به این عنوان اشاره کرده‌اند که به معنای اول،یعنی حاکمیت و حکومت اسلامی اشاره دارد،ولی در بیشتر موارد کاربرد این واژه،معنای دوم،یعنی نظام معیشت و زندگی مردم،منظور فقها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مثال،صاحب جواهر در مسائل متعددی از جمله در رد اعتبار عدم ظهور فسق در شهادت و لزوم ظهور عدم فسق، </w:t>
      </w:r>
      <w:r>
        <w:rPr>
          <w:rStyle w:val="FootnoteAnchor"/>
          <w:rtl w:val="true"/>
        </w:rPr>
        <w:footnoteReference w:id="749"/>
      </w:r>
      <w:r>
        <w:rPr>
          <w:rFonts w:ascii="IRNazanin" w:hAnsi="IRNazanin" w:eastAsia="IRNazanin"/>
          <w:color w:val="111111"/>
          <w:sz w:val="28"/>
          <w:sz w:val="28"/>
          <w:szCs w:val="28"/>
          <w:rtl w:val="true"/>
          <w:lang w:bidi="fa-IR"/>
        </w:rPr>
        <w:t xml:space="preserve">و عدم جواز اتفاق اهل بلد بر منع قاضی مبعوث </w:t>
      </w:r>
      <w:r>
        <w:rPr>
          <w:rStyle w:val="FootnoteAnchor"/>
          <w:rtl w:val="true"/>
        </w:rPr>
        <w:footnoteReference w:id="750"/>
      </w:r>
      <w:r>
        <w:rPr>
          <w:rFonts w:ascii="IRNazanin" w:hAnsi="IRNazanin" w:eastAsia="IRNazanin"/>
          <w:color w:val="111111"/>
          <w:sz w:val="28"/>
          <w:sz w:val="28"/>
          <w:szCs w:val="28"/>
          <w:rtl w:val="true"/>
          <w:lang w:bidi="fa-IR"/>
        </w:rPr>
        <w:t>به این عنوان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نیر در مسائلی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مستند به استصحاب </w:t>
      </w:r>
      <w:r>
        <w:rPr>
          <w:rStyle w:val="FootnoteAnchor"/>
          <w:rtl w:val="true"/>
        </w:rPr>
        <w:footnoteReference w:id="751"/>
      </w:r>
      <w:r>
        <w:rPr>
          <w:rFonts w:ascii="IRNazanin" w:hAnsi="IRNazanin" w:eastAsia="IRNazanin"/>
          <w:color w:val="111111"/>
          <w:sz w:val="28"/>
          <w:sz w:val="28"/>
          <w:szCs w:val="28"/>
          <w:rtl w:val="true"/>
          <w:lang w:bidi="fa-IR"/>
        </w:rPr>
        <w:t xml:space="preserve">،لزوم ملکه در ثبوت عدالت </w:t>
      </w:r>
      <w:r>
        <w:rPr>
          <w:rStyle w:val="FootnoteAnchor"/>
          <w:rtl w:val="true"/>
        </w:rPr>
        <w:footnoteReference w:id="752"/>
      </w:r>
      <w:r>
        <w:rPr>
          <w:rFonts w:ascii="IRNazanin" w:hAnsi="IRNazanin" w:eastAsia="IRNazanin"/>
          <w:color w:val="111111"/>
          <w:sz w:val="28"/>
          <w:sz w:val="28"/>
          <w:szCs w:val="28"/>
          <w:rtl w:val="true"/>
          <w:lang w:bidi="fa-IR"/>
        </w:rPr>
        <w:t xml:space="preserve">،جواز اخذ اجرت بر صناعات واجب </w:t>
      </w:r>
      <w:r>
        <w:rPr>
          <w:rStyle w:val="FootnoteAnchor"/>
          <w:rtl w:val="true"/>
        </w:rPr>
        <w:footnoteReference w:id="753"/>
      </w:r>
      <w:r>
        <w:rPr>
          <w:rFonts w:ascii="IRNazanin" w:hAnsi="IRNazanin" w:eastAsia="IRNazanin"/>
          <w:color w:val="111111"/>
          <w:sz w:val="28"/>
          <w:sz w:val="28"/>
          <w:szCs w:val="28"/>
          <w:rtl w:val="true"/>
          <w:lang w:bidi="fa-IR"/>
        </w:rPr>
        <w:t xml:space="preserve">و جواز شراء ما یأخذه الجائر </w:t>
      </w:r>
      <w:r>
        <w:rPr>
          <w:rStyle w:val="FootnoteAnchor"/>
          <w:rtl w:val="true"/>
        </w:rPr>
        <w:footnoteReference w:id="754"/>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فقها نیز در موارد متعددی به این عنوان استدلال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موارد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اصالة احتیاط </w:t>
      </w:r>
      <w:r>
        <w:rPr>
          <w:rStyle w:val="FootnoteAnchor"/>
          <w:rtl w:val="true"/>
        </w:rPr>
        <w:footnoteReference w:id="755"/>
      </w:r>
      <w:r>
        <w:rPr>
          <w:rFonts w:ascii="IRNazanin" w:hAnsi="IRNazanin" w:eastAsia="IRNazanin"/>
          <w:color w:val="111111"/>
          <w:sz w:val="28"/>
          <w:sz w:val="28"/>
          <w:szCs w:val="28"/>
          <w:rtl w:val="true"/>
          <w:lang w:bidi="fa-IR"/>
        </w:rPr>
        <w:t xml:space="preserve">،جواز قضاوت مقلد </w:t>
      </w:r>
      <w:r>
        <w:rPr>
          <w:rStyle w:val="FootnoteAnchor"/>
          <w:rtl w:val="true"/>
        </w:rPr>
        <w:footnoteReference w:id="756"/>
      </w:r>
      <w:r>
        <w:rPr>
          <w:rFonts w:ascii="IRNazanin" w:hAnsi="IRNazanin" w:eastAsia="IRNazanin"/>
          <w:color w:val="111111"/>
          <w:sz w:val="28"/>
          <w:sz w:val="28"/>
          <w:szCs w:val="28"/>
          <w:rtl w:val="true"/>
          <w:lang w:bidi="fa-IR"/>
        </w:rPr>
        <w:t xml:space="preserve">،منجس بودن متنجس </w:t>
      </w:r>
      <w:r>
        <w:rPr>
          <w:rStyle w:val="FootnoteAnchor"/>
          <w:rtl w:val="true"/>
        </w:rPr>
        <w:footnoteReference w:id="757"/>
      </w:r>
      <w:r>
        <w:rPr>
          <w:rFonts w:ascii="IRNazanin" w:hAnsi="IRNazanin" w:eastAsia="IRNazanin"/>
          <w:color w:val="111111"/>
          <w:sz w:val="28"/>
          <w:sz w:val="28"/>
          <w:szCs w:val="28"/>
          <w:rtl w:val="true"/>
          <w:lang w:bidi="fa-IR"/>
        </w:rPr>
        <w:t xml:space="preserve">،اخذ اجرت بر واجبات </w:t>
      </w:r>
      <w:r>
        <w:rPr>
          <w:rStyle w:val="FootnoteAnchor"/>
          <w:rtl w:val="true"/>
        </w:rPr>
        <w:footnoteReference w:id="758"/>
      </w:r>
      <w:r>
        <w:rPr>
          <w:rFonts w:ascii="IRNazanin" w:hAnsi="IRNazanin" w:eastAsia="IRNazanin"/>
          <w:color w:val="111111"/>
          <w:sz w:val="28"/>
          <w:sz w:val="28"/>
          <w:szCs w:val="28"/>
          <w:rtl w:val="true"/>
          <w:lang w:bidi="fa-IR"/>
        </w:rPr>
        <w:t xml:space="preserve">،اصل فساد </w:t>
      </w:r>
      <w:r>
        <w:rPr>
          <w:rStyle w:val="FootnoteAnchor"/>
          <w:rtl w:val="true"/>
        </w:rPr>
        <w:footnoteReference w:id="759"/>
      </w:r>
      <w:r>
        <w:rPr>
          <w:rFonts w:ascii="IRNazanin" w:hAnsi="IRNazanin" w:eastAsia="IRNazanin"/>
          <w:color w:val="111111"/>
          <w:sz w:val="28"/>
          <w:sz w:val="28"/>
          <w:szCs w:val="28"/>
          <w:rtl w:val="true"/>
          <w:lang w:bidi="fa-IR"/>
        </w:rPr>
        <w:t xml:space="preserve">،احتکار </w:t>
      </w:r>
      <w:r>
        <w:rPr>
          <w:rStyle w:val="FootnoteAnchor"/>
          <w:rtl w:val="true"/>
        </w:rPr>
        <w:footnoteReference w:id="760"/>
      </w:r>
      <w:r>
        <w:rPr>
          <w:rFonts w:ascii="IRNazanin" w:hAnsi="IRNazanin" w:eastAsia="IRNazanin"/>
          <w:color w:val="111111"/>
          <w:sz w:val="28"/>
          <w:sz w:val="28"/>
          <w:szCs w:val="28"/>
          <w:rtl w:val="true"/>
          <w:lang w:bidi="fa-IR"/>
        </w:rPr>
        <w:t>و حتی شبیه‌سازی</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در بحث اقامه حدود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بدان اشاره و استدلال کرده‌اند</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حال پرسش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بحث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معناست؟روشن است که در بحث اقامه حدود،بیشتر معنای دوم،یعنی نظم و انضباط درون جامعه اسلامی مراد است؛یعنی مستدل مدعی است تعطیل حدود سبب ایجاد هرج و مرج و انتشار فجور و مفاسد می‌گردد و ازاین‌رو،لازم است حدود 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به‌یقین این دو معنا بی‌ارتباط با هم نیستند و یکی لازمه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دلیل،هرج و مرج داخلی،قطعاً حفظ و موجودیت حکومت را به مخاطره می‌اندازد و اصلاً فلسفه تشریع حکومت نیز صیانت جامعه از هرج و مرج و فراهم کردن امنیت اجتماعی برای تک‌تک مردم است</w:t>
      </w:r>
      <w:r>
        <w:rPr>
          <w:rFonts w:eastAsia="IRNazanin" w:cs="IRNazanin"/>
          <w:color w:val="111111"/>
          <w:sz w:val="28"/>
          <w:szCs w:val="28"/>
          <w:rtl w:val="true"/>
          <w:lang w:bidi="fa-IR"/>
        </w:rPr>
        <w:t xml:space="preserve">. </w:t>
      </w:r>
      <w:r>
        <w:rPr>
          <w:rStyle w:val="FootnoteAnchor"/>
          <w:rtl w:val="true"/>
        </w:rPr>
        <w:footnoteReference w:id="763"/>
      </w:r>
      <w:bookmarkStart w:id="684" w:name="pg5664_43513"/>
    </w:p>
    <w:p>
      <w:pPr>
        <w:pStyle w:val="Heading6"/>
        <w:numPr>
          <w:ilvl w:val="5"/>
          <w:numId w:val="1"/>
        </w:numPr>
        <w:rPr/>
      </w:pPr>
      <w:bookmarkStart w:id="685" w:name="__RefHeading___Toc3420110_581953129"/>
      <w:bookmarkStart w:id="686" w:name="_Toc272"/>
      <w:bookmarkEnd w:id="684"/>
      <w:bookmarkEnd w:id="685"/>
      <w:r>
        <w:rPr>
          <w:rtl w:val="true"/>
        </w:rPr>
        <w:t>ج</w:t>
      </w:r>
      <w:r>
        <w:rPr>
          <w:rtl w:val="true"/>
        </w:rPr>
        <w:t>)</w:t>
      </w:r>
      <w:r>
        <w:rPr>
          <w:rtl w:val="true"/>
        </w:rPr>
        <w:t>حکم شرعی حفظ نظام</w:t>
      </w:r>
      <w:bookmarkEnd w:id="686"/>
    </w:p>
    <w:p>
      <w:pPr>
        <w:pStyle w:val="BookText"/>
        <w:rPr/>
      </w:pPr>
      <w:r>
        <w:rPr>
          <w:rFonts w:ascii="IRNazanin" w:hAnsi="IRNazanin" w:eastAsia="IRNazanin"/>
          <w:color w:val="111111"/>
          <w:sz w:val="28"/>
          <w:sz w:val="28"/>
          <w:szCs w:val="28"/>
          <w:rtl w:val="true"/>
          <w:lang w:bidi="fa-IR"/>
        </w:rPr>
        <w:t>نکته قابل توجه در این زمینه این است که حفظ نظام،به هر دو معنا،از واجبات شرعی و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ابواب مختلف فقه نیز نشان دهنده مسلّم بودن این مطلب در میان همه فقهاست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دانشوران در موارد فراوانی،با مفروغ گرفتن این حکم،احکام و آثار گوناگونی بر آن مبتنی کرده‌اند که با نمونه‌هایی از آن آشنا شدیم</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برای بداهت وجوب و مهم بودن حفظ نظام و حتی تقدم آن بر دیگر احکام اولی،دلایل قابل قبولی ارائه شده است</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اما مراجعه به آثار فقها،چنان بداهت وجوب و 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روشن می‌سازد،که ضرورتی برای بررسی این دلایل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نظام در دیدگاه شیخ انصاری اهمیت قابل توجهی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لاقامة النظام التی هی من الواجبات المطلقة </w:t>
      </w:r>
      <w:r>
        <w:rPr>
          <w:rStyle w:val="FootnoteAnchor"/>
          <w:rtl w:val="true"/>
        </w:rPr>
        <w:footnoteReference w:id="766"/>
      </w:r>
      <w:r>
        <w:rPr>
          <w:rFonts w:ascii="IRNazanin" w:hAnsi="IRNazanin" w:eastAsia="IRNazanin"/>
          <w:color w:val="111111"/>
          <w:sz w:val="28"/>
          <w:sz w:val="28"/>
          <w:szCs w:val="28"/>
          <w:rtl w:val="true"/>
          <w:lang w:bidi="fa-IR"/>
        </w:rPr>
        <w:t>حفظ نظم از واجبات مطلقی است که هرگز نمی‌توان آن را مخصوص دوره‌ای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جای جای کلام شیخ مورد استناد قرار گرفته و ایشان آن را از مهم‌ترین واجبات دانسته،بر همه احکام اولیه حاکم گرفته است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امام خمینی نیز حفظ نظام را از امور مورد تأکید شارع و دلیلی بر بقای احکام سیاسی اسلام و لزوم حکومت دانسته است</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همچنین امام راحل در تاریخ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رئیس مجلس چنین مرقوم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حفظ نظام جمهوری اسلامی دخالت دارد که</w:t>
      </w:r>
      <w:bookmarkStart w:id="687" w:name="pg5664_43514"/>
    </w:p>
    <w:p>
      <w:pPr>
        <w:pStyle w:val="BookText"/>
        <w:rPr/>
      </w:pPr>
      <w:bookmarkEnd w:id="687"/>
      <w:r>
        <w:rPr>
          <w:rFonts w:ascii="IRNazanin" w:hAnsi="IRNazanin" w:eastAsia="IRNazanin"/>
          <w:color w:val="111111"/>
          <w:sz w:val="28"/>
          <w:sz w:val="28"/>
          <w:szCs w:val="28"/>
          <w:rtl w:val="true"/>
          <w:lang w:bidi="fa-IR"/>
        </w:rPr>
        <w:t>فعل یا ترک آن موجب اختلال نظام می‌شود؛و آنچه ضرورت دارد که ترک آن یا فعل آن مستلزم فساد است،و آنچه فعل یا ترک آن مستلزم فساد است،و آنچه فعل یا ترک آن مستلزم حرج است،پس از تشخیص موضوع به وسیله اکثریت وکلای مجلس شورای اسلامی با تصریح به موقت بودن آن،مادام که موضوع محقق است و پس از رفع موضوع خود به خود لغو می‌شود،مجازند در تصویب و اجرای آن و باید تصریح شود که هر یک از متصدیان اجرا از حدود مقرر تجاوز کرد،مجرم شناخته می‌شود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دیدگاه‌های فقهی آیت‌الله خویی نیز نقش پررنگی دارد تا جایی که ایشان امر بسیار مهمی چون قضاوت را به دلیل جلوگیری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می‌داند و منصب قضا را برای فقها ثابت می‌کند</w:t>
      </w:r>
      <w:r>
        <w:rPr>
          <w:rFonts w:eastAsia="IRNazanin" w:cs="IRNazanin"/>
          <w:color w:val="111111"/>
          <w:sz w:val="28"/>
          <w:szCs w:val="28"/>
          <w:rtl w:val="true"/>
          <w:lang w:bidi="fa-IR"/>
        </w:rPr>
        <w:t xml:space="preserve">. </w:t>
      </w:r>
      <w:r>
        <w:rPr>
          <w:rStyle w:val="FootnoteAnchor"/>
          <w:rtl w:val="true"/>
        </w:rPr>
        <w:footnoteReference w:id="770"/>
      </w:r>
    </w:p>
    <w:p>
      <w:pPr>
        <w:pStyle w:val="Heading6"/>
        <w:numPr>
          <w:ilvl w:val="5"/>
          <w:numId w:val="1"/>
        </w:numPr>
        <w:rPr/>
      </w:pPr>
      <w:bookmarkStart w:id="688" w:name="__RefHeading___Toc3420112_581953129"/>
      <w:bookmarkStart w:id="689" w:name="_Toc273"/>
      <w:bookmarkEnd w:id="688"/>
      <w:r>
        <w:rPr>
          <w:rtl w:val="true"/>
        </w:rPr>
        <w:t>د</w:t>
      </w:r>
      <w:r>
        <w:rPr>
          <w:rtl w:val="true"/>
        </w:rPr>
        <w:t>)</w:t>
      </w:r>
      <w:r>
        <w:rPr>
          <w:rtl w:val="true"/>
        </w:rPr>
        <w:t>نقد و بررسی</w:t>
      </w:r>
      <w:bookmarkEnd w:id="689"/>
    </w:p>
    <w:p>
      <w:pPr>
        <w:pStyle w:val="BookText"/>
        <w:rPr/>
      </w:pPr>
      <w:r>
        <w:rPr>
          <w:rFonts w:ascii="IRNazanin" w:hAnsi="IRNazanin" w:eastAsia="IRNazanin"/>
          <w:color w:val="111111"/>
          <w:sz w:val="28"/>
          <w:sz w:val="28"/>
          <w:szCs w:val="28"/>
          <w:rtl w:val="true"/>
          <w:lang w:bidi="fa-IR"/>
        </w:rPr>
        <w:t>روشن شد که حفظ نظام از واجبات مورد تأکید شارع بوده،هر گونه اختلال نظام به شدت مبغوض شارع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به‌یقین برای جلوگیری از هرج و مرج در جامعه،به‌کارگیری مجازات امری اجتناب‌ناپذیر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نتیجه،می‌توان گفت اجرای مجازات در جامعه برای حفظ نظام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مسئله با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 ندارد؛زیرا برای دفع هرج و مرج،فجور و مفاسد،حاکم اسلامی با اختیاراتی که دارد،می‌تواند از تعزیرات استفاده کند و هیچ محذوری پیش نمی‌آید یا دست‌کم چنان محذوری که موجب هرج و مرج و اختلال نظام گردد،رخ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گفته شود به قرینه عدم فصل،در صورت عدم جواز حدود،تعزیر نیز باید ممنوع باشد که در این صورت نیز حاکم اسلامی می‌تواند با اختیارات خود،مجازات‌هایی را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 اجرا کند</w:t>
      </w:r>
      <w:r>
        <w:rPr>
          <w:rFonts w:eastAsia="IRNazanin" w:cs="IRNazanin"/>
          <w:color w:val="111111"/>
          <w:sz w:val="28"/>
          <w:szCs w:val="28"/>
          <w:rtl w:val="true"/>
          <w:lang w:bidi="fa-IR"/>
        </w:rPr>
        <w:t>.</w:t>
      </w:r>
    </w:p>
    <w:p>
      <w:pPr>
        <w:pStyle w:val="Heading5"/>
        <w:numPr>
          <w:ilvl w:val="4"/>
          <w:numId w:val="1"/>
        </w:numPr>
        <w:rPr/>
      </w:pPr>
      <w:bookmarkStart w:id="690" w:name="__RefHeading___Toc3420114_581953129"/>
      <w:bookmarkStart w:id="691" w:name="_Toc274"/>
      <w:bookmarkEnd w:id="690"/>
      <w:r>
        <w:rPr/>
        <w:t>3</w:t>
      </w:r>
      <w:r>
        <w:rPr>
          <w:rtl w:val="true"/>
        </w:rPr>
        <w:t>-</w:t>
      </w:r>
      <w:r>
        <w:rPr>
          <w:rtl w:val="true"/>
        </w:rPr>
        <w:t>وجود فلسفه و مصلحت تشریع حدود</w:t>
      </w:r>
      <w:bookmarkEnd w:id="691"/>
    </w:p>
    <w:p>
      <w:pPr>
        <w:pStyle w:val="Heading6"/>
        <w:numPr>
          <w:ilvl w:val="5"/>
          <w:numId w:val="1"/>
        </w:numPr>
        <w:rPr/>
      </w:pPr>
      <w:bookmarkStart w:id="692" w:name="__RefHeading___Toc3420116_581953129"/>
      <w:bookmarkStart w:id="693" w:name="_Toc275"/>
      <w:bookmarkEnd w:id="692"/>
      <w:r>
        <w:rPr>
          <w:rtl w:val="true"/>
        </w:rPr>
        <w:t>اشاره</w:t>
      </w:r>
      <w:bookmarkEnd w:id="69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تابعیت احکام اسلامی از مصالح و مفاسد واقعی،از اصول زیربنایی احکام</w:t>
      </w:r>
    </w:p>
    <w:p>
      <w:pPr>
        <w:pStyle w:val="BookText"/>
        <w:rPr/>
      </w:pP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مشهور اصولی‌ها معتقدند مصلحت و مفسده در متعلق حکم وجود دارد </w:t>
      </w:r>
      <w:r>
        <w:rPr>
          <w:rStyle w:val="FootnoteAnchor"/>
          <w:rtl w:val="true"/>
        </w:rPr>
        <w:footnoteReference w:id="772"/>
      </w:r>
      <w:r>
        <w:rPr>
          <w:rFonts w:ascii="IRNazanin" w:hAnsi="IRNazanin" w:eastAsia="IRNazanin"/>
          <w:color w:val="111111"/>
          <w:sz w:val="28"/>
          <w:sz w:val="28"/>
          <w:szCs w:val="28"/>
          <w:rtl w:val="true"/>
          <w:lang w:bidi="fa-IR"/>
        </w:rPr>
        <w:t>و بیشتر دانشمندان کلام،اصول و فقه بر این باورند که خداوند در هر حکمی ابتدا به مصلحت یا مفسده‌ای در آن توجه،و سپس با وجود آن مصلحت یا مفسده،ارتکاب فعل مورد نظر را واجب یا حرام کرده است</w:t>
      </w:r>
      <w:r>
        <w:rPr>
          <w:rFonts w:eastAsia="IRNazanin" w:cs="IRNazanin"/>
          <w:color w:val="111111"/>
          <w:sz w:val="28"/>
          <w:szCs w:val="28"/>
          <w:rtl w:val="true"/>
          <w:lang w:bidi="fa-IR"/>
        </w:rPr>
        <w:t xml:space="preserve">. </w:t>
      </w:r>
      <w:r>
        <w:rPr>
          <w:rStyle w:val="FootnoteAnchor"/>
          <w:rtl w:val="true"/>
        </w:rPr>
        <w:footnoteReference w:id="77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پیروی حکم از مصالح و مفاسد واقعی،خدشه‌ناپذیر است،ولی این پرسش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این ملاک‌ها را کشف کرد؟آیا برای عقل و خرد بشری راهی به سوی درک این مصالح و مفاسد متصور است؟در پاسخ باید گفت دسته‌ای از احکام هستند که عقل ما هیچ‌گاه به مصالح و مفاسد آن راه نیافته و نمی‌یابد؛مثل بسیاری از عبادات</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دسته دیگری از احکام نیز وجود دارند که ملاک‌های آن برای ما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عموماً این‌گونه هستند و ما در بیشتر موارد می‌توانیم مصلحت هر یک از آنها را تشخیص دهیم</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از این رو،بسیاری از احکام مربوط به معاملات احکام امضایی هستند</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بر این اساس،با توجه به اینکه حدود و دیگر مجازات‌های اسلامی از معاملات به معنای اعم شمرده می‌شوند </w:t>
      </w:r>
      <w:r>
        <w:rPr>
          <w:rStyle w:val="FootnoteAnchor"/>
          <w:rtl w:val="true"/>
        </w:rPr>
        <w:footnoteReference w:id="777"/>
      </w:r>
      <w:r>
        <w:rPr>
          <w:rFonts w:ascii="IRNazanin" w:hAnsi="IRNazanin" w:eastAsia="IRNazanin"/>
          <w:color w:val="111111"/>
          <w:sz w:val="28"/>
          <w:sz w:val="28"/>
          <w:szCs w:val="28"/>
          <w:rtl w:val="true"/>
          <w:lang w:bidi="fa-IR"/>
        </w:rPr>
        <w:t>،می‌توان سهمی</w:t>
      </w:r>
      <w:bookmarkStart w:id="694" w:name="pg5664_43516"/>
    </w:p>
    <w:p>
      <w:pPr>
        <w:pStyle w:val="BookText"/>
        <w:rPr/>
      </w:pPr>
      <w:bookmarkEnd w:id="694"/>
      <w:r>
        <w:rPr>
          <w:rFonts w:ascii="IRNazanin" w:hAnsi="IRNazanin" w:eastAsia="IRNazanin"/>
          <w:color w:val="111111"/>
          <w:sz w:val="28"/>
          <w:sz w:val="28"/>
          <w:szCs w:val="28"/>
          <w:rtl w:val="true"/>
          <w:lang w:bidi="fa-IR"/>
        </w:rPr>
        <w:t>برای عقل بشری در درک ملاک‌های آن 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نتیجه،هرگاه بتوانیم به این مصالح و مفاسد واقعی دست یابیم،می‌توانیم بر اساس آنها حکم کنیم</w:t>
      </w:r>
      <w:r>
        <w:rPr>
          <w:rFonts w:eastAsia="IRNazanin" w:cs="IRNazanin"/>
          <w:color w:val="111111"/>
          <w:sz w:val="28"/>
          <w:szCs w:val="28"/>
          <w:rtl w:val="true"/>
          <w:lang w:bidi="fa-IR"/>
        </w:rPr>
        <w:t>.</w:t>
      </w:r>
    </w:p>
    <w:p>
      <w:pPr>
        <w:pStyle w:val="Heading6"/>
        <w:numPr>
          <w:ilvl w:val="5"/>
          <w:numId w:val="1"/>
        </w:numPr>
        <w:rPr/>
      </w:pPr>
      <w:bookmarkStart w:id="695" w:name="__RefHeading___Toc3420118_581953129"/>
      <w:bookmarkStart w:id="696" w:name="_Toc276"/>
      <w:bookmarkEnd w:id="695"/>
      <w:r>
        <w:rPr>
          <w:rtl w:val="true"/>
        </w:rPr>
        <w:t>الف</w:t>
      </w:r>
      <w:r>
        <w:rPr>
          <w:rtl w:val="true"/>
        </w:rPr>
        <w:t>)</w:t>
      </w:r>
      <w:r>
        <w:rPr>
          <w:rtl w:val="true"/>
        </w:rPr>
        <w:t>دیدگاه فقها</w:t>
      </w:r>
      <w:bookmarkEnd w:id="696"/>
    </w:p>
    <w:p>
      <w:pPr>
        <w:pStyle w:val="Heading6"/>
        <w:numPr>
          <w:ilvl w:val="5"/>
          <w:numId w:val="1"/>
        </w:numPr>
        <w:rPr/>
      </w:pPr>
      <w:bookmarkStart w:id="697" w:name="__RefHeading___Toc3420120_581953129"/>
      <w:bookmarkStart w:id="698" w:name="_Toc277"/>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در مسئله جواز اجرای حدود از سوی فقها نیز جمعی از آنان با ادعای کشف این مصالح و مفاسد واقعی،مدعی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حدود به دلیل مصلحت عموم و جلوگیری از فساد و انتشار زشتی‌ها و سرکشی مردم تشریع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هدف،با اختصاص حد به زمان خاص،منافات دارد و حضور امام دخالتی در این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حکمت و فلسفه تشریع حدود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بنابراین،حکمتی که تشریع حدود را در زمان حضور اقتضا می‌کند،اجرای آن را در زمان غیبت نیز می‌طلبد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فلسفه تشریع حدود و بایستگی اقامه آن،حفظ مصالح عمومی و جلوگیری از فساد و گسترش بی‌بندوباری در میان مردم است و این حکم الهی با این فلسفه اجتماعی،با ویژه ساختن آن به زمانی غیر از زمانی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 حضور امام،به‌یقین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بنابراین،روح حاکم بر قانون حدود و فلسفه آن،ایجاب می‌کند حدود،همواره اجرا شود؛خواه زمان حضور یا زمان غیبت</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شهید ثانی پیش از این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گونه‌ای از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مقبوله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مصلحت کلی و لطفی است در ترک محارم و ریشه‌کن کردن مفاسد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صاحب جواهر نیز می‌گوید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اقامه حد،چه در صورت حضور امام و چه در غیبت او،وجود دارد و حکمت اقامه حد قطعاً به اجرا کننده آن بازنمی‌گردد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 به مستحق حد و یا به نوع مکلفان بازمی‌گردد و در هر صورت باید مطلقاً اقامه شود</w:t>
      </w:r>
      <w:r>
        <w:rPr>
          <w:rFonts w:eastAsia="IRNazanin" w:cs="IRNazanin"/>
          <w:color w:val="111111"/>
          <w:sz w:val="28"/>
          <w:szCs w:val="28"/>
          <w:rtl w:val="true"/>
          <w:lang w:bidi="fa-IR"/>
        </w:rPr>
        <w:t xml:space="preserve">. </w:t>
      </w:r>
      <w:r>
        <w:rPr>
          <w:rStyle w:val="FootnoteAnchor"/>
          <w:rtl w:val="true"/>
        </w:rPr>
        <w:footnoteReference w:id="781"/>
      </w:r>
      <w:bookmarkStart w:id="699" w:name="pg5664_43517"/>
    </w:p>
    <w:p>
      <w:pPr>
        <w:pStyle w:val="BookText"/>
        <w:rPr/>
      </w:pPr>
      <w:bookmarkEnd w:id="699"/>
      <w:r>
        <w:rPr>
          <w:rFonts w:ascii="IRNazanin" w:hAnsi="IRNazanin" w:eastAsia="IRNazanin"/>
          <w:color w:val="111111"/>
          <w:sz w:val="28"/>
          <w:sz w:val="28"/>
          <w:szCs w:val="28"/>
          <w:rtl w:val="true"/>
          <w:lang w:bidi="fa-IR"/>
        </w:rPr>
        <w:t>در جمع‌بندی می‌توان استدلال‌های فوق را در چند مقدمه دسته‌بندی و نتیجه‌گیری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مصالح و مفاسد اجرای حدود ممکن،و این مصالح برای ما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مصالح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مصالح عمومی و جلوگیری از فساد و گسترش بی‌بندوباری در میان مردم،به زمان حضور امام معصوم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غیبت امام در این مصالح بی‌تأثیر است و در زمان غیبت نیز مقتضی اجرای حدود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زمان غیبت،ملاک و مقتضی اجرای حدود موجود است،باید اقامه حدود نیز جایز 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پیشین،امکان کشف مصالح اجرای حدود به اثبات رسید،ولی معلوم بودن این مصالح چندان بدیهی به نظر نمی‌رسد؛هر چند فقهایی که نامشان گفته آمد و برخی دیگر از فقها بر این باور جزم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مثال،یکی از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تشریع حد،به حکم عقل،تناسب حکم و موضوع،و تصریح برخی روایات وارد در علت تشریع حدود،معلوم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حد زنا برای منع از تداخل میاه است و حد شرب خمر برای اجتناب از آن و حد سرقت برای حفظ اموال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بدیهی است که این علل در عصر غیبت امام نیز باقی است و تعطیل حدود موجب مفاسد عظیم گشته،گاهی سبب اختلال نظام مجتمع اسلامی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تعطیل حدود پس از بقای علت آن معنا ندارد و این امر از اموری که وابسته به ظهور امام نیست،بلکه حکم آن از حکم زکوات و اخماس که بعد از بقای مصارفشان،تعطیلشان جایز نیست،روشن‌تر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برای کسی که فلسفه حدود و مغز آن را بشناسد،آشکار است و هیچ پوشیدگی بر او نیست</w:t>
      </w:r>
      <w:r>
        <w:rPr>
          <w:rFonts w:eastAsia="IRNazanin" w:cs="IRNazanin"/>
          <w:color w:val="111111"/>
          <w:sz w:val="28"/>
          <w:szCs w:val="28"/>
          <w:rtl w:val="true"/>
          <w:lang w:bidi="fa-IR"/>
        </w:rPr>
        <w:t xml:space="preserve">. </w:t>
      </w:r>
      <w:r>
        <w:rPr>
          <w:rStyle w:val="FootnoteAnchor"/>
          <w:rtl w:val="true"/>
        </w:rPr>
        <w:footnoteReference w:id="782"/>
      </w:r>
    </w:p>
    <w:p>
      <w:pPr>
        <w:pStyle w:val="Heading6"/>
        <w:numPr>
          <w:ilvl w:val="5"/>
          <w:numId w:val="1"/>
        </w:numPr>
        <w:rPr/>
      </w:pPr>
      <w:bookmarkStart w:id="700" w:name="__RefHeading___Toc3420122_581953129"/>
      <w:bookmarkStart w:id="701" w:name="_Toc278"/>
      <w:bookmarkEnd w:id="700"/>
      <w:r>
        <w:rPr>
          <w:rtl w:val="true"/>
        </w:rPr>
        <w:t>یکم</w:t>
      </w:r>
      <w:r>
        <w:rPr>
          <w:rtl w:val="true"/>
        </w:rPr>
        <w:t>)</w:t>
      </w:r>
      <w:r>
        <w:rPr>
          <w:rtl w:val="true"/>
        </w:rPr>
        <w:t>لزوم نصب فردی خاص و عدم کفایت مصلحت صرف</w:t>
      </w:r>
      <w:bookmarkEnd w:id="70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وجود مصلحت،بدون کسی که در آن منصوب باشد،نمی‌تواند مقتضی اجرای حدود از سوی فقها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دیگر،به فرض وجود مصلحت،ثابت می‌شود ملاک حکم وجود دارد،ولی به هر حال باید کسی باشد که برای این منصب صلاحیت</w:t>
      </w:r>
      <w:bookmarkStart w:id="702" w:name="pg5664_43518"/>
    </w:p>
    <w:p>
      <w:pPr>
        <w:pStyle w:val="BookText"/>
        <w:rPr/>
      </w:pPr>
      <w:bookmarkEnd w:id="702"/>
      <w:r>
        <w:rPr>
          <w:rFonts w:ascii="IRNazanin" w:hAnsi="IRNazanin" w:eastAsia="IRNazanin"/>
          <w:color w:val="111111"/>
          <w:sz w:val="28"/>
          <w:sz w:val="28"/>
          <w:szCs w:val="28"/>
          <w:rtl w:val="true"/>
          <w:lang w:bidi="fa-IR"/>
        </w:rPr>
        <w:t>داشته باشد و این نصب و اینکه فقها منصوب هستند با این دلیل ثابت نمی‌شود</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نفس این ملاک نمی‌تواند بیانگر نصب فقها برای اجرای این مهم باشد،ولی به مدد روایات می‌توان نصب فقها را ثابت کرد و در صورتی که این روایات را ناکافی بدانیم،پس از اثبات لزوم اجرای حدود در هر زمان،می‌توان ولایت فقها را بر اقامه حدود به عنوان قدر متیقن از اعمال ولایت اثبات کرد</w:t>
      </w:r>
      <w:r>
        <w:rPr>
          <w:rFonts w:eastAsia="IRNazanin" w:cs="IRNazanin"/>
          <w:color w:val="111111"/>
          <w:sz w:val="28"/>
          <w:szCs w:val="28"/>
          <w:rtl w:val="true"/>
          <w:lang w:bidi="fa-IR"/>
        </w:rPr>
        <w:t>.</w:t>
      </w:r>
    </w:p>
    <w:p>
      <w:pPr>
        <w:pStyle w:val="Heading6"/>
        <w:numPr>
          <w:ilvl w:val="5"/>
          <w:numId w:val="1"/>
        </w:numPr>
        <w:rPr/>
      </w:pPr>
      <w:bookmarkStart w:id="703" w:name="__RefHeading___Toc3420124_581953129"/>
      <w:bookmarkStart w:id="704" w:name="_Toc279"/>
      <w:bookmarkEnd w:id="703"/>
      <w:r>
        <w:rPr>
          <w:rtl w:val="true"/>
        </w:rPr>
        <w:t>دوم</w:t>
      </w:r>
      <w:r>
        <w:rPr>
          <w:rtl w:val="true"/>
        </w:rPr>
        <w:t>)</w:t>
      </w:r>
      <w:r>
        <w:rPr>
          <w:rtl w:val="true"/>
        </w:rPr>
        <w:t>تعطیلی حدود بعد از رحلت رسول الله صلّی الله علیه و آله</w:t>
      </w:r>
      <w:bookmarkEnd w:id="704"/>
    </w:p>
    <w:p>
      <w:pPr>
        <w:pStyle w:val="BookText"/>
        <w:rPr/>
      </w:pPr>
      <w:r>
        <w:rPr>
          <w:rFonts w:ascii="IRNazanin" w:hAnsi="IRNazanin" w:eastAsia="IRNazanin"/>
          <w:color w:val="111111"/>
          <w:sz w:val="28"/>
          <w:sz w:val="28"/>
          <w:szCs w:val="28"/>
          <w:rtl w:val="true"/>
          <w:lang w:bidi="fa-IR"/>
        </w:rPr>
        <w:t>پس از رحلت رسول خدا صلّی الله علیه و آله تا زمان امیرمؤمنان علیه السلام و بعد از ایشان،تا زمانی که برخی فقها تمکن از اجرای حدود پیدا کردند،حدود تعطیل شد،در حالی که باید بر اساس دلیل فوق در هر زمانی حدود اجرا می‌گردید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 به دلیل عدم امکان،ضرری به اصل جواز اجرای حدود و منصوب بودن فقها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دیگر،عدم اجرا و تعطیل به دلیل عناوین ثانوی بوده،ولی بر اساس عناوین اولی،ائمه و فقها جایزُالتصرف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اشکال‌های فوق نمی‌تواند استدلال به فلسفه تشریع حدود را با تردید مواجه سازد،ولی بدین معناهم نیست که اجرای حدود در زمان غیبت به‌یقین جایز است؛زیرا هر چند حدود از معاملات به معنای اعم شمرده می‌شود،جنبه عبادی و تعبدی نیز دارد،به همین دلیل،نمی‌توان به‌طور قطع گفت ملاک تشریع حدود فقط همین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وجود این مصالح در زمان غیبت تردید وجود دارد؛زیرا ممکن است ادعا شود اجرای حدود به دست غیرمعصوم خود می‌تواند مفاسد بزرگ‌تری در پی داشته باشد؛مفاسدی مهم‌تر از تعطیلی حدود،نظیر تضییع نفوس،عرض و اموال محترم</w:t>
      </w:r>
      <w:r>
        <w:rPr>
          <w:rFonts w:eastAsia="IRNazanin" w:cs="IRNazanin"/>
          <w:color w:val="111111"/>
          <w:sz w:val="28"/>
          <w:szCs w:val="28"/>
          <w:rtl w:val="true"/>
          <w:lang w:bidi="fa-IR"/>
        </w:rPr>
        <w:t>.</w:t>
      </w:r>
    </w:p>
    <w:p>
      <w:pPr>
        <w:pStyle w:val="Heading6"/>
        <w:numPr>
          <w:ilvl w:val="5"/>
          <w:numId w:val="1"/>
        </w:numPr>
        <w:rPr/>
      </w:pPr>
      <w:bookmarkStart w:id="705" w:name="__RefHeading___Toc3420126_581953129"/>
      <w:bookmarkStart w:id="706" w:name="_Toc280"/>
      <w:bookmarkEnd w:id="705"/>
      <w:r>
        <w:rPr>
          <w:rtl w:val="true"/>
        </w:rPr>
        <w:t>ب</w:t>
      </w:r>
      <w:r>
        <w:rPr>
          <w:rtl w:val="true"/>
        </w:rPr>
        <w:t>)</w:t>
      </w:r>
      <w:r>
        <w:rPr>
          <w:rtl w:val="true"/>
        </w:rPr>
        <w:t>روش دیگر استدلال</w:t>
      </w:r>
      <w:bookmarkEnd w:id="706"/>
    </w:p>
    <w:p>
      <w:pPr>
        <w:pStyle w:val="Heading6"/>
        <w:numPr>
          <w:ilvl w:val="5"/>
          <w:numId w:val="1"/>
        </w:numPr>
        <w:rPr/>
      </w:pPr>
      <w:bookmarkStart w:id="707" w:name="__RefHeading___Toc3420128_581953129"/>
      <w:bookmarkStart w:id="708" w:name="_Toc281"/>
      <w:bookmarkEnd w:id="707"/>
      <w:r>
        <w:rPr>
          <w:rtl w:val="true"/>
        </w:rPr>
        <w:t>اشاره</w:t>
      </w:r>
      <w:bookmarkEnd w:id="70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فوق را به‌گونه‌ای دیگر نیز می‌توان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مبانی کلامی امامیه،</w:t>
      </w:r>
      <w:bookmarkStart w:id="709" w:name="pg5664_43519"/>
    </w:p>
    <w:p>
      <w:pPr>
        <w:pStyle w:val="BookText"/>
        <w:rPr/>
      </w:pPr>
      <w:bookmarkEnd w:id="709"/>
      <w:r>
        <w:rPr>
          <w:rFonts w:ascii="IRNazanin" w:hAnsi="IRNazanin" w:eastAsia="IRNazanin"/>
          <w:color w:val="111111"/>
          <w:sz w:val="28"/>
          <w:sz w:val="28"/>
          <w:szCs w:val="28"/>
          <w:rtl w:val="true"/>
          <w:lang w:bidi="fa-IR"/>
        </w:rPr>
        <w:t>لطف بر خدا واجب است؛چرا که تحصیل غرض متوقف بر آن است</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اقامه آن نیز در هر زمانی لطف است؛پس باید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نتیجه،تعطیلی حدود نقض غرض است،در حالی که نقض غرض از خداوند حکیم صادر نمی‌شود</w:t>
      </w:r>
      <w:r>
        <w:rPr>
          <w:rFonts w:eastAsia="IRNazanin" w:cs="IRNazanin"/>
          <w:color w:val="111111"/>
          <w:sz w:val="28"/>
          <w:szCs w:val="28"/>
          <w:rtl w:val="true"/>
          <w:lang w:bidi="fa-IR"/>
        </w:rPr>
        <w:t>.</w:t>
      </w:r>
    </w:p>
    <w:p>
      <w:pPr>
        <w:pStyle w:val="Heading6"/>
        <w:numPr>
          <w:ilvl w:val="5"/>
          <w:numId w:val="1"/>
        </w:numPr>
        <w:rPr/>
      </w:pPr>
      <w:bookmarkStart w:id="710" w:name="__RefHeading___Toc3420130_581953129"/>
      <w:bookmarkStart w:id="711" w:name="_Toc282"/>
      <w:bookmarkEnd w:id="710"/>
      <w:r>
        <w:rPr>
          <w:rtl w:val="true"/>
        </w:rPr>
        <w:t>نقد و بررسی</w:t>
      </w:r>
      <w:bookmarkEnd w:id="711"/>
    </w:p>
    <w:p>
      <w:pPr>
        <w:pStyle w:val="BookText"/>
        <w:rPr/>
      </w:pPr>
      <w:r>
        <w:rPr>
          <w:rFonts w:ascii="IRNazanin" w:hAnsi="IRNazanin" w:eastAsia="IRNazanin"/>
          <w:color w:val="111111"/>
          <w:sz w:val="28"/>
          <w:sz w:val="28"/>
          <w:szCs w:val="28"/>
          <w:rtl w:val="true"/>
          <w:lang w:bidi="fa-IR"/>
        </w:rPr>
        <w:t>در اشکال به این استدلال می‌توان گفت گرچه لطف بر خدا واجب است،خود مردم زمینه محرومیت از این لطف را فراهم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دیگر،چون فوت شدن مصلحت اجرای حدود مستند به عامه مکلفان است که مانع از حضور امام و اجرای حدود الهی به‌دست ایشان شده‌اند،مجالی برای تمسک به عموم مصلحت مترتب بر حضور او باقی نمی‌ماند</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این حرمان نیز مانند دیگر برکاتی است که با غیبت امام زمان عجّل الله تعالی فرجه الشریف از آن محروم شده‌ایم</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باید توجه کرد که این اشکال چندان کارا نیست؛زیرا عامه مکلفان در غیبت امام و محرومیت از لطف حضور و تصرف وی نقشی نداشته‌اند و تنها ستمکاران از معاصران معصومان در این امر دخیل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بنابراین،دلیلی برای رفع وجوب لطف درباره دیگران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ادعا شود اقامه حدود تنها در صورتی لطف است که مجری آن امام معصوم باشد؛در غیر این صورت،باید در زمان غیبت امام یا حتی زمان حضور و عدم سلطه امام،این حکمت،اقامه حدود را به دست حاکمان ستمگر،مؤمنان عادل یا حتی فاسق اقتضا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باید گفت این احتمال‌ها قابل بررسی است و اگر ادله چنین اقتضا نماید،نباید از آن ابا داشت</w:t>
      </w:r>
      <w:r>
        <w:rPr>
          <w:rFonts w:eastAsia="IRNazanin" w:cs="IRNazanin"/>
          <w:color w:val="111111"/>
          <w:sz w:val="28"/>
          <w:szCs w:val="28"/>
          <w:rtl w:val="true"/>
          <w:lang w:bidi="fa-IR"/>
        </w:rPr>
        <w:t>.</w:t>
      </w:r>
    </w:p>
    <w:p>
      <w:pPr>
        <w:pStyle w:val="Heading5"/>
        <w:numPr>
          <w:ilvl w:val="4"/>
          <w:numId w:val="1"/>
        </w:numPr>
        <w:rPr/>
      </w:pPr>
      <w:bookmarkStart w:id="712" w:name="__RefHeading___Toc3420132_581953129"/>
      <w:bookmarkStart w:id="713" w:name="_Toc283"/>
      <w:bookmarkEnd w:id="712"/>
      <w:r>
        <w:rPr/>
        <w:t>4</w:t>
      </w:r>
      <w:r>
        <w:rPr>
          <w:rtl w:val="true"/>
        </w:rPr>
        <w:t>-</w:t>
      </w:r>
      <w:r>
        <w:rPr>
          <w:rtl w:val="true"/>
        </w:rPr>
        <w:t>استناد به ولایت حسبه</w:t>
      </w:r>
      <w:bookmarkEnd w:id="713"/>
    </w:p>
    <w:p>
      <w:pPr>
        <w:pStyle w:val="Heading6"/>
        <w:numPr>
          <w:ilvl w:val="5"/>
          <w:numId w:val="1"/>
        </w:numPr>
        <w:rPr/>
      </w:pPr>
      <w:bookmarkStart w:id="714" w:name="__RefHeading___Toc3420134_581953129"/>
      <w:bookmarkStart w:id="715" w:name="_Toc284"/>
      <w:bookmarkEnd w:id="714"/>
      <w:r>
        <w:rPr>
          <w:rtl w:val="true"/>
        </w:rPr>
        <w:t>اشاره</w:t>
      </w:r>
      <w:bookmarkEnd w:id="71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دلایلی که برای جواز اقامه حدود به دست فقها اقامه شده،ولایت ایشان در امور حسبی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 مدعی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ولایت فقیه و نیز توجه به این موضوع</w:t>
      </w:r>
      <w:bookmarkStart w:id="716" w:name="pg5664_43520"/>
    </w:p>
    <w:p>
      <w:pPr>
        <w:pStyle w:val="BookText"/>
        <w:rPr/>
      </w:pPr>
      <w:bookmarkEnd w:id="716"/>
      <w:r>
        <w:rPr>
          <w:rFonts w:ascii="IRNazanin" w:hAnsi="IRNazanin" w:eastAsia="IRNazanin"/>
          <w:color w:val="111111"/>
          <w:sz w:val="28"/>
          <w:sz w:val="28"/>
          <w:szCs w:val="28"/>
          <w:rtl w:val="true"/>
          <w:lang w:bidi="fa-IR"/>
        </w:rPr>
        <w:t>که اجرای حدود از امور حسبیه است،هر نوع شبهه‌ای را نسبت به عدم جواز اجرای حدود از بین می‌برد</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برای بررسی این دلیل لازم است ابتدا امور حسبیه را تعریف کنیم و قلمرو آن را مشخص سازیم تا مشخص شود آیا این عنوان شامل اقامه حدود می‌گردد یا خیر</w:t>
      </w:r>
      <w:r>
        <w:rPr>
          <w:rFonts w:eastAsia="IRNazanin" w:cs="IRNazanin"/>
          <w:color w:val="111111"/>
          <w:sz w:val="28"/>
          <w:szCs w:val="28"/>
          <w:rtl w:val="true"/>
          <w:lang w:bidi="fa-IR"/>
        </w:rPr>
        <w:t>.</w:t>
      </w:r>
    </w:p>
    <w:p>
      <w:pPr>
        <w:pStyle w:val="Heading6"/>
        <w:numPr>
          <w:ilvl w:val="5"/>
          <w:numId w:val="1"/>
        </w:numPr>
        <w:rPr/>
      </w:pPr>
      <w:bookmarkStart w:id="717" w:name="__RefHeading___Toc3420136_581953129"/>
      <w:bookmarkStart w:id="718" w:name="_Toc285"/>
      <w:bookmarkEnd w:id="717"/>
      <w:r>
        <w:rPr>
          <w:rtl w:val="true"/>
        </w:rPr>
        <w:t>الف</w:t>
      </w:r>
      <w:r>
        <w:rPr>
          <w:rtl w:val="true"/>
        </w:rPr>
        <w:t>)</w:t>
      </w:r>
      <w:r>
        <w:rPr>
          <w:rtl w:val="true"/>
        </w:rPr>
        <w:t>مفهوم‌شناسی حسبه</w:t>
      </w:r>
      <w:bookmarkEnd w:id="718"/>
    </w:p>
    <w:p>
      <w:pPr>
        <w:pStyle w:val="BookText"/>
        <w:rPr/>
      </w:pPr>
      <w:r>
        <w:rPr>
          <w:rFonts w:ascii="IRNazanin" w:hAnsi="IRNazanin" w:eastAsia="IRNazanin"/>
          <w:color w:val="111111"/>
          <w:sz w:val="28"/>
          <w:sz w:val="28"/>
          <w:szCs w:val="28"/>
          <w:rtl w:val="true"/>
          <w:lang w:bidi="fa-IR"/>
        </w:rPr>
        <w:t>حسبه،اسم‌مصدر و مصدر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خود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 در اعمال صالح‌و مکروهات عبارت است از سبقت گرفتن در طلب اجر از راه تسلیم و صبر یا قیام کردن به انواع کارهای خیر برای رسیدن به ثواب</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حسبه نیز به معنای اجر است و به امر به معروف و نهی از منکر نیز حسبه می‌گویند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حسبیه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امور قُربیه است؛یعنی کارهایی که فرد آنها را برای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رو،در لغت در تعریف حسبه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الشیء حسبة ای لم یأخذ علیه اجرا،مبتغیاً الثواب من الله</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در اصطلاح فقه شیعه،بر آن دسته از امور مربوط به اجتماع و نظام و عموم مسلمانان گفته می‌شود که گریزی از انجام آنها نیست و شارع مقدس نیز متولی خاصی برای اجرای آن تعیین نکرده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حسبه و امور حسبیه از مباحثی است که از فقه حکومتی اهل سنت وارد فقه شیعه شده،فقهای اهل سنت را باید بنیان‌گذاران این اصطلاح به شمار آورد</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گفته شده اهل سنت نیز این نهاد را از تشکیلات روم قدیم و از نهادی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کرده‌اند که عمده وظایف آن نظارت بر بازارها و اخلاق عمومی بوده است</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فقهای شیعه امور حسبیه را به آن دسته از احکام شرعی اختصاص داده‌اند که متولی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فقهای متأخر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شرع،متولی و مسئول اجرای امور حسبیه است</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نائینی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والحاکم له الولایة فی الأمور الحسبیه</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با آنکه تعبیر حسبه در کلمات فقهای متقدم شیعه کمتر دیده می‌شود، </w:t>
      </w:r>
      <w:r>
        <w:rPr>
          <w:rStyle w:val="FootnoteAnchor"/>
          <w:rtl w:val="true"/>
        </w:rPr>
        <w:footnoteReference w:id="796"/>
      </w:r>
      <w:r>
        <w:rPr>
          <w:rFonts w:ascii="IRNazanin" w:hAnsi="IRNazanin" w:eastAsia="IRNazanin"/>
          <w:color w:val="111111"/>
          <w:sz w:val="28"/>
          <w:sz w:val="28"/>
          <w:szCs w:val="28"/>
          <w:rtl w:val="true"/>
          <w:lang w:bidi="fa-IR"/>
        </w:rPr>
        <w:t>ولی اصلِ تولّی و تصدی حاکم بر مصالح عامه و وظیفه حاکم درباره اموری چون سرپرستی اموال ایتام و مجانین و سفهاء و حفظ مال و غایب مفقودُ الخبر و نیز اقدام به نکاح مجنونی که نیازمند ازدواج است،از نظر فقه شیعه کاملاً پذیرفته شده است؛تا آنجا که صاحب جواهر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کتبهم مملوة بالرجوع الی الحاکم</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اما تعریف حسبه بیشتر در آثار متأخرین به چشم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حسبه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علم من الشارع ارادة وجوده فی الخارج و لم یعلم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شخص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الرجوع فیه الیه</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دانسته و گفته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فقیه،مطلق مشروعیت امری را از دلایل به دست آورد،یعنی انجام آن،متوقف بر اذن خاص امام معصوم نباشد،می‌تواند آن را بر عهده گیرد و متصدی آن</w:t>
      </w:r>
    </w:p>
    <w:p>
      <w:pPr>
        <w:pStyle w:val="BookText"/>
        <w:rPr/>
      </w:pPr>
      <w:r>
        <w:rPr>
          <w:rFonts w:ascii="IRNazanin" w:hAnsi="IRNazanin" w:eastAsia="IRNazanin"/>
          <w:color w:val="111111"/>
          <w:sz w:val="28"/>
          <w:sz w:val="28"/>
          <w:szCs w:val="28"/>
          <w:rtl w:val="true"/>
          <w:lang w:bidi="fa-IR"/>
        </w:rPr>
        <w:t>شود؛وگرنه،آن را تعطیل می‌کند و رها می‌سازد؛زیرا تنها معروف بودن امری که منوط به اذن خاص امام معصوم است،مجوز انجام آن نمی‌گردد و همانند دیگر برکات وجودی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فیض آن محروم شده‌ایم</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امام خمینی که در کتاب البیع خود ابتدا امور حسبیه را تعریف کرده،می‌فرماید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حسبیه،اموری است که به‌یقین می‌توان گفت شارع مقدس راضی به وانهادن آنها به حال خود نیست و حتماً باید مسئولی عهده‌دار تصدّی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اگر یقین حاصل شود که افرادی معین یا نامعین وجود دارند که آن امور را تصدّی کنند،دیگر بحثی نیست،ولی اگر ثابت شود انجام این امور منوط به نظر امام است،در آن صورت،بنا به دلایل ولایت فقیه،این موارد نیز در دوران غیبت امام از جمله اختیارات فقیه خواهد بود</w:t>
      </w:r>
      <w:r>
        <w:rPr>
          <w:rFonts w:eastAsia="IRNazanin" w:cs="IRNazanin"/>
          <w:color w:val="111111"/>
          <w:sz w:val="28"/>
          <w:szCs w:val="28"/>
          <w:rtl w:val="true"/>
          <w:lang w:bidi="fa-IR"/>
        </w:rPr>
        <w:t xml:space="preserve">. </w:t>
      </w:r>
      <w:r>
        <w:rPr>
          <w:rStyle w:val="FootnoteAnchor"/>
          <w:rtl w:val="true"/>
        </w:rPr>
        <w:footnoteReference w:id="80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دیدگاه‌ها عنصر معروف یا مطلوب شارع بودن و عدم رضای شارع به ترک آن لحاظ شده است</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همچنین عدم اختصاص وظیفه یادشده به شخص خاص نیز از قیود تعریف حسبه است،ولی در دیدگاه امام خمینی تفاوت اساسی با دیگر دیدگاه‌ها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دیگر دیدگاه‌ها در صورتی که علم یا شک داریم که امر یا ولایتی خاص منوط به نظر امام است،از دامنه امور حسبی خارج می‌گردد،ولی حضرت امام خمینی تصریح می‌کند حتی اگر یقین داریم که امری منوط به نظر امام است،این</w:t>
      </w:r>
      <w:bookmarkStart w:id="719" w:name="pg5664_43523"/>
    </w:p>
    <w:p>
      <w:pPr>
        <w:pStyle w:val="BookText"/>
        <w:rPr/>
      </w:pPr>
      <w:bookmarkEnd w:id="719"/>
      <w:r>
        <w:rPr>
          <w:rFonts w:ascii="IRNazanin" w:hAnsi="IRNazanin" w:eastAsia="IRNazanin"/>
          <w:color w:val="111111"/>
          <w:sz w:val="28"/>
          <w:sz w:val="28"/>
          <w:szCs w:val="28"/>
          <w:rtl w:val="true"/>
          <w:lang w:bidi="fa-IR"/>
        </w:rPr>
        <w:t>امر مشمول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حسبیه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بوده،ولایت فقیه در آن ثابت است،زیرا مشروعیت آن به سبب ادله ولایت فقیه ثابت شده است</w:t>
      </w:r>
      <w:r>
        <w:rPr>
          <w:rFonts w:eastAsia="IRNazanin" w:cs="IRNazanin"/>
          <w:color w:val="111111"/>
          <w:sz w:val="28"/>
          <w:szCs w:val="28"/>
          <w:rtl w:val="true"/>
          <w:lang w:bidi="fa-IR"/>
        </w:rPr>
        <w:t xml:space="preserve">. </w:t>
      </w:r>
      <w:r>
        <w:rPr>
          <w:rStyle w:val="FootnoteAnchor"/>
          <w:rtl w:val="true"/>
        </w:rPr>
        <w:footnoteReference w:id="802"/>
      </w:r>
    </w:p>
    <w:p>
      <w:pPr>
        <w:pStyle w:val="Heading6"/>
        <w:numPr>
          <w:ilvl w:val="5"/>
          <w:numId w:val="1"/>
        </w:numPr>
        <w:rPr/>
      </w:pPr>
      <w:bookmarkStart w:id="720" w:name="__RefHeading___Toc3420138_581953129"/>
      <w:bookmarkStart w:id="721" w:name="_Toc286"/>
      <w:bookmarkEnd w:id="720"/>
      <w:r>
        <w:rPr>
          <w:rtl w:val="true"/>
        </w:rPr>
        <w:t>ب</w:t>
      </w:r>
      <w:r>
        <w:rPr>
          <w:rtl w:val="true"/>
        </w:rPr>
        <w:t>)</w:t>
      </w:r>
      <w:r>
        <w:rPr>
          <w:rtl w:val="true"/>
        </w:rPr>
        <w:t>ولایت حسبه و اقامه حدود</w:t>
      </w:r>
      <w:bookmarkEnd w:id="721"/>
    </w:p>
    <w:p>
      <w:pPr>
        <w:pStyle w:val="BookText"/>
        <w:rPr/>
      </w:pPr>
      <w:r>
        <w:rPr>
          <w:rFonts w:ascii="IRNazanin" w:hAnsi="IRNazanin" w:eastAsia="IRNazanin"/>
          <w:color w:val="111111"/>
          <w:sz w:val="28"/>
          <w:sz w:val="28"/>
          <w:szCs w:val="28"/>
          <w:rtl w:val="true"/>
          <w:lang w:bidi="fa-IR"/>
        </w:rPr>
        <w:t>بر اساس مطالب پیشین،به‌ویژه اطلاق ازمانی ادله حدود و وجود مصلحت و فلسفه تشریع حدود،ثابت می‌شود اجرای حدود از امور نیک و معروفی است که هیچ‌گاه شارع راضی به ترک آن نیست و می‌تواند از امور حسبی به شمار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نتیجه،با اثبات ولایت فقها بر امور حسبی،ولایت ایشان بر اقامه حدود نیز اثبات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این،برخی از فقها نیز تصریح کرده‌اند اقامه حدود از جمله امور حسبی است</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حتی برخی،اقامه حدود را نه‌تنها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پسندیده دانسته‌اند،بلکه آن را از ضروریات دین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ملامحسن فیض کاشانی در دو اثر حدیثی و فقهی خود وافی و مفاتیح الشرایع،بحث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کنار هم آورده،عناوین باب‌های مربوط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 و الاحکام و الشهادات</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مفاتیح الحسبة و الحدود</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مفاتیح الشرائع پس از شمارش نمونه‌های بسیاری از امور حسبیه مانند جهاد،دفاع،قضا،کمک به نیکی،تقوا،بیان احکام الهی و فتوا،به گستردگی و توسعه حوزه حسبه اشاره می‌کند و می‌نویسد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فوجوب الجهاد،والامر بالمعروف و النهی عن المنکر،والتعاون علی البر و التقوی،و الافتاء و الحکم بین الناس بالحق،و اقامة الحدود و التعزیرات و سائر السیاسات الدینیة من ضرور یات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ترکت لعطلت النبوة و اضمحلت الدیانة و عملت الفترة و فشت الضلالة‌و شاعت الجهالة و خرب البلاد و هلک العباد نعوذ بالله من ذلک</w:t>
      </w:r>
      <w:r>
        <w:rPr>
          <w:rFonts w:eastAsia="IRNazanin" w:cs="IRNazanin"/>
          <w:color w:val="111111"/>
          <w:sz w:val="28"/>
          <w:szCs w:val="28"/>
          <w:rtl w:val="true"/>
          <w:lang w:bidi="fa-IR"/>
        </w:rPr>
        <w:t xml:space="preserve">. </w:t>
      </w:r>
      <w:r>
        <w:rPr>
          <w:rStyle w:val="FootnoteAnchor"/>
          <w:rtl w:val="true"/>
        </w:rPr>
        <w:footnoteReference w:id="806"/>
      </w:r>
      <w:bookmarkStart w:id="722" w:name="pg5664_43524"/>
    </w:p>
    <w:p>
      <w:pPr>
        <w:pStyle w:val="BookText"/>
        <w:rPr/>
      </w:pPr>
      <w:bookmarkEnd w:id="722"/>
      <w:r>
        <w:rPr>
          <w:rFonts w:ascii="IRNazanin" w:hAnsi="IRNazanin" w:eastAsia="IRNazanin"/>
          <w:color w:val="111111"/>
          <w:sz w:val="28"/>
          <w:sz w:val="28"/>
          <w:szCs w:val="28"/>
          <w:rtl w:val="true"/>
          <w:lang w:bidi="fa-IR"/>
        </w:rPr>
        <w:t>با این گستره وسیع امور حسبیه،و با توجه به اینکه اجرای حدود به‌یقین مطلوب شارع است،می‌توان اجرای آن را جایز دانست</w:t>
      </w:r>
      <w:r>
        <w:rPr>
          <w:rFonts w:eastAsia="IRNazanin" w:cs="IRNazanin"/>
          <w:color w:val="111111"/>
          <w:sz w:val="28"/>
          <w:szCs w:val="28"/>
          <w:rtl w:val="true"/>
          <w:lang w:bidi="fa-IR"/>
        </w:rPr>
        <w:t>.</w:t>
      </w:r>
    </w:p>
    <w:p>
      <w:pPr>
        <w:pStyle w:val="Heading6"/>
        <w:numPr>
          <w:ilvl w:val="5"/>
          <w:numId w:val="1"/>
        </w:numPr>
        <w:rPr/>
      </w:pPr>
      <w:bookmarkStart w:id="723" w:name="__RefHeading___Toc3420140_581953129"/>
      <w:bookmarkStart w:id="724" w:name="_Toc287"/>
      <w:bookmarkEnd w:id="723"/>
      <w:r>
        <w:rPr>
          <w:rtl w:val="true"/>
        </w:rPr>
        <w:t>ج</w:t>
      </w:r>
      <w:r>
        <w:rPr>
          <w:rtl w:val="true"/>
        </w:rPr>
        <w:t>)</w:t>
      </w:r>
      <w:r>
        <w:rPr>
          <w:rtl w:val="true"/>
        </w:rPr>
        <w:t>اشکال‌ها</w:t>
      </w:r>
      <w:bookmarkEnd w:id="724"/>
    </w:p>
    <w:p>
      <w:pPr>
        <w:pStyle w:val="Heading6"/>
        <w:numPr>
          <w:ilvl w:val="5"/>
          <w:numId w:val="1"/>
        </w:numPr>
        <w:rPr/>
      </w:pPr>
      <w:bookmarkStart w:id="725" w:name="__RefHeading___Toc3420142_581953129"/>
      <w:bookmarkStart w:id="726" w:name="_Toc288"/>
      <w:bookmarkEnd w:id="725"/>
      <w:r>
        <w:rPr>
          <w:rtl w:val="true"/>
        </w:rPr>
        <w:t>یکم</w:t>
      </w:r>
      <w:r>
        <w:rPr>
          <w:rtl w:val="true"/>
        </w:rPr>
        <w:t>)</w:t>
      </w:r>
      <w:r>
        <w:rPr>
          <w:rtl w:val="true"/>
        </w:rPr>
        <w:t>احتمال اختصاص به معصوم</w:t>
      </w:r>
      <w:bookmarkEnd w:id="726"/>
    </w:p>
    <w:p>
      <w:pPr>
        <w:pStyle w:val="BookText"/>
        <w:rPr/>
      </w:pPr>
      <w:r>
        <w:rPr>
          <w:rFonts w:ascii="IRNazanin" w:hAnsi="IRNazanin" w:eastAsia="IRNazanin"/>
          <w:color w:val="111111"/>
          <w:sz w:val="28"/>
          <w:sz w:val="28"/>
          <w:szCs w:val="28"/>
          <w:rtl w:val="true"/>
          <w:lang w:bidi="fa-IR"/>
        </w:rPr>
        <w:t>مرحوم نائینی که خود از پرورش‌دهندگان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است،تصریح می‌کند در صورتی که احتمال اختصاص وجوب به شخص خاصی مطرح باشد،علم به مطلوبیت وجود ندارد و در نتیجه،ولایت حسبه ثابت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ادامه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ان یکون باب الحدود و التعزیرات من هذا القبیل فلا یجوز ان یتصدیه الحاکم،و ذلک لعدم العلم بمطلوبیة صدوره منه</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بنابراین،می‌توان گفت با عموم ادله نیابت نمی‌توان از امور حسبیه بودن،اجرای حدود و سپس جواز اجرای آن را از سوی فقیه اثبات کرد؛چون به نظر می‌رسد امور حسبیه تنها شامل مواردی می‌شود که در هر صورت مطلوب شارع بوده،شارع شخص خاصی را برای تصدی آن در نظر نگرفته باشد،در حالی که امکان دارد اجرای حدود در هر صورت مطلوب شارع نبوده،متوقف بر اذن امام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صورتی قابل طرح است که دیدگاه شیخ انصاری و پیروانش را درباره حسبه بپذیریم،ولی اگر دیدگاه حضرت امام را قبول کنیم که امور منوط به اذن امام را برای فقیه ثابت می‌داند،این احتمال و اشکال خارج از موضوع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اساس دیدگاه نخست نیز این اشکال قابل پذیرش نخواهد بود؛زیرا همان‌طور که در فصل دوم این نوشتار بدان پرداختیم،دلیل محکمی بر اختصاص این مقام برای امام اقامه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بنابراین،پس از اثبات لزوم اقامه حدود و اطلاق ازمانی آن،شکی در عدم اختصاص به امام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ازاین‌رو،اقامه حدود نه‌تنها همچنان مطلوب شارع است،بلکه به نظر برخی،از ضروریات دین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دیگر،برای شمول دلیل حسبه،عدم علم به اختصاص کافی است و لزوم علم به عدم اختصاص ضرورت نخواهد داشت</w:t>
      </w:r>
      <w:r>
        <w:rPr>
          <w:rFonts w:eastAsia="IRNazanin" w:cs="IRNazanin"/>
          <w:color w:val="111111"/>
          <w:sz w:val="28"/>
          <w:szCs w:val="28"/>
          <w:rtl w:val="true"/>
          <w:lang w:bidi="fa-IR"/>
        </w:rPr>
        <w:t>.</w:t>
      </w:r>
      <w:bookmarkStart w:id="727" w:name="pg5664_43525"/>
    </w:p>
    <w:p>
      <w:pPr>
        <w:pStyle w:val="Heading6"/>
        <w:numPr>
          <w:ilvl w:val="5"/>
          <w:numId w:val="1"/>
        </w:numPr>
        <w:rPr/>
      </w:pPr>
      <w:bookmarkStart w:id="728" w:name="__RefHeading___Toc3420144_581953129"/>
      <w:bookmarkStart w:id="729" w:name="_Toc289"/>
      <w:bookmarkEnd w:id="727"/>
      <w:bookmarkEnd w:id="728"/>
      <w:r>
        <w:rPr>
          <w:rtl w:val="true"/>
        </w:rPr>
        <w:t>دوم</w:t>
      </w:r>
      <w:r>
        <w:rPr>
          <w:rtl w:val="true"/>
        </w:rPr>
        <w:t>)</w:t>
      </w:r>
      <w:r>
        <w:rPr>
          <w:rtl w:val="true"/>
        </w:rPr>
        <w:t>مفروغ نبودن مشروعیت</w:t>
      </w:r>
      <w:bookmarkEnd w:id="729"/>
    </w:p>
    <w:p>
      <w:pPr>
        <w:pStyle w:val="BookText"/>
        <w:rPr/>
      </w:pPr>
      <w:r>
        <w:rPr>
          <w:rFonts w:ascii="IRNazanin" w:hAnsi="IRNazanin" w:eastAsia="IRNazanin"/>
          <w:color w:val="111111"/>
          <w:sz w:val="28"/>
          <w:sz w:val="28"/>
          <w:szCs w:val="28"/>
          <w:rtl w:val="true"/>
          <w:lang w:bidi="fa-IR"/>
        </w:rPr>
        <w:t>با این دلیل،تنها ثبوت ولایت فقیه در اموری ثابت می‌شود که مشروعیت آنها در خارج معلوم باشد،ولی اموری که در مشروعیت آن شک داریم،مشمول دلیل حسبه نخواهد بود و اقامه حدود نیز از این امور است</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اشکال،همان اشکال سابق است که در قالب جدیدی ریخته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دلیل،پاسخ به این اشکال از پاسخی که به اشکال نخست داده شد،روشن می‌شود؛زیرا با اثبات مطلوبت اقامه حدود،مشروعیت آن نیز ثابت می‌گردد و به دلیل حسبه،فقیه به اجرای آن ملزم می‌شود و بر آن ولایت می‌یابد</w:t>
      </w:r>
      <w:r>
        <w:rPr>
          <w:rFonts w:eastAsia="IRNazanin" w:cs="IRNazanin"/>
          <w:color w:val="111111"/>
          <w:sz w:val="28"/>
          <w:szCs w:val="28"/>
          <w:rtl w:val="true"/>
          <w:lang w:bidi="fa-IR"/>
        </w:rPr>
        <w:t>.</w:t>
      </w:r>
    </w:p>
    <w:p>
      <w:pPr>
        <w:pStyle w:val="Heading6"/>
        <w:numPr>
          <w:ilvl w:val="5"/>
          <w:numId w:val="1"/>
        </w:numPr>
        <w:rPr/>
      </w:pPr>
      <w:bookmarkStart w:id="730" w:name="__RefHeading___Toc3420146_581953129"/>
      <w:bookmarkStart w:id="731" w:name="_Toc290"/>
      <w:bookmarkEnd w:id="730"/>
      <w:r>
        <w:rPr>
          <w:rtl w:val="true"/>
        </w:rPr>
        <w:t>سوم</w:t>
      </w:r>
      <w:r>
        <w:rPr>
          <w:rtl w:val="true"/>
        </w:rPr>
        <w:t>)</w:t>
      </w:r>
      <w:r>
        <w:rPr>
          <w:rtl w:val="true"/>
        </w:rPr>
        <w:t>لزوم تصدی مؤمنان عادل در صورت نبود فقیه</w:t>
      </w:r>
      <w:bookmarkEnd w:id="731"/>
    </w:p>
    <w:p>
      <w:pPr>
        <w:pStyle w:val="BookText"/>
        <w:rPr/>
      </w:pPr>
      <w:r>
        <w:rPr>
          <w:rFonts w:ascii="IRNazanin" w:hAnsi="IRNazanin" w:eastAsia="IRNazanin"/>
          <w:color w:val="111111"/>
          <w:sz w:val="28"/>
          <w:sz w:val="28"/>
          <w:szCs w:val="28"/>
          <w:rtl w:val="true"/>
          <w:lang w:bidi="fa-IR"/>
        </w:rPr>
        <w:t>اگر حدود را از امور حسبیه بدانیم،باید در هر زمان و شرایط 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رو،لازم می‌آید در زمان عدم دسترسی به فقیه،مؤمنان عادل بتوانند آن‌را اجرا کنند؛زیرا پس از فقها،مؤمنان عادل مصداق قدر متیقن هستند و چه‌بسا در صورت فقدان ایشان،بر فاسقان ایشان لازم است به اقامه حدود مبادرت ورزند،در حالی که این امر بالوجدان باطل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به این اشکال،باید توجه داشت تنها دلیل ما برای ثبوت ولایت فقیه در امور حسبی،راهکار اکتفا به قدر متیقن نیست،بلکه ادله دیگری نظیر ادله نیابت عامه فقیه، </w:t>
      </w:r>
      <w:r>
        <w:rPr>
          <w:rStyle w:val="FootnoteAnchor"/>
          <w:rtl w:val="true"/>
        </w:rPr>
        <w:footnoteReference w:id="809"/>
      </w:r>
      <w:r>
        <w:rPr>
          <w:rFonts w:ascii="IRNazanin" w:hAnsi="IRNazanin" w:eastAsia="IRNazanin"/>
          <w:color w:val="111111"/>
          <w:sz w:val="28"/>
          <w:sz w:val="28"/>
          <w:szCs w:val="28"/>
          <w:rtl w:val="true"/>
          <w:lang w:bidi="fa-IR"/>
        </w:rPr>
        <w:t xml:space="preserve">به‌ویژه مقبوله عمر بن حنظله </w:t>
      </w:r>
      <w:r>
        <w:rPr>
          <w:rStyle w:val="FootnoteAnchor"/>
          <w:rtl w:val="true"/>
        </w:rPr>
        <w:footnoteReference w:id="810"/>
      </w:r>
      <w:r>
        <w:rPr>
          <w:rFonts w:ascii="IRNazanin" w:hAnsi="IRNazanin" w:eastAsia="IRNazanin"/>
          <w:color w:val="111111"/>
          <w:sz w:val="28"/>
          <w:sz w:val="28"/>
          <w:szCs w:val="28"/>
          <w:rtl w:val="true"/>
          <w:lang w:bidi="fa-IR"/>
        </w:rPr>
        <w:t xml:space="preserve">و روایات خاص </w:t>
      </w:r>
      <w:r>
        <w:rPr>
          <w:rStyle w:val="FootnoteAnchor"/>
          <w:rtl w:val="true"/>
        </w:rPr>
        <w:footnoteReference w:id="811"/>
      </w:r>
      <w:r>
        <w:rPr>
          <w:rFonts w:ascii="IRNazanin" w:hAnsi="IRNazanin" w:eastAsia="IRNazanin"/>
          <w:color w:val="111111"/>
          <w:sz w:val="28"/>
          <w:sz w:val="28"/>
          <w:szCs w:val="28"/>
          <w:rtl w:val="true"/>
          <w:lang w:bidi="fa-IR"/>
        </w:rPr>
        <w:t>بر ولایت فقها بر امور حسبی اقامه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فرض فقدان یا ناکارایی این دلایل،مستلزم بازگشت اشکال سابق است</w:t>
      </w:r>
    </w:p>
    <w:p>
      <w:pPr>
        <w:pStyle w:val="BookText"/>
        <w:rPr/>
      </w:pPr>
      <w:r>
        <w:rPr>
          <w:rFonts w:ascii="IRNazanin" w:hAnsi="IRNazanin" w:eastAsia="IRNazanin"/>
          <w:color w:val="111111"/>
          <w:sz w:val="28"/>
          <w:sz w:val="28"/>
          <w:szCs w:val="28"/>
          <w:rtl w:val="true"/>
          <w:lang w:bidi="fa-IR"/>
        </w:rPr>
        <w:t>که باید در این فرض بررسی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فرض که دیگر ادله ناکارآمدند،قسمت اول این اشکال پذیرفته می‌شود و بعید نیست بر اساس دلیل حسبه و لزوم اکتفا به قدر متیقن،در صورت فقدان یا مبسوطُ الید نبودن فقها،باید مؤمنان عادل مصداق قدر متیقن قرار بگیرند و در نتیجه،بتوانند در این صورت به اقامه حدود بپردازند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قسمت دوم این اشکال که مدعی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از سوی مؤمنان عادل بالوجدان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تردید است؛چون هیچ بعید نیست که اقامه حدود از سوی ایشان نیز جایز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فقاهت که شرط اصلی حکومت اسلامی است،تحصیل نشد،نوبت به عدول مؤمنین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مؤمنین،از هر جایی که دینشان را می‌گیرند،نحوه اداره کشور را نیز از همانجا می‌گیرند و حکومت را از باب حسبه تشکیل می‌دهند</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طبیعتاً اگر اقامه حکومت از سوی ایشان جایز باشد،اقامه حدود نیز روا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تأیید این دیدگاه می‌توان به مواردی اشاره کرد که بسیاری از فقها اقامه حدود را بدون اشتراط فقاهت جایز می‌دانند؛همچون اقامه حدود در دستگاه ستمگران،اقامه حد به عبد به دست مولا که اجماعی است </w:t>
      </w:r>
      <w:r>
        <w:rPr>
          <w:rStyle w:val="FootnoteAnchor"/>
          <w:rtl w:val="true"/>
        </w:rPr>
        <w:footnoteReference w:id="813"/>
      </w:r>
      <w:r>
        <w:rPr>
          <w:rFonts w:ascii="IRNazanin" w:hAnsi="IRNazanin" w:eastAsia="IRNazanin"/>
          <w:color w:val="111111"/>
          <w:sz w:val="28"/>
          <w:sz w:val="28"/>
          <w:szCs w:val="28"/>
          <w:rtl w:val="true"/>
          <w:lang w:bidi="fa-IR"/>
        </w:rPr>
        <w:t xml:space="preserve">و اقامه حد بر زن و فرزند </w:t>
      </w:r>
      <w:r>
        <w:rPr>
          <w:rStyle w:val="FootnoteAnchor"/>
          <w:rtl w:val="true"/>
        </w:rPr>
        <w:footnoteReference w:id="81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می‌تواند خود دلیل مستقلی برای مشروعیت اقامه حدود در عصر غیبت نیز باشد</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همچنین برخی از فقها تصریح کرده‌اند که علمای عادل به صرف نمایندگی از فقهای جامع شرایط می‌توانند در صورتی که دسترسی به فقها نیست،اقامه حد کنند</w:t>
      </w:r>
      <w:r>
        <w:rPr>
          <w:rFonts w:eastAsia="IRNazanin" w:cs="IRNazanin"/>
          <w:color w:val="111111"/>
          <w:sz w:val="28"/>
          <w:szCs w:val="28"/>
          <w:rtl w:val="true"/>
          <w:lang w:bidi="fa-IR"/>
        </w:rPr>
        <w:t xml:space="preserve">. </w:t>
      </w:r>
      <w:r>
        <w:rPr>
          <w:rStyle w:val="FootnoteAnchor"/>
          <w:rtl w:val="true"/>
        </w:rPr>
        <w:footnoteReference w:id="816"/>
      </w:r>
      <w:bookmarkStart w:id="732" w:name="pg5664_43527"/>
    </w:p>
    <w:p>
      <w:pPr>
        <w:pStyle w:val="Heading5"/>
        <w:numPr>
          <w:ilvl w:val="4"/>
          <w:numId w:val="1"/>
        </w:numPr>
        <w:rPr/>
      </w:pPr>
      <w:bookmarkStart w:id="733" w:name="__RefHeading___Toc3420148_581953129"/>
      <w:bookmarkStart w:id="734" w:name="_Toc291"/>
      <w:bookmarkEnd w:id="732"/>
      <w:bookmarkEnd w:id="733"/>
      <w:r>
        <w:rPr/>
        <w:t>5</w:t>
      </w:r>
      <w:r>
        <w:rPr>
          <w:rtl w:val="true"/>
        </w:rPr>
        <w:t>-</w:t>
      </w:r>
      <w:r>
        <w:rPr>
          <w:rtl w:val="true"/>
        </w:rPr>
        <w:t>تئوری عدالت</w:t>
      </w:r>
      <w:bookmarkEnd w:id="734"/>
    </w:p>
    <w:p>
      <w:pPr>
        <w:pStyle w:val="BookText"/>
        <w:rPr/>
      </w:pPr>
      <w:r>
        <w:rPr>
          <w:rFonts w:ascii="IRNazanin" w:hAnsi="IRNazanin" w:eastAsia="IRNazanin"/>
          <w:color w:val="111111"/>
          <w:sz w:val="28"/>
          <w:sz w:val="28"/>
          <w:szCs w:val="28"/>
          <w:rtl w:val="true"/>
          <w:lang w:bidi="fa-IR"/>
        </w:rPr>
        <w:t>یکی از محققان به تازگی دلیل جدیدی را برای لزوم حکومت اسلامی و ولایت فقیه اقامه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و اجمال آن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از تشریع احکام،ایجاد ادیان،ارسال انبیا و انزال کتب آسمانی،ایجاد عدالت به معنای وسیع،و اجرای عدالت بر طبق قرآن،عقل و روایات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ولایت برای انبیا،نه از آن نظر بوده که شارع متعال در مقام اعطای قدرتی ظاهری به این گروه بوده،بلکه برای اجرای عدل به معنای وسیع آن در بین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از این نظر که انبیا،به‌ویژه پیامبر اکرم صلّی الله علیه و آله در اثر ارتباط با منبع نورانی وحی و دستورات آسمانی،آشناترین و مطمئن‌ترین افراد در دریافت وحی و اجرای آن هستند،برای این گروه ولایت را جعل کرده است؛وگرنه،با قطع نظر از این نظر،نمی‌توان وجه صحیحی برای این امر تصویر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روایاتی که علما را جانشین انبیا و امین آنان قرار داده،استفاده می‌کنیم که این منصب برای فقهای واجد شرایط نیز از طرف خداوند جعل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نکته که وجوب اجرای عدالت به انبیاء و معصومان اختصاص ندارد،بلکه بر کسانی که با ارتباط با قرآن و سنت در حد بالایی از آشنایی با عدالت هستند،اجرای عدالت واجب است و این معنا با ولایت این گروه بر مردم ملازمه دارد</w:t>
      </w:r>
      <w:r>
        <w:rPr>
          <w:rFonts w:eastAsia="IRNazanin" w:cs="IRNazanin"/>
          <w:color w:val="111111"/>
          <w:sz w:val="28"/>
          <w:szCs w:val="28"/>
          <w:rtl w:val="true"/>
          <w:lang w:bidi="fa-IR"/>
        </w:rPr>
        <w:t xml:space="preserve">. </w:t>
      </w:r>
      <w:r>
        <w:rPr>
          <w:rStyle w:val="FootnoteAnchor"/>
          <w:rtl w:val="true"/>
        </w:rPr>
        <w:footnoteReference w:id="81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درباره اقامه حدود نیز قابل 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برپایی عدل یکی از اهداف و فلسفه‌های اقامه حدود است و بر این اساس،باید اقامه حدود واجب بوده،ولایت بر اقامه حدود برای فقها جعل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نماند که این اشکال قابل طرح است که تحصیل عدالت یکی از اهداف اقامه حدود است </w:t>
      </w:r>
      <w:r>
        <w:rPr>
          <w:rStyle w:val="FootnoteAnchor"/>
          <w:rtl w:val="true"/>
        </w:rPr>
        <w:footnoteReference w:id="818"/>
      </w:r>
      <w:r>
        <w:rPr>
          <w:rFonts w:ascii="IRNazanin" w:hAnsi="IRNazanin" w:eastAsia="IRNazanin"/>
          <w:color w:val="111111"/>
          <w:sz w:val="28"/>
          <w:sz w:val="28"/>
          <w:szCs w:val="28"/>
          <w:rtl w:val="true"/>
          <w:lang w:bidi="fa-IR"/>
        </w:rPr>
        <w:t>و تنها هدف نیست و</w:t>
      </w:r>
      <w:bookmarkStart w:id="735" w:name="pg5664_43528"/>
    </w:p>
    <w:p>
      <w:pPr>
        <w:pStyle w:val="BookText"/>
        <w:rPr/>
      </w:pPr>
      <w:bookmarkEnd w:id="735"/>
      <w:r>
        <w:rPr>
          <w:rFonts w:ascii="IRNazanin" w:hAnsi="IRNazanin" w:eastAsia="IRNazanin"/>
          <w:color w:val="111111"/>
          <w:sz w:val="28"/>
          <w:sz w:val="28"/>
          <w:szCs w:val="28"/>
          <w:rtl w:val="true"/>
          <w:lang w:bidi="fa-IR"/>
        </w:rPr>
        <w:t>چه‌بسا اهدافی چون پاکسازی و اصلاح مجرم و جامعه بر این هدف ترجیح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مطلب،روایاتی است که امام تصریح می‌کند توبه و اصلاح مجرم بین خود و خدایش،بهتر از اقامه حد در برابر عموم مردم است</w:t>
      </w:r>
      <w:r>
        <w:rPr>
          <w:rFonts w:eastAsia="IRNazanin" w:cs="IRNazanin"/>
          <w:color w:val="111111"/>
          <w:sz w:val="28"/>
          <w:szCs w:val="28"/>
          <w:rtl w:val="true"/>
          <w:lang w:bidi="fa-IR"/>
        </w:rPr>
        <w:t xml:space="preserve">. </w:t>
      </w:r>
      <w:r>
        <w:rPr>
          <w:rStyle w:val="FootnoteAnchor"/>
          <w:rtl w:val="true"/>
        </w:rPr>
        <w:footnoteReference w:id="819"/>
      </w:r>
    </w:p>
    <w:p>
      <w:pPr>
        <w:pStyle w:val="Heading4"/>
        <w:numPr>
          <w:ilvl w:val="3"/>
          <w:numId w:val="1"/>
        </w:numPr>
        <w:rPr/>
      </w:pPr>
      <w:bookmarkStart w:id="736" w:name="__RefHeading___Toc3420150_581953129"/>
      <w:bookmarkStart w:id="737" w:name="_Toc292"/>
      <w:bookmarkEnd w:id="736"/>
      <w:r>
        <w:rPr>
          <w:rtl w:val="true"/>
        </w:rPr>
        <w:t>دلایل نقلی</w:t>
      </w:r>
      <w:bookmarkEnd w:id="737"/>
    </w:p>
    <w:p>
      <w:pPr>
        <w:pStyle w:val="Heading5"/>
        <w:numPr>
          <w:ilvl w:val="4"/>
          <w:numId w:val="1"/>
        </w:numPr>
        <w:rPr/>
      </w:pPr>
      <w:bookmarkStart w:id="738" w:name="__RefHeading___Toc3420152_581953129"/>
      <w:bookmarkStart w:id="739" w:name="_Toc293"/>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از مباحث مطرح شده در فصل پیش روشن شد ادله عقلی مورد بحث،بیشتر بر لزوم و بایستگی اقامه حدود تأکید می‌کردند،ولی درباره متصدی اقامه حدود و کسی که باید در زمان غیبت این ولایت را به دست گیرد،ساکت‌اند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تعیین این فرد بدون مراجعه به دلایل نقلی میسر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دلیل،در ادامه این دلایل را به‌منظور پی بردن به اصل مشروعیت اقامه حدود در عصر غیبت و با نیم‌نگاهی به متصدی آن پس از اثبات مشروعیت پی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دلایل نقلی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ازمانی ادله حدود،روایت حفص بن غیاث،مقبوله عمر بن حنظله،معتبره ابی‌خدیجه و توقیع شریف حضرت صاحب الزمان عجّل الله تعالی فرجه الشریف</w:t>
      </w:r>
      <w:r>
        <w:rPr>
          <w:rFonts w:eastAsia="IRNazanin" w:cs="IRNazanin"/>
          <w:color w:val="111111"/>
          <w:sz w:val="28"/>
          <w:szCs w:val="28"/>
          <w:rtl w:val="true"/>
          <w:lang w:bidi="fa-IR"/>
        </w:rPr>
        <w:t>.</w:t>
      </w:r>
    </w:p>
    <w:p>
      <w:pPr>
        <w:pStyle w:val="Heading5"/>
        <w:numPr>
          <w:ilvl w:val="4"/>
          <w:numId w:val="1"/>
        </w:numPr>
        <w:rPr/>
      </w:pPr>
      <w:bookmarkStart w:id="740" w:name="__RefHeading___Toc3420154_581953129"/>
      <w:bookmarkStart w:id="741" w:name="_Toc294"/>
      <w:bookmarkEnd w:id="740"/>
      <w:r>
        <w:rPr/>
        <w:t>1</w:t>
      </w:r>
      <w:r>
        <w:rPr>
          <w:rtl w:val="true"/>
        </w:rPr>
        <w:t>-</w:t>
      </w:r>
      <w:r>
        <w:rPr>
          <w:rtl w:val="true"/>
        </w:rPr>
        <w:t>اطلاق ازمانی ادله حدود</w:t>
      </w:r>
      <w:bookmarkEnd w:id="741"/>
    </w:p>
    <w:p>
      <w:pPr>
        <w:pStyle w:val="Heading6"/>
        <w:numPr>
          <w:ilvl w:val="5"/>
          <w:numId w:val="1"/>
        </w:numPr>
        <w:rPr/>
      </w:pPr>
      <w:bookmarkStart w:id="742" w:name="__RefHeading___Toc3420156_581953129"/>
      <w:bookmarkStart w:id="743" w:name="_Toc295"/>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یکی از ادله جواز اقامه حدود،مطلق و عام بودن ادله حدود در کتاب و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خویی به این ادله به این نحو استدلال کرده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حدود،چه در کتاب و چه در سنت،مطلق است و به زمان خاصی مقید نیست؛مانند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 کُلَّ واحِدٍ مِنْهُما مِائَةَ جَلْدَةٍ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نور،آیه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السّارِقُ وَ السّارِقَةُ فَاقْطَعُوا أَیْدِیَهُما جَزاءً بِما کَسَبا نَکالاً مِنَ اللّهِ وَ اللّهُ عَزِیزٌ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مائدة،آیه</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ادله بر وجوب اقامه حدود دلالت دارد،ولی نشان نمی‌دهد متصدی اقامه حدود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طرفی،ضروری است که این امر برای فرد فرد مسلمین تشریع نشده باشد؛چون این امر موجب اختلال نظام می‌شود،بلکه از برخی روایات استفاده می‌شود که اقامه حد برای همه کس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به قدر میتفن اخذ کرد و متیقین کسی است که امر به دست اوست و او حاکم شرعی است</w:t>
      </w:r>
      <w:r>
        <w:rPr>
          <w:rFonts w:eastAsia="IRNazanin" w:cs="IRNazanin"/>
          <w:color w:val="111111"/>
          <w:sz w:val="28"/>
          <w:szCs w:val="28"/>
          <w:rtl w:val="true"/>
          <w:lang w:bidi="fa-IR"/>
        </w:rPr>
        <w:t xml:space="preserve">. </w:t>
      </w:r>
      <w:r>
        <w:rPr>
          <w:rStyle w:val="FootnoteAnchor"/>
          <w:rtl w:val="true"/>
        </w:rPr>
        <w:footnoteReference w:id="820"/>
      </w:r>
      <w:bookmarkStart w:id="744" w:name="pg5664_43529"/>
    </w:p>
    <w:p>
      <w:pPr>
        <w:pStyle w:val="Heading6"/>
        <w:numPr>
          <w:ilvl w:val="5"/>
          <w:numId w:val="1"/>
        </w:numPr>
        <w:rPr/>
      </w:pPr>
      <w:bookmarkStart w:id="745" w:name="__RefHeading___Toc3420158_581953129"/>
      <w:bookmarkStart w:id="746" w:name="_Toc296"/>
      <w:bookmarkEnd w:id="744"/>
      <w:bookmarkEnd w:id="745"/>
      <w:r>
        <w:rPr>
          <w:rtl w:val="true"/>
        </w:rPr>
        <w:t>الف</w:t>
      </w:r>
      <w:r>
        <w:rPr>
          <w:rtl w:val="true"/>
        </w:rPr>
        <w:t>)</w:t>
      </w:r>
      <w:r>
        <w:rPr>
          <w:rtl w:val="true"/>
        </w:rPr>
        <w:t>دیدگاه فقها</w:t>
      </w:r>
      <w:bookmarkEnd w:id="746"/>
    </w:p>
    <w:p>
      <w:pPr>
        <w:pStyle w:val="BookText"/>
        <w:rPr/>
      </w:pPr>
      <w:r>
        <w:rPr>
          <w:rFonts w:ascii="IRNazanin" w:hAnsi="IRNazanin" w:eastAsia="IRNazanin"/>
          <w:color w:val="111111"/>
          <w:sz w:val="28"/>
          <w:sz w:val="28"/>
          <w:szCs w:val="28"/>
          <w:rtl w:val="true"/>
          <w:lang w:bidi="fa-IR"/>
        </w:rPr>
        <w:t>فقیه محقق،سید شفتی نصوص معتبری را که در موارد خاص وارد شده و اطلاقات و عمومات آنها بر جواز اقامه حدود به‌دست فقها در عصر غیبت دلالت می‌کند،یکی از ادله جواز می‌داند</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این روایات بیشتر مربوط به حد زناست و در آنها تعبیرهایی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مطلق به کار رفته است</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اطلاق این روایات نیز همچون اطلاق آیات می‌تواند مستمسک دیدگاه جواز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احمد خوانساری این استدلال را نپذیرفته و در آن خدشه وارد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قبول اینکه متصدی اقامه حدود کسی است که معصوم او را نصب کرده،مانند افرادی که در عصر حکومت پیامبر صلّی الله علیه و آله و یا خلافت امام علی علیه السلام نصب شده بودند،باید دلیلی بر نصب فقها نیز وجود داشته باشد و صرف لزوم اجرای حدود در هر عصر و زمانی،منصوب بودن فقها را به اثبات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بعد از وفات پیامبر صلّی الله علیه و آله تا زمان خلافت علی علیه السلام و بعد از شهادت علی علیه السلام تا زمان نفوذ شیعه و تمکن بعضی از فقها در اجرای حدود،اجرای آنها تعطیل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به دلیل عدم فایده و عدم ترتب اثر،کسی برای اجرای حدود نصب نشود،کار عبث و بیهوده و خلاف حکمت صورت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رو،برای نماز جمعه با اهمیت فراوانی که دارد،بعد از امیرمؤمنان علیه السلام کسی نصب نشده است</w:t>
      </w:r>
      <w:r>
        <w:rPr>
          <w:rFonts w:eastAsia="IRNazanin" w:cs="IRNazanin"/>
          <w:color w:val="111111"/>
          <w:sz w:val="28"/>
          <w:szCs w:val="28"/>
          <w:rtl w:val="true"/>
          <w:lang w:bidi="fa-IR"/>
        </w:rPr>
        <w:t xml:space="preserve">. </w:t>
      </w:r>
      <w:r>
        <w:rPr>
          <w:rStyle w:val="FootnoteAnchor"/>
          <w:rtl w:val="true"/>
        </w:rPr>
        <w:footnoteReference w:id="82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جاودانگی اسلام،مستلزم جاودانگی احکام آن است</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به همین دلیل،به نظر می‌رسد اطلاق و عموم ازمانی ادله حدود مورد توافق دو دیدگاه است و تنها نکته‌ای که در راه سست کردن استدلال ابراز شده،امکان اختصاص این منصب به معصومان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بررسی‌هایی که در فصل پیشین صورت گرفت،مشخص شد دلیلی بر اختصاص اقامه حدود به معصومان به‌گونه‌ای که ولایت فقها را بر اقامه حدود ناروا سازد،در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بتوان گفت برای ناکارآمدی اطلاق ادله حدود،دلیل بر اختصاص لازم نیست و صرف احتمال،خصوصیت تمسک به اطلاق ازمانی را خدشه‌دار می‌سازد؛زیرا</w:t>
      </w:r>
      <w:bookmarkStart w:id="747" w:name="pg5664_43530"/>
    </w:p>
    <w:p>
      <w:pPr>
        <w:pStyle w:val="BookText"/>
        <w:rPr/>
      </w:pPr>
      <w:bookmarkEnd w:id="747"/>
      <w:r>
        <w:rPr>
          <w:rFonts w:ascii="IRNazanin" w:hAnsi="IRNazanin" w:eastAsia="IRNazanin"/>
          <w:color w:val="111111"/>
          <w:sz w:val="28"/>
          <w:sz w:val="28"/>
          <w:szCs w:val="28"/>
          <w:rtl w:val="true"/>
          <w:lang w:bidi="fa-IR"/>
        </w:rPr>
        <w:t>روایات از نظر بیان مجری حدود مجمل بوده،باید به قدر متیقن اخذ کرد و با توجه به اینکه عصمت یا منصوب بودن از سوی معصوم از قیود محتمل است،قدر متیقن از آیات معصومان و منصوبان از سوی ایشان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گفت تحلیل فوق درباره زمان حضور امام صحیح است،در زمان غیبت،در صورت ثبوت نصب،قید یاد شده حاصل شده است،اما اگر نصب ثابت نباشد،به دلیل جاودانگی شریعت و اطلاق ازمانی ادله حدود،احتمال خصوصیت فوق منتفی می‌گردد؛زیرا نتیجه این احتمال با ظهور آیات تنافی دارد </w:t>
      </w:r>
      <w:r>
        <w:rPr>
          <w:rStyle w:val="FootnoteAnchor"/>
          <w:rtl w:val="true"/>
        </w:rPr>
        <w:footnoteReference w:id="825"/>
      </w:r>
      <w:r>
        <w:rPr>
          <w:rFonts w:ascii="IRNazanin" w:hAnsi="IRNazanin" w:eastAsia="IRNazanin"/>
          <w:color w:val="111111"/>
          <w:sz w:val="28"/>
          <w:sz w:val="28"/>
          <w:szCs w:val="28"/>
          <w:rtl w:val="true"/>
          <w:lang w:bidi="fa-IR"/>
        </w:rPr>
        <w:t>و مشخص است در خصوص چنین تعارضی،ظواهر قرآن که از امارات شمرده می‌شوند،ترجیح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این،اعتقاد به لزوم حضور معصوم گرچه مستلزم نسخ ادله حدود نیست،لغویت تشریع را در پی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تشریع امری که در شریعت بسیار بر آن تاکید شده و سبب احیای زمین و هر بار اجرای آن سودمندتر از چهل روز باران است،در حالی که امکان اجرای آن در بیشتر زمان‌ها و مکان‌ها مقدور نیست،لغو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سال‌های آغازین غیبت کبری،این شبهه دور از ذهن می‌نمود،اما نادیده انگاشتن این نکته در زمان ما،قدری دور از خرد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بنابراین،به نظر می‌رسد بر اساس اطلاقات،لزوم اجرای حدود در هر عصر و زمانی بدیهی است</w:t>
      </w:r>
      <w:r>
        <w:rPr>
          <w:rFonts w:eastAsia="IRNazanin" w:cs="IRNazanin"/>
          <w:color w:val="111111"/>
          <w:sz w:val="28"/>
          <w:szCs w:val="28"/>
          <w:rtl w:val="true"/>
          <w:lang w:bidi="fa-IR"/>
        </w:rPr>
        <w:t>.</w:t>
      </w:r>
    </w:p>
    <w:p>
      <w:pPr>
        <w:pStyle w:val="Heading6"/>
        <w:numPr>
          <w:ilvl w:val="5"/>
          <w:numId w:val="1"/>
        </w:numPr>
        <w:rPr/>
      </w:pPr>
      <w:bookmarkStart w:id="748" w:name="__RefHeading___Toc3420160_581953129"/>
      <w:bookmarkStart w:id="749" w:name="_Toc297"/>
      <w:bookmarkEnd w:id="748"/>
      <w:r>
        <w:rPr>
          <w:rtl w:val="true"/>
        </w:rPr>
        <w:t>ب</w:t>
      </w:r>
      <w:r>
        <w:rPr>
          <w:rtl w:val="true"/>
        </w:rPr>
        <w:t>)</w:t>
      </w:r>
      <w:r>
        <w:rPr>
          <w:rtl w:val="true"/>
        </w:rPr>
        <w:t>نقد و بررسی</w:t>
      </w:r>
      <w:bookmarkEnd w:id="749"/>
    </w:p>
    <w:p>
      <w:pPr>
        <w:pStyle w:val="Heading6"/>
        <w:numPr>
          <w:ilvl w:val="5"/>
          <w:numId w:val="1"/>
        </w:numPr>
        <w:rPr/>
      </w:pPr>
      <w:bookmarkStart w:id="750" w:name="__RefHeading___Toc3420162_581953129"/>
      <w:bookmarkStart w:id="751" w:name="_Toc298"/>
      <w:bookmarkEnd w:id="750"/>
      <w:r>
        <w:rPr>
          <w:rtl w:val="true"/>
        </w:rPr>
        <w:t>اشاره</w:t>
      </w:r>
      <w:bookmarkEnd w:id="75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ازمانی ادله حدود،دلیل کارآمدی در اثبات لزوم اجرای حدود در عصر غیبت است،ولی نباید از نظر دور داشت که این عمومات،به‌ظاهر تنها مشروعیت اقامه حدود را اثبات می‌کنند،و در تعیین مجری اقامه حدود ظهور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فقهایی که نیابت عامه فقیه را پذیرفته‌اند،بر اساس این نیابت،فقیه را مجری حدود می‌دانند،ولی آیت‌الله خویی که در برخی از ادله ولایت فقیه تردیدهایی دارد و بیشتر به دلایل عقلی برای اثبات ولایت فقیه متمایل است،راهکار اکتفا به قدر متیقن را مطرح می‌کند</w:t>
      </w:r>
      <w:r>
        <w:rPr>
          <w:rFonts w:eastAsia="IRNazanin" w:cs="IRNazanin"/>
          <w:color w:val="111111"/>
          <w:sz w:val="28"/>
          <w:szCs w:val="28"/>
          <w:rtl w:val="true"/>
          <w:lang w:bidi="fa-IR"/>
        </w:rPr>
        <w:t>.</w:t>
      </w:r>
      <w:bookmarkStart w:id="752" w:name="pg5664_43531"/>
    </w:p>
    <w:p>
      <w:pPr>
        <w:pStyle w:val="BookText"/>
        <w:rPr/>
      </w:pPr>
      <w:bookmarkEnd w:id="752"/>
      <w:r>
        <w:rPr>
          <w:rFonts w:ascii="IRNazanin" w:hAnsi="IRNazanin" w:eastAsia="IRNazanin"/>
          <w:color w:val="111111"/>
          <w:sz w:val="28"/>
          <w:sz w:val="28"/>
          <w:szCs w:val="28"/>
          <w:rtl w:val="true"/>
          <w:lang w:bidi="fa-IR"/>
        </w:rPr>
        <w:t>اما به نظر نگارنده،باید پیش از این چاره‌جویی‌ها و رجوع به قدر متیقن یا ادله نیابت،به خطابات مراجعه کرد؛زیرا تعیین مخاطبان اقامه حدود می‌تواند در تعیین مجری حدود نیز راهگشا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اثبات رسد که فردی خاص مخاطب اقامه حدود است،می‌توان همان فرد را مجری حدود دانست و دیگر لزومی برای مراجعه به ادله نیابت و قدر متیقن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به‌علاوه،به نظر می‌رسد آنچه برخی فقها را بر آن داشته تا دیدگاه عدم جواز را در پیش گیرند،توجه به همین خطابات و اختصاص دادن آنها به امام معصوم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دلیل،برای دفع این توهم باید به خطابات و مخاطبان آن رجوع کرد</w:t>
      </w:r>
      <w:r>
        <w:rPr>
          <w:rFonts w:eastAsia="IRNazanin" w:cs="IRNazanin"/>
          <w:color w:val="111111"/>
          <w:sz w:val="28"/>
          <w:szCs w:val="28"/>
          <w:rtl w:val="true"/>
          <w:lang w:bidi="fa-IR"/>
        </w:rPr>
        <w:t>.</w:t>
      </w:r>
    </w:p>
    <w:p>
      <w:pPr>
        <w:pStyle w:val="Heading6"/>
        <w:numPr>
          <w:ilvl w:val="5"/>
          <w:numId w:val="1"/>
        </w:numPr>
        <w:rPr/>
      </w:pPr>
      <w:bookmarkStart w:id="753" w:name="__RefHeading___Toc3420164_581953129"/>
      <w:bookmarkStart w:id="754" w:name="_Toc299"/>
      <w:bookmarkEnd w:id="753"/>
      <w:r>
        <w:rPr>
          <w:rtl w:val="true"/>
        </w:rPr>
        <w:t>یکم</w:t>
      </w:r>
      <w:r>
        <w:rPr>
          <w:rtl w:val="true"/>
        </w:rPr>
        <w:t>)</w:t>
      </w:r>
      <w:r>
        <w:rPr>
          <w:rtl w:val="true"/>
        </w:rPr>
        <w:t>مخاطب اطلاقات</w:t>
      </w:r>
      <w:bookmarkEnd w:id="754"/>
    </w:p>
    <w:p>
      <w:pPr>
        <w:pStyle w:val="BookText"/>
        <w:rPr/>
      </w:pPr>
      <w:r>
        <w:rPr>
          <w:rFonts w:ascii="IRNazanin" w:hAnsi="IRNazanin" w:eastAsia="IRNazanin"/>
          <w:color w:val="111111"/>
          <w:sz w:val="28"/>
          <w:sz w:val="28"/>
          <w:szCs w:val="28"/>
          <w:rtl w:val="true"/>
          <w:lang w:bidi="fa-IR"/>
        </w:rPr>
        <w:t>ملاصدرا می‌گوید بهتر است خطابات قرآن را مختص به قومی خاص ندانیم تا قوانین کلی عقلی باشند</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برخی از مفسران نیز معتقدند خطاب‌های قرآنی و حتی خطاب‌هایی که متوجه پیامبر والامقام اسلام صلّی الله علیه و آله است،شامل همه مسلمین است؛مگر مواردی که دلیلی بر اختصاص به پیامبر صلّی الله علیه و آله داشته باشیم</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دیدگاه،سید مرتضی درباره اطلاقات حدود معتقد است خداوند امت را به اقامه حدود مخاطب نساخت تا آنان را ملامت کنیم و بگوییم امت حدود را ضایع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از واجبات ائمه و از مختصات آنان است</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به نظر می‌رسد سید مرتضی این نظر را بر اساس قراین بیرونی ابراز کرده باشد،نه خطاب‌های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طبرسی تصریح دارد که خطاب این آیات منحصراً متوجه 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خطاب للأئمة،ومن یکون منصوبا للأمر من جهتهم،لأنه لیس لأحد أن یقیم الحدود إلا الأئمة وولاتهم بلا خلاف</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راوندی نیز همچون سید مرتضی و طبرسی می‌گوید اقامه حدود از وظایف ائمه و منصوبان ایشان است،ولی تصریح می‌کند که مخاطب این آیه جمیع مسلمین هستند به‌معنای امت اسلامی،نه فرد فرد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خطاب آیه متوجه جماعت است،مراد واقعی آن کل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تک تک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اقامه حدود جز برای ائمه و کسانی که از سوی ایشان گمارده می‌شوند،روا نیست</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گرچه راوندی نیز چون طبرسی و سید مرتضی اقامه حدود را از ویژگی‌های ائمه می‌داند،در فصل پیش مشخص شد که مراد ایشان،اختصاص این منصب به امام معصوم نیست،بلکه مراد این است که فقط حاکم اسلامی حق اقامه حدود دارد،نه تک‌تک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تأیید این برداشت می‌توان گفت با توجه به اینکه خطاب‌های قرآن عام است و متوجه تک تک افراد،این پرسش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آحاد مردم می‌توانند خودسرانه به اقامه حدود بپردازند؟راوندی می‌گوید هرچند خطاب‌های قرآنی عام است و شامل همه جماعت مسلمین می‌شود،ولی اینجا مراد امت اسلامی است،نه فرد فرد امت،و به عبارت بهتر،حکومت اسلامی وظیفه و حق اقامه حدود دارد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مخاطب این اطلاقات امت و جامعه اسلامی باشد،گرچه احتمال صحیحی به نظر می‌رسد،لازمه آن جواز و بلکه وجوب اقامه حدود به‌دست حاکمان ستمگر در زمان سلطه ایشان است که مطلبی قابل تأمل می‌نماید؛ </w:t>
      </w:r>
      <w:r>
        <w:rPr>
          <w:rStyle w:val="FootnoteAnchor"/>
          <w:rtl w:val="true"/>
        </w:rPr>
        <w:footnoteReference w:id="831"/>
      </w:r>
      <w:r>
        <w:rPr>
          <w:rFonts w:ascii="IRNazanin" w:hAnsi="IRNazanin" w:eastAsia="IRNazanin"/>
          <w:color w:val="111111"/>
          <w:sz w:val="28"/>
          <w:sz w:val="28"/>
          <w:szCs w:val="28"/>
          <w:rtl w:val="true"/>
          <w:lang w:bidi="fa-IR"/>
        </w:rPr>
        <w:t>گرچه برخی اقامه این مهم را به‌دست ایشان جایز می‌دانند</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در حاشیه یکی از تفاسیر نیز همراه با پذیرش دیدگاه یاد شده،بر اساس آیات،به نوعی وجه جمع میان این دیدگاه و دیدگاه اختصاص به امام ارائه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اطلاق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تَأْخُذْکُمْ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خطاب به‌عموم مسلمین است،نه اینکه اقامه حدود مختص به حکام شرع و پیشوایان دینی است،ولی مقتضای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w:t>
      </w:r>
      <w:bookmarkStart w:id="755" w:name="pg5664_43533"/>
    </w:p>
    <w:p>
      <w:pPr>
        <w:pStyle w:val="BookText"/>
        <w:rPr/>
      </w:pPr>
      <w:bookmarkEnd w:id="755"/>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 مِنَ الْمُؤْمِنِینَ وَ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پیشوایان دین به اقامه 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زمان غیبت امام زمان و عدم تسلط حکام شرع لازم است مسلمانان حدود الهیه را محفوظ بدارند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البته مراد از مسلمانان،تک تک افراد جامعه اسلامی نیست،بلکه امت اسلامی مورد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نتیجه،در صورت عدم تسلط حاکمان شرع،وجوب اقامه حدود مقتضی است تا جامعه اسلامی تمهیداتی درپیش گیرد که حدود شرعی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مطالب پیش‌گفته،روشن شد دلیلی بر اختصاص خطاب‌ها به معصومان در دست نیست،ولی مخاطب قرار دادن عامه مردم نیز با تردیدهایی مواجه است که صدور رأی نهایی را مشکل می‌کند؛از این رو،شاید بتوان گفت این عمومات از این نظر که چه کسی مجری حدود است،اجمال دارد؛ </w:t>
      </w:r>
      <w:r>
        <w:rPr>
          <w:rStyle w:val="FootnoteAnchor"/>
          <w:rtl w:val="true"/>
        </w:rPr>
        <w:footnoteReference w:id="834"/>
      </w:r>
      <w:r>
        <w:rPr>
          <w:rFonts w:ascii="IRNazanin" w:hAnsi="IRNazanin" w:eastAsia="IRNazanin"/>
          <w:color w:val="111111"/>
          <w:sz w:val="28"/>
          <w:sz w:val="28"/>
          <w:szCs w:val="28"/>
          <w:rtl w:val="true"/>
          <w:lang w:bidi="fa-IR"/>
        </w:rPr>
        <w:t>گرچه مقتضی لزوم و بایستگی اجرای 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نتیجه،برای تعیین مجری حدود باید به دیگر ادله نقلی و عقلی مراجعه کرد</w:t>
      </w:r>
      <w:r>
        <w:rPr>
          <w:rFonts w:eastAsia="IRNazanin" w:cs="IRNazanin"/>
          <w:color w:val="111111"/>
          <w:sz w:val="28"/>
          <w:szCs w:val="28"/>
          <w:rtl w:val="true"/>
          <w:lang w:bidi="fa-IR"/>
        </w:rPr>
        <w:t>.</w:t>
      </w:r>
    </w:p>
    <w:p>
      <w:pPr>
        <w:pStyle w:val="Heading6"/>
        <w:numPr>
          <w:ilvl w:val="5"/>
          <w:numId w:val="1"/>
        </w:numPr>
        <w:rPr/>
      </w:pPr>
      <w:bookmarkStart w:id="756" w:name="__RefHeading___Toc3420166_581953129"/>
      <w:bookmarkStart w:id="757" w:name="_Toc300"/>
      <w:bookmarkEnd w:id="756"/>
      <w:r>
        <w:rPr>
          <w:rtl w:val="true"/>
        </w:rPr>
        <w:t>دوم</w:t>
      </w:r>
      <w:r>
        <w:rPr>
          <w:rtl w:val="true"/>
        </w:rPr>
        <w:t>)</w:t>
      </w:r>
      <w:r>
        <w:rPr>
          <w:rtl w:val="true"/>
        </w:rPr>
        <w:t>قدر متیقن بودن فقیه</w:t>
      </w:r>
      <w:bookmarkEnd w:id="757"/>
    </w:p>
    <w:p>
      <w:pPr>
        <w:pStyle w:val="BookText"/>
        <w:rPr/>
      </w:pPr>
      <w:r>
        <w:rPr>
          <w:rFonts w:ascii="IRNazanin" w:hAnsi="IRNazanin" w:eastAsia="IRNazanin"/>
          <w:color w:val="111111"/>
          <w:sz w:val="28"/>
          <w:sz w:val="28"/>
          <w:szCs w:val="28"/>
          <w:rtl w:val="true"/>
          <w:lang w:bidi="fa-IR"/>
        </w:rPr>
        <w:t>صاحب جواهر که به ضرورت ولایت فقیه معتقد است،فقها را متیقن از نصوص و اجماعات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المجتهد المطلق الجامع للشرائط المفروغ من تعدادها وتفصیلها فی محله،إذ هو المتیقن من النصوص والاجماع بقسمیه،بل الضرورة من المذهب نیابته فی زمن الغیبة عنهم علیهم السلام علی ذلک ونحوه</w:t>
      </w:r>
      <w:r>
        <w:rPr>
          <w:rFonts w:eastAsia="IRNazanin" w:cs="IRNazanin"/>
          <w:color w:val="111111"/>
          <w:sz w:val="28"/>
          <w:szCs w:val="28"/>
          <w:rtl w:val="true"/>
          <w:lang w:bidi="fa-IR"/>
        </w:rPr>
        <w:t xml:space="preserve">. </w:t>
      </w:r>
      <w:r>
        <w:rPr>
          <w:rStyle w:val="FootnoteAnchor"/>
          <w:rtl w:val="true"/>
        </w:rPr>
        <w:footnoteReference w:id="83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تعیین مخاطب آیات نیز به قدر متیقن بودن فقها استناد کنیم،با توجه به اطلاق ازمانی ادله حدود،حتی اگر ادله نیابت عامه فقیه را نپذیریم،باز هم ولایت ایشان بر اقامه حدود اثبات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امر بر این مبتنی است که اولاً لزوم رجوع به قدر متیقن اثبات شده باشد و ثانیاً فقها قدر متیقن از اعمال ولایت بر اجرای حدود باشند،نه غیر ایشان</w:t>
      </w:r>
      <w:r>
        <w:rPr>
          <w:rFonts w:eastAsia="IRNazanin" w:cs="IRNazanin"/>
          <w:color w:val="111111"/>
          <w:sz w:val="28"/>
          <w:szCs w:val="28"/>
          <w:rtl w:val="true"/>
          <w:lang w:bidi="fa-IR"/>
        </w:rPr>
        <w:t>.</w:t>
      </w:r>
      <w:bookmarkStart w:id="758" w:name="pg5664_43534"/>
    </w:p>
    <w:p>
      <w:pPr>
        <w:pStyle w:val="BookText"/>
        <w:rPr/>
      </w:pPr>
      <w:bookmarkEnd w:id="7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قدر متیقن بودن فقیه،استدلالی عقلی است که به‌عنوان یک مقدمه در ادله عقلی غیرمستقل به وفور به‌کار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مقدمه،پس از اینکه عدم نصب قشری از اقشار مردم برای تصدی ولایت ثابت شد،با وجود احتمال نصب فقیه و احتمال اشاره روایات وارد در مورد فضیلت فقیه به اصلح بودن وی برای حکومت و نصب وی در این سمت،امر حکومت دایر بین اختصاص حکومت به فقیه و عدم اختصاص و صلاحیت عموم مردم برای این منصب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مواردی که دوران امر بین تعیین یک فرد و یا تخییر بین افراد متعدد و عدم تعیین است،عقل ما را موظف می‌کند که سراغ فرد محتملُ‌التعیین برویم؛زیرا در صورت گزینش او علم به انجام تکلیف داریم،ولی در غیر این صورت،ممکن است به تکلیف خود عمل نکرده باشیم؛زیرا ممکن است واقعاً همان فرد محتملُ‌التعیین،مورد نظر شارع باشد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مرحوم نراقی در عوائد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دانستیم شارع رئوف و حکیم باید درباره مسائل حکومت تدبیری اندیشیده و کسانی را برای این امر تعیین کرده باشد،با ضمیمه این مقدمه که هیچ دلیلی بر نصب غیر فقیه وجود ندارد،به این نتیجه می‌رسیم که فقیه باید متولی امر حکومت باشد؛زیرا او قدر متیقن است و داخل در همه اقشار محتملُ‌النصب می‌باشد</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مرحوم نائینی هم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الفقیة هو المرجع فی ذلک لکون جواز تصدیه متیقنا لدوران الامر بین التعیین و التخییر،حیث یحتمل تعین تصدی الفقیه لاحتمال ان یکون منصوبا لو ظائف الولاة فجواز تصدیه قطعی اما لاجل تعینه علیه أو لاجل کونه من احاد الناس الذین یجوز لهم التصدی،واما تصدی غیره من افراد الناس مع تمکن تصدی الفقیه له،فهو مشکوک الجواز فیکون المرجع هو اصالة العدم کما بیناه</w:t>
      </w:r>
      <w:r>
        <w:rPr>
          <w:rFonts w:eastAsia="IRNazanin" w:cs="IRNazanin"/>
          <w:color w:val="111111"/>
          <w:sz w:val="28"/>
          <w:szCs w:val="28"/>
          <w:rtl w:val="true"/>
          <w:lang w:bidi="fa-IR"/>
        </w:rPr>
        <w:t xml:space="preserve">. </w:t>
      </w:r>
      <w:r>
        <w:rPr>
          <w:rStyle w:val="FootnoteAnchor"/>
          <w:rtl w:val="true"/>
        </w:rPr>
        <w:footnoteReference w:id="838"/>
      </w:r>
    </w:p>
    <w:p>
      <w:pPr>
        <w:pStyle w:val="Heading6"/>
        <w:numPr>
          <w:ilvl w:val="5"/>
          <w:numId w:val="1"/>
        </w:numPr>
        <w:rPr/>
      </w:pPr>
      <w:bookmarkStart w:id="759" w:name="__RefHeading___Toc3420168_581953129"/>
      <w:bookmarkStart w:id="760" w:name="_Toc301"/>
      <w:bookmarkEnd w:id="759"/>
      <w:r>
        <w:rPr>
          <w:rtl w:val="true"/>
        </w:rPr>
        <w:t>اشکال عدم تأثیر</w:t>
      </w:r>
      <w:r>
        <w:rPr>
          <w:rtl w:val="true"/>
        </w:rPr>
        <w:t>«</w:t>
      </w:r>
      <w:r>
        <w:rPr>
          <w:rtl w:val="true"/>
        </w:rPr>
        <w:t>فقاهت بما هو فقاهت</w:t>
      </w:r>
      <w:r>
        <w:rPr>
          <w:rtl w:val="true"/>
        </w:rPr>
        <w:t>»</w:t>
      </w:r>
      <w:r>
        <w:rPr>
          <w:rtl w:val="true"/>
        </w:rPr>
        <w:t>در تصدی و ولایت</w:t>
      </w:r>
      <w:bookmarkEnd w:id="76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متیقن بودن تصرف فقیه در مقایسه با غیرفقیه دلیل معتبر ندارد؛زیرا در</w:t>
      </w:r>
      <w:bookmarkStart w:id="761" w:name="pg5664_43535"/>
    </w:p>
    <w:p>
      <w:pPr>
        <w:pStyle w:val="BookText"/>
        <w:rPr/>
      </w:pPr>
      <w:bookmarkEnd w:id="761"/>
      <w:r>
        <w:rPr>
          <w:rFonts w:ascii="IRNazanin" w:hAnsi="IRNazanin" w:eastAsia="IRNazanin"/>
          <w:color w:val="111111"/>
          <w:sz w:val="28"/>
          <w:sz w:val="28"/>
          <w:szCs w:val="28"/>
          <w:rtl w:val="true"/>
          <w:lang w:bidi="fa-IR"/>
        </w:rPr>
        <w:t>صورتی می‌توان تصرفات فقیه را قدر متیقن مجاز دانست و اصل عدم جواز تصرف را درباره غیرفقیه جاری کرد که این احتمال وجود داشته باشد که از نظر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 بما هو 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تصدی و ولایت مؤثر باشد،در حالی که چنین احتمالی از نظر عقلا پذیرفته نیست؛زیرا ایشان تصرفات انسان امین و کاردان و کاملاً مطلع از احکام شرع را که علمش تقلیدی است نه اجتهادی،درست به اندازه فرد مجتهد،تصرف احسن می‌دانند و چه‌بسا در احسن بودن تصرفات فقیه به علت محصور بودن وی در فضای درس و مدرسه و دوری قهری از امور اجتماعی و اجرایی تردید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به صرف اینکه در دوران امر میان فقیه و غیرفقیه،امر دایر بین تعیین و تخییر است،بر تقدم فقیه حکم کنیم،بلکه باید به فهم عقلایی توجه نماییم</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نظر عقلا هیچ بعید نیست که فقاهت،در تصرف و ولایت اثرگذار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به‌یقین عقلا در تصرف عالم و غیرعالم و فقیه و غیرفقیه،تصرف عالم و فقیه را نزدیک‌تر به صواب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اینکه مدعیان اولویت تصرف فقیه بر تصرف دیگران می‌گویند عقل ما را موظف می‌کند در دَوَران امر میان تعیین یک فرد یا تخییر میان افراد متعدد و عدم تعیین،سراغ فرد محتملُ‌التعیین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اصل اولی،عدم ولایت است و ما یقین داریم فقیه از این اصل خارج است،ولی دیگران همچنان مشمول اصل عدم ولایت باقی می‌مانند</w:t>
      </w:r>
      <w:r>
        <w:rPr>
          <w:rFonts w:eastAsia="IRNazanin" w:cs="IRNazanin"/>
          <w:color w:val="111111"/>
          <w:sz w:val="28"/>
          <w:szCs w:val="28"/>
          <w:rtl w:val="true"/>
          <w:lang w:bidi="fa-IR"/>
        </w:rPr>
        <w:t>.</w:t>
      </w:r>
    </w:p>
    <w:p>
      <w:pPr>
        <w:pStyle w:val="Heading6"/>
        <w:numPr>
          <w:ilvl w:val="5"/>
          <w:numId w:val="1"/>
        </w:numPr>
        <w:rPr/>
      </w:pPr>
      <w:bookmarkStart w:id="762" w:name="__RefHeading___Toc3420170_581953129"/>
      <w:bookmarkStart w:id="763" w:name="_Toc302"/>
      <w:bookmarkEnd w:id="762"/>
      <w:r>
        <w:rPr>
          <w:rtl w:val="true"/>
        </w:rPr>
        <w:t>سوم</w:t>
      </w:r>
      <w:r>
        <w:rPr>
          <w:rtl w:val="true"/>
        </w:rPr>
        <w:t>)</w:t>
      </w:r>
      <w:r>
        <w:rPr>
          <w:rtl w:val="true"/>
        </w:rPr>
        <w:t>عدم وصول بیان در اختصاص به فقها</w:t>
      </w:r>
      <w:bookmarkEnd w:id="76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به رغم تأکید فراوان عالمان اصولی بر آن،قابل مناقشه است؛زیرا صرف احتمال وجود تکلیف به فرد معین آن‌را بر ما الزامی نمی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اصل تکلیف موجب نمی‌شود عقلاً ملزم باشیم و آن را با تمام ویژگی‌های محتمل انجام دهیم،بلکه تنها به آن ویژگی‌هایی که دلیل بر اعتبار آنها قائم شده است،مکلف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شارع مقدس در مسئله مهمی چون عدم صلاحیت کسی برای تصدی حکومت و انحصار آن به فقها رأی خاصی می‌داشت،باید آن را با بیان روشن و</w:t>
      </w:r>
      <w:bookmarkStart w:id="764" w:name="pg5664_43536"/>
    </w:p>
    <w:p>
      <w:pPr>
        <w:pStyle w:val="BookText"/>
        <w:rPr/>
      </w:pPr>
      <w:bookmarkEnd w:id="764"/>
      <w:r>
        <w:rPr>
          <w:rFonts w:ascii="IRNazanin" w:hAnsi="IRNazanin" w:eastAsia="IRNazanin"/>
          <w:color w:val="111111"/>
          <w:sz w:val="28"/>
          <w:sz w:val="28"/>
          <w:szCs w:val="28"/>
          <w:rtl w:val="true"/>
          <w:lang w:bidi="fa-IR"/>
        </w:rPr>
        <w:t>تأکید بلیغ به همگان اعلام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وصول چنین بیانی کافی است تا ما را از این تکلیف فارغ سازد</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مستشکل خود اذعان کرده،بیان ایشان مخالف دیدگاه‌های اصولی است؛زیرا بر اساس دیدگاه عالمان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یقینی برائت یقینی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زمانی که فقیه تصدی اقامه حدود را به دست نگرفته این احتمال وجود دارد که تکلیف ساقط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روشن‌تر،در این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است،نه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وجود تکلیف محرز است و شک در مکلفٌ به و سقوط تکلیف است،نه در اصل تکلیف</w:t>
      </w:r>
      <w:r>
        <w:rPr>
          <w:rFonts w:eastAsia="IRNazanin" w:cs="IRNazanin"/>
          <w:color w:val="111111"/>
          <w:sz w:val="28"/>
          <w:szCs w:val="28"/>
          <w:rtl w:val="true"/>
          <w:lang w:bidi="fa-IR"/>
        </w:rPr>
        <w:t>.</w:t>
      </w:r>
    </w:p>
    <w:p>
      <w:pPr>
        <w:pStyle w:val="Heading5"/>
        <w:numPr>
          <w:ilvl w:val="4"/>
          <w:numId w:val="1"/>
        </w:numPr>
        <w:rPr/>
      </w:pPr>
      <w:bookmarkStart w:id="765" w:name="__RefHeading___Toc3420172_581953129"/>
      <w:bookmarkStart w:id="766" w:name="_Toc303"/>
      <w:bookmarkEnd w:id="765"/>
      <w:r>
        <w:rPr/>
        <w:t>2</w:t>
      </w:r>
      <w:r>
        <w:rPr>
          <w:rtl w:val="true"/>
        </w:rPr>
        <w:t>-</w:t>
      </w:r>
      <w:r>
        <w:rPr>
          <w:rtl w:val="true"/>
        </w:rPr>
        <w:t>روایت حفص بن غیاث</w:t>
      </w:r>
      <w:bookmarkEnd w:id="766"/>
    </w:p>
    <w:p>
      <w:pPr>
        <w:pStyle w:val="Heading6"/>
        <w:numPr>
          <w:ilvl w:val="5"/>
          <w:numId w:val="1"/>
        </w:numPr>
        <w:rPr/>
      </w:pPr>
      <w:bookmarkStart w:id="767" w:name="__RefHeading___Toc3420174_581953129"/>
      <w:bookmarkStart w:id="768" w:name="_Toc304"/>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شیخ صدوق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من لا یحضره الفقیه و شیخ طوسی در دو جای تهذیب این روایت را نقل کرده‌اند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حفص بن غیاث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باید حدود را اقامه کند؛سلطان یا قاضی؟فرمود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بر عهده کسی است که حکم بدو واگذار شده است</w:t>
      </w:r>
      <w:r>
        <w:rPr>
          <w:rFonts w:eastAsia="IRNazanin" w:cs="IRNazanin"/>
          <w:color w:val="111111"/>
          <w:sz w:val="28"/>
          <w:szCs w:val="28"/>
          <w:rtl w:val="true"/>
          <w:lang w:bidi="fa-IR"/>
        </w:rPr>
        <w:t xml:space="preserve">. </w:t>
      </w:r>
      <w:r>
        <w:rPr>
          <w:rStyle w:val="FootnoteAnchor"/>
          <w:rtl w:val="true"/>
        </w:rPr>
        <w:footnoteReference w:id="842"/>
      </w:r>
    </w:p>
    <w:p>
      <w:pPr>
        <w:pStyle w:val="Heading6"/>
        <w:numPr>
          <w:ilvl w:val="5"/>
          <w:numId w:val="1"/>
        </w:numPr>
        <w:rPr/>
      </w:pPr>
      <w:bookmarkStart w:id="769" w:name="__RefHeading___Toc3420176_581953129"/>
      <w:bookmarkStart w:id="770" w:name="_Toc305"/>
      <w:bookmarkEnd w:id="769"/>
      <w:r>
        <w:rPr>
          <w:rtl w:val="true"/>
        </w:rPr>
        <w:t>الف</w:t>
      </w:r>
      <w:r>
        <w:rPr>
          <w:rtl w:val="true"/>
        </w:rPr>
        <w:t>)</w:t>
      </w:r>
      <w:r>
        <w:rPr>
          <w:rtl w:val="true"/>
        </w:rPr>
        <w:t>بررسی سند روایت</w:t>
      </w:r>
      <w:bookmarkEnd w:id="770"/>
    </w:p>
    <w:p>
      <w:pPr>
        <w:pStyle w:val="Heading6"/>
        <w:numPr>
          <w:ilvl w:val="5"/>
          <w:numId w:val="1"/>
        </w:numPr>
        <w:rPr/>
      </w:pPr>
      <w:bookmarkStart w:id="771" w:name="__RefHeading___Toc3420178_581953129"/>
      <w:bookmarkStart w:id="772" w:name="_Toc306"/>
      <w:bookmarkEnd w:id="771"/>
      <w:r>
        <w:rPr>
          <w:rtl w:val="true"/>
        </w:rPr>
        <w:t>اشاره</w:t>
      </w:r>
      <w:bookmarkEnd w:id="77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اشکال‌هایی بر این روایت،ضعف سندی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این روایت از روایات مهم در این مقام به شمار می‌آید،هر دو طریق موجود آن،هم طریق شیخ و هم طریق صدوق شایسته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این دو طریق تنها در دو</w:t>
      </w:r>
      <w:bookmarkStart w:id="773" w:name="pg5664_43537"/>
    </w:p>
    <w:p>
      <w:pPr>
        <w:pStyle w:val="BookText"/>
        <w:rPr/>
      </w:pPr>
      <w:bookmarkEnd w:id="773"/>
      <w:r>
        <w:rPr>
          <w:rFonts w:ascii="IRNazanin" w:hAnsi="IRNazanin" w:eastAsia="IRNazanin"/>
          <w:color w:val="111111"/>
          <w:sz w:val="28"/>
          <w:sz w:val="28"/>
          <w:szCs w:val="28"/>
          <w:rtl w:val="true"/>
          <w:lang w:bidi="fa-IR"/>
        </w:rPr>
        <w:t>راوی نخست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طریق شیخ،محمد بن حسن بن فروخ صفار </w:t>
      </w:r>
      <w:r>
        <w:rPr>
          <w:rStyle w:val="FootnoteAnchor"/>
          <w:rtl w:val="true"/>
        </w:rPr>
        <w:footnoteReference w:id="843"/>
      </w:r>
      <w:r>
        <w:rPr>
          <w:rFonts w:ascii="IRNazanin" w:hAnsi="IRNazanin" w:eastAsia="IRNazanin"/>
          <w:color w:val="111111"/>
          <w:sz w:val="28"/>
          <w:sz w:val="28"/>
          <w:szCs w:val="28"/>
          <w:rtl w:val="true"/>
          <w:lang w:bidi="fa-IR"/>
        </w:rPr>
        <w:t xml:space="preserve">و علی بن محمد </w:t>
      </w:r>
      <w:r>
        <w:rPr>
          <w:rStyle w:val="FootnoteAnchor"/>
          <w:rtl w:val="true"/>
        </w:rPr>
        <w:footnoteReference w:id="844"/>
      </w:r>
      <w:r>
        <w:rPr>
          <w:rFonts w:ascii="IRNazanin" w:hAnsi="IRNazanin" w:eastAsia="IRNazanin"/>
          <w:color w:val="111111"/>
          <w:sz w:val="28"/>
          <w:sz w:val="28"/>
          <w:szCs w:val="28"/>
          <w:rtl w:val="true"/>
          <w:lang w:bidi="fa-IR"/>
        </w:rPr>
        <w:t>آمده است،ولی صدوق این روایت را از پدرش و او نیز از سعدبن عبدالله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طریق صدوق معتبرتر است و به همین دلیل همین سند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مشیخه تصریح می‌کند هر چه از داوود منقری روایت می‌کنم،به این اسناد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از سعد بن عبدالله،از قاسم بن محمد اصفهانی،از سلیمان بن داوود منقری،معروف به ابن‌شاذکونی</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بدین ترتیب،صدوق این روایت را از پدرش و او از سعد بن عبدالله و او از قاسم بن محمد اصفهانی و او از سلیمان بن داوود منقری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پدر صدوق جای بحث نیست و به گفته نجاشی،شیخ قمی‌ها در عصر خود و متقدم ایشان و فقیه و ثقه ایشان بوده است</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درباره سعد بن عبدالله نیز سید شفتی می‌گوید شأن و جلالت قدر او روشن‌تر از آن است که به ذکر نیاز داشته باشد</w:t>
      </w:r>
      <w:r>
        <w:rPr>
          <w:rFonts w:eastAsia="IRNazanin" w:cs="IRNazanin"/>
          <w:color w:val="111111"/>
          <w:sz w:val="28"/>
          <w:szCs w:val="28"/>
          <w:rtl w:val="true"/>
          <w:lang w:bidi="fa-IR"/>
        </w:rPr>
        <w:t xml:space="preserve">. </w:t>
      </w:r>
      <w:r>
        <w:rPr>
          <w:rStyle w:val="FootnoteAnchor"/>
          <w:rtl w:val="true"/>
        </w:rPr>
        <w:footnoteReference w:id="847"/>
      </w:r>
    </w:p>
    <w:p>
      <w:pPr>
        <w:pStyle w:val="Heading6"/>
        <w:numPr>
          <w:ilvl w:val="5"/>
          <w:numId w:val="1"/>
        </w:numPr>
        <w:rPr/>
      </w:pPr>
      <w:bookmarkStart w:id="774" w:name="__RefHeading___Toc3420180_581953129"/>
      <w:bookmarkStart w:id="775" w:name="_Toc307"/>
      <w:bookmarkEnd w:id="774"/>
      <w:r>
        <w:rPr>
          <w:rtl w:val="true"/>
        </w:rPr>
        <w:t>قاسم بن محمد اصفهانی</w:t>
      </w:r>
      <w:bookmarkEnd w:id="77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طریق شیخ،قاسم بن محمد آمده که میان هفت نفر مشترک است،ولی به قرینه</w:t>
      </w:r>
      <w:bookmarkStart w:id="776" w:name="pg5664_43538"/>
    </w:p>
    <w:p>
      <w:pPr>
        <w:pStyle w:val="BookText"/>
        <w:rPr/>
      </w:pPr>
      <w:bookmarkEnd w:id="776"/>
      <w:r>
        <w:rPr>
          <w:rFonts w:ascii="IRNazanin" w:hAnsi="IRNazanin" w:eastAsia="IRNazanin"/>
          <w:color w:val="111111"/>
          <w:sz w:val="28"/>
          <w:sz w:val="28"/>
          <w:szCs w:val="28"/>
          <w:rtl w:val="true"/>
          <w:lang w:bidi="fa-IR"/>
        </w:rPr>
        <w:t>طریق صدوق،می‌فهمیم منظور،قاسم بن محمد اصفهانی است</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قاسم بن محمد اصفهانی در مشیخه صدوق و فهرست شیخ به احتمال فراوان همان قاسم بن محمد قمی در کلام نجاشی است که درباره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بالمرضی</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علامه،ابن‌غضائری </w:t>
      </w:r>
      <w:r>
        <w:rPr>
          <w:rStyle w:val="FootnoteAnchor"/>
          <w:rtl w:val="true"/>
        </w:rPr>
        <w:footnoteReference w:id="850"/>
      </w:r>
      <w:r>
        <w:rPr>
          <w:rFonts w:ascii="IRNazanin" w:hAnsi="IRNazanin" w:eastAsia="IRNazanin"/>
          <w:color w:val="111111"/>
          <w:sz w:val="28"/>
          <w:sz w:val="28"/>
          <w:szCs w:val="28"/>
          <w:rtl w:val="true"/>
          <w:lang w:bidi="fa-IR"/>
        </w:rPr>
        <w:t xml:space="preserve">،ابن‌داوود </w:t>
      </w:r>
      <w:r>
        <w:rPr>
          <w:rStyle w:val="FootnoteAnchor"/>
          <w:rtl w:val="true"/>
        </w:rPr>
        <w:footnoteReference w:id="851"/>
      </w:r>
      <w:r>
        <w:rPr>
          <w:rFonts w:ascii="IRNazanin" w:hAnsi="IRNazanin" w:eastAsia="IRNazanin"/>
          <w:color w:val="111111"/>
          <w:sz w:val="28"/>
          <w:sz w:val="28"/>
          <w:szCs w:val="28"/>
          <w:rtl w:val="true"/>
          <w:lang w:bidi="fa-IR"/>
        </w:rPr>
        <w:t xml:space="preserve">،محقق استرآبادی </w:t>
      </w:r>
      <w:r>
        <w:rPr>
          <w:rStyle w:val="FootnoteAnchor"/>
          <w:rtl w:val="true"/>
        </w:rPr>
        <w:footnoteReference w:id="852"/>
      </w:r>
      <w:r>
        <w:rPr>
          <w:rFonts w:ascii="IRNazanin" w:hAnsi="IRNazanin" w:eastAsia="IRNazanin"/>
          <w:color w:val="111111"/>
          <w:sz w:val="28"/>
          <w:sz w:val="28"/>
          <w:szCs w:val="28"/>
          <w:rtl w:val="true"/>
          <w:lang w:bidi="fa-IR"/>
        </w:rPr>
        <w:t xml:space="preserve">و علامه مجلسی </w:t>
      </w:r>
      <w:r>
        <w:rPr>
          <w:rStyle w:val="FootnoteAnchor"/>
          <w:rtl w:val="true"/>
        </w:rPr>
        <w:footnoteReference w:id="853"/>
      </w:r>
      <w:r>
        <w:rPr>
          <w:rFonts w:ascii="IRNazanin" w:hAnsi="IRNazanin" w:eastAsia="IRNazanin"/>
          <w:color w:val="111111"/>
          <w:sz w:val="28"/>
          <w:sz w:val="28"/>
          <w:szCs w:val="28"/>
          <w:rtl w:val="true"/>
          <w:lang w:bidi="fa-IR"/>
        </w:rPr>
        <w:t>هر یک به نوعی او را تضعیف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ابن‌داوود به نقل از کشی،قاسم بن محمد اصفهانی را متهم به غلو کرده است،ولی در کتاب کشی هیچ ذکری از وی به میان نیامده است تا چه رسد به اینکه متهم به غلو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هم بدون ذکر وجهی معتبر،طریق صدوق را به سلیمان بن داوود منقری صحیح دانسته و در عین حال قاسم بن محمد را در قسم دوم کتاب خویش آورده،نظر نجاشی را بدون نقد،نقل کرده و ظاهراً مخالفتی با آن نداشته است</w:t>
      </w:r>
      <w:r>
        <w:rPr>
          <w:rFonts w:eastAsia="IRNazanin" w:cs="IRNazanin"/>
          <w:color w:val="111111"/>
          <w:sz w:val="28"/>
          <w:szCs w:val="28"/>
          <w:rtl w:val="true"/>
          <w:lang w:bidi="fa-IR"/>
        </w:rPr>
        <w:t xml:space="preserve">. </w:t>
      </w:r>
      <w:r>
        <w:rPr>
          <w:rStyle w:val="FootnoteAnchor"/>
          <w:rtl w:val="true"/>
        </w:rPr>
        <w:footnoteReference w:id="854"/>
      </w:r>
    </w:p>
    <w:p>
      <w:pPr>
        <w:pStyle w:val="Heading6"/>
        <w:numPr>
          <w:ilvl w:val="5"/>
          <w:numId w:val="1"/>
        </w:numPr>
        <w:rPr/>
      </w:pPr>
      <w:bookmarkStart w:id="777" w:name="__RefHeading___Toc3420182_581953129"/>
      <w:bookmarkStart w:id="778" w:name="_Toc308"/>
      <w:bookmarkEnd w:id="777"/>
      <w:r>
        <w:rPr>
          <w:rtl w:val="true"/>
        </w:rPr>
        <w:t>سلیمان بن داوود منقری</w:t>
      </w:r>
      <w:bookmarkEnd w:id="77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منزلت سلیمان بن داوود المنقری دیدگاه‌های متفاوتی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ابن‌داوود او را در قسم دوم کتابشان آورده‌اند که ویژه کسانی است که مورد جرح قرار گرفته‌اند یا درباره آنها توقف شده است،و همچنین،تضعیف او را از ابن‌غضائری حکایت کرده‌اند</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محقق استرآبادی و علامه مجلسی هم به ضعف او تصریح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نجاشی او را ثقه دانسته </w:t>
      </w:r>
      <w:r>
        <w:rPr>
          <w:rStyle w:val="FootnoteAnchor"/>
          <w:rtl w:val="true"/>
        </w:rPr>
        <w:footnoteReference w:id="856"/>
      </w:r>
      <w:r>
        <w:rPr>
          <w:rFonts w:ascii="IRNazanin" w:hAnsi="IRNazanin" w:eastAsia="IRNazanin"/>
          <w:color w:val="111111"/>
          <w:sz w:val="28"/>
          <w:sz w:val="28"/>
          <w:szCs w:val="28"/>
          <w:rtl w:val="true"/>
          <w:lang w:bidi="fa-IR"/>
        </w:rPr>
        <w:t>و شیخ نیز تعدادی از بزرگان اصحاب</w:t>
      </w:r>
      <w:bookmarkStart w:id="779" w:name="pg5664_43539"/>
    </w:p>
    <w:p>
      <w:pPr>
        <w:pStyle w:val="BookText"/>
        <w:rPr/>
      </w:pPr>
      <w:bookmarkEnd w:id="779"/>
      <w:r>
        <w:rPr>
          <w:rFonts w:ascii="IRNazanin" w:hAnsi="IRNazanin" w:eastAsia="IRNazanin"/>
          <w:color w:val="111111"/>
          <w:sz w:val="28"/>
          <w:sz w:val="28"/>
          <w:szCs w:val="28"/>
          <w:rtl w:val="true"/>
          <w:lang w:bidi="fa-IR"/>
        </w:rPr>
        <w:t>را برشمرده که کتابی را به او نسبت داده‌اند</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سید شفتی می‌گوید اعتماد ایشان بر کتاب،خود دلیلی است بر اعتمادشان بر مصنف کتاب</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سید شفتی در نهایت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أنّ حدیثه لیس أقّل رتبة من الاءحادیث الموثقة؛حق این است که حدیث وی از احادیث موثقه کمتر نیست</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به‌علاوه،توثیق نجاشی درباره سلیمان بن داوود از تضعیف ابن‌غضائری قوی‌تر است؛چون نجاشی خبره‌تر از دیگر عالمان رجال است؛همچنان‌که تضعیفات ابن‌غضائری از تضعیفات و توثیقاتی که دیگر عالمان رجالی ذکر می‌کنند،ضعیف‌تر است</w:t>
      </w:r>
      <w:r>
        <w:rPr>
          <w:rFonts w:eastAsia="IRNazanin" w:cs="IRNazanin"/>
          <w:color w:val="111111"/>
          <w:sz w:val="28"/>
          <w:szCs w:val="28"/>
          <w:rtl w:val="true"/>
          <w:lang w:bidi="fa-IR"/>
        </w:rPr>
        <w:t>.</w:t>
      </w:r>
    </w:p>
    <w:p>
      <w:pPr>
        <w:pStyle w:val="Heading6"/>
        <w:numPr>
          <w:ilvl w:val="5"/>
          <w:numId w:val="1"/>
        </w:numPr>
        <w:rPr/>
      </w:pPr>
      <w:bookmarkStart w:id="780" w:name="__RefHeading___Toc3420184_581953129"/>
      <w:bookmarkStart w:id="781" w:name="_Toc309"/>
      <w:bookmarkEnd w:id="780"/>
      <w:r>
        <w:rPr>
          <w:rtl w:val="true"/>
        </w:rPr>
        <w:t>حفص بن غیاث</w:t>
      </w:r>
      <w:bookmarkEnd w:id="781"/>
    </w:p>
    <w:p>
      <w:pPr>
        <w:pStyle w:val="BookText"/>
        <w:rPr/>
      </w:pPr>
      <w:r>
        <w:rPr>
          <w:rFonts w:ascii="IRNazanin" w:hAnsi="IRNazanin" w:eastAsia="IRNazanin"/>
          <w:color w:val="111111"/>
          <w:sz w:val="28"/>
          <w:sz w:val="28"/>
          <w:szCs w:val="28"/>
          <w:rtl w:val="true"/>
          <w:lang w:bidi="fa-IR"/>
        </w:rPr>
        <w:t>هارون،حفص بن غیاث را به قضاوت بغداد شرقی گماشت،سپس قضاوت کوفه بدو سپرده شد و در سال</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دارای کتابی است که عده‌ای از اصحاب آن را نقل کرده‌اند</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شیخ،علامه و بهبهانی او را عامی دانسته‌اند و در عین حال تصریح کرده‌اند که کتابش مورد اعتماد است</w:t>
      </w:r>
      <w:r>
        <w:rPr>
          <w:rFonts w:eastAsia="IRNazanin" w:cs="IRNazanin"/>
          <w:color w:val="111111"/>
          <w:sz w:val="28"/>
          <w:szCs w:val="28"/>
          <w:rtl w:val="true"/>
          <w:lang w:bidi="fa-IR"/>
        </w:rPr>
        <w:t xml:space="preserve">. </w:t>
      </w:r>
      <w:r>
        <w:rPr>
          <w:rStyle w:val="FootnoteAnchor"/>
          <w:rtl w:val="true"/>
        </w:rPr>
        <w:footnoteReference w:id="86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فقها نظیر ابن‌ادریس </w:t>
      </w:r>
      <w:r>
        <w:rPr>
          <w:rStyle w:val="FootnoteAnchor"/>
          <w:rtl w:val="true"/>
        </w:rPr>
        <w:footnoteReference w:id="862"/>
      </w:r>
      <w:r>
        <w:rPr>
          <w:rFonts w:ascii="IRNazanin" w:hAnsi="IRNazanin" w:eastAsia="IRNazanin"/>
          <w:color w:val="111111"/>
          <w:sz w:val="28"/>
          <w:sz w:val="28"/>
          <w:szCs w:val="28"/>
          <w:rtl w:val="true"/>
          <w:lang w:bidi="fa-IR"/>
        </w:rPr>
        <w:t xml:space="preserve">،محقق حلی </w:t>
      </w:r>
      <w:r>
        <w:rPr>
          <w:rStyle w:val="FootnoteAnchor"/>
          <w:rtl w:val="true"/>
        </w:rPr>
        <w:footnoteReference w:id="863"/>
      </w:r>
      <w:r>
        <w:rPr>
          <w:rFonts w:ascii="IRNazanin" w:hAnsi="IRNazanin" w:eastAsia="IRNazanin"/>
          <w:color w:val="111111"/>
          <w:sz w:val="28"/>
          <w:sz w:val="28"/>
          <w:szCs w:val="28"/>
          <w:rtl w:val="true"/>
          <w:lang w:bidi="fa-IR"/>
        </w:rPr>
        <w:t xml:space="preserve">،شهید اول، </w:t>
      </w:r>
      <w:r>
        <w:rPr>
          <w:rStyle w:val="FootnoteAnchor"/>
          <w:rtl w:val="true"/>
        </w:rPr>
        <w:footnoteReference w:id="864"/>
      </w:r>
      <w:r>
        <w:rPr>
          <w:rFonts w:ascii="IRNazanin" w:hAnsi="IRNazanin" w:eastAsia="IRNazanin"/>
          <w:color w:val="111111"/>
          <w:sz w:val="28"/>
          <w:sz w:val="28"/>
          <w:szCs w:val="28"/>
          <w:rtl w:val="true"/>
          <w:lang w:bidi="fa-IR"/>
        </w:rPr>
        <w:t xml:space="preserve">علامه حلی، </w:t>
      </w:r>
      <w:r>
        <w:rPr>
          <w:rStyle w:val="FootnoteAnchor"/>
          <w:rtl w:val="true"/>
        </w:rPr>
        <w:footnoteReference w:id="865"/>
      </w:r>
      <w:r>
        <w:rPr>
          <w:rFonts w:ascii="IRNazanin" w:hAnsi="IRNazanin" w:eastAsia="IRNazanin"/>
          <w:color w:val="111111"/>
          <w:sz w:val="28"/>
          <w:sz w:val="28"/>
          <w:szCs w:val="28"/>
          <w:rtl w:val="true"/>
          <w:lang w:bidi="fa-IR"/>
        </w:rPr>
        <w:t>محقق</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 </w:t>
      </w:r>
      <w:r>
        <w:rPr>
          <w:rStyle w:val="FootnoteAnchor"/>
          <w:rtl w:val="true"/>
        </w:rPr>
        <w:footnoteReference w:id="866"/>
      </w:r>
      <w:r>
        <w:rPr>
          <w:rFonts w:ascii="IRNazanin" w:hAnsi="IRNazanin" w:eastAsia="IRNazanin"/>
          <w:color w:val="111111"/>
          <w:sz w:val="28"/>
          <w:sz w:val="28"/>
          <w:szCs w:val="28"/>
          <w:rtl w:val="true"/>
          <w:lang w:bidi="fa-IR"/>
        </w:rPr>
        <w:t xml:space="preserve">و فاضل مقداد </w:t>
      </w:r>
      <w:r>
        <w:rPr>
          <w:rStyle w:val="FootnoteAnchor"/>
          <w:rtl w:val="true"/>
        </w:rPr>
        <w:footnoteReference w:id="867"/>
      </w:r>
      <w:r>
        <w:rPr>
          <w:rFonts w:ascii="IRNazanin" w:hAnsi="IRNazanin" w:eastAsia="IRNazanin"/>
          <w:color w:val="111111"/>
          <w:sz w:val="28"/>
          <w:sz w:val="28"/>
          <w:szCs w:val="28"/>
          <w:rtl w:val="true"/>
          <w:lang w:bidi="fa-IR"/>
        </w:rPr>
        <w:t>به دلیل عامی بودن وی روایتش را تضعیف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عامی بودن او محل تردید است؛به دلیل روایاتی که وی نقل کرده یا درباره او نقل شده است</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آیت‌الله خویی با وجود تصریح به صحت طریق صدوق به حفص بن غیاث،که در این طریق قاسم بن محمد اصفهانی قرار گرفته،استدلال روایات فوق را بر شیعه بودن حفص نپذیرفته،مدعی است به فرض که دلالت تمام باشد،به دلیل ضعف سندی هر دو روایت پذیرفته نیست؛چون در سند آن دو،قاسم بن محمد اصفهانی است که توثیق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روایت اول هم معلوم نیست حفص بن غیاث باشد؛چه‌بسا حفص بن سوقه یا حفص البختری یا دیگر کسانی با این نام باشد که از امام کاظم علیه السلام روایت کرده‌اند؛زیرا در متن روایت فقط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معلوم نیست کدام حفص است</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این مدعا از چند نظر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قاسم بن محمد نمی‌تواند تأثیری در استدلال داشته باشد؛چون غرض ما بحث از مضمون روایت نیست،بلکه غرض،بررسی جنبه ولایی شخصیت حفص است که این روایت به‌خوبی بیانگر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 هم لازم نیست در متن روایت به نام کامل حفص تصریح شده باشد؛زیرا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راوی آن دانسته و قراینی همچون روایت سلیمان بن داوود منقری از او مؤید این مطلب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انگیزه برای عامی دانستن وی،پذیرش قضاوت از سوی هارون الرشید بوده است،در حالی که به‌یقین این مسئله نمی‌تواند عامی بودن وی را ثابت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علاوه،شیخ طوسی در فهرست ضمن تصریح به عامی بودن 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کتابه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بحث حجیت خبر واحد از کتاب عده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بیان ایشان روشن می‌شود ثقه بودن و کاذب نبودن برای</w:t>
      </w:r>
      <w:bookmarkStart w:id="782" w:name="pg5664_43543"/>
    </w:p>
    <w:p>
      <w:pPr>
        <w:pStyle w:val="BookText"/>
        <w:rPr/>
      </w:pPr>
      <w:bookmarkEnd w:id="782"/>
      <w:r>
        <w:rPr>
          <w:rFonts w:ascii="IRNazanin" w:hAnsi="IRNazanin" w:eastAsia="IRNazanin"/>
          <w:color w:val="111111"/>
          <w:sz w:val="28"/>
          <w:sz w:val="28"/>
          <w:szCs w:val="28"/>
          <w:rtl w:val="true"/>
          <w:lang w:bidi="fa-IR"/>
        </w:rPr>
        <w:t>عدالتِ معتبر در راوی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ترتیب،حفص بن غیاث ثقه بوده،روایاتش مورد عمل اصحاب است</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گرچه سند ضعیف است،ولی محتمل است،بلکه ظاهر این است که روایت از کتاب حفص گرفته شده که شیخ و علامه بر معتبر بودن آن شهادت داده‌اند؛چرا که روشی نویسندگان کتاب‌های حدیث،برگرفتن روایات از کتاب‌های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دلیل،چه‌بسا کتاب نزد ایشان معتبر باشد و سند را صرفاً به‌منظور اتصال سند میان ایشان و صاحب کتاب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رو،در بسیاری موارد به ذکر سند حدیث واحد غیر صحیح در برخی از احادیث بسنده می‌کنند،در حالی که روایت از کتابی گرفته شده که بین آنها و صاحب کتاب سندهای فراوان از صحاح و غیر آن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اینکه روایت،مورد عملِ بیشتر فقها قرار گرفته است و اگر در سند آن ضعفی باشد،با عمل اصحاب جبران می‌شود</w:t>
      </w:r>
      <w:r>
        <w:rPr>
          <w:rFonts w:eastAsia="IRNazanin" w:cs="IRNazanin"/>
          <w:color w:val="111111"/>
          <w:sz w:val="28"/>
          <w:szCs w:val="28"/>
          <w:rtl w:val="true"/>
          <w:lang w:bidi="fa-IR"/>
        </w:rPr>
        <w:t xml:space="preserve">. </w:t>
      </w:r>
      <w:r>
        <w:rPr>
          <w:rStyle w:val="FootnoteAnchor"/>
          <w:rtl w:val="true"/>
        </w:rPr>
        <w:footnoteReference w:id="871"/>
      </w:r>
    </w:p>
    <w:p>
      <w:pPr>
        <w:pStyle w:val="Heading6"/>
        <w:numPr>
          <w:ilvl w:val="5"/>
          <w:numId w:val="1"/>
        </w:numPr>
        <w:rPr/>
      </w:pPr>
      <w:bookmarkStart w:id="783" w:name="__RefHeading___Toc3420186_581953129"/>
      <w:bookmarkStart w:id="784" w:name="_Toc310"/>
      <w:bookmarkEnd w:id="783"/>
      <w:r>
        <w:rPr>
          <w:rtl w:val="true"/>
        </w:rPr>
        <w:t>نتیجه نهایی</w:t>
      </w:r>
      <w:bookmarkEnd w:id="78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از نظر سند مقبول است؛به‌ویژه که شیخ صدوق در فقیه </w:t>
      </w:r>
      <w:r>
        <w:rPr>
          <w:rStyle w:val="FootnoteAnchor"/>
          <w:rtl w:val="true"/>
        </w:rPr>
        <w:footnoteReference w:id="872"/>
      </w:r>
      <w:r>
        <w:rPr>
          <w:rFonts w:ascii="IRNazanin" w:hAnsi="IRNazanin" w:eastAsia="IRNazanin"/>
          <w:color w:val="111111"/>
          <w:sz w:val="28"/>
          <w:sz w:val="28"/>
          <w:szCs w:val="28"/>
          <w:rtl w:val="true"/>
          <w:lang w:bidi="fa-IR"/>
        </w:rPr>
        <w:t xml:space="preserve">و شیخ در تهذیب </w:t>
      </w:r>
      <w:r>
        <w:rPr>
          <w:rStyle w:val="FootnoteAnchor"/>
          <w:rtl w:val="true"/>
        </w:rPr>
        <w:footnoteReference w:id="873"/>
      </w:r>
      <w:r>
        <w:rPr>
          <w:rFonts w:ascii="IRNazanin" w:hAnsi="IRNazanin" w:eastAsia="IRNazanin"/>
          <w:color w:val="111111"/>
          <w:sz w:val="28"/>
          <w:sz w:val="28"/>
          <w:szCs w:val="28"/>
          <w:rtl w:val="true"/>
          <w:lang w:bidi="fa-IR"/>
        </w:rPr>
        <w:t>آن را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مشکل سندی روایت،قاسم بن محمد اصفهانی است که تضعیف شده،ولی از دیدگاه برخی ضرری به اعتبار روایت وارد نمی‌کند؛چون حدیث از کتاب سلیمان 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کتاب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ذکر طریق به منظور اتصال 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آنکه،روایت از نظر سند مورد قبول برخی بوده،خدشه در سند حدیث شایسته نیست؛به‌ویژه پس از تقویت روایت با عمل اصحاب و پذیرش آن از سوی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نظر نگارنده،اگر احوال تک تک راویان حدیث را بررسی کنیم،نمی‌توان به درستی روایت اعتراف کرد،ولی می‌توان به تصحیحاتی که درخصوص کل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طریق صدوق به حفص بن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گرفته،اعتماد کرد؛به‌ویژه اگر بپذیریم ذکر سند صرفاً به دلیل اتصال سند بوده،شیخ و صدوق این روایت را از کتاب‌های معتبر نقل کرده‌اند</w:t>
      </w:r>
      <w:r>
        <w:rPr>
          <w:rFonts w:eastAsia="IRNazanin" w:cs="IRNazanin"/>
          <w:color w:val="111111"/>
          <w:sz w:val="28"/>
          <w:szCs w:val="28"/>
          <w:rtl w:val="true"/>
          <w:lang w:bidi="fa-IR"/>
        </w:rPr>
        <w:t>.</w:t>
      </w:r>
      <w:bookmarkStart w:id="785" w:name="pg5664_43544"/>
    </w:p>
    <w:p>
      <w:pPr>
        <w:pStyle w:val="Heading6"/>
        <w:numPr>
          <w:ilvl w:val="5"/>
          <w:numId w:val="1"/>
        </w:numPr>
        <w:rPr/>
      </w:pPr>
      <w:bookmarkStart w:id="786" w:name="__RefHeading___Toc3420188_581953129"/>
      <w:bookmarkStart w:id="787" w:name="_Toc311"/>
      <w:bookmarkEnd w:id="785"/>
      <w:bookmarkEnd w:id="786"/>
      <w:r>
        <w:rPr>
          <w:rtl w:val="true"/>
        </w:rPr>
        <w:t>ب</w:t>
      </w:r>
      <w:r>
        <w:rPr>
          <w:rtl w:val="true"/>
        </w:rPr>
        <w:t>)</w:t>
      </w:r>
      <w:r>
        <w:rPr>
          <w:rtl w:val="true"/>
        </w:rPr>
        <w:t>بررسی دلالت روایت</w:t>
      </w:r>
      <w:bookmarkEnd w:id="787"/>
    </w:p>
    <w:p>
      <w:pPr>
        <w:pStyle w:val="Heading6"/>
        <w:numPr>
          <w:ilvl w:val="5"/>
          <w:numId w:val="1"/>
        </w:numPr>
        <w:rPr/>
      </w:pPr>
      <w:bookmarkStart w:id="788" w:name="__RefHeading___Toc3420190_581953129"/>
      <w:bookmarkStart w:id="789" w:name="_Toc312"/>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سید شفتی معتقد است دلالت روایت بر جواز اقامه حدود در عصر غیبت،مانند درخشندگی شیئی نورانی در شبی ظلمانی،روشن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بیان که سخن امام در مقبوله عمر بن حنظله صغرای قضیه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من کان منکم قد روی حدیثنا و نظرفی حلالنا و حرامنا و عرف أحکامنا فلیرضوا به حکم،فانّی قد جعلته علیکم حاکم</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نیز سخن امام در این روایت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الحدود الی من الیه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کبرای قضیه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آنکه،منظور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حلالنا و حرامنا و عرف أحکامنا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فقیه جامع شرایط</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برخی دیگر از محققان،به‌گونه‌ای دیگر به این روایت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این است که همان‌گونه که حکم به اینکه مثلاً زید سارق،زانی یا قاتل است،از وظایف فقیه و قاضی است،همان‌گونه است اجرای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و اقامه حدود نیز به دست فقیه و قاضی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حکم به سرقت به‌تنهایی از غیرعالم شایسته نیست و عرف در این‌باره به قاضی و عالم بصیر مراجعه می‌کنند،اجرای حدود نیز ناچار باید به دست کسی باشد که شأنیت و اهلیت حکم و فتوا را دارا باشد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به عبارت دیگر،چون انتصاب فقها در مقام حاکم شرعی بدیهی است،بر اساس این روایت،باید اقامه حدود نیز به آنان واگذار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فقهای معاصر نیز در تأیید این دیدگاه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یراد بقوله من الیه الحکم،القاضی او الوالی الناصب له؟وجهان ولعل الاول اظهر فیراد ان القاضی بنفسه یجری و ینفذ ما حکم به من الحد فتأمل</w:t>
      </w:r>
      <w:r>
        <w:rPr>
          <w:rFonts w:eastAsia="IRNazanin" w:cs="IRNazanin"/>
          <w:color w:val="111111"/>
          <w:sz w:val="28"/>
          <w:szCs w:val="28"/>
          <w:rtl w:val="true"/>
          <w:lang w:bidi="fa-IR"/>
        </w:rPr>
        <w:t xml:space="preserve">». </w:t>
      </w:r>
      <w:r>
        <w:rPr>
          <w:rStyle w:val="FootnoteAnchor"/>
          <w:rtl w:val="true"/>
        </w:rPr>
        <w:footnoteReference w:id="877"/>
      </w:r>
    </w:p>
    <w:p>
      <w:pPr>
        <w:pStyle w:val="Heading6"/>
        <w:numPr>
          <w:ilvl w:val="5"/>
          <w:numId w:val="1"/>
        </w:numPr>
        <w:rPr/>
      </w:pPr>
      <w:bookmarkStart w:id="790" w:name="__RefHeading___Toc3420192_581953129"/>
      <w:bookmarkStart w:id="791" w:name="_Toc313"/>
      <w:bookmarkEnd w:id="790"/>
      <w:r>
        <w:rPr>
          <w:rtl w:val="true"/>
        </w:rPr>
        <w:t>اشکال‌های دلالی</w:t>
      </w:r>
      <w:bookmarkEnd w:id="79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اشکال بر این روایت،این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روایت،امام است،نه قاضی یا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این دیدگاه می‌توان گفت حفص که خود از</w:t>
      </w:r>
      <w:bookmarkStart w:id="792" w:name="pg5664_43545"/>
    </w:p>
    <w:p>
      <w:pPr>
        <w:pStyle w:val="BookText"/>
        <w:rPr/>
      </w:pPr>
      <w:bookmarkEnd w:id="792"/>
      <w:r>
        <w:rPr>
          <w:rFonts w:ascii="IRNazanin" w:hAnsi="IRNazanin" w:eastAsia="IRNazanin"/>
          <w:color w:val="111111"/>
          <w:sz w:val="28"/>
          <w:sz w:val="28"/>
          <w:szCs w:val="28"/>
          <w:rtl w:val="true"/>
          <w:lang w:bidi="fa-IR"/>
        </w:rPr>
        <w:t>قضات است،از امام می‌پرسد اقامه حدود از وظایف قضات است یا سلاطین؟امام که حکومت زمان و در نتیجه،قاضیان و امیران ایشان را نامشروع می‌داند،با کنایه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از آنِ کسی است که حکم به او واگذار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که مصداق واقعی و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با اینکه در تذکره الفقها یکی از دلایل قول جواز را همین روایت دانسته، </w:t>
      </w:r>
      <w:r>
        <w:rPr>
          <w:rStyle w:val="FootnoteAnchor"/>
          <w:rtl w:val="true"/>
        </w:rPr>
        <w:footnoteReference w:id="878"/>
      </w:r>
      <w:r>
        <w:rPr>
          <w:rFonts w:ascii="IRNazanin" w:hAnsi="IRNazanin" w:eastAsia="IRNazanin"/>
          <w:color w:val="111111"/>
          <w:sz w:val="28"/>
          <w:sz w:val="28"/>
          <w:szCs w:val="28"/>
          <w:rtl w:val="true"/>
          <w:lang w:bidi="fa-IR"/>
        </w:rPr>
        <w:t xml:space="preserve">در منتهی المطلب </w:t>
      </w:r>
      <w:r>
        <w:rPr>
          <w:rStyle w:val="FootnoteAnchor"/>
          <w:rtl w:val="true"/>
        </w:rPr>
        <w:footnoteReference w:id="879"/>
      </w:r>
      <w:r>
        <w:rPr>
          <w:rFonts w:ascii="IRNazanin" w:hAnsi="IRNazanin" w:eastAsia="IRNazanin"/>
          <w:color w:val="111111"/>
          <w:sz w:val="28"/>
          <w:sz w:val="28"/>
          <w:szCs w:val="28"/>
          <w:rtl w:val="true"/>
          <w:lang w:bidi="fa-IR"/>
        </w:rPr>
        <w:t>در اصل مسئله و این روایت توقف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اردبیلی درباره توقف علامه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وجه توقف علاوه بر عدم صحت،این باشد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است؛همچنان‌که متبادر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احتمال تقیه وجود دارد؛چون امام به‌طور صریح پاسخ نداده است</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سید احمد خوانساری نیز تمسک به این روایت را مشکل دانسته،معتقد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قاضی از طرف امام حاکم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صدق نمی‌کند و حکم به‌دست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لزومی ندارد قطعاً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امام باشد،بلکه صرف احتمال خصوصیت،استدلال به روایت را ناکارآمد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احتمال دارد این روایت در مقام تقیه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پژوهشگران نیز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حفص بن غیاث نیز با قطع‌نظر از سند،از حیث دلالت ادعا را به اثبات نمی‌رساند؛به جهت اینکه کسی که در مرافعات حاکم است،فقط حق حکم در مرافعات را دارد،نه حکم به نحو مطلق،که از شئون معصومین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اخبار رجم و تازیانه،تعبیر به امام شده و ظاهر این است که رجم و تازیانه تنها به امر امام اجرا می‌شود</w:t>
      </w:r>
      <w:r>
        <w:rPr>
          <w:rFonts w:eastAsia="IRNazanin" w:cs="IRNazanin"/>
          <w:color w:val="111111"/>
          <w:sz w:val="28"/>
          <w:szCs w:val="28"/>
          <w:rtl w:val="true"/>
          <w:lang w:bidi="fa-IR"/>
        </w:rPr>
        <w:t xml:space="preserve">. </w:t>
      </w:r>
      <w:r>
        <w:rPr>
          <w:rStyle w:val="FootnoteAnchor"/>
          <w:rtl w:val="true"/>
        </w:rPr>
        <w:footnoteReference w:id="881"/>
      </w:r>
    </w:p>
    <w:p>
      <w:pPr>
        <w:pStyle w:val="Heading6"/>
        <w:numPr>
          <w:ilvl w:val="5"/>
          <w:numId w:val="1"/>
        </w:numPr>
        <w:rPr/>
      </w:pPr>
      <w:bookmarkStart w:id="793" w:name="__RefHeading___Toc3420194_581953129"/>
      <w:bookmarkStart w:id="794" w:name="_Toc314"/>
      <w:bookmarkEnd w:id="793"/>
      <w:r>
        <w:rPr>
          <w:rtl w:val="true"/>
        </w:rPr>
        <w:t>بررسی اشکال‌ها</w:t>
      </w:r>
      <w:bookmarkEnd w:id="79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همه این گفته‌ها در این نکته خلاصه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w:t>
      </w:r>
      <w:bookmarkStart w:id="795" w:name="pg5664_43546"/>
    </w:p>
    <w:p>
      <w:pPr>
        <w:pStyle w:val="BookText"/>
        <w:rPr/>
      </w:pPr>
      <w:bookmarkEnd w:id="795"/>
      <w:r>
        <w:rPr>
          <w:rFonts w:ascii="IRNazanin" w:hAnsi="IRNazanin" w:eastAsia="IRNazanin"/>
          <w:color w:val="111111"/>
          <w:sz w:val="28"/>
          <w:sz w:val="28"/>
          <w:szCs w:val="28"/>
          <w:rtl w:val="true"/>
          <w:lang w:bidi="fa-IR"/>
        </w:rPr>
        <w:t>مطلق بر فقیه جامع شرایط صدق نمی‌کند،در حالی که در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خواهم کرد که فقها از سوی ائمه حاکم علی الاطلاق معرفی شده‌اند و در نتیجه،اشکال منتفی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اشکال‌ها نیز به همین صورت بنیان استواری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احتمال،با اصل عدم تقیه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اختصاص ولایت فقها به باب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عمومیت حکم در آن،این احتمال دفع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به‌علاوه،اگر ثابت شود اقامه حدود از وظایف قضات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یکی از طرق استدلال به روایت مدعی این مسئله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بی‌مورد خواهد بود؛چون به هر حال بی‌گمان ولایت فقها بر قضا مورد اتفاق فقهاست و نگارنده تا به حال فقیهی را ندیده که میان قضاوت در منازعات و امور کیفری فرق گذاشته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این،در مباحث آتی،همراه با بررسی معتبره ابی‌خدیجه با تحقیق بیشتری به اقامه حدود از سوی قضات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واژه امام در اخبار رجم و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رفتن واژه امام در اخبار رجم و تازیانه نیز پس از اثبات نیابت عامه فقها از امام معصوم،نمی‌تواند دلیل بر اختصاص اقامه حدود به ائمه باشد؛زیرا همان‌گونه که در مباحث پیشین یادآور شدیم،ادله ولایت فقیه حاکم بر این روایات هستند</w:t>
      </w:r>
      <w:r>
        <w:rPr>
          <w:rFonts w:eastAsia="IRNazanin" w:cs="IRNazanin"/>
          <w:color w:val="111111"/>
          <w:sz w:val="28"/>
          <w:szCs w:val="28"/>
          <w:rtl w:val="true"/>
          <w:lang w:bidi="fa-IR"/>
        </w:rPr>
        <w:t>.</w:t>
      </w:r>
    </w:p>
    <w:p>
      <w:pPr>
        <w:pStyle w:val="Heading5"/>
        <w:numPr>
          <w:ilvl w:val="4"/>
          <w:numId w:val="1"/>
        </w:numPr>
        <w:rPr/>
      </w:pPr>
      <w:bookmarkStart w:id="796" w:name="__RefHeading___Toc3420196_581953129"/>
      <w:bookmarkStart w:id="797" w:name="_Toc315"/>
      <w:bookmarkEnd w:id="796"/>
      <w:r>
        <w:rPr/>
        <w:t>3</w:t>
      </w:r>
      <w:r>
        <w:rPr>
          <w:rtl w:val="true"/>
        </w:rPr>
        <w:t>-</w:t>
      </w:r>
      <w:r>
        <w:rPr>
          <w:rtl w:val="true"/>
        </w:rPr>
        <w:t>مقبوله عمر بن حنظله</w:t>
      </w:r>
      <w:bookmarkEnd w:id="797"/>
    </w:p>
    <w:p>
      <w:pPr>
        <w:pStyle w:val="Heading6"/>
        <w:numPr>
          <w:ilvl w:val="5"/>
          <w:numId w:val="1"/>
        </w:numPr>
        <w:rPr/>
      </w:pPr>
      <w:bookmarkStart w:id="798" w:name="__RefHeading___Toc3420198_581953129"/>
      <w:bookmarkStart w:id="799" w:name="_Toc316"/>
      <w:bookmarkEnd w:id="798"/>
      <w:r>
        <w:rPr>
          <w:rtl w:val="true"/>
        </w:rPr>
        <w:t>اشاره</w:t>
      </w:r>
      <w:bookmarkEnd w:id="79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دلایلی که بسیاری از فقها همچون علامه حلی، </w:t>
      </w:r>
      <w:r>
        <w:rPr>
          <w:rStyle w:val="FootnoteAnchor"/>
          <w:rtl w:val="true"/>
        </w:rPr>
        <w:footnoteReference w:id="882"/>
      </w:r>
      <w:r>
        <w:rPr>
          <w:rFonts w:ascii="IRNazanin" w:hAnsi="IRNazanin" w:eastAsia="IRNazanin"/>
          <w:color w:val="111111"/>
          <w:sz w:val="28"/>
          <w:sz w:val="28"/>
          <w:szCs w:val="28"/>
          <w:rtl w:val="true"/>
          <w:lang w:bidi="fa-IR"/>
        </w:rPr>
        <w:t xml:space="preserve">شهید ثانی، </w:t>
      </w:r>
      <w:r>
        <w:rPr>
          <w:rStyle w:val="FootnoteAnchor"/>
          <w:rtl w:val="true"/>
        </w:rPr>
        <w:footnoteReference w:id="883"/>
      </w:r>
      <w:r>
        <w:rPr>
          <w:rFonts w:ascii="IRNazanin" w:hAnsi="IRNazanin" w:eastAsia="IRNazanin"/>
          <w:color w:val="111111"/>
          <w:sz w:val="28"/>
          <w:sz w:val="28"/>
          <w:szCs w:val="28"/>
          <w:rtl w:val="true"/>
          <w:lang w:bidi="fa-IR"/>
        </w:rPr>
        <w:t xml:space="preserve">محقق اردبیلی، </w:t>
      </w:r>
      <w:r>
        <w:rPr>
          <w:rStyle w:val="FootnoteAnchor"/>
          <w:rtl w:val="true"/>
        </w:rPr>
        <w:footnoteReference w:id="884"/>
      </w:r>
      <w:r>
        <w:rPr>
          <w:rFonts w:ascii="IRNazanin" w:hAnsi="IRNazanin" w:eastAsia="IRNazanin"/>
          <w:color w:val="111111"/>
          <w:sz w:val="28"/>
          <w:sz w:val="28"/>
          <w:szCs w:val="28"/>
          <w:rtl w:val="true"/>
          <w:lang w:bidi="fa-IR"/>
        </w:rPr>
        <w:t xml:space="preserve">محقق سبزواری، </w:t>
      </w:r>
      <w:r>
        <w:rPr>
          <w:rStyle w:val="FootnoteAnchor"/>
          <w:rtl w:val="true"/>
        </w:rPr>
        <w:footnoteReference w:id="885"/>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886"/>
      </w:r>
      <w:r>
        <w:rPr>
          <w:rFonts w:ascii="IRNazanin" w:hAnsi="IRNazanin" w:eastAsia="IRNazanin"/>
          <w:color w:val="111111"/>
          <w:sz w:val="28"/>
          <w:sz w:val="28"/>
          <w:szCs w:val="28"/>
          <w:rtl w:val="true"/>
          <w:lang w:bidi="fa-IR"/>
        </w:rPr>
        <w:t xml:space="preserve">و صاحب فقه الصادق </w:t>
      </w:r>
      <w:r>
        <w:rPr>
          <w:rStyle w:val="FootnoteAnchor"/>
          <w:rtl w:val="true"/>
        </w:rPr>
        <w:footnoteReference w:id="887"/>
      </w:r>
      <w:r>
        <w:rPr>
          <w:rFonts w:ascii="IRNazanin" w:hAnsi="IRNazanin" w:eastAsia="IRNazanin"/>
          <w:color w:val="111111"/>
          <w:sz w:val="28"/>
          <w:sz w:val="28"/>
          <w:szCs w:val="28"/>
          <w:rtl w:val="true"/>
          <w:lang w:bidi="fa-IR"/>
        </w:rPr>
        <w:t>برای جواز اقامه حدود بدان استناد کرده‌اند،مقبوله عمر بن حنظله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همچنین مورد استناد فقهای فراوانی در اثبات نیابت عامه فقیه قرار گرفته است؛از جمله محقق</w:t>
      </w:r>
    </w:p>
    <w:p>
      <w:pPr>
        <w:pStyle w:val="BookText"/>
        <w:rPr/>
      </w:pPr>
      <w:r>
        <w:rPr>
          <w:rFonts w:ascii="IRNazanin" w:hAnsi="IRNazanin" w:eastAsia="IRNazanin"/>
          <w:color w:val="111111"/>
          <w:sz w:val="28"/>
          <w:sz w:val="28"/>
          <w:szCs w:val="28"/>
          <w:rtl w:val="true"/>
          <w:lang w:bidi="fa-IR"/>
        </w:rPr>
        <w:t xml:space="preserve">نراقی </w:t>
      </w:r>
      <w:r>
        <w:rPr>
          <w:rStyle w:val="FootnoteAnchor"/>
          <w:rtl w:val="true"/>
        </w:rPr>
        <w:footnoteReference w:id="888"/>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889"/>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890"/>
      </w:r>
      <w:r>
        <w:rPr>
          <w:rFonts w:ascii="IRNazanin" w:hAnsi="IRNazanin" w:eastAsia="IRNazanin"/>
          <w:color w:val="111111"/>
          <w:sz w:val="28"/>
          <w:sz w:val="28"/>
          <w:szCs w:val="28"/>
          <w:rtl w:val="true"/>
          <w:lang w:bidi="fa-IR"/>
        </w:rPr>
        <w:t xml:space="preserve">،بحرالعلوم </w:t>
      </w:r>
      <w:r>
        <w:rPr>
          <w:rStyle w:val="FootnoteAnchor"/>
          <w:rtl w:val="true"/>
        </w:rPr>
        <w:footnoteReference w:id="891"/>
      </w:r>
      <w:r>
        <w:rPr>
          <w:rFonts w:ascii="IRNazanin" w:hAnsi="IRNazanin" w:eastAsia="IRNazanin"/>
          <w:color w:val="111111"/>
          <w:sz w:val="28"/>
          <w:sz w:val="28"/>
          <w:szCs w:val="28"/>
          <w:rtl w:val="true"/>
          <w:lang w:bidi="fa-IR"/>
        </w:rPr>
        <w:t xml:space="preserve">،میرزای نائینی </w:t>
      </w:r>
      <w:r>
        <w:rPr>
          <w:rStyle w:val="FootnoteAnchor"/>
          <w:rtl w:val="true"/>
        </w:rPr>
        <w:footnoteReference w:id="892"/>
      </w:r>
      <w:r>
        <w:rPr>
          <w:rFonts w:ascii="IRNazanin" w:hAnsi="IRNazanin" w:eastAsia="IRNazanin"/>
          <w:color w:val="111111"/>
          <w:sz w:val="28"/>
          <w:sz w:val="28"/>
          <w:szCs w:val="28"/>
          <w:rtl w:val="true"/>
          <w:lang w:bidi="fa-IR"/>
        </w:rPr>
        <w:t xml:space="preserve">،سبزواری </w:t>
      </w:r>
      <w:r>
        <w:rPr>
          <w:rStyle w:val="FootnoteAnchor"/>
          <w:rtl w:val="true"/>
        </w:rPr>
        <w:footnoteReference w:id="893"/>
      </w:r>
      <w:r>
        <w:rPr>
          <w:rFonts w:ascii="IRNazanin" w:hAnsi="IRNazanin" w:eastAsia="IRNazanin"/>
          <w:color w:val="111111"/>
          <w:sz w:val="28"/>
          <w:sz w:val="28"/>
          <w:szCs w:val="28"/>
          <w:rtl w:val="true"/>
          <w:lang w:bidi="fa-IR"/>
        </w:rPr>
        <w:t xml:space="preserve">،امام خمینی </w:t>
      </w:r>
      <w:r>
        <w:rPr>
          <w:rStyle w:val="FootnoteAnchor"/>
          <w:rtl w:val="true"/>
        </w:rPr>
        <w:footnoteReference w:id="894"/>
      </w:r>
      <w:r>
        <w:rPr>
          <w:rFonts w:ascii="IRNazanin" w:hAnsi="IRNazanin" w:eastAsia="IRNazanin"/>
          <w:color w:val="111111"/>
          <w:sz w:val="28"/>
          <w:sz w:val="28"/>
          <w:szCs w:val="28"/>
          <w:rtl w:val="true"/>
          <w:lang w:bidi="fa-IR"/>
        </w:rPr>
        <w:t>و آیت‌الله گلپایگانی</w:t>
      </w:r>
      <w:r>
        <w:rPr>
          <w:rFonts w:eastAsia="IRNazanin" w:cs="IRNazanin"/>
          <w:color w:val="111111"/>
          <w:sz w:val="28"/>
          <w:szCs w:val="28"/>
          <w:rtl w:val="true"/>
          <w:lang w:bidi="fa-IR"/>
        </w:rPr>
        <w:t xml:space="preserve">. </w:t>
      </w:r>
      <w:r>
        <w:rPr>
          <w:rStyle w:val="FootnoteAnchor"/>
          <w:rtl w:val="true"/>
        </w:rPr>
        <w:footnoteReference w:id="89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عمر بن حنظله به روایت کلینی بدین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سند خود از عمر بن حنظله روایت می‌کند که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دو مرد از خودمان که در دین و میراث،نزاعی دارند و آن‌گاه به سلطان یا قاضیان برای حل آن حضور می‌یابند،آیا این عمل حلال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موارد حق یا باطل به آنها مراجعه کند،در واقع از طاغوت مطالبه قضاوت کرده و آنچه طغیانگر به آن حکم کرده باشد،به باطل اخذ نموده است؛اگر چه برای او حق ثابت باشد؛زیرا به حکم طاغوت آن را گرفته است و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کافر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به طاغوت محاکمه برند،در صورتی‌که مأمور بودند به او کافر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کنند؟امام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از شما که حدیث ما را روایت می‌کنند و در حلال و حرام ما دقت می‌نمایند و احکام ما را می‌دانند،نظر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او را در مقام حاکم پذیرا باشند؛زیرا من او را برای شما حاکم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به حکم ما حکم کند و از او پذیرفته نشود،حکم خدا کوچک شمرده شده و ما را رد کرده،و آن‌که ما را رد کند،خدا را رد کرده است و این به اندازه شرک به خداوند است</w:t>
      </w:r>
      <w:r>
        <w:rPr>
          <w:rFonts w:eastAsia="IRNazanin" w:cs="IRNazanin"/>
          <w:color w:val="111111"/>
          <w:sz w:val="28"/>
          <w:szCs w:val="28"/>
          <w:rtl w:val="true"/>
          <w:lang w:bidi="fa-IR"/>
        </w:rPr>
        <w:t xml:space="preserve">. </w:t>
      </w:r>
      <w:r>
        <w:rPr>
          <w:rStyle w:val="FootnoteAnchor"/>
          <w:rtl w:val="true"/>
        </w:rPr>
        <w:footnoteReference w:id="896"/>
      </w:r>
      <w:bookmarkStart w:id="800" w:name="pg5664_43548"/>
    </w:p>
    <w:p>
      <w:pPr>
        <w:pStyle w:val="Heading6"/>
        <w:numPr>
          <w:ilvl w:val="5"/>
          <w:numId w:val="1"/>
        </w:numPr>
        <w:rPr/>
      </w:pPr>
      <w:bookmarkStart w:id="801" w:name="__RefHeading___Toc3420200_581953129"/>
      <w:bookmarkStart w:id="802" w:name="_Toc317"/>
      <w:bookmarkEnd w:id="800"/>
      <w:bookmarkEnd w:id="801"/>
      <w:r>
        <w:rPr>
          <w:rtl w:val="true"/>
        </w:rPr>
        <w:t>الف</w:t>
      </w:r>
      <w:r>
        <w:rPr>
          <w:rtl w:val="true"/>
        </w:rPr>
        <w:t>)</w:t>
      </w:r>
      <w:r>
        <w:rPr>
          <w:rtl w:val="true"/>
        </w:rPr>
        <w:t>بررسی سند روایت</w:t>
      </w:r>
      <w:bookmarkEnd w:id="802"/>
    </w:p>
    <w:p>
      <w:pPr>
        <w:pStyle w:val="Heading6"/>
        <w:numPr>
          <w:ilvl w:val="5"/>
          <w:numId w:val="1"/>
        </w:numPr>
        <w:rPr/>
      </w:pPr>
      <w:bookmarkStart w:id="803" w:name="__RefHeading___Toc3420202_581953129"/>
      <w:bookmarkStart w:id="804" w:name="_Toc318"/>
      <w:bookmarkEnd w:id="803"/>
      <w:r>
        <w:rPr>
          <w:rtl w:val="true"/>
        </w:rPr>
        <w:t>اشاره</w:t>
      </w:r>
      <w:bookmarkEnd w:id="804"/>
    </w:p>
    <w:p>
      <w:pPr>
        <w:pStyle w:val="BookText"/>
        <w:rPr/>
      </w:pPr>
      <w:r>
        <w:rPr>
          <w:rFonts w:ascii="IRNazanin" w:hAnsi="IRNazanin" w:eastAsia="IRNazanin"/>
          <w:color w:val="111111"/>
          <w:sz w:val="28"/>
          <w:sz w:val="28"/>
          <w:szCs w:val="28"/>
          <w:rtl w:val="true"/>
          <w:lang w:bidi="fa-IR"/>
        </w:rPr>
        <w:t>به این حدیث،از این نظر،مقبوله می‌گویند که مورد قبول و پذیرش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است؛زیرا جملگی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حدیث استناد و استدلال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در من لایحضر </w:t>
      </w:r>
      <w:r>
        <w:rPr>
          <w:rStyle w:val="FootnoteAnchor"/>
          <w:rtl w:val="true"/>
        </w:rPr>
        <w:footnoteReference w:id="897"/>
      </w:r>
      <w:r>
        <w:rPr>
          <w:rFonts w:ascii="IRNazanin" w:hAnsi="IRNazanin" w:eastAsia="IRNazanin"/>
          <w:color w:val="111111"/>
          <w:sz w:val="28"/>
          <w:sz w:val="28"/>
          <w:szCs w:val="28"/>
          <w:rtl w:val="true"/>
          <w:lang w:bidi="fa-IR"/>
        </w:rPr>
        <w:t xml:space="preserve">،کافی </w:t>
      </w:r>
      <w:r>
        <w:rPr>
          <w:rStyle w:val="FootnoteAnchor"/>
          <w:rtl w:val="true"/>
        </w:rPr>
        <w:footnoteReference w:id="898"/>
      </w:r>
      <w:r>
        <w:rPr>
          <w:rFonts w:ascii="IRNazanin" w:hAnsi="IRNazanin" w:eastAsia="IRNazanin"/>
          <w:color w:val="111111"/>
          <w:sz w:val="28"/>
          <w:sz w:val="28"/>
          <w:szCs w:val="28"/>
          <w:rtl w:val="true"/>
          <w:lang w:bidi="fa-IR"/>
        </w:rPr>
        <w:t xml:space="preserve">و تهذیب </w:t>
      </w:r>
      <w:r>
        <w:rPr>
          <w:rStyle w:val="FootnoteAnchor"/>
          <w:rtl w:val="true"/>
        </w:rPr>
        <w:footnoteReference w:id="89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غفاری در حاشیه من لایحضر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بدین معناست که مضمون روایت فی‌الجمله مورد قبول است،نه اینکه حدیث در همه جزئیاتش محکوم به صحت باشد</w:t>
      </w:r>
      <w:r>
        <w:rPr>
          <w:rFonts w:eastAsia="IRNazanin" w:cs="IRNazanin"/>
          <w:color w:val="111111"/>
          <w:sz w:val="28"/>
          <w:szCs w:val="28"/>
          <w:rtl w:val="true"/>
          <w:lang w:bidi="fa-IR"/>
        </w:rPr>
        <w:t xml:space="preserve">». </w:t>
      </w:r>
      <w:r>
        <w:rPr>
          <w:rStyle w:val="FootnoteAnchor"/>
          <w:rtl w:val="true"/>
        </w:rPr>
        <w:footnoteReference w:id="90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طریق شیخ صدوق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 لا یحضره الفقیه اشکالی وارد نیست،مگر از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وی در کتاب‌های رجالی مدح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رجال نجاشی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الوصایا،کتاب الطلاق،کتاب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نشان می‌دهد وی از مصنفین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بتوان طریق صدوق را با مراجعه به طریق 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احمد بن ادریس</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w:t>
      </w:r>
      <w:bookmarkStart w:id="805" w:name="pg5664_43549"/>
    </w:p>
    <w:p>
      <w:pPr>
        <w:pStyle w:val="BookText"/>
        <w:rPr/>
      </w:pPr>
      <w:bookmarkEnd w:id="805"/>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حنظلة</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قرار گرفته‌اند که هر کدام به نوعی توثیق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هر حال طریق شیخ طوسی در تهذیب و کلینی در کافی بهتر است و اختلافی در سند حدیث ندارند؛جز آنکه در نقل کلینی محمد بن یحیی از محمد بن حسین،و در نقل شیخ طوسی از محمد بن الحسن بن شمون نقل کرده است</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امّا چون بقیه رجال سند یکسان است،بحث در یکی از اسناد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نقل کافی را به دلیل علوّ سند برگزینیم و از آن بحث می‌کنییم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عن محمد بن یحیی،عن محمّد بن الحسین،عن محمد بن عیسی،عن صفوان بن یحیی،عن داوود بن الحصین،عن عمر بن حنظلة</w:t>
      </w:r>
      <w:r>
        <w:rPr>
          <w:rFonts w:eastAsia="IRNazanin" w:cs="IRNazanin"/>
          <w:color w:val="111111"/>
          <w:sz w:val="28"/>
          <w:szCs w:val="28"/>
          <w:rtl w:val="true"/>
          <w:lang w:bidi="fa-IR"/>
        </w:rPr>
        <w:t>».</w:t>
      </w:r>
    </w:p>
    <w:p>
      <w:pPr>
        <w:pStyle w:val="Heading6"/>
        <w:numPr>
          <w:ilvl w:val="5"/>
          <w:numId w:val="1"/>
        </w:numPr>
        <w:rPr/>
      </w:pPr>
      <w:bookmarkStart w:id="806" w:name="__RefHeading___Toc3420204_581953129"/>
      <w:bookmarkStart w:id="807" w:name="_Toc319"/>
      <w:bookmarkEnd w:id="806"/>
      <w:r>
        <w:rPr>
          <w:rtl w:val="true"/>
        </w:rPr>
        <w:t>محمد بن یحیی</w:t>
      </w:r>
      <w:bookmarkEnd w:id="807"/>
    </w:p>
    <w:p>
      <w:pPr>
        <w:pStyle w:val="BookText"/>
        <w:rPr/>
      </w:pPr>
      <w:r>
        <w:rPr>
          <w:rFonts w:ascii="IRNazanin" w:hAnsi="IRNazanin" w:eastAsia="IRNazanin"/>
          <w:color w:val="111111"/>
          <w:sz w:val="28"/>
          <w:sz w:val="28"/>
          <w:szCs w:val="28"/>
          <w:rtl w:val="true"/>
          <w:lang w:bidi="fa-IR"/>
        </w:rPr>
        <w:t>محمد بن یحیی،همان محمد بن یحیی عطار است؛فردی که در بین علمای رجال در وثاقتش اختلافی نیست</w:t>
      </w:r>
      <w:r>
        <w:rPr>
          <w:rFonts w:eastAsia="IRNazanin" w:cs="IRNazanin"/>
          <w:color w:val="111111"/>
          <w:sz w:val="28"/>
          <w:szCs w:val="28"/>
          <w:rtl w:val="true"/>
          <w:lang w:bidi="fa-IR"/>
        </w:rPr>
        <w:t xml:space="preserve">. </w:t>
      </w:r>
      <w:r>
        <w:rPr>
          <w:rStyle w:val="FootnoteAnchor"/>
          <w:rtl w:val="true"/>
        </w:rPr>
        <w:footnoteReference w:id="905"/>
      </w:r>
    </w:p>
    <w:p>
      <w:pPr>
        <w:pStyle w:val="Heading6"/>
        <w:numPr>
          <w:ilvl w:val="5"/>
          <w:numId w:val="1"/>
        </w:numPr>
        <w:rPr/>
      </w:pPr>
      <w:bookmarkStart w:id="808" w:name="__RefHeading___Toc3420206_581953129"/>
      <w:bookmarkStart w:id="809" w:name="_Toc320"/>
      <w:bookmarkEnd w:id="808"/>
      <w:r>
        <w:rPr>
          <w:rtl w:val="true"/>
        </w:rPr>
        <w:t>محمد بن الحسین</w:t>
      </w:r>
      <w:bookmarkEnd w:id="80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الحسین بن ابی الخطاب کسی است که نجاشی،شیخ طوسی،علامه حلی،ابن‌داوود حلی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توثیق کرده‌اند</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شیخ الطائفه در رجال خویش وی را از اصحاب امام جواد علیه السلام آورده </w:t>
      </w:r>
      <w:r>
        <w:rPr>
          <w:rStyle w:val="FootnoteAnchor"/>
          <w:rtl w:val="true"/>
        </w:rPr>
        <w:footnoteReference w:id="907"/>
      </w:r>
      <w:r>
        <w:rPr>
          <w:rFonts w:ascii="IRNazanin" w:hAnsi="IRNazanin" w:eastAsia="IRNazanin"/>
          <w:color w:val="111111"/>
          <w:sz w:val="28"/>
          <w:sz w:val="28"/>
          <w:szCs w:val="28"/>
          <w:rtl w:val="true"/>
          <w:lang w:bidi="fa-IR"/>
        </w:rPr>
        <w:t xml:space="preserve">و نجاشی در رجال خود وفات او را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Style w:val="FootnoteAnchor"/>
          <w:rtl w:val="true"/>
        </w:rPr>
        <w:footnoteReference w:id="908"/>
      </w:r>
      <w:bookmarkStart w:id="810" w:name="pg5664_43550"/>
    </w:p>
    <w:p>
      <w:pPr>
        <w:pStyle w:val="Heading6"/>
        <w:numPr>
          <w:ilvl w:val="5"/>
          <w:numId w:val="1"/>
        </w:numPr>
        <w:rPr/>
      </w:pPr>
      <w:bookmarkStart w:id="811" w:name="__RefHeading___Toc3420208_581953129"/>
      <w:bookmarkStart w:id="812" w:name="_Toc321"/>
      <w:bookmarkEnd w:id="810"/>
      <w:bookmarkEnd w:id="811"/>
      <w:r>
        <w:rPr>
          <w:rtl w:val="true"/>
        </w:rPr>
        <w:t>صفوان</w:t>
      </w:r>
      <w:bookmarkEnd w:id="812"/>
    </w:p>
    <w:p>
      <w:pPr>
        <w:pStyle w:val="BookText"/>
        <w:rPr/>
      </w:pPr>
      <w:r>
        <w:rPr>
          <w:rFonts w:ascii="IRNazanin" w:hAnsi="IRNazanin" w:eastAsia="IRNazanin"/>
          <w:color w:val="111111"/>
          <w:sz w:val="28"/>
          <w:sz w:val="28"/>
          <w:szCs w:val="28"/>
          <w:rtl w:val="true"/>
          <w:lang w:bidi="fa-IR"/>
        </w:rPr>
        <w:t xml:space="preserve">صفوان هم،گر چه در سند تهذیب و یک جای کافی </w:t>
      </w:r>
      <w:r>
        <w:rPr>
          <w:rStyle w:val="FootnoteAnchor"/>
          <w:rtl w:val="true"/>
        </w:rPr>
        <w:footnoteReference w:id="909"/>
      </w:r>
      <w:r>
        <w:rPr>
          <w:rFonts w:ascii="IRNazanin" w:hAnsi="IRNazanin" w:eastAsia="IRNazanin"/>
          <w:color w:val="111111"/>
          <w:sz w:val="28"/>
          <w:sz w:val="28"/>
          <w:szCs w:val="28"/>
          <w:rtl w:val="true"/>
          <w:lang w:bidi="fa-IR"/>
        </w:rPr>
        <w:t>مطلق آمده،ولی من لایحضر و کافی در جایی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سند آورده‌اند </w:t>
      </w:r>
      <w:r>
        <w:rPr>
          <w:rStyle w:val="FootnoteAnchor"/>
          <w:rtl w:val="true"/>
        </w:rPr>
        <w:footnoteReference w:id="910"/>
      </w:r>
      <w:r>
        <w:rPr>
          <w:rFonts w:ascii="IRNazanin" w:hAnsi="IRNazanin" w:eastAsia="IRNazanin"/>
          <w:color w:val="111111"/>
          <w:sz w:val="28"/>
          <w:sz w:val="28"/>
          <w:szCs w:val="28"/>
          <w:rtl w:val="true"/>
          <w:lang w:bidi="fa-IR"/>
        </w:rPr>
        <w:t>که از اصحاب اجماع و مشایخ الثقات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ترتیب،به‌یقین مراد از صفوان،صفوان بن یحیی است که از اصحاب اجماع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ذکر را قرینه برای تعیین ندانیم،ناچار چون صفوان میان صفوان بن یحیی و صفوان بن مهران،مشترک است باید هر دو را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هر دو نفر آمده،نشان می‌دهد هر دو در وثاقت و جلالت شأن مشترک‌اند،ولی چون صفوان بن یحیی از اصحاب اجماع است،اوثق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در سند حدیث از این نظر بحثی نیست</w:t>
      </w:r>
      <w:r>
        <w:rPr>
          <w:rFonts w:eastAsia="IRNazanin" w:cs="IRNazanin"/>
          <w:color w:val="111111"/>
          <w:sz w:val="28"/>
          <w:szCs w:val="28"/>
          <w:rtl w:val="true"/>
          <w:lang w:bidi="fa-IR"/>
        </w:rPr>
        <w:t xml:space="preserve">. </w:t>
      </w:r>
      <w:r>
        <w:rPr>
          <w:rStyle w:val="FootnoteAnchor"/>
          <w:rtl w:val="true"/>
        </w:rPr>
        <w:footnoteReference w:id="911"/>
      </w:r>
    </w:p>
    <w:p>
      <w:pPr>
        <w:pStyle w:val="Heading6"/>
        <w:numPr>
          <w:ilvl w:val="5"/>
          <w:numId w:val="1"/>
        </w:numPr>
        <w:rPr/>
      </w:pPr>
      <w:bookmarkStart w:id="813" w:name="__RefHeading___Toc3420210_581953129"/>
      <w:bookmarkStart w:id="814" w:name="_Toc322"/>
      <w:bookmarkEnd w:id="813"/>
      <w:r>
        <w:rPr>
          <w:rtl w:val="true"/>
        </w:rPr>
        <w:t>محمد بن عیسی</w:t>
      </w:r>
      <w:bookmarkEnd w:id="814"/>
    </w:p>
    <w:p>
      <w:pPr>
        <w:pStyle w:val="BookText"/>
        <w:rPr/>
      </w:pPr>
      <w:r>
        <w:rPr>
          <w:rFonts w:ascii="IRNazanin" w:hAnsi="IRNazanin" w:eastAsia="IRNazanin"/>
          <w:color w:val="111111"/>
          <w:sz w:val="28"/>
          <w:sz w:val="28"/>
          <w:szCs w:val="28"/>
          <w:rtl w:val="true"/>
          <w:lang w:bidi="fa-IR"/>
        </w:rPr>
        <w:t>محمد بن عیسی،میان محمد بن عیسی اشعری از اصحاب امام رضا و امام جواد علیه السلام،و محمد بن عیسی یقطینی از اصحاب امام رضا،امام جواد،امام هادی و امام عسکری علیهم السلام،مشترک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حال،محمد بن عیسی اشعری فردی است که گرچه از سوی نجاشی و علما بر وثاقتش تصریح نشده،درباره وی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شیخ القمّیین و وجه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عبارت او را از توثیق بی‌نیاز می‌کند؛در عین حال شهید ثانی و علامه مجلسی وی را به صراحت توثیق کرده‌اند</w:t>
      </w:r>
      <w:r>
        <w:rPr>
          <w:rFonts w:eastAsia="IRNazanin" w:cs="IRNazanin"/>
          <w:color w:val="111111"/>
          <w:sz w:val="28"/>
          <w:szCs w:val="28"/>
          <w:rtl w:val="true"/>
          <w:lang w:bidi="fa-IR"/>
        </w:rPr>
        <w:t xml:space="preserve">. </w:t>
      </w:r>
      <w:r>
        <w:rPr>
          <w:rStyle w:val="FootnoteAnchor"/>
          <w:rtl w:val="true"/>
        </w:rPr>
        <w:footnoteReference w:id="91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مقابل،در خصوص محمد بن عیسی یقطینی در میان علما اختلاف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و استادش ابن‌ولید </w:t>
      </w:r>
      <w:r>
        <w:rPr>
          <w:rStyle w:val="FootnoteAnchor"/>
          <w:rtl w:val="true"/>
        </w:rPr>
        <w:footnoteReference w:id="913"/>
      </w:r>
      <w:r>
        <w:rPr>
          <w:rFonts w:ascii="IRNazanin" w:hAnsi="IRNazanin" w:eastAsia="IRNazanin"/>
          <w:color w:val="111111"/>
          <w:sz w:val="28"/>
          <w:sz w:val="28"/>
          <w:szCs w:val="28"/>
          <w:rtl w:val="true"/>
          <w:lang w:bidi="fa-IR"/>
        </w:rPr>
        <w:t xml:space="preserve">،شیخ طوسی </w:t>
      </w:r>
      <w:r>
        <w:rPr>
          <w:rStyle w:val="FootnoteAnchor"/>
          <w:rtl w:val="true"/>
        </w:rPr>
        <w:footnoteReference w:id="914"/>
      </w:r>
      <w:r>
        <w:rPr>
          <w:rFonts w:ascii="IRNazanin" w:hAnsi="IRNazanin" w:eastAsia="IRNazanin"/>
          <w:color w:val="111111"/>
          <w:sz w:val="28"/>
          <w:sz w:val="28"/>
          <w:szCs w:val="28"/>
          <w:rtl w:val="true"/>
          <w:lang w:bidi="fa-IR"/>
        </w:rPr>
        <w:t xml:space="preserve">،محقق حلی </w:t>
      </w:r>
      <w:r>
        <w:rPr>
          <w:rStyle w:val="FootnoteAnchor"/>
          <w:rtl w:val="true"/>
        </w:rPr>
        <w:footnoteReference w:id="915"/>
      </w:r>
      <w:r>
        <w:rPr>
          <w:rFonts w:ascii="IRNazanin" w:hAnsi="IRNazanin" w:eastAsia="IRNazanin"/>
          <w:color w:val="111111"/>
          <w:sz w:val="28"/>
          <w:sz w:val="28"/>
          <w:szCs w:val="28"/>
          <w:rtl w:val="true"/>
          <w:lang w:bidi="fa-IR"/>
        </w:rPr>
        <w:t xml:space="preserve">و شهید ثانی </w:t>
      </w:r>
      <w:r>
        <w:rPr>
          <w:rStyle w:val="FootnoteAnchor"/>
          <w:rtl w:val="true"/>
        </w:rPr>
        <w:footnoteReference w:id="916"/>
      </w:r>
      <w:r>
        <w:rPr>
          <w:rFonts w:ascii="IRNazanin" w:hAnsi="IRNazanin" w:eastAsia="IRNazanin"/>
          <w:color w:val="111111"/>
          <w:sz w:val="28"/>
          <w:sz w:val="28"/>
          <w:szCs w:val="28"/>
          <w:rtl w:val="true"/>
          <w:lang w:bidi="fa-IR"/>
        </w:rPr>
        <w:t>به ضعف وی معتقدند،در حالی که سید شفتی بر اساس دیدگاه‌های محققانی چون فضل</w:t>
      </w:r>
      <w:bookmarkStart w:id="815" w:name="pg5664_43551"/>
    </w:p>
    <w:p>
      <w:pPr>
        <w:pStyle w:val="BookText"/>
        <w:rPr/>
      </w:pPr>
      <w:bookmarkEnd w:id="815"/>
      <w:r>
        <w:rPr>
          <w:rFonts w:ascii="IRNazanin" w:hAnsi="IRNazanin" w:eastAsia="IRNazanin"/>
          <w:color w:val="111111"/>
          <w:sz w:val="28"/>
          <w:sz w:val="28"/>
          <w:szCs w:val="28"/>
          <w:rtl w:val="true"/>
          <w:lang w:bidi="fa-IR"/>
        </w:rPr>
        <w:t xml:space="preserve">بن شاذان </w:t>
      </w:r>
      <w:r>
        <w:rPr>
          <w:rStyle w:val="FootnoteAnchor"/>
          <w:rtl w:val="true"/>
        </w:rPr>
        <w:footnoteReference w:id="917"/>
      </w:r>
      <w:r>
        <w:rPr>
          <w:rFonts w:ascii="IRNazanin" w:hAnsi="IRNazanin" w:eastAsia="IRNazanin"/>
          <w:color w:val="111111"/>
          <w:sz w:val="28"/>
          <w:sz w:val="28"/>
          <w:szCs w:val="28"/>
          <w:rtl w:val="true"/>
          <w:lang w:bidi="fa-IR"/>
        </w:rPr>
        <w:t xml:space="preserve">،کشی </w:t>
      </w:r>
      <w:r>
        <w:rPr>
          <w:rStyle w:val="FootnoteAnchor"/>
          <w:rtl w:val="true"/>
        </w:rPr>
        <w:footnoteReference w:id="918"/>
      </w:r>
      <w:r>
        <w:rPr>
          <w:rFonts w:ascii="IRNazanin" w:hAnsi="IRNazanin" w:eastAsia="IRNazanin"/>
          <w:color w:val="111111"/>
          <w:sz w:val="28"/>
          <w:sz w:val="28"/>
          <w:szCs w:val="28"/>
          <w:rtl w:val="true"/>
          <w:lang w:bidi="fa-IR"/>
        </w:rPr>
        <w:t xml:space="preserve">،نجاشی </w:t>
      </w:r>
      <w:r>
        <w:rPr>
          <w:rStyle w:val="FootnoteAnchor"/>
          <w:rtl w:val="true"/>
        </w:rPr>
        <w:footnoteReference w:id="919"/>
      </w:r>
      <w:r>
        <w:rPr>
          <w:rFonts w:ascii="Amiri" w:hAnsi="Amiri" w:eastAsia="Amiri" w:cs="Amiri"/>
          <w:color w:val="111111"/>
          <w:sz w:val="28"/>
          <w:sz w:val="28"/>
          <w:szCs w:val="28"/>
          <w:rtl w:val="true"/>
          <w:lang w:bidi="ar-SA"/>
        </w:rPr>
        <w:t xml:space="preserve">،علامه حلّی </w:t>
      </w:r>
      <w:r>
        <w:rPr>
          <w:rStyle w:val="FootnoteAnchor"/>
          <w:rtl w:val="true"/>
        </w:rPr>
        <w:footnoteReference w:id="920"/>
      </w:r>
      <w:r>
        <w:rPr>
          <w:rFonts w:ascii="IRNazanin" w:hAnsi="IRNazanin" w:eastAsia="IRNazanin"/>
          <w:color w:val="111111"/>
          <w:sz w:val="28"/>
          <w:sz w:val="28"/>
          <w:szCs w:val="28"/>
          <w:rtl w:val="true"/>
          <w:lang w:bidi="fa-IR"/>
        </w:rPr>
        <w:t xml:space="preserve">،محقق داماد </w:t>
      </w:r>
      <w:r>
        <w:rPr>
          <w:rStyle w:val="FootnoteAnchor"/>
          <w:rtl w:val="true"/>
        </w:rPr>
        <w:footnoteReference w:id="921"/>
      </w:r>
      <w:r>
        <w:rPr>
          <w:rFonts w:ascii="IRNazanin" w:hAnsi="IRNazanin" w:eastAsia="IRNazanin"/>
          <w:color w:val="111111"/>
          <w:sz w:val="28"/>
          <w:sz w:val="28"/>
          <w:szCs w:val="28"/>
          <w:rtl w:val="true"/>
          <w:lang w:bidi="fa-IR"/>
        </w:rPr>
        <w:t>و مجلسیان،محمد بن عیسی یقطینی را فردی مورد وثوق و عادل دانسته که کلمات جارحان او نمی‌تواند با دیدگاه‌های آنان معارضه کند،و حتی از محمد بن عیسی اشعری قابل اعتمادتر و مورد وثوق‌تر است</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به علاوه،شیخ طوسی در کتاب طلاق تهذیب روایتی نقل کرده که در آن از محمد بن عیسی یقطینی ستایش شده است</w:t>
      </w:r>
      <w:r>
        <w:rPr>
          <w:rFonts w:eastAsia="IRNazanin" w:cs="IRNazanin"/>
          <w:color w:val="111111"/>
          <w:sz w:val="28"/>
          <w:szCs w:val="28"/>
          <w:rtl w:val="true"/>
          <w:lang w:bidi="fa-IR"/>
        </w:rPr>
        <w:t xml:space="preserve">. </w:t>
      </w:r>
      <w:r>
        <w:rPr>
          <w:rStyle w:val="FootnoteAnchor"/>
          <w:rtl w:val="true"/>
        </w:rPr>
        <w:footnoteReference w:id="923"/>
      </w:r>
    </w:p>
    <w:p>
      <w:pPr>
        <w:pStyle w:val="Heading6"/>
        <w:numPr>
          <w:ilvl w:val="5"/>
          <w:numId w:val="1"/>
        </w:numPr>
        <w:rPr/>
      </w:pPr>
      <w:bookmarkStart w:id="816" w:name="__RefHeading___Toc3420212_581953129"/>
      <w:bookmarkStart w:id="817" w:name="_Toc323"/>
      <w:bookmarkEnd w:id="816"/>
      <w:r>
        <w:rPr>
          <w:rtl w:val="true"/>
        </w:rPr>
        <w:t>داوود بن حصین</w:t>
      </w:r>
      <w:bookmarkEnd w:id="81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داوود بن الحصین،فردی است که از سوی نجاشی توثیق شده </w:t>
      </w:r>
      <w:r>
        <w:rPr>
          <w:rStyle w:val="FootnoteAnchor"/>
          <w:rtl w:val="true"/>
        </w:rPr>
        <w:footnoteReference w:id="924"/>
      </w:r>
      <w:r>
        <w:rPr>
          <w:rFonts w:ascii="IRNazanin" w:hAnsi="IRNazanin" w:eastAsia="IRNazanin"/>
          <w:color w:val="111111"/>
          <w:sz w:val="28"/>
          <w:sz w:val="28"/>
          <w:szCs w:val="28"/>
          <w:rtl w:val="true"/>
          <w:lang w:bidi="fa-IR"/>
        </w:rPr>
        <w:t xml:space="preserve">،ولی شیخ طوسی فقط او را از اصحاب امام صادق علیه السلام دانسته،چیزی از قدح یا مدح وی به زبان نیاورده است؛هر چند در جای دیگر،وی را در شمار اصحاب امام کاظم علیه السلام نام برده و بر واقفی بودن او تصریح کرده </w:t>
      </w:r>
      <w:r>
        <w:rPr>
          <w:rStyle w:val="FootnoteAnchor"/>
          <w:rtl w:val="true"/>
        </w:rPr>
        <w:footnoteReference w:id="925"/>
      </w:r>
      <w:r>
        <w:rPr>
          <w:rFonts w:ascii="IRNazanin" w:hAnsi="IRNazanin" w:eastAsia="IRNazanin"/>
          <w:color w:val="111111"/>
          <w:sz w:val="28"/>
          <w:sz w:val="28"/>
          <w:szCs w:val="28"/>
          <w:rtl w:val="true"/>
          <w:lang w:bidi="fa-IR"/>
        </w:rPr>
        <w:t>و علامه نیز در خصوص روایات وی توقف نموده</w:t>
      </w:r>
      <w:bookmarkStart w:id="818" w:name="pg5664_43552"/>
    </w:p>
    <w:p>
      <w:pPr>
        <w:pStyle w:val="BookText"/>
        <w:rPr/>
      </w:pPr>
      <w:bookmarkEnd w:id="8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اما آنچه در پایان می‌توان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در واقع سخن نجاشی و شیخ طوسی را جمع کرد،آن است که چون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در صحت عقیده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در فساد عقیده است و ظاهر نمی‌تواند با نص معارضه کند،وثاقت شخص بر این حمل می‌شود که از دروغگویی پرهیز می‌کند؛گرچه ممکن است فساد عقیده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نتیجه،حدیث او از احادیث موثّق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دیگر،اگر توقف و واقفی بودن داوود بن حصین ثابت گردد،به شهادت نجاشی باید وثاقت او را پذیرفت و در صحت سند روایت،وثاقت راویان آن کافی است</w:t>
      </w:r>
      <w:r>
        <w:rPr>
          <w:rFonts w:eastAsia="IRNazanin" w:cs="IRNazanin"/>
          <w:color w:val="111111"/>
          <w:sz w:val="28"/>
          <w:szCs w:val="28"/>
          <w:rtl w:val="true"/>
          <w:lang w:bidi="fa-IR"/>
        </w:rPr>
        <w:t xml:space="preserve">. </w:t>
      </w:r>
      <w:r>
        <w:rPr>
          <w:rStyle w:val="FootnoteAnchor"/>
          <w:rtl w:val="true"/>
        </w:rPr>
        <w:footnoteReference w:id="927"/>
      </w:r>
    </w:p>
    <w:p>
      <w:pPr>
        <w:pStyle w:val="Heading6"/>
        <w:numPr>
          <w:ilvl w:val="5"/>
          <w:numId w:val="1"/>
        </w:numPr>
        <w:rPr/>
      </w:pPr>
      <w:bookmarkStart w:id="819" w:name="__RefHeading___Toc3420214_581953129"/>
      <w:bookmarkStart w:id="820" w:name="_Toc324"/>
      <w:bookmarkEnd w:id="819"/>
      <w:r>
        <w:rPr>
          <w:rtl w:val="true"/>
        </w:rPr>
        <w:t>عمر بن حنظله</w:t>
      </w:r>
      <w:bookmarkEnd w:id="82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عمر بن حنظله را در کتاب رجال خود از اصحاب امام صادق علیه السلام دانسته،در کتاب تلخیص الرجال و نقد الرجال به شیخ نسبت داده شده که اورا از اصحاب امام باقر علیه السلام می‌داند</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شهید ثانی در شرح درایه با آوردن نام عمر بن حنظله،او را توثیق کرده،روایاتی نیز در ستایش او نقل شده است</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اگر مجموع شواهد نتواند</w:t>
      </w:r>
    </w:p>
    <w:p>
      <w:pPr>
        <w:pStyle w:val="BookText"/>
        <w:rPr/>
      </w:pPr>
      <w:r>
        <w:rPr>
          <w:rFonts w:ascii="IRNazanin" w:hAnsi="IRNazanin" w:eastAsia="IRNazanin"/>
          <w:color w:val="111111"/>
          <w:sz w:val="28"/>
          <w:sz w:val="28"/>
          <w:szCs w:val="28"/>
          <w:rtl w:val="true"/>
          <w:lang w:bidi="fa-IR"/>
        </w:rPr>
        <w:t>صحت حدیث عمر بن حنظله را اثبات کند،تردیدی در حسن احادیث او نیست</w:t>
      </w:r>
      <w:r>
        <w:rPr>
          <w:rFonts w:eastAsia="IRNazanin" w:cs="IRNazanin"/>
          <w:color w:val="111111"/>
          <w:sz w:val="28"/>
          <w:szCs w:val="28"/>
          <w:rtl w:val="true"/>
          <w:lang w:bidi="fa-IR"/>
        </w:rPr>
        <w:t xml:space="preserve">. </w:t>
      </w:r>
      <w:r>
        <w:rPr>
          <w:rStyle w:val="FootnoteAnchor"/>
          <w:rtl w:val="true"/>
        </w:rPr>
        <w:footnoteReference w:id="93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آن،در سند حدیث،صفوان بن یحیی قرار گرفته که از مشایخ ثقات </w:t>
      </w:r>
      <w:r>
        <w:rPr>
          <w:rStyle w:val="FootnoteAnchor"/>
          <w:rtl w:val="true"/>
        </w:rPr>
        <w:footnoteReference w:id="931"/>
      </w:r>
      <w:r>
        <w:rPr>
          <w:rFonts w:ascii="IRNazanin" w:hAnsi="IRNazanin" w:eastAsia="IRNazanin"/>
          <w:color w:val="111111"/>
          <w:sz w:val="28"/>
          <w:sz w:val="28"/>
          <w:szCs w:val="28"/>
          <w:rtl w:val="true"/>
          <w:lang w:bidi="fa-IR"/>
        </w:rPr>
        <w:t xml:space="preserve">و اصحاب اجماع </w:t>
      </w:r>
      <w:r>
        <w:rPr>
          <w:rStyle w:val="FootnoteAnchor"/>
          <w:rtl w:val="true"/>
        </w:rPr>
        <w:footnoteReference w:id="932"/>
      </w:r>
      <w:r>
        <w:rPr>
          <w:rFonts w:ascii="IRNazanin" w:hAnsi="IRNazanin" w:eastAsia="IRNazanin"/>
          <w:color w:val="111111"/>
          <w:sz w:val="28"/>
          <w:sz w:val="28"/>
          <w:szCs w:val="28"/>
          <w:rtl w:val="true"/>
          <w:lang w:bidi="fa-IR"/>
        </w:rPr>
        <w:t>است و طریق روایت تا او صحیح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نتیجه،حدیث موثق و مانند صحیح است</w:t>
      </w:r>
      <w:r>
        <w:rPr>
          <w:rFonts w:eastAsia="IRNazanin" w:cs="IRNazanin"/>
          <w:color w:val="111111"/>
          <w:sz w:val="28"/>
          <w:szCs w:val="28"/>
          <w:rtl w:val="true"/>
          <w:lang w:bidi="fa-IR"/>
        </w:rPr>
        <w:t>.</w:t>
      </w:r>
      <w:bookmarkStart w:id="821" w:name="pg5664_43554"/>
    </w:p>
    <w:p>
      <w:pPr>
        <w:pStyle w:val="Heading6"/>
        <w:numPr>
          <w:ilvl w:val="5"/>
          <w:numId w:val="1"/>
        </w:numPr>
        <w:rPr/>
      </w:pPr>
      <w:bookmarkStart w:id="822" w:name="__RefHeading___Toc3420216_581953129"/>
      <w:bookmarkStart w:id="823" w:name="_Toc325"/>
      <w:bookmarkEnd w:id="821"/>
      <w:bookmarkEnd w:id="822"/>
      <w:r>
        <w:rPr>
          <w:rtl w:val="true"/>
        </w:rPr>
        <w:t>ب</w:t>
      </w:r>
      <w:r>
        <w:rPr>
          <w:rtl w:val="true"/>
        </w:rPr>
        <w:t>)</w:t>
      </w:r>
      <w:r>
        <w:rPr>
          <w:rtl w:val="true"/>
        </w:rPr>
        <w:t>بررسی دلالت روایت</w:t>
      </w:r>
      <w:bookmarkEnd w:id="823"/>
    </w:p>
    <w:p>
      <w:pPr>
        <w:pStyle w:val="Heading6"/>
        <w:numPr>
          <w:ilvl w:val="5"/>
          <w:numId w:val="1"/>
        </w:numPr>
        <w:rPr/>
      </w:pPr>
      <w:bookmarkStart w:id="824" w:name="__RefHeading___Toc3420218_581953129"/>
      <w:bookmarkStart w:id="825" w:name="_Toc326"/>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امام راحل در کتاب ولایت‌فقیه در تفسیر و تبیین روایت عمر بن حنظله چنین می‌نگارد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از صدر و ذیل این روایت و استشهاد امام به آیه شریفه به دست می‌آید،موضوع سؤال،حکم کلی بوده و امام هم تکلیف کلی را بیان فرموده است و عرض کردم که برای حل و فصل دعاوی حقوقی و جزائی،هم به قضات مراجعه می‌شود و هم به مقامات اجرایی و به‌طور کلی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قضات برای این است که حق ثابت شود و فصل خصومات و تعیین کیفر گردد،و رجوع به مقامات اجرایی برای الزام طرف دعوی به قبول محاکمه یا اجرای حکم حقوقی و کیفری هر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در این روایت از امام سؤال می‌شود که آیا به سلاطین و قدرت‌های حکومتی و قضات رجوع کنیم؟حضرت در جواب،از مراجعه به مقامات حکومتی ناروا چه اجرایی و چه قضایی نهی می‌فرمایند و دستور می‌دهند ملت اسلام در امور خود نباید به سلاطین و حکام جور و قضاتی که از عمال آنها هستند،رجوع کنند؛هر چند حق ثابت داشته باشند و بخواهند برای احقاق و گرفتن آن اقدام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اگر پسر او را کشته‌اند یا خانه‌اش را غارت کرده‌اند،باز حق ندارد به حکام جور برای دادرسی مراجعه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طلبکار است و شاهد زنده در دست دارد،نمی‌تواند به قضات سرسپرده و عمال ظلمه مراجعه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چنین مواردی به آنها رجوع کرد،به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قدرت‌های ناروا روی آورده است و در صورتی که به وسیله این قدرت‌ها و دستگاه‌های ناروا به حقوق مسلم خویش نایل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فانمایاخذه سحتا و ان کان حقا ثابتا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حرام دست پیدا کرده و حق ندارد در آن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بعضی از فقها در عین شخصی گفته‌اند که مثلاً اگر عبای شما را بردند و شما به وسیله حکام جور پس گرفتید،نمی‌توانید در آن تصرف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به این حکم قایل باشیم،دیگر در کلیات،یعنی در عین کلی شک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اینکه اگر کسی طلبکار بود و برای گرفتن حق خود به مرجع و مقامی غیر از آن‌که خدا قرار داده،مراجعه و طلب خود را به وسیله او وصول کرد،تصرف در آن جایز نیست و موازین شرع همین را اقتضا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سیاست اسلام است؛حکمی است که سبب می‌شود مسلمانان از مراجعه به قدرت‌های ناروا و قضاتی که دست‌نشانده آنها هستند،خودداری کنند تا دستگاه‌های دولتی جائر و غیراسلامی بسته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به سوی ائمه هدی و کسانی که از طرف آنها حق حکومت و قضاوت دارند،بازشود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p>
    <w:p>
      <w:pPr>
        <w:pStyle w:val="BookText"/>
        <w:rPr/>
      </w:pPr>
      <w:r>
        <w:rPr>
          <w:rFonts w:ascii="IRNazanin" w:hAnsi="IRNazanin" w:eastAsia="IRNazanin"/>
          <w:color w:val="111111"/>
          <w:sz w:val="28"/>
          <w:sz w:val="28"/>
          <w:szCs w:val="28"/>
          <w:rtl w:val="true"/>
          <w:lang w:bidi="fa-IR"/>
        </w:rPr>
        <w:t>اصلی این بوده که نگذارند سلاطین و قضاتی که از عمال آنها هستند،مرجع امور باشند و مردم دنبال آنها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بنابراین،تکلیف ملت اسلام چیست؟و در پیشامدها و منازعات باید چه کنند و به چه مقامی رجوع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من کان منکم ممن‌کان روی حدیثنا و نظر فی حلالنا و حرامنا و عرف احکامنا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اختلافات به راویان حدیث ما که به حلال و حرام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آشنایند و احکام ما را طبق موازین‌عقلی و شرعی می‌شناسند،رجوع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هیچ جای ابهامی باقی نگذاشته تا کسی بگوید پس راویان حدیث هم مرجع و حاکم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مراتب را ذکر فرموده و مقید کرده به اینکه در حلال و حرام طبق قواعد نظر کند و به احکام معرفت داشته،موازینی دستش باشد تا روایاتی را که از روی تقیه یا جهات دیگر وارد شده و خلاف واقع می‌باشد،تشخیص دهد و معلوم است که معرفت به احکام و شناخت حدیث غیر از نقل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اگر این شرایط را دارا باشد،از طرف من برای امور حکومتی و قضایی مسلمین تعیین‌شده و مسلمان‌ها حق ندارند به غیر او رجوع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که امام صادر فرموده،کلی و عمومی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حضرت امیرالمؤمنین علیه السلام در دوران حکومت ظاهری خود،حاکم،والی و قاضی تعیین می‌کرد و عموم مسلمانان وظیفه داشتند از آنها اطاعت‌کنند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تا خیال نشود فقط امور قضایی مطرح است و دیگر امور حکومتی ارتباط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صدور ذیل روایت و آیه‌ای که در حدیث ذکر شده،استفاده می‌شود که موضوع تنها تعیین قاضی‌نیست که امام فقط نصب قاضی فرموده باشد و در دیگر امور مسلمانان تکلیفی معین نکرده و در نتیجه،یکی از دو سؤالی را که راجع به دادخواهی از قدرت‌های اجرایی ناروا بوده،بلا جواب گذاشته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واضحات است و در سند و دلالتش وسوسه‌ای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تردید نیست که امام فقها را برای حکومت و قضاوت تعیین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عموم مسلمانان لازم است که از این فرمان امام اطاعت نمایند</w:t>
      </w:r>
      <w:r>
        <w:rPr>
          <w:rFonts w:eastAsia="IRNazanin" w:cs="IRNazanin"/>
          <w:color w:val="111111"/>
          <w:sz w:val="28"/>
          <w:szCs w:val="28"/>
          <w:rtl w:val="true"/>
          <w:lang w:bidi="fa-IR"/>
        </w:rPr>
        <w:t xml:space="preserve">. </w:t>
      </w:r>
      <w:r>
        <w:rPr>
          <w:rStyle w:val="FootnoteAnchor"/>
          <w:rtl w:val="true"/>
        </w:rPr>
        <w:footnoteReference w:id="93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فصل این‌گونه استنباط می‌شود که فقهای جامع‌شرایط نه‌تنها بر قضا و اجرای حدود ولایت دارند،بلکه در مسائل سیاسی و اجتماعی نیز ولایت دارند و این مناصب و اختیارات از مقبوله به دست می‌آید</w:t>
      </w:r>
      <w:r>
        <w:rPr>
          <w:rFonts w:eastAsia="IRNazanin" w:cs="IRNazanin"/>
          <w:color w:val="111111"/>
          <w:sz w:val="28"/>
          <w:szCs w:val="28"/>
          <w:rtl w:val="true"/>
          <w:lang w:bidi="fa-IR"/>
        </w:rPr>
        <w:t>.</w:t>
      </w:r>
      <w:bookmarkStart w:id="826" w:name="pg5664_43556"/>
    </w:p>
    <w:p>
      <w:pPr>
        <w:pStyle w:val="Heading6"/>
        <w:numPr>
          <w:ilvl w:val="5"/>
          <w:numId w:val="1"/>
        </w:numPr>
        <w:rPr/>
      </w:pPr>
      <w:bookmarkStart w:id="827" w:name="__RefHeading___Toc3420220_581953129"/>
      <w:bookmarkStart w:id="828" w:name="_Toc327"/>
      <w:bookmarkEnd w:id="826"/>
      <w:bookmarkEnd w:id="827"/>
      <w:r>
        <w:rPr>
          <w:rtl w:val="true"/>
        </w:rPr>
        <w:t>یکم</w:t>
      </w:r>
      <w:r>
        <w:rPr>
          <w:rtl w:val="true"/>
        </w:rPr>
        <w:t>)</w:t>
      </w:r>
      <w:r>
        <w:rPr>
          <w:rtl w:val="true"/>
        </w:rPr>
        <w:t>روش‌های استدلال</w:t>
      </w:r>
      <w:bookmarkEnd w:id="828"/>
    </w:p>
    <w:p>
      <w:pPr>
        <w:pStyle w:val="Heading6"/>
        <w:numPr>
          <w:ilvl w:val="5"/>
          <w:numId w:val="1"/>
        </w:numPr>
        <w:rPr/>
      </w:pPr>
      <w:bookmarkStart w:id="829" w:name="__RefHeading___Toc3420222_581953129"/>
      <w:bookmarkStart w:id="830" w:name="_Toc328"/>
      <w:bookmarkEnd w:id="829"/>
      <w:r>
        <w:rPr>
          <w:rtl w:val="true"/>
        </w:rPr>
        <w:t>روش نخست</w:t>
      </w:r>
      <w:bookmarkEnd w:id="830"/>
    </w:p>
    <w:p>
      <w:pPr>
        <w:pStyle w:val="BookText"/>
        <w:rPr/>
      </w:pPr>
      <w:r>
        <w:rPr>
          <w:rFonts w:ascii="IRNazanin" w:hAnsi="IRNazanin" w:eastAsia="IRNazanin"/>
          <w:color w:val="111111"/>
          <w:sz w:val="28"/>
          <w:sz w:val="28"/>
          <w:szCs w:val="28"/>
          <w:rtl w:val="true"/>
          <w:lang w:bidi="fa-IR"/>
        </w:rPr>
        <w:t>طبق آنچه در حدیث شریف آمده،امام فقها را در مقام حاکم میان شیعیان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اقامه حدود نیز از مقوله حکم است،مراد از حکم چیزی جز اجرا و نافذ بودن حکم حاکم نخواهد بود و به‌یقین بدون داشتن ضمانت اجرا،بر حکم تنها اثری بار نمی‌شود</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این استدلال بر این مبتنی است که بپذیریم اقامه حدود از مقوله حکم است و پس از اثبات این مطلب،حتی اگر نیابت عامه فقها را نپذیریم،باز اقامه حدود برای ایشان ثابت می‌شود</w:t>
      </w:r>
      <w:r>
        <w:rPr>
          <w:rFonts w:eastAsia="IRNazanin" w:cs="IRNazanin"/>
          <w:color w:val="111111"/>
          <w:sz w:val="28"/>
          <w:szCs w:val="28"/>
          <w:rtl w:val="true"/>
          <w:lang w:bidi="fa-IR"/>
        </w:rPr>
        <w:t>.</w:t>
      </w:r>
    </w:p>
    <w:p>
      <w:pPr>
        <w:pStyle w:val="Heading6"/>
        <w:numPr>
          <w:ilvl w:val="5"/>
          <w:numId w:val="1"/>
        </w:numPr>
        <w:rPr/>
      </w:pPr>
      <w:bookmarkStart w:id="831" w:name="__RefHeading___Toc3420224_581953129"/>
      <w:bookmarkStart w:id="832" w:name="_Toc329"/>
      <w:bookmarkEnd w:id="831"/>
      <w:r>
        <w:rPr>
          <w:rtl w:val="true"/>
        </w:rPr>
        <w:t>روش دوم</w:t>
      </w:r>
      <w:bookmarkEnd w:id="832"/>
    </w:p>
    <w:p>
      <w:pPr>
        <w:pStyle w:val="BookText"/>
        <w:rPr/>
      </w:pPr>
      <w:r>
        <w:rPr>
          <w:rFonts w:ascii="IRNazanin" w:hAnsi="IRNazanin" w:eastAsia="IRNazanin"/>
          <w:color w:val="111111"/>
          <w:sz w:val="28"/>
          <w:sz w:val="28"/>
          <w:szCs w:val="28"/>
          <w:rtl w:val="true"/>
          <w:lang w:bidi="fa-IR"/>
        </w:rPr>
        <w:t>فرمایش حضرت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مطلب ظهور دارد که حاکم قرار دادن،به شکل ولایت عامه است و او می‌تواند عهده‌دار جمیع مناصبی شود که برای امام وجود داشته،که از جمله آنها،اجرای 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حجتی علیکم وأنا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توقیع شریف،ظهور شدیدتری دارد در اینکه اموری به فقها تفویض شده که امام در این امور حجت خدا بر مردم است و از جمله این امور،اقامه 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برخی کتاب‌ها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که ظهور آن شدیدتر است؛زیرا معلوم است عرفاً مراد از خلیفه،عموم ولایت است</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شیخ انصاری در مکاسب درباره این روایت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عرف هر که را سلطان به عنوان حاکم منصوب کند،بدین معناست که در تمامی شئون مرتبط به قلمرو حکومت وی،مرجعیت دارد و عهده‌داری آن را بدو سپرده است</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ظاهر این مقبوله همین معنا را می‌رساند و تنها به امر قضاوت اختصاص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در کتاب قضاء و شهادات می‌فرماید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فقیه جامع شرایط در تمام فروع احکام شرعی و موضوعات،حجت و</w:t>
      </w:r>
      <w:bookmarkStart w:id="833" w:name="pg5664_43557"/>
    </w:p>
    <w:p>
      <w:pPr>
        <w:pStyle w:val="BookText"/>
        <w:rPr/>
      </w:pPr>
      <w:bookmarkEnd w:id="833"/>
      <w:r>
        <w:rPr>
          <w:rFonts w:ascii="IRNazanin" w:hAnsi="IRNazanin" w:eastAsia="IRNazanin"/>
          <w:color w:val="111111"/>
          <w:sz w:val="28"/>
          <w:sz w:val="28"/>
          <w:szCs w:val="28"/>
          <w:rtl w:val="true"/>
          <w:lang w:bidi="fa-IR"/>
        </w:rPr>
        <w:t>نافذ است؛زیرا مقصود از واژه حاکم که در مقبوله آمده،نفوذ حکم او در همه شئون و زمینه‌هاست و مخصوص امور قضایی نیست؛همانند آنکه سلطان وقت،کسی را در مقام حاکم معین کند،که مستفاد از آن،تسلط او بر تمام شئون مربوط به حکومت،اعم از جزئی یا 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مخصوص باب قضاوت است،به کار نبرده،بلکه به جای آن،لفظ حاکم را به کار برده تا عمومیت نفوذ سلطه او را برساند</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کون الفقیه مرجعاً فی الامور العامة</w:t>
      </w:r>
      <w:r>
        <w:rPr>
          <w:rFonts w:eastAsia="IRNazanin" w:cs="IRNazanin"/>
          <w:color w:val="111111"/>
          <w:sz w:val="28"/>
          <w:szCs w:val="28"/>
          <w:rtl w:val="true"/>
          <w:lang w:bidi="fa-IR"/>
        </w:rPr>
        <w:t xml:space="preserve">». </w:t>
      </w:r>
      <w:r>
        <w:rPr>
          <w:rStyle w:val="FootnoteAnchor"/>
          <w:rtl w:val="true"/>
        </w:rPr>
        <w:footnoteReference w:id="938"/>
      </w:r>
    </w:p>
    <w:p>
      <w:pPr>
        <w:pStyle w:val="Heading6"/>
        <w:numPr>
          <w:ilvl w:val="5"/>
          <w:numId w:val="1"/>
        </w:numPr>
        <w:rPr/>
      </w:pPr>
      <w:bookmarkStart w:id="834" w:name="__RefHeading___Toc3420226_581953129"/>
      <w:bookmarkStart w:id="835" w:name="_Toc330"/>
      <w:bookmarkEnd w:id="834"/>
      <w:r>
        <w:rPr>
          <w:rtl w:val="true"/>
        </w:rPr>
        <w:t>روش سوم</w:t>
      </w:r>
      <w:bookmarkEnd w:id="835"/>
    </w:p>
    <w:p>
      <w:pPr>
        <w:pStyle w:val="BookText"/>
        <w:rPr/>
      </w:pPr>
      <w:r>
        <w:rPr>
          <w:rFonts w:ascii="IRNazanin" w:hAnsi="IRNazanin" w:eastAsia="IRNazanin"/>
          <w:color w:val="111111"/>
          <w:sz w:val="28"/>
          <w:sz w:val="28"/>
          <w:szCs w:val="28"/>
          <w:rtl w:val="true"/>
          <w:lang w:bidi="fa-IR"/>
        </w:rPr>
        <w:t>این روایت به کمک روایت حفص بن غیاث ولایت فقها را بر اقامه حدود ثابت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راوی از حضرت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حدود را اقامه می‌کند؛سلطان یا قاضی؟و امام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به عهده کسی است که حکم به او واگذار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مقبوله روشن شد امام فقها را حاکم قرار داده؛پس اقامه حدود نیز بدیشان واگذار شده است</w:t>
      </w:r>
      <w:r>
        <w:rPr>
          <w:rFonts w:eastAsia="IRNazanin" w:cs="IRNazanin"/>
          <w:color w:val="111111"/>
          <w:sz w:val="28"/>
          <w:szCs w:val="28"/>
          <w:rtl w:val="true"/>
          <w:lang w:bidi="fa-IR"/>
        </w:rPr>
        <w:t xml:space="preserve">. </w:t>
      </w:r>
      <w:r>
        <w:rPr>
          <w:rStyle w:val="FootnoteAnchor"/>
          <w:rtl w:val="true"/>
        </w:rPr>
        <w:footnoteReference w:id="939"/>
      </w:r>
    </w:p>
    <w:p>
      <w:pPr>
        <w:pStyle w:val="Heading6"/>
        <w:numPr>
          <w:ilvl w:val="5"/>
          <w:numId w:val="1"/>
        </w:numPr>
        <w:rPr/>
      </w:pPr>
      <w:bookmarkStart w:id="836" w:name="__RefHeading___Toc3420228_581953129"/>
      <w:bookmarkStart w:id="837" w:name="_Toc331"/>
      <w:bookmarkEnd w:id="836"/>
      <w:r>
        <w:rPr>
          <w:rtl w:val="true"/>
        </w:rPr>
        <w:t>روش چهارم</w:t>
      </w:r>
      <w:bookmarkEnd w:id="8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گذشت،اقدام فقیه برای اقامه حدود در عصر غیبت،از مسائلی است که به‌ظاهر مخالفی ندارد،بلکه از مسائلی است که مورد اتفاق اصحاب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مقبوله عمر بن حنظله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الی ما کان من روایتهم عنّا فی ذل الّذی حکما به المجمع علیه من أصحاب،فان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روایتی که علما در نقل یا عمل به آن و یا هم در نقل و هم در عمل به آن اتفاق نظر ندارند،تردیدی نیست و حجیت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تعلیل در روایت برمی‌آید آنچه علما بر آن اتفاق دارند،مطلقاً حجت است؛چه روایتی که بر نقل آن اتفاق داشته باشند یا در عمل به آن متفقُ‌القول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 حجیت مطلق اجماع دلالت دارد؛هر چند علم به نظر معصوم پیدا نشود و مستند</w:t>
      </w:r>
      <w:bookmarkStart w:id="838" w:name="pg5664_43558"/>
    </w:p>
    <w:p>
      <w:pPr>
        <w:pStyle w:val="BookText"/>
        <w:rPr/>
      </w:pPr>
      <w:bookmarkEnd w:id="838"/>
      <w:r>
        <w:rPr>
          <w:rFonts w:ascii="IRNazanin" w:hAnsi="IRNazanin" w:eastAsia="IRNazanin"/>
          <w:color w:val="111111"/>
          <w:sz w:val="28"/>
          <w:sz w:val="28"/>
          <w:szCs w:val="28"/>
          <w:rtl w:val="true"/>
          <w:lang w:bidi="fa-IR"/>
        </w:rPr>
        <w:t>اجماع هم معلوم نباشد؛چرا که تعلیل در روایت،در چنین صورتی نیکو خواهد بود،به‌ویژه به جای ضمیری که به جمله قبل بازگردد،بار دیگر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آنکه،جواز اقامه حدود در عصر غیبت از سوی فقیه،مورد اتفاق فقهاست و به مقتضای روایت عمر بن حنظله این اتفاق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حجیت اجماع،مخصوص اجماعی نیست که انسان به اتفاق فقها قطع داشته باشد،بلکه اگر پس از جست‌وجو و یأس از وجود مخالف،ظن به اتفاق نظر هم پیدا شود،به مقتضای مقبوله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آن،برای اثبات چنین اجماعی،به نصوص مستفیضه‌ای که از علّت خالی نبودنِ زمین از حجت سخن گفته،می‌توان استناد کرد</w:t>
      </w:r>
      <w:r>
        <w:rPr>
          <w:rFonts w:eastAsia="IRNazanin" w:cs="IRNazanin"/>
          <w:color w:val="111111"/>
          <w:sz w:val="28"/>
          <w:szCs w:val="28"/>
          <w:rtl w:val="true"/>
          <w:lang w:bidi="fa-IR"/>
        </w:rPr>
        <w:t xml:space="preserve">». </w:t>
      </w:r>
      <w:r>
        <w:rPr>
          <w:rStyle w:val="FootnoteAnchor"/>
          <w:rtl w:val="true"/>
        </w:rPr>
        <w:footnoteReference w:id="940"/>
      </w:r>
    </w:p>
    <w:p>
      <w:pPr>
        <w:pStyle w:val="Heading6"/>
        <w:numPr>
          <w:ilvl w:val="5"/>
          <w:numId w:val="1"/>
        </w:numPr>
        <w:rPr/>
      </w:pPr>
      <w:bookmarkStart w:id="839" w:name="__RefHeading___Toc3420230_581953129"/>
      <w:bookmarkStart w:id="840" w:name="_Toc332"/>
      <w:bookmarkEnd w:id="839"/>
      <w:r>
        <w:rPr>
          <w:rtl w:val="true"/>
        </w:rPr>
        <w:t>دوم</w:t>
      </w:r>
      <w:r>
        <w:rPr>
          <w:rtl w:val="true"/>
        </w:rPr>
        <w:t>)</w:t>
      </w:r>
      <w:r>
        <w:rPr>
          <w:rtl w:val="true"/>
        </w:rPr>
        <w:t>اشکال‌های دلالی</w:t>
      </w:r>
      <w:bookmarkEnd w:id="840"/>
    </w:p>
    <w:p>
      <w:pPr>
        <w:pStyle w:val="Heading6"/>
        <w:numPr>
          <w:ilvl w:val="5"/>
          <w:numId w:val="1"/>
        </w:numPr>
        <w:rPr/>
      </w:pPr>
      <w:bookmarkStart w:id="841" w:name="__RefHeading___Toc3420232_581953129"/>
      <w:bookmarkStart w:id="842" w:name="_Toc333"/>
      <w:bookmarkEnd w:id="841"/>
      <w:r>
        <w:rPr>
          <w:rtl w:val="true"/>
        </w:rPr>
        <w:t>سوم</w:t>
      </w:r>
      <w:r>
        <w:rPr>
          <w:rtl w:val="true"/>
        </w:rPr>
        <w:t>)</w:t>
      </w:r>
      <w:r>
        <w:rPr>
          <w:rtl w:val="true"/>
        </w:rPr>
        <w:t>عدم ظهور درباره اقامه حدود</w:t>
      </w:r>
      <w:bookmarkEnd w:id="842"/>
    </w:p>
    <w:p>
      <w:pPr>
        <w:pStyle w:val="BookText"/>
        <w:rPr/>
      </w:pPr>
      <w:r>
        <w:rPr>
          <w:rFonts w:ascii="IRNazanin" w:hAnsi="IRNazanin" w:eastAsia="IRNazanin"/>
          <w:color w:val="111111"/>
          <w:sz w:val="28"/>
          <w:sz w:val="28"/>
          <w:szCs w:val="28"/>
          <w:rtl w:val="true"/>
          <w:lang w:bidi="fa-IR"/>
        </w:rPr>
        <w:t>سید احمد خوانساری مدعی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ظهوری درباره اقامه حدود ندارد</w:t>
      </w:r>
      <w:r>
        <w:rPr>
          <w:rFonts w:eastAsia="IRNazanin" w:cs="IRNazanin"/>
          <w:color w:val="111111"/>
          <w:sz w:val="28"/>
          <w:szCs w:val="28"/>
          <w:rtl w:val="true"/>
          <w:lang w:bidi="fa-IR"/>
        </w:rPr>
        <w:t xml:space="preserve">». </w:t>
      </w:r>
      <w:r>
        <w:rPr>
          <w:rStyle w:val="FootnoteAnchor"/>
          <w:rtl w:val="true"/>
        </w:rPr>
        <w:footnoteReference w:id="94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نتوان با ایشان در این اشکال همراهی کرد؛چرا که به یکی از گونه‌های استدلال فوق،شمول مقبوله بر اقامه حدود ثابت می‌شود و همین مسئله،ظهور مقبوله را بر اقامه حدود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بزرگوار صراحت و نص بودن مقبوله درباره اقامه حدود است که در مقبوله به چشم نمی‌خورد،ولی برای استدلال به مقبوله ضروری به نظر نمی‌رسد و همین ظهورِ موجود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هم می‌رود که ایشان گمان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بدین‌وسیله این روایت را به باب قضا اختصاص دهند،ولی این گمان،تصرف در لفظ و خلاف ظاهر الفاظ بوده،تصرفی مجازی و نیازمند به قرینه به‌شمار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بدین دلیل که مورد روایت مرافعه و اختلاف میان دو فرد است،بتوان قدری با این بزرگوار همراهی کرد،ولی عمومیت تعلیل موجب می‌شود نتوان مورد را مخصص دانست و در نتیجه،نمی‌توان روایت را مختص باب قضا برشمرد</w:t>
      </w:r>
      <w:r>
        <w:rPr>
          <w:rFonts w:eastAsia="IRNazanin" w:cs="IRNazanin"/>
          <w:color w:val="111111"/>
          <w:sz w:val="28"/>
          <w:szCs w:val="28"/>
          <w:rtl w:val="true"/>
          <w:lang w:bidi="fa-IR"/>
        </w:rPr>
        <w:t>.</w:t>
      </w:r>
      <w:bookmarkStart w:id="843" w:name="pg5664_43559"/>
    </w:p>
    <w:p>
      <w:pPr>
        <w:pStyle w:val="Heading6"/>
        <w:numPr>
          <w:ilvl w:val="5"/>
          <w:numId w:val="1"/>
        </w:numPr>
        <w:rPr/>
      </w:pPr>
      <w:bookmarkStart w:id="844" w:name="__RefHeading___Toc3420234_581953129"/>
      <w:bookmarkStart w:id="845" w:name="_Toc334"/>
      <w:bookmarkEnd w:id="843"/>
      <w:bookmarkEnd w:id="844"/>
      <w:r>
        <w:rPr>
          <w:rtl w:val="true"/>
        </w:rPr>
        <w:t>چهارم</w:t>
      </w:r>
      <w:r>
        <w:rPr>
          <w:rtl w:val="true"/>
        </w:rPr>
        <w:t>)</w:t>
      </w:r>
      <w:r>
        <w:rPr>
          <w:rtl w:val="true"/>
        </w:rPr>
        <w:t>عدم کاربرد حکومت به معنای ولایت در زبان عربی</w:t>
      </w:r>
      <w:bookmarkEnd w:id="845"/>
    </w:p>
    <w:p>
      <w:pPr>
        <w:pStyle w:val="BookText"/>
        <w:rPr/>
      </w:pPr>
      <w:r>
        <w:rPr>
          <w:rFonts w:ascii="IRNazanin" w:hAnsi="IRNazanin" w:eastAsia="IRNazanin"/>
          <w:color w:val="111111"/>
          <w:sz w:val="28"/>
          <w:sz w:val="28"/>
          <w:szCs w:val="28"/>
          <w:rtl w:val="true"/>
          <w:lang w:bidi="fa-IR"/>
        </w:rPr>
        <w:t>برخی از نویسندگان تازه‌وارد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 در معنای زعامت و ولایت نیامده است،و تنها در زبان فارسی رایج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اینان دست‌کم به نهج البلاغه مراجعه می‌کردند،به خود اجازه نمی‌دادند تا این‌گونه نسنجیده سخن گویند</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مولا امیرمؤمنان علیه السلام در خطبه قاصعه درباره امت اسلامی که مورد عنایت حق تعالی قرار گرفته‌اند،می‌فرماید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حکام علی العالمین و ملوک فی اءطراف الارضین،یملکون الامور علی من کان یملکها علیهم،و یمضون الاحکام فیمن کان یمضیها فیهم</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حضرت درباره بنی‌اسرائیل پس از رهایی از بردگی فرعونیان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فاءبدلهم العز مکان الذل،و الامن مکان الخوف،فصاروا ملوکا حکاما واءئمة اءعلاما</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امام درباره منافقان و رفتار آنان پس از رحلت رسول خدا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فتقربوا الی ائمة الضلالة و الدعاة الی النار بالزور و البهتان،فولوهم الاعمال وجعلوهم حکاما علی رقاب الناس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p>
    <w:p>
      <w:pPr>
        <w:pStyle w:val="Heading5"/>
        <w:numPr>
          <w:ilvl w:val="4"/>
          <w:numId w:val="1"/>
        </w:numPr>
        <w:rPr/>
      </w:pPr>
      <w:bookmarkStart w:id="846" w:name="__RefHeading___Toc3420236_581953129"/>
      <w:bookmarkStart w:id="847" w:name="_Toc335"/>
      <w:bookmarkEnd w:id="846"/>
      <w:r>
        <w:rPr/>
        <w:t>4</w:t>
      </w:r>
      <w:r>
        <w:rPr>
          <w:rtl w:val="true"/>
        </w:rPr>
        <w:t>-</w:t>
      </w:r>
      <w:r>
        <w:rPr>
          <w:rtl w:val="true"/>
        </w:rPr>
        <w:t>معتبره ابی‌خدیجه سالم بن مکرم الجمال</w:t>
      </w:r>
      <w:bookmarkEnd w:id="847"/>
    </w:p>
    <w:p>
      <w:pPr>
        <w:pStyle w:val="Heading6"/>
        <w:numPr>
          <w:ilvl w:val="5"/>
          <w:numId w:val="1"/>
        </w:numPr>
        <w:rPr/>
      </w:pPr>
      <w:bookmarkStart w:id="848" w:name="__RefHeading___Toc3420238_581953129"/>
      <w:bookmarkStart w:id="849" w:name="_Toc336"/>
      <w:bookmarkEnd w:id="848"/>
      <w:r>
        <w:rPr>
          <w:rtl w:val="true"/>
        </w:rPr>
        <w:t>اشاره</w:t>
      </w:r>
      <w:bookmarkEnd w:id="84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مشهور در کافی، </w:t>
      </w:r>
      <w:r>
        <w:rPr>
          <w:rStyle w:val="FootnoteAnchor"/>
          <w:rtl w:val="true"/>
        </w:rPr>
        <w:footnoteReference w:id="947"/>
      </w:r>
      <w:r>
        <w:rPr>
          <w:rFonts w:ascii="IRNazanin" w:hAnsi="IRNazanin" w:eastAsia="IRNazanin"/>
          <w:color w:val="111111"/>
          <w:sz w:val="28"/>
          <w:sz w:val="28"/>
          <w:szCs w:val="28"/>
          <w:rtl w:val="true"/>
          <w:lang w:bidi="fa-IR"/>
        </w:rPr>
        <w:t xml:space="preserve">من لایحضر </w:t>
      </w:r>
      <w:r>
        <w:rPr>
          <w:rStyle w:val="FootnoteAnchor"/>
          <w:rtl w:val="true"/>
        </w:rPr>
        <w:footnoteReference w:id="948"/>
      </w:r>
      <w:r>
        <w:rPr>
          <w:rFonts w:ascii="IRNazanin" w:hAnsi="IRNazanin" w:eastAsia="IRNazanin"/>
          <w:color w:val="111111"/>
          <w:sz w:val="28"/>
          <w:sz w:val="28"/>
          <w:szCs w:val="28"/>
          <w:rtl w:val="true"/>
          <w:lang w:bidi="fa-IR"/>
        </w:rPr>
        <w:t xml:space="preserve">و تهذیب </w:t>
      </w:r>
      <w:r>
        <w:rPr>
          <w:rStyle w:val="FootnoteAnchor"/>
          <w:rtl w:val="true"/>
        </w:rPr>
        <w:footnoteReference w:id="949"/>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bookmarkStart w:id="850" w:name="pg5664_43560"/>
    </w:p>
    <w:p>
      <w:pPr>
        <w:pStyle w:val="BookText"/>
        <w:rPr/>
      </w:pPr>
      <w:bookmarkEnd w:id="850"/>
      <w:r>
        <w:rPr>
          <w:rFonts w:ascii="IRNazanin" w:hAnsi="IRNazanin" w:eastAsia="IRNazanin"/>
          <w:color w:val="111111"/>
          <w:sz w:val="28"/>
          <w:sz w:val="28"/>
          <w:szCs w:val="28"/>
          <w:rtl w:val="true"/>
          <w:lang w:bidi="fa-IR"/>
        </w:rPr>
        <w:t>عن ابی‌خدیجه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عبدالله جعفر بن محمد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ان یحاکم بعضکم بعضا الی اهل الجور و لکن انظروا الی رجل منکم یعلم شیئا من قضایا نافا جعلوه بینکم،فإنی قد جعلته قاضیا فتحاکموا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ابی‌خدیجه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برحذر باشید از اینکه برخی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را برای دادخواهی نزد اهل جور بَرَد،بلکه از میان خودتان فردی را که چیزی از قضایای ما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حکومت و دادرسی 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او را به قضاوت نصب کرده‌ام؛پس نزد او دادخواهی کنید</w:t>
      </w:r>
      <w:r>
        <w:rPr>
          <w:rFonts w:eastAsia="IRNazanin" w:cs="IRNazanin"/>
          <w:color w:val="111111"/>
          <w:sz w:val="28"/>
          <w:szCs w:val="28"/>
          <w:rtl w:val="true"/>
          <w:lang w:bidi="fa-IR"/>
        </w:rPr>
        <w:t>.</w:t>
      </w:r>
    </w:p>
    <w:p>
      <w:pPr>
        <w:pStyle w:val="Heading6"/>
        <w:numPr>
          <w:ilvl w:val="5"/>
          <w:numId w:val="1"/>
        </w:numPr>
        <w:rPr/>
      </w:pPr>
      <w:bookmarkStart w:id="851" w:name="__RefHeading___Toc3420240_581953129"/>
      <w:bookmarkStart w:id="852" w:name="_Toc337"/>
      <w:bookmarkEnd w:id="851"/>
      <w:r>
        <w:rPr>
          <w:rtl w:val="true"/>
        </w:rPr>
        <w:t>الف</w:t>
      </w:r>
      <w:r>
        <w:rPr>
          <w:rtl w:val="true"/>
        </w:rPr>
        <w:t>)</w:t>
      </w:r>
      <w:r>
        <w:rPr>
          <w:rtl w:val="true"/>
        </w:rPr>
        <w:t>بررسی سند روایت</w:t>
      </w:r>
      <w:bookmarkEnd w:id="852"/>
    </w:p>
    <w:p>
      <w:pPr>
        <w:pStyle w:val="BookText"/>
        <w:rPr/>
      </w:pPr>
      <w:r>
        <w:rPr>
          <w:rFonts w:ascii="IRNazanin" w:hAnsi="IRNazanin" w:eastAsia="IRNazanin"/>
          <w:color w:val="111111"/>
          <w:sz w:val="28"/>
          <w:sz w:val="28"/>
          <w:szCs w:val="28"/>
          <w:rtl w:val="true"/>
          <w:lang w:bidi="fa-IR"/>
        </w:rPr>
        <w:t xml:space="preserve">شیخ انصاری این روایت را مشهوره </w:t>
      </w:r>
      <w:r>
        <w:rPr>
          <w:rStyle w:val="FootnoteAnchor"/>
          <w:rtl w:val="true"/>
        </w:rPr>
        <w:footnoteReference w:id="950"/>
      </w:r>
      <w:r>
        <w:rPr>
          <w:rFonts w:ascii="IRNazanin" w:hAnsi="IRNazanin" w:eastAsia="IRNazanin"/>
          <w:color w:val="111111"/>
          <w:sz w:val="28"/>
          <w:sz w:val="28"/>
          <w:szCs w:val="28"/>
          <w:rtl w:val="true"/>
          <w:lang w:bidi="fa-IR"/>
        </w:rPr>
        <w:t>نامیده،ولی برخی از محققان صرفاً به تام بودن سند آن اذعان کرده‌اند</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 xml:space="preserve">امام خمینی بنا بر اصح،این روایت را صحیحه می‌داند، </w:t>
      </w:r>
      <w:r>
        <w:rPr>
          <w:rStyle w:val="FootnoteAnchor"/>
          <w:rtl w:val="true"/>
        </w:rPr>
        <w:footnoteReference w:id="952"/>
      </w:r>
      <w:r>
        <w:rPr>
          <w:rFonts w:ascii="IRNazanin" w:hAnsi="IRNazanin" w:eastAsia="IRNazanin"/>
          <w:color w:val="111111"/>
          <w:sz w:val="28"/>
          <w:sz w:val="28"/>
          <w:szCs w:val="28"/>
          <w:rtl w:val="true"/>
          <w:lang w:bidi="fa-IR"/>
        </w:rPr>
        <w:t>در حالی که آیت‌الله خویی از عناوین متفاوتی برای اشاره به آن بهره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از آثار آن را معتبره </w:t>
      </w:r>
      <w:r>
        <w:rPr>
          <w:rStyle w:val="FootnoteAnchor"/>
          <w:rtl w:val="true"/>
        </w:rPr>
        <w:footnoteReference w:id="953"/>
      </w:r>
      <w:r>
        <w:rPr>
          <w:rFonts w:ascii="IRNazanin" w:hAnsi="IRNazanin" w:eastAsia="IRNazanin"/>
          <w:color w:val="111111"/>
          <w:sz w:val="28"/>
          <w:sz w:val="28"/>
          <w:szCs w:val="28"/>
          <w:rtl w:val="true"/>
          <w:lang w:bidi="fa-IR"/>
        </w:rPr>
        <w:t xml:space="preserve">،در برخی دیگر حسنه </w:t>
      </w:r>
      <w:r>
        <w:rPr>
          <w:rStyle w:val="FootnoteAnchor"/>
          <w:rtl w:val="true"/>
        </w:rPr>
        <w:footnoteReference w:id="954"/>
      </w:r>
      <w:r>
        <w:rPr>
          <w:rFonts w:ascii="IRNazanin" w:hAnsi="IRNazanin" w:eastAsia="IRNazanin"/>
          <w:color w:val="111111"/>
          <w:sz w:val="28"/>
          <w:sz w:val="28"/>
          <w:szCs w:val="28"/>
          <w:rtl w:val="true"/>
          <w:lang w:bidi="fa-IR"/>
        </w:rPr>
        <w:t>و در موارد متعددی آن را صحیحه دانسته است</w:t>
      </w:r>
      <w:r>
        <w:rPr>
          <w:rFonts w:eastAsia="IRNazanin" w:cs="IRNazanin"/>
          <w:color w:val="111111"/>
          <w:sz w:val="28"/>
          <w:szCs w:val="28"/>
          <w:rtl w:val="true"/>
          <w:lang w:bidi="fa-IR"/>
        </w:rPr>
        <w:t xml:space="preserve">. </w:t>
      </w:r>
      <w:r>
        <w:rPr>
          <w:rStyle w:val="FootnoteAnchor"/>
          <w:rtl w:val="true"/>
        </w:rPr>
        <w:footnoteReference w:id="95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نراقی بیش از دیگران به سند این روایت توجه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ندانستن روایت شایسته نیست؛چون این روایت را صدوق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عائذ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و طریق صدوق به احمد صحیح است؛چنان‌که در روضة المتقین مجلسی بدان تصریح شده است</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و امامی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ابوخدیجه،سالم بن مکرم،هم گرچه شیخ یک‌جا او را تضعیف کرده </w:t>
      </w:r>
      <w:r>
        <w:rPr>
          <w:rStyle w:val="FootnoteAnchor"/>
          <w:rtl w:val="true"/>
        </w:rPr>
        <w:footnoteReference w:id="957"/>
      </w:r>
      <w:r>
        <w:rPr>
          <w:rFonts w:ascii="IRNazanin" w:hAnsi="IRNazanin" w:eastAsia="IRNazanin"/>
          <w:color w:val="111111"/>
          <w:sz w:val="28"/>
          <w:sz w:val="28"/>
          <w:szCs w:val="28"/>
          <w:rtl w:val="true"/>
          <w:lang w:bidi="fa-IR"/>
        </w:rPr>
        <w:t>،لیکن در جای دیگر وی را</w:t>
      </w:r>
      <w:bookmarkStart w:id="853" w:name="pg5664_43561"/>
    </w:p>
    <w:p>
      <w:pPr>
        <w:pStyle w:val="BookText"/>
        <w:rPr/>
      </w:pPr>
      <w:bookmarkEnd w:id="853"/>
      <w:r>
        <w:rPr>
          <w:rFonts w:ascii="IRNazanin" w:hAnsi="IRNazanin" w:eastAsia="IRNazanin"/>
          <w:color w:val="111111"/>
          <w:sz w:val="28"/>
          <w:sz w:val="28"/>
          <w:szCs w:val="28"/>
          <w:rtl w:val="true"/>
          <w:lang w:bidi="fa-IR"/>
        </w:rPr>
        <w:t>مورد وثوق دانسته است</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نجاشی نیز او را ثوثیق کرده </w:t>
      </w:r>
      <w:r>
        <w:rPr>
          <w:rStyle w:val="FootnoteAnchor"/>
          <w:rtl w:val="true"/>
        </w:rPr>
        <w:footnoteReference w:id="959"/>
      </w:r>
      <w:r>
        <w:rPr>
          <w:rFonts w:ascii="IRNazanin" w:hAnsi="IRNazanin" w:eastAsia="IRNazanin"/>
          <w:color w:val="111111"/>
          <w:sz w:val="28"/>
          <w:sz w:val="28"/>
          <w:szCs w:val="28"/>
          <w:rtl w:val="true"/>
          <w:lang w:bidi="fa-IR"/>
        </w:rPr>
        <w:t>،کشی روایتی را درباره او از ابی‌الحسن علی بن الحسن نقل می‌کند که در آن به صالح بودن وی تصریح شده است</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علامه نیز در مختلف الشیعة در باب خمس روایت وی را از صحاح دانسته، </w:t>
      </w:r>
      <w:r>
        <w:rPr>
          <w:rStyle w:val="FootnoteAnchor"/>
          <w:rtl w:val="true"/>
        </w:rPr>
        <w:footnoteReference w:id="961"/>
      </w:r>
      <w:r>
        <w:rPr>
          <w:rFonts w:ascii="IRNazanin" w:hAnsi="IRNazanin" w:eastAsia="IRNazanin"/>
          <w:color w:val="111111"/>
          <w:sz w:val="28"/>
          <w:sz w:val="28"/>
          <w:szCs w:val="28"/>
          <w:rtl w:val="true"/>
          <w:lang w:bidi="fa-IR"/>
        </w:rPr>
        <w:t>استرآبادی در رجال خود در حق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فالتوثیق اقوی</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به‌علاوه،به فرض که این روایت صحیح نباشد،عدم صحت سند،آن را فاقد اعتبار نمی‌کند؛زیرا این روایت در اصول معتبره روایت شده و به واسطه اجماعی که محقق است و بسیاری نیز آن را حکایت کرده‌اند،جبران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نیز در مسالک گفته این روایت و مقبوله عمر بن حنظله بین اصحاب مشهور است و ایشان بر عمل به مضمون آن دو اتفاق دارند</w:t>
      </w:r>
      <w:r>
        <w:rPr>
          <w:rFonts w:eastAsia="IRNazanin" w:cs="IRNazanin"/>
          <w:color w:val="111111"/>
          <w:sz w:val="28"/>
          <w:szCs w:val="28"/>
          <w:rtl w:val="true"/>
          <w:lang w:bidi="fa-IR"/>
        </w:rPr>
        <w:t xml:space="preserve">. </w:t>
      </w:r>
      <w:r>
        <w:rPr>
          <w:rStyle w:val="FootnoteAnchor"/>
          <w:rtl w:val="true"/>
        </w:rPr>
        <w:footnoteReference w:id="963"/>
      </w:r>
    </w:p>
    <w:p>
      <w:pPr>
        <w:pStyle w:val="Heading6"/>
        <w:numPr>
          <w:ilvl w:val="5"/>
          <w:numId w:val="1"/>
        </w:numPr>
        <w:rPr/>
      </w:pPr>
      <w:bookmarkStart w:id="854" w:name="__RefHeading___Toc3420242_581953129"/>
      <w:bookmarkStart w:id="855" w:name="_Toc338"/>
      <w:bookmarkEnd w:id="854"/>
      <w:r>
        <w:rPr>
          <w:rtl w:val="true"/>
        </w:rPr>
        <w:t>ب</w:t>
      </w:r>
      <w:r>
        <w:rPr>
          <w:rtl w:val="true"/>
        </w:rPr>
        <w:t>)</w:t>
      </w:r>
      <w:r>
        <w:rPr>
          <w:rtl w:val="true"/>
        </w:rPr>
        <w:t>بررسی دلالت روایت</w:t>
      </w:r>
      <w:bookmarkEnd w:id="855"/>
    </w:p>
    <w:p>
      <w:pPr>
        <w:pStyle w:val="Heading6"/>
        <w:numPr>
          <w:ilvl w:val="5"/>
          <w:numId w:val="1"/>
        </w:numPr>
        <w:rPr/>
      </w:pPr>
      <w:bookmarkStart w:id="856" w:name="__RefHeading___Toc3420244_581953129"/>
      <w:bookmarkStart w:id="857" w:name="_Toc339"/>
      <w:bookmarkEnd w:id="856"/>
      <w:r>
        <w:rPr>
          <w:rtl w:val="true"/>
        </w:rPr>
        <w:t>چگونگی استدلال</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و امثال آن بر ثبوت جمیع اموری برای حاکم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می‌کند که از شئون و وظایف قضات جور شمرده می‌شود شکی نیست که اقامه حدود نیز از وظایف قضات جور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حاکم شرعی در زمان غیبت نیز می‌تواند اقامه حدود کند</w:t>
      </w:r>
      <w:r>
        <w:rPr>
          <w:rFonts w:eastAsia="IRNazanin" w:cs="IRNazanin"/>
          <w:color w:val="111111"/>
          <w:sz w:val="28"/>
          <w:szCs w:val="28"/>
          <w:rtl w:val="true"/>
          <w:lang w:bidi="fa-IR"/>
        </w:rPr>
        <w:t xml:space="preserve">». </w:t>
      </w:r>
      <w:r>
        <w:rPr>
          <w:rStyle w:val="FootnoteAnchor"/>
          <w:rtl w:val="true"/>
        </w:rPr>
        <w:footnoteReference w:id="96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حکیم در مستمسک العروة در مسئله اعتبار حکم حاکم در مسئله رویت هلال به این روایت استدلال کرده،می‌نویسد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اطلاق ادله تنزیل،ترتب جمیع وظایف قضات و حکام است</w:t>
      </w:r>
      <w:r>
        <w:rPr>
          <w:rFonts w:eastAsia="IRNazanin" w:cs="IRNazanin"/>
          <w:color w:val="111111"/>
          <w:sz w:val="28"/>
          <w:szCs w:val="28"/>
          <w:rtl w:val="true"/>
          <w:lang w:bidi="fa-IR"/>
        </w:rPr>
        <w:t xml:space="preserve">». </w:t>
      </w:r>
      <w:r>
        <w:rPr>
          <w:rStyle w:val="FootnoteAnchor"/>
          <w:rtl w:val="true"/>
        </w:rPr>
        <w:footnoteReference w:id="965"/>
      </w:r>
      <w:bookmarkStart w:id="858" w:name="pg5664_43562"/>
    </w:p>
    <w:p>
      <w:pPr>
        <w:pStyle w:val="BookText"/>
        <w:rPr/>
      </w:pPr>
      <w:bookmarkEnd w:id="858"/>
      <w:r>
        <w:rPr>
          <w:rFonts w:ascii="IRNazanin" w:hAnsi="IRNazanin" w:eastAsia="IRNazanin"/>
          <w:color w:val="111111"/>
          <w:sz w:val="28"/>
          <w:sz w:val="28"/>
          <w:szCs w:val="28"/>
          <w:rtl w:val="true"/>
          <w:lang w:bidi="fa-IR"/>
        </w:rPr>
        <w:t>در جمع‌بندی می‌توان استدلال را این‌گونه 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روایت،امام فقها را به قضاوت نصب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نصب فقها به قضاوت،ثبوت جمیع وظایف و اختیارات قضات برای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قضات در زمان صدور روایت،اقامه حدود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بنابراین،فقها از سوی امام برای اقامه حدود نصب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بر سه مقدمه مبتنی است که مقدمه نخست بر اساس همین روایت و مقبوله عمر بن حنظله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 آن نیز به دلیل اطلاق ادله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معتبره ابی‌خدیجه و مقبوله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مقدمه سوم احتیاج به اثبات نیاز دارد که در ادامه بدان خواهیم پرداخت</w:t>
      </w:r>
      <w:r>
        <w:rPr>
          <w:rFonts w:eastAsia="IRNazanin" w:cs="IRNazanin"/>
          <w:color w:val="111111"/>
          <w:sz w:val="28"/>
          <w:szCs w:val="28"/>
          <w:rtl w:val="true"/>
          <w:lang w:bidi="fa-IR"/>
        </w:rPr>
        <w:t>.</w:t>
      </w:r>
    </w:p>
    <w:p>
      <w:pPr>
        <w:pStyle w:val="Heading6"/>
        <w:numPr>
          <w:ilvl w:val="5"/>
          <w:numId w:val="1"/>
        </w:numPr>
        <w:rPr/>
      </w:pPr>
      <w:bookmarkStart w:id="859" w:name="__RefHeading___Toc3420246_581953129"/>
      <w:bookmarkStart w:id="860" w:name="_Toc340"/>
      <w:bookmarkEnd w:id="859"/>
      <w:r>
        <w:rPr>
          <w:rtl w:val="true"/>
        </w:rPr>
        <w:t>اقامه حدود توسط قضات</w:t>
      </w:r>
      <w:bookmarkEnd w:id="860"/>
    </w:p>
    <w:p>
      <w:pPr>
        <w:pStyle w:val="BookText"/>
        <w:rPr/>
      </w:pPr>
      <w:r>
        <w:rPr>
          <w:rFonts w:ascii="IRNazanin" w:hAnsi="IRNazanin" w:eastAsia="IRNazanin"/>
          <w:color w:val="111111"/>
          <w:sz w:val="28"/>
          <w:sz w:val="28"/>
          <w:szCs w:val="28"/>
          <w:rtl w:val="true"/>
          <w:lang w:bidi="fa-IR"/>
        </w:rPr>
        <w:t>برخی از معاصران مراجعه مردم را در اقامه حدود به قضات جور مسلّم و معمول دانسته،می‌گویند هیچ شک و شبهه‌ای نیست که بر اساس این روایت،همه مناصبی که در اختیار قضات جور است و اموری که به ایشان رجوع می‌شود،برای فقها جعل شده است</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برخی روایات مثل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ظهور دارند که در زمان معصومان یعنی زمان صدور این روایت و امثال آن،قضات وظیفه اجرای حدود را بر عهده داشتند</w:t>
      </w:r>
      <w:r>
        <w:rPr>
          <w:rFonts w:eastAsia="IRNazanin" w:cs="IRNazanin"/>
          <w:color w:val="111111"/>
          <w:sz w:val="28"/>
          <w:szCs w:val="28"/>
          <w:rtl w:val="true"/>
          <w:lang w:bidi="fa-IR"/>
        </w:rPr>
        <w:t>.</w:t>
      </w:r>
    </w:p>
    <w:p>
      <w:pPr>
        <w:pStyle w:val="Heading6"/>
        <w:numPr>
          <w:ilvl w:val="5"/>
          <w:numId w:val="1"/>
        </w:numPr>
        <w:rPr/>
      </w:pPr>
      <w:bookmarkStart w:id="861" w:name="__RefHeading___Toc3420248_581953129"/>
      <w:bookmarkStart w:id="862" w:name="_Toc341"/>
      <w:bookmarkEnd w:id="861"/>
      <w:r>
        <w:rPr>
          <w:rtl w:val="true"/>
        </w:rPr>
        <w:t>روایت</w:t>
      </w:r>
      <w:r>
        <w:rPr>
          <w:rtl w:val="true"/>
        </w:rPr>
        <w:t>«</w:t>
      </w:r>
      <w:r>
        <w:rPr>
          <w:rtl w:val="true"/>
        </w:rPr>
        <w:t>ابی‌عقبة</w:t>
      </w:r>
      <w:r>
        <w:rPr>
          <w:rtl w:val="true"/>
        </w:rPr>
        <w:t>»</w:t>
      </w:r>
      <w:bookmarkEnd w:id="86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ندارم که ابی هبیره برای قضاوت غیرفقیه را بگمارد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زن و مرد جمع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زن و مرد جدایی می‌اندازی؟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حدود را اجرا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یتیمان حکم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967"/>
      </w:r>
      <w:bookmarkStart w:id="863" w:name="pg5664_43563"/>
    </w:p>
    <w:p>
      <w:pPr>
        <w:pStyle w:val="BookText"/>
        <w:rPr/>
      </w:pPr>
      <w:bookmarkEnd w:id="863"/>
      <w:r>
        <w:rPr>
          <w:rFonts w:ascii="IRNazanin" w:hAnsi="IRNazanin" w:eastAsia="IRNazanin"/>
          <w:color w:val="111111"/>
          <w:sz w:val="28"/>
          <w:sz w:val="28"/>
          <w:szCs w:val="28"/>
          <w:rtl w:val="true"/>
          <w:lang w:bidi="fa-IR"/>
        </w:rPr>
        <w:t>همان‌گونه که آشکار است،روایت ظاهر است در اینکه اقامه حدود نیز از وظایف قضات بوده و قاضی همان‌گونه که در منازعات حکم می‌کند،باید در اقامه حدود نیز حکم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ادعا شده که این روایت در اینکه قاضی متصدی اقامه حدود،باید فقیه نیز باشد،ظهور دارد</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به نظر می‌رسد اگر نتوان چنین ظهوری را اثبات کرد،دست‌کم اشعار به این مطلب روشن است</w:t>
      </w:r>
      <w:r>
        <w:rPr>
          <w:rFonts w:eastAsia="IRNazanin" w:cs="IRNazanin"/>
          <w:color w:val="111111"/>
          <w:sz w:val="28"/>
          <w:szCs w:val="28"/>
          <w:rtl w:val="true"/>
          <w:lang w:bidi="fa-IR"/>
        </w:rPr>
        <w:t>.</w:t>
      </w:r>
    </w:p>
    <w:p>
      <w:pPr>
        <w:pStyle w:val="Heading6"/>
        <w:numPr>
          <w:ilvl w:val="5"/>
          <w:numId w:val="1"/>
        </w:numPr>
        <w:rPr/>
      </w:pPr>
      <w:bookmarkStart w:id="864" w:name="__RefHeading___Toc3420250_581953129"/>
      <w:bookmarkStart w:id="865" w:name="_Toc342"/>
      <w:bookmarkEnd w:id="864"/>
      <w:r>
        <w:rPr>
          <w:rtl w:val="true"/>
        </w:rPr>
        <w:t>موثّقه ابی‌مریم</w:t>
      </w:r>
      <w:bookmarkEnd w:id="865"/>
    </w:p>
    <w:p>
      <w:pPr>
        <w:pStyle w:val="BookText"/>
        <w:rPr/>
      </w:pPr>
      <w:r>
        <w:rPr>
          <w:rFonts w:ascii="IRNazanin" w:hAnsi="IRNazanin" w:eastAsia="IRNazanin"/>
          <w:color w:val="111111"/>
          <w:sz w:val="28"/>
          <w:sz w:val="28"/>
          <w:szCs w:val="28"/>
          <w:rtl w:val="true"/>
          <w:lang w:bidi="fa-IR"/>
        </w:rPr>
        <w:t xml:space="preserve">روایت ابی‌مریم </w:t>
      </w:r>
      <w:r>
        <w:rPr>
          <w:rStyle w:val="FootnoteAnchor"/>
          <w:rtl w:val="true"/>
        </w:rPr>
        <w:footnoteReference w:id="969"/>
      </w:r>
      <w:r>
        <w:rPr>
          <w:rFonts w:ascii="IRNazanin" w:hAnsi="IRNazanin" w:eastAsia="IRNazanin"/>
          <w:color w:val="111111"/>
          <w:sz w:val="28"/>
          <w:sz w:val="28"/>
          <w:szCs w:val="28"/>
          <w:rtl w:val="true"/>
          <w:lang w:bidi="fa-IR"/>
        </w:rPr>
        <w:t>نیز مؤید اجرای حدود از سوی قضات و مکمل استدلال به معتبره ابی‌خدیجه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قال قضی امیرالمومنین علیه السلام ان ما اخطات القضاة فی دم او قطع فعلی بیت مال المسلمین؛امیرمؤمنان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که خطای قضات،در خون و قطع بر بیت المال مسلمین است</w:t>
      </w:r>
      <w:r>
        <w:rPr>
          <w:rFonts w:eastAsia="IRNazanin" w:cs="IRNazanin"/>
          <w:color w:val="111111"/>
          <w:sz w:val="28"/>
          <w:szCs w:val="28"/>
          <w:rtl w:val="true"/>
          <w:lang w:bidi="fa-IR"/>
        </w:rPr>
        <w:t xml:space="preserve">». </w:t>
      </w:r>
      <w:r>
        <w:rPr>
          <w:rStyle w:val="FootnoteAnchor"/>
          <w:rtl w:val="true"/>
        </w:rPr>
        <w:footnoteReference w:id="97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روایت این است که اگر قضات پس از نصبشان برای قضاوت،بر</w:t>
      </w:r>
    </w:p>
    <w:p>
      <w:pPr>
        <w:pStyle w:val="BookText"/>
        <w:rPr/>
      </w:pPr>
      <w:r>
        <w:rPr>
          <w:rFonts w:ascii="IRNazanin" w:hAnsi="IRNazanin" w:eastAsia="IRNazanin"/>
          <w:color w:val="111111"/>
          <w:sz w:val="28"/>
          <w:sz w:val="28"/>
          <w:szCs w:val="28"/>
          <w:rtl w:val="true"/>
          <w:lang w:bidi="fa-IR"/>
        </w:rPr>
        <w:t>اساس آرا و دیدگاه‌های خود به قتل و قطع حکم دادند و در این حکم به خطا رفتند،باید دیه از بیت‌المال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است تنها در صورتی این امر ممکن است که ایشان بر اجرای حدود ولایت داشته باشند؛وگرنه،هیچ‌گاه خطا در اجرای حدود رخ نمی‌دهد</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چگونگی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به مقتضای این روایت حکم کردند که باید در موارد خطای قاضی در قتل و قطع،دیه از بیت المال پرداخت شود و این امر بر مشروعیت به‌دست گرفتن امر قطع و قتل از سوی قضات دلالت می‌کند؛در غیر این صورت،باید دیه را خود قضات بپردازند،نه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یا اطلاق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شامل موردی است که قطع یا قتل به‌واسطه اجرای حدود باشد،و هم استیفای حقوق مردم و حکم بین آنها در موارد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دربرمی‌گیرد</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البته باید توجه کرد که در روایت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بنابراین،شایسته است به جای تمسک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شامل حدود نیز می‌شود یا خیر؟گرچه معمولاً در عرف روایی،این واژه درباره قصاص به کار رفته است،ولی شاید بتوان با قیاس اولویت،مشروعیت اقامه حدود نیز را از سوی فقها به اثبات رسانید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روایات،ثابت می‌شود که ولایت بر اجرای حدود،جزء ولایت بر قضاست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هر دلیل این امر پذیرفته نشود و به تفکیک این دو ولایت قایل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برخی همین شیوه را در پیش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و ملازمه عقلی نیز قابل 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در بسیاری از موارد با قضاوت ملازمه دارد؛زیرا حد،یا حق الناس است مانند حد قذف و حد سرقت یا از حقوق الله است مانند حد زنا و امثال آن،و در هر صورت باید نزد قاضی اثبات گردد و بعید است قاضی به اثبات حد مأمور باشد،اما اجرای آن از او خواسته نشود؛چرا که اثبات،مقدمه اجراست و بدون ذی‌المقدمه،مقدمه فایده‌ای ندارد</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بنابراین،می‌توان گفت به</w:t>
      </w:r>
      <w:bookmarkStart w:id="866" w:name="pg5664_43565"/>
    </w:p>
    <w:p>
      <w:pPr>
        <w:pStyle w:val="BookText"/>
        <w:rPr/>
      </w:pPr>
      <w:bookmarkEnd w:id="866"/>
      <w:r>
        <w:rPr>
          <w:rFonts w:ascii="IRNazanin" w:hAnsi="IRNazanin" w:eastAsia="IRNazanin"/>
          <w:color w:val="111111"/>
          <w:sz w:val="28"/>
          <w:sz w:val="28"/>
          <w:szCs w:val="28"/>
          <w:rtl w:val="true"/>
          <w:lang w:bidi="fa-IR"/>
        </w:rPr>
        <w:t>دلیل تلازم قضا و اجرای حدود،از ثبوت ولایت در قضا می‌توان ولایت در اجرای حدود را اثبات کرد</w:t>
      </w:r>
      <w:r>
        <w:rPr>
          <w:rFonts w:eastAsia="IRNazanin" w:cs="IRNazanin"/>
          <w:color w:val="111111"/>
          <w:sz w:val="28"/>
          <w:szCs w:val="28"/>
          <w:rtl w:val="true"/>
          <w:lang w:bidi="fa-IR"/>
        </w:rPr>
        <w:t>.</w:t>
      </w:r>
    </w:p>
    <w:p>
      <w:pPr>
        <w:pStyle w:val="Heading6"/>
        <w:numPr>
          <w:ilvl w:val="5"/>
          <w:numId w:val="1"/>
        </w:numPr>
        <w:rPr/>
      </w:pPr>
      <w:bookmarkStart w:id="867" w:name="__RefHeading___Toc3420252_581953129"/>
      <w:bookmarkStart w:id="868" w:name="_Toc343"/>
      <w:bookmarkEnd w:id="867"/>
      <w:r>
        <w:rPr>
          <w:rtl w:val="true"/>
        </w:rPr>
        <w:t>اشکال یکم</w:t>
      </w:r>
      <w:r>
        <w:rPr>
          <w:rtl w:val="true"/>
        </w:rPr>
        <w:t>:</w:t>
      </w:r>
      <w:r>
        <w:rPr>
          <w:rtl w:val="true"/>
        </w:rPr>
        <w:t>اختصاص روایت به باب قضا</w:t>
      </w:r>
      <w:bookmarkEnd w:id="868"/>
    </w:p>
    <w:p>
      <w:pPr>
        <w:pStyle w:val="BookText"/>
        <w:rPr/>
      </w:pPr>
      <w:r>
        <w:rPr>
          <w:rFonts w:ascii="IRNazanin" w:hAnsi="IRNazanin" w:eastAsia="IRNazanin"/>
          <w:color w:val="111111"/>
          <w:sz w:val="28"/>
          <w:sz w:val="28"/>
          <w:szCs w:val="28"/>
          <w:rtl w:val="true"/>
          <w:lang w:bidi="fa-IR"/>
        </w:rPr>
        <w:t>سید احمد خوانساری بر استدلال به این روایت اشکال کرده،گفته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مخصوص باب قضاست</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و به قرینه صدر روایت،منظور از حکومت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فتحاکموا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است</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افزون بر اینکه پاسخ به این اشکال از آنچه در تبیین استدلال گفته شد،روشن می‌گردد و به تکرار آن نیازی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کردن مسئله قضا،به‌عنوان نمونه و جلوه‌ای از مسئله حکومت است که فراتر از مسألة قضاست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در این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باید مد نظر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باور کرد که ائمه به تن دادن به حکومت طاغوت،رضایت دهند و صرفاً تن دادن به قضاوت او را منع کرده باشند؟</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همچنین باید دقت کرد که استدلال به این روایت،بر ثبوت ولایت و زعامت فقیه بر امور سیاسی اجتماعی متوقف نیست،بلکه همین که با این روایت ولایت بر قضا ثابت شود،برای اثبات مشروعیت اجرای حدود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مُستشکل محترم نیز این قدر از ولایت را ثابت می‌داند،پس وجهی برای این اشکال نمی‌ماند</w:t>
      </w:r>
      <w:r>
        <w:rPr>
          <w:rFonts w:eastAsia="IRNazanin" w:cs="IRNazanin"/>
          <w:color w:val="111111"/>
          <w:sz w:val="28"/>
          <w:szCs w:val="28"/>
          <w:rtl w:val="true"/>
          <w:lang w:bidi="fa-IR"/>
        </w:rPr>
        <w:t>.</w:t>
      </w:r>
    </w:p>
    <w:p>
      <w:pPr>
        <w:pStyle w:val="Heading6"/>
        <w:numPr>
          <w:ilvl w:val="5"/>
          <w:numId w:val="1"/>
        </w:numPr>
        <w:rPr/>
      </w:pPr>
      <w:bookmarkStart w:id="869" w:name="__RefHeading___Toc3420254_581953129"/>
      <w:bookmarkStart w:id="870" w:name="_Toc344"/>
      <w:bookmarkEnd w:id="869"/>
      <w:r>
        <w:rPr>
          <w:rtl w:val="true"/>
        </w:rPr>
        <w:t>اشکال دوم</w:t>
      </w:r>
      <w:r>
        <w:rPr>
          <w:rtl w:val="true"/>
        </w:rPr>
        <w:t>:</w:t>
      </w:r>
      <w:r>
        <w:rPr>
          <w:rtl w:val="true"/>
        </w:rPr>
        <w:t>اختصاص به قاضی تحکیم</w:t>
      </w:r>
      <w:bookmarkEnd w:id="87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فاجعلوه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مراد از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فاجعلوه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قاضی‌ای است که از سوی طرفین دعوا جعل شده است،برخی مدعی‌اند مفاد روایت این است که هر کس را طرفین دعوا حَکَم در بین خود قرار دادند،حضرت به قضاوت نصب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روایت درباره قاضی تحکیم است و قاضی منصوب را دربرنمی‌گیرد</w:t>
      </w:r>
      <w:r>
        <w:rPr>
          <w:rFonts w:eastAsia="IRNazanin" w:cs="IRNazanin"/>
          <w:color w:val="111111"/>
          <w:sz w:val="28"/>
          <w:szCs w:val="28"/>
          <w:rtl w:val="true"/>
          <w:lang w:bidi="fa-IR"/>
        </w:rPr>
        <w:t xml:space="preserve">. </w:t>
      </w:r>
      <w:r>
        <w:rPr>
          <w:rStyle w:val="FootnoteAnchor"/>
          <w:rtl w:val="true"/>
        </w:rPr>
        <w:footnoteReference w:id="977"/>
      </w:r>
      <w:bookmarkStart w:id="871" w:name="pg5664_43566"/>
    </w:p>
    <w:p>
      <w:pPr>
        <w:pStyle w:val="BookText"/>
        <w:rPr/>
      </w:pPr>
      <w:bookmarkEnd w:id="871"/>
      <w:r>
        <w:rPr>
          <w:rFonts w:ascii="IRNazanin" w:hAnsi="IRNazanin" w:eastAsia="IRNazanin"/>
          <w:color w:val="111111"/>
          <w:sz w:val="28"/>
          <w:sz w:val="28"/>
          <w:szCs w:val="28"/>
          <w:rtl w:val="true"/>
          <w:lang w:bidi="fa-IR"/>
        </w:rPr>
        <w:t>به نظر می‌رسد چنین تفسیری از روایت،مخالف ظاهر آن است و روایت در قاضی تحکیم ظهور ندارد و اگر این روایت را به عرف عام ارجاع دهیم،هرگز چنین تفسیری از آن ارائه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به‌علاوه،قاضی تحکیم اصلاً از مناصب عام نیست تا به نصب و جعل امام نیاز داشته باشد</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در پاسخ به اشکال فوق نیز گفته شده که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و جعل امام علت نفوذ حکم و جواز رجوع است</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در تبیین این دیدگاه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قدجعلته 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بنابراین،مفاد روایت این‌گونه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که چیزی از قضایای ما را می‌داند،من به قضاوت نصب کرده‌ام،پس به او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انفصالیه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فتحاکمو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بر آن خواهد بود و مفاد این فقره روایت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قضاوت نصب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قضاوت را نزد او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احتمال،پیداست،که مقصود،منصوب شدن برای مقام قضاوت است،تا همواره مسائل مورد اختلاف نزد او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گردید بنا بر دو احتمال،این روایت بر نصب قضات دلالت می‌کند و تنها به یک احتمال خلاف ظاهر،ممکن است به قاضی تحکیم اختصاص یابد</w:t>
      </w:r>
      <w:r>
        <w:rPr>
          <w:rFonts w:eastAsia="IRNazanin" w:cs="IRNazanin"/>
          <w:color w:val="111111"/>
          <w:sz w:val="28"/>
          <w:szCs w:val="28"/>
          <w:rtl w:val="true"/>
          <w:lang w:bidi="fa-IR"/>
        </w:rPr>
        <w:t>.</w:t>
      </w:r>
    </w:p>
    <w:p>
      <w:pPr>
        <w:pStyle w:val="Heading6"/>
        <w:numPr>
          <w:ilvl w:val="5"/>
          <w:numId w:val="1"/>
        </w:numPr>
        <w:rPr/>
      </w:pPr>
      <w:bookmarkStart w:id="872" w:name="__RefHeading___Toc3420256_581953129"/>
      <w:bookmarkStart w:id="873" w:name="_Toc345"/>
      <w:bookmarkEnd w:id="872"/>
      <w:r>
        <w:rPr>
          <w:rtl w:val="true"/>
        </w:rPr>
        <w:t>اشکال سوم</w:t>
      </w:r>
      <w:r>
        <w:rPr>
          <w:rtl w:val="true"/>
        </w:rPr>
        <w:t>.</w:t>
      </w:r>
      <w:r>
        <w:rPr>
          <w:rtl w:val="true"/>
        </w:rPr>
        <w:t>ثبوت ولایت برای مجتهد متجزی</w:t>
      </w:r>
      <w:bookmarkEnd w:id="87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روایت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مطلق کسانی باشد که چیزی از علم ائمه را می‌دانند؛زیرا احاطه بر علوم اهل بیت برای هیچ‌کس ممکن نیست و عالم به احکام،علمش به هر مرتبه‌ای که باشد،جز اندکی از قضایای ایشان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مجتهدانی هستند که از کتاب و سنت به احکام علم دارند</w:t>
      </w:r>
      <w:r>
        <w:rPr>
          <w:rFonts w:eastAsia="IRNazanin" w:cs="IRNazanin"/>
          <w:color w:val="111111"/>
          <w:sz w:val="28"/>
          <w:szCs w:val="28"/>
          <w:rtl w:val="true"/>
          <w:lang w:bidi="fa-IR"/>
        </w:rPr>
        <w:t xml:space="preserve">». </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قابل توجه است که آوردن شیئاً به‌صورت نکره برای تفخیم است؛یعنی کسی که مقدار در خور توجهی از احکام شرعیه را به‌دست آورده باشد که مقصود،مجتهدین مطلق هستند،نه آنان که تنها از برخی احکام</w:t>
      </w:r>
      <w:bookmarkStart w:id="874" w:name="pg5664_43567"/>
    </w:p>
    <w:p>
      <w:pPr>
        <w:pStyle w:val="BookText"/>
        <w:rPr/>
      </w:pPr>
      <w:bookmarkEnd w:id="874"/>
      <w:r>
        <w:rPr>
          <w:rFonts w:ascii="IRNazanin" w:hAnsi="IRNazanin" w:eastAsia="IRNazanin"/>
          <w:color w:val="111111"/>
          <w:sz w:val="28"/>
          <w:sz w:val="28"/>
          <w:szCs w:val="28"/>
          <w:rtl w:val="true"/>
          <w:lang w:bidi="fa-IR"/>
        </w:rPr>
        <w:t>آگاهی دارند تا با تجزی در اجتهاد نیز تطابق داشته باشد</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در مقابل این دیدگاه،این احتمال نیز مطرح شده که این جمله اصلاً بر اعتبار اجتهاد دلالت نمی‌کند؛چه رسد به اینکه اطلاق اجتهاد را لازم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این دیدگاه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علوم اهل بیت قابل احاطه نیست،ولی قضایا و احکام ایشان در موارد خصومات قابل احاطه است؛به‌ویژه درباره کسی که در عصر ایشان زندگی می‌کرده است</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به نظر نگارنده،ظاهر روایت،نه مطلق بودن اجتهاد را معتبر می‌داند و نه ظهوری در شمول غیرمجتهد دارد،ولی قدر متیقن آن مجتهد مطلق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بنابراین،با فقدان ظهور لفظی باید به قدر متیقن مراجعه کرد؛مگر آنکه مجتهد مطلق برای تصدی قضا یافت نشود که در این صورت باید به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فالاحوط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در این صورت،مجتهد متجزی در باب قضا نیز می‌توان منصوب از طرف ائمه باشد و حتی در برخی موارد ممکن است غیرمجتهد نیز بدین منصب گمارده شود</w:t>
      </w:r>
      <w:r>
        <w:rPr>
          <w:rFonts w:eastAsia="IRNazanin" w:cs="IRNazanin"/>
          <w:color w:val="111111"/>
          <w:sz w:val="28"/>
          <w:szCs w:val="28"/>
          <w:rtl w:val="true"/>
          <w:lang w:bidi="fa-IR"/>
        </w:rPr>
        <w:t>.</w:t>
      </w:r>
    </w:p>
    <w:p>
      <w:pPr>
        <w:pStyle w:val="Heading5"/>
        <w:numPr>
          <w:ilvl w:val="4"/>
          <w:numId w:val="1"/>
        </w:numPr>
        <w:rPr/>
      </w:pPr>
      <w:bookmarkStart w:id="875" w:name="__RefHeading___Toc3420258_581953129"/>
      <w:bookmarkStart w:id="876" w:name="_Toc346"/>
      <w:bookmarkEnd w:id="875"/>
      <w:r>
        <w:rPr/>
        <w:t>5</w:t>
      </w:r>
      <w:r>
        <w:rPr>
          <w:rtl w:val="true"/>
        </w:rPr>
        <w:t>-</w:t>
      </w:r>
      <w:r>
        <w:rPr>
          <w:rtl w:val="true"/>
        </w:rPr>
        <w:t>توقیع شریف حضرت صاحب الزمان عجّل الله تعالی فرجه الشریف به اسحاق بن یعقوب</w:t>
      </w:r>
      <w:bookmarkEnd w:id="876"/>
    </w:p>
    <w:p>
      <w:pPr>
        <w:pStyle w:val="Heading6"/>
        <w:numPr>
          <w:ilvl w:val="5"/>
          <w:numId w:val="1"/>
        </w:numPr>
        <w:rPr/>
      </w:pPr>
      <w:bookmarkStart w:id="877" w:name="__RefHeading___Toc3420260_581953129"/>
      <w:bookmarkStart w:id="878" w:name="_Toc347"/>
      <w:bookmarkEnd w:id="877"/>
      <w:r>
        <w:rPr>
          <w:rtl w:val="true"/>
        </w:rPr>
        <w:t>اشاره</w:t>
      </w:r>
      <w:bookmarkEnd w:id="878"/>
    </w:p>
    <w:p>
      <w:pPr>
        <w:pStyle w:val="BookText"/>
        <w:rPr/>
      </w:pPr>
      <w:r>
        <w:rPr>
          <w:rFonts w:ascii="IRNazanin" w:hAnsi="IRNazanin" w:eastAsia="IRNazanin"/>
          <w:color w:val="111111"/>
          <w:sz w:val="28"/>
          <w:sz w:val="28"/>
          <w:szCs w:val="28"/>
          <w:rtl w:val="true"/>
          <w:lang w:bidi="fa-IR"/>
        </w:rPr>
        <w:t>اگر چه توقیع‌های بسیاری از امام مهدی عجّل الله تعالی فرجه الشریف به افراد فراوانی نوشته شده است،توقیع به اسحاق بن یعقوب،به دلیل اینکه به مسائل اساسی فقه مربوط می‌شود،ویژگی مهمی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این توقیع چنین است که اسحاق بن یعقوب در عصر غیبت صغری پرسش‌هایی را نوشت و آن را به محمد بن عثمان عمری،وکیل امام مهدی علیه السلام در آن زمان داد تا آن را به امام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پاسخ آنها را با امضای امام دریافت کرد و به همین سبب به توقیع شریف معروف شد</w:t>
      </w:r>
      <w:r>
        <w:rPr>
          <w:rFonts w:eastAsia="IRNazanin" w:cs="IRNazanin"/>
          <w:color w:val="111111"/>
          <w:sz w:val="28"/>
          <w:szCs w:val="28"/>
          <w:rtl w:val="true"/>
          <w:lang w:bidi="fa-IR"/>
        </w:rPr>
        <w:t xml:space="preserve">. </w:t>
      </w:r>
      <w:r>
        <w:rPr>
          <w:rStyle w:val="FootnoteAnchor"/>
          <w:rtl w:val="true"/>
        </w:rPr>
        <w:footnoteReference w:id="98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توقیع در کمال الدین و تمام النعمة شیخ صدوق و الغیبة شیخ طوسی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علما و محدثان دوره‌های بعد نیز آن را نقل کرده‌اند؛مانند طبرسی در</w:t>
      </w:r>
      <w:bookmarkStart w:id="879" w:name="pg5664_43568"/>
    </w:p>
    <w:p>
      <w:pPr>
        <w:pStyle w:val="BookText"/>
        <w:rPr/>
      </w:pPr>
      <w:bookmarkEnd w:id="879"/>
      <w:r>
        <w:rPr>
          <w:rFonts w:ascii="IRNazanin" w:hAnsi="IRNazanin" w:eastAsia="IRNazanin"/>
          <w:color w:val="111111"/>
          <w:sz w:val="28"/>
          <w:sz w:val="28"/>
          <w:szCs w:val="28"/>
          <w:rtl w:val="true"/>
          <w:lang w:bidi="fa-IR"/>
        </w:rPr>
        <w:t>الاحتجاج و علامه مجلسی در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کتاب‌ها اگر چه در نقل برخی از عبارت‌های این توقیع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بندهای آن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اکمال الدین به این شرح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عصام کلینی برای ما حدیث کرد که محمد بن یعقوب کلینی از اسحاق بن یعقوب برای ما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عثمان عمری خواستم تا نامه‌ای را به امام برساند که در آن،مسائلی را طرح کرده بودم،که بر من دشوار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توقیع شریف به خط مولایمان صاحب الزمان علیه السلام به دستم رسید و در آن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درباره حوادث رخ داده،به راویان حدیث ما رجوع کنید،که آنان حجت من بر شمایند و من حجت خدا بر ایشانم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 توقیع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و هر آن‌که پیرو هدایت باشد</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شیخ طوسی در الغیبة همین روایت را از جماعتی از جعفر بن محمد بن قولویه،ابی‌غالب زراری و دیگران از محمد بن یعقوب کلینی از اسحاق بن یعقوب نقل کرده است</w:t>
      </w:r>
      <w:r>
        <w:rPr>
          <w:rFonts w:eastAsia="IRNazanin" w:cs="IRNazanin"/>
          <w:color w:val="111111"/>
          <w:sz w:val="28"/>
          <w:szCs w:val="28"/>
          <w:rtl w:val="true"/>
          <w:lang w:bidi="fa-IR"/>
        </w:rPr>
        <w:t xml:space="preserve">. </w:t>
      </w:r>
      <w:r>
        <w:rPr>
          <w:rStyle w:val="FootnoteAnchor"/>
          <w:rtl w:val="true"/>
        </w:rPr>
        <w:footnoteReference w:id="985"/>
      </w:r>
    </w:p>
    <w:p>
      <w:pPr>
        <w:pStyle w:val="Heading6"/>
        <w:numPr>
          <w:ilvl w:val="5"/>
          <w:numId w:val="1"/>
        </w:numPr>
        <w:rPr/>
      </w:pPr>
      <w:bookmarkStart w:id="880" w:name="__RefHeading___Toc3420262_581953129"/>
      <w:bookmarkStart w:id="881" w:name="_Toc348"/>
      <w:bookmarkEnd w:id="880"/>
      <w:r>
        <w:rPr>
          <w:rtl w:val="true"/>
        </w:rPr>
        <w:t>یکم</w:t>
      </w:r>
      <w:r>
        <w:rPr>
          <w:rtl w:val="true"/>
        </w:rPr>
        <w:t>.</w:t>
      </w:r>
      <w:r>
        <w:rPr>
          <w:rtl w:val="true"/>
        </w:rPr>
        <w:t>بررسی سند توقیع شریف</w:t>
      </w:r>
      <w:bookmarkEnd w:id="881"/>
    </w:p>
    <w:p>
      <w:pPr>
        <w:pStyle w:val="Heading6"/>
        <w:numPr>
          <w:ilvl w:val="5"/>
          <w:numId w:val="1"/>
        </w:numPr>
        <w:rPr/>
      </w:pPr>
      <w:bookmarkStart w:id="882" w:name="__RefHeading___Toc3420264_581953129"/>
      <w:bookmarkStart w:id="883" w:name="_Toc349"/>
      <w:bookmarkEnd w:id="882"/>
      <w:r>
        <w:rPr>
          <w:rtl w:val="true"/>
        </w:rPr>
        <w:t>اشاره</w:t>
      </w:r>
      <w:bookmarkEnd w:id="883"/>
    </w:p>
    <w:p>
      <w:pPr>
        <w:pStyle w:val="BookText"/>
        <w:rPr/>
      </w:pPr>
      <w:r>
        <w:rPr>
          <w:rFonts w:ascii="IRNazanin" w:hAnsi="IRNazanin" w:eastAsia="IRNazanin"/>
          <w:color w:val="111111"/>
          <w:sz w:val="28"/>
          <w:sz w:val="28"/>
          <w:szCs w:val="28"/>
          <w:rtl w:val="true"/>
          <w:lang w:bidi="fa-IR"/>
        </w:rPr>
        <w:t>در فقه،توقیعات را به‌منزله دلیل و حجت شرعی معادل قول معصوم می‌دانند و در استنباط احکام به آنها استناد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با بررسی سند و ارزیابی راویان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دیانت و وثاقت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می‌شود؛چنان‌که قاعده برخورد با هر حدیث و روایت همین است و پس از اطمینان یافتن از درستی سند،بر آن اعتماد می و چونان یک حدیثی معتبر با آن برخورد می‌کننند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نوشتار ما نیز از همین الگو پیروی کرده،سند توقیع شریف را بررسی می‌کنیم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قدیم‌ترین منابع موجود توقیع شریف،برخی از آثار شیخ صدوق و شیخ طوسی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محدث،با سند متّصل روایت را از کلینی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اختلاف این دو سند پیش از محمد بن یعقوب کلینی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صدوق محمد بن محمد بن</w:t>
      </w:r>
      <w:bookmarkStart w:id="884" w:name="pg5664_43569"/>
    </w:p>
    <w:p>
      <w:pPr>
        <w:pStyle w:val="BookText"/>
        <w:rPr/>
      </w:pPr>
      <w:bookmarkEnd w:id="884"/>
      <w:r>
        <w:rPr>
          <w:rFonts w:ascii="IRNazanin" w:hAnsi="IRNazanin" w:eastAsia="IRNazanin"/>
          <w:color w:val="111111"/>
          <w:sz w:val="28"/>
          <w:sz w:val="28"/>
          <w:szCs w:val="28"/>
          <w:rtl w:val="true"/>
          <w:lang w:bidi="fa-IR"/>
        </w:rPr>
        <w:t xml:space="preserve">عصام کلینی قرار دارد که ظاهراً مجهول </w:t>
      </w:r>
      <w:r>
        <w:rPr>
          <w:rStyle w:val="FootnoteAnchor"/>
          <w:rtl w:val="true"/>
        </w:rPr>
        <w:footnoteReference w:id="986"/>
      </w:r>
      <w:r>
        <w:rPr>
          <w:rFonts w:ascii="IRNazanin" w:hAnsi="IRNazanin" w:eastAsia="IRNazanin"/>
          <w:color w:val="111111"/>
          <w:sz w:val="28"/>
          <w:sz w:val="28"/>
          <w:szCs w:val="28"/>
          <w:rtl w:val="true"/>
          <w:lang w:bidi="fa-IR"/>
        </w:rPr>
        <w:t>و از مشایخ صدوق است</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اما بهبهانی درباره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یروی الصدوق عنه مترضیا</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به‌علاوه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یعقوب کلینی روایت می‌کند که این دو امر موجب اعتماد به احادیث وی می‌گردد</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گرچه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 است،مجهول دانستن او خدشه‌ای به سند توقیع وارد نمی‌سازد؛زیرا این فرد در سند شیخ قرار نگرفته است</w:t>
      </w:r>
      <w:r>
        <w:rPr>
          <w:rFonts w:eastAsia="IRNazanin" w:cs="IRNazanin"/>
          <w:color w:val="111111"/>
          <w:sz w:val="28"/>
          <w:szCs w:val="28"/>
          <w:rtl w:val="true"/>
          <w:lang w:bidi="fa-IR"/>
        </w:rPr>
        <w:t>.</w:t>
      </w:r>
    </w:p>
    <w:p>
      <w:pPr>
        <w:pStyle w:val="Heading6"/>
        <w:numPr>
          <w:ilvl w:val="5"/>
          <w:numId w:val="1"/>
        </w:numPr>
        <w:rPr/>
      </w:pPr>
      <w:bookmarkStart w:id="885" w:name="__RefHeading___Toc3420266_581953129"/>
      <w:bookmarkStart w:id="886" w:name="_Toc350"/>
      <w:bookmarkEnd w:id="885"/>
      <w:r>
        <w:rPr>
          <w:rtl w:val="true"/>
        </w:rPr>
        <w:t>مجهول بودن اسحاق بن یعقوب</w:t>
      </w:r>
      <w:bookmarkEnd w:id="886"/>
    </w:p>
    <w:p>
      <w:pPr>
        <w:pStyle w:val="BookText"/>
        <w:rPr/>
      </w:pPr>
      <w:r>
        <w:rPr>
          <w:rFonts w:ascii="IRNazanin" w:hAnsi="IRNazanin" w:eastAsia="IRNazanin"/>
          <w:color w:val="111111"/>
          <w:sz w:val="28"/>
          <w:sz w:val="28"/>
          <w:szCs w:val="28"/>
          <w:rtl w:val="true"/>
          <w:lang w:bidi="fa-IR"/>
        </w:rPr>
        <w:t>بنابر آنچه گذشت،تنها ابهام موجود در سند روایت،شخصیت سؤال کننده،یعنی اسحاق بن یعقوب است که هیچ‌گونه اطلاعی از وی در کتاب‌های رجالی ثبت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نباید از نظر دور داشت که حضور بزرگ‌ترین شخصیت‌های رجالی،حدیثی و فقهی آن دوره در سند این روایت تا مرحوم کلینی،آن را در نهایت اعتبار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فقهای معاصر در این باره می‌نویسد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نیامدن نام اسحاق بن یعقوب در کتاب‌های رجالی،با توجه به اعتماد کسی چون کلینی به او،به‌ویژه در مورد این توقیع شریف،که شامل مطالب بسیار مهم از حضرت است،و همچنین اعتماد کسانی چون صدوق و شیخ الطایفه بر او،نمی‌توان در سند این حدیث مناقشه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بعید است که کلینی کسی چون او را که از معاصرین خودش است،نشناسد و این‌گونه از او نقل کند که به حضرت امام زمان نامه می‌نویسد و چنین مسائلی که جز خواص و بزرگان شیعه از آن پرسش نمی‌کنند،بپرسد و پاسخ حضرت به خط شریف خود ایشان به دستش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بنابراین،کلینی چنین کسی را به وثاقت و اهلیت برای این‌گونه مکاتبات می‌شناسد و در نتیجه،صحت سند این توقیع،جای هیچ‌گونه شکی نیست</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جامع الرواة مضمون روایت را نشانه علو مرتبه اسحاق بن یعقوب می‌داند</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آیت‌اللّه سید محمود حسینی شاهرودی نیز درباره توقیع در کتاب الحج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به اعتبار سند این حدیث اشکال کرد؛زیرا خود توقیع بر جایگاه والای اسحاق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آنکه شواهد صحت صدور که در متن توقیع وجود دارد،مورد توجه قرار گیرد</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در نهایت،اقدام علمای بزرگ در نقل این توقیع شریف در کتاب‌های روایی نیز سبب تقویت اعتبار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این،قراین دیگری نیز وجود دارد که مورد وثوق بودن اسحاق بن یعقوب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تشخیص درستی یا نادرستی ادعای اسحاق بن یعقوب آسان بود که آیا وی چنین نامه‌ای دریافت کرده و آیا نامه به خط امام بوده و آیا آن امضا،امضای امام بوده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ممکن بود که درستی یا نادرستی ادعای اسحاق بن یعقوب توسط محمد بن عثمان بن سعید یا سفیر بعدی روشن شود و حتی اگر بپذیریم که اسحاق بن یعقوب قبل از رسیدن توقیع به دست کلینی و یا قبل از آمدن کلینی به بغداد مرده بود،ولی در این نکته شکی نیست که کلینی مدت قابل توجهی با سفرای امام در بغداد زندگی کرد و به همین دلیل به سلسلی بغدادی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بنابراین،کلینی حتماً در پی بررسی صحت این توقیع بوده است و از طرف دیگر،او به جهت مهارت علمی‌اش در بررسی روایت،قادر به تشخیص درستی یا نادرستی ادعای اسحاق بن یعقوب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اوضاع آن زمان نیز مساعد بود تا کلینی درباره خود راوی و روایتش تحقیق کند و یا از سفرای امام بپرسد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احتمال دیگر نیز مطرح است که آن را علامه تستری در کتاب قاموس الرجال بیان کرده است که اسحاق بن یعقوب برادر بزرگ محمد بن یعقوب کلینی باشد؛زیرا اسم پدر هر دو یعقوب است و اسم جد محمد بن یعقوب کلینی نیز اسحاق بوده و عادت بسیاری از مردم این‌گونه است که نام جد را بر پسر بزرگ‌تر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بنابراین،احتمال دارد اسحاق بن یعقوب همان برادر بزرگ محمد بن یعقوب کلینی باشد؛همچنان‌که در نسخه کتاب کمال الدین شیخ صدوق که نزد علامه تستری بوده است،در</w:t>
      </w:r>
      <w:bookmarkStart w:id="887" w:name="pg5664_43571"/>
    </w:p>
    <w:p>
      <w:pPr>
        <w:pStyle w:val="BookText"/>
        <w:rPr/>
      </w:pPr>
      <w:bookmarkEnd w:id="887"/>
      <w:r>
        <w:rPr>
          <w:rFonts w:ascii="IRNazanin" w:hAnsi="IRNazanin" w:eastAsia="IRNazanin"/>
          <w:color w:val="111111"/>
          <w:sz w:val="28"/>
          <w:sz w:val="28"/>
          <w:szCs w:val="28"/>
          <w:rtl w:val="true"/>
          <w:lang w:bidi="fa-IR"/>
        </w:rPr>
        <w:t>پایان توقیع چنین عبارتی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 یا اسحاق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گویای این است که هر دو از اهالی روستای کلین بوده‌اند</w:t>
      </w:r>
      <w:r>
        <w:rPr>
          <w:rFonts w:eastAsia="IRNazanin" w:cs="IRNazanin"/>
          <w:color w:val="111111"/>
          <w:sz w:val="28"/>
          <w:szCs w:val="28"/>
          <w:rtl w:val="true"/>
          <w:lang w:bidi="fa-IR"/>
        </w:rPr>
        <w:t xml:space="preserve">. </w:t>
      </w:r>
      <w:r>
        <w:rPr>
          <w:rStyle w:val="FootnoteAnchor"/>
          <w:rtl w:val="true"/>
        </w:rPr>
        <w:footnoteReference w:id="993"/>
      </w:r>
    </w:p>
    <w:p>
      <w:pPr>
        <w:pStyle w:val="Heading6"/>
        <w:numPr>
          <w:ilvl w:val="5"/>
          <w:numId w:val="1"/>
        </w:numPr>
        <w:rPr/>
      </w:pPr>
      <w:bookmarkStart w:id="888" w:name="__RefHeading___Toc3420268_581953129"/>
      <w:bookmarkStart w:id="889" w:name="_Toc351"/>
      <w:bookmarkEnd w:id="888"/>
      <w:r>
        <w:rPr>
          <w:rtl w:val="true"/>
        </w:rPr>
        <w:t>عدم اعتماد کافی</w:t>
      </w:r>
      <w:bookmarkEnd w:id="889"/>
    </w:p>
    <w:p>
      <w:pPr>
        <w:pStyle w:val="BookText"/>
        <w:rPr/>
      </w:pPr>
      <w:r>
        <w:rPr>
          <w:rFonts w:ascii="IRNazanin" w:hAnsi="IRNazanin" w:eastAsia="IRNazanin"/>
          <w:color w:val="111111"/>
          <w:sz w:val="28"/>
          <w:sz w:val="28"/>
          <w:szCs w:val="28"/>
          <w:rtl w:val="true"/>
          <w:lang w:bidi="fa-IR"/>
        </w:rPr>
        <w:t>نقل نشدن این روایت در کافی عمده‌ترین اشکال،پس از شبهه در عدم وثاقت اسحاق بن یعقوب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حدیث،گمشده کلینی بود و تمام زندگی این بزرگوار وقف گردآوری و نگارش احادیث اهل بیت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و با وجود اینکه شیخ صدوق و شیخ طوسی،هر دو کلینی را راوی این توقیع از اسحاق بن یعقوب دانسته‌اند،این روایت در کافی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موجب قوّت گرفتن این احتمال می‌شود که ذکرنشدن در کافی به دلیل عدم اعتماد بوده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اشکال افزون بر احتمال تقیه،گفته شده که آوردن توقیع در کتاب کافی که فراوان در دسترس مردم بود،سبب می‌شد به زودی به دست خلیفه عباسی برسد و او بفهمد تنها راه دسترسی به امام مهدی علیه السلام شخص محمد بن عثمان بن سعید عمری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نقل توقیع در کتاب با حکمتی که در مسئله غیبت امام وجود دارد منافات داشت؛چون در روایات فراوانی آمده که آن حضرت به دلیل بیم از کشته شدن غایب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دلیل،کار محمد بن یعقوب کلینی عاقلانه بود که آن توقیع را در کتاب کافی نقل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نکاتی که این مطلب را تقویت می‌کند،این است که اصلاً هیچ توقیعی در کتاب کافی نیامده است و ظاهراً روش در این کتاب چنین بوده که از مطالب خلاف تقیه درباره امام مهدی علیه السلام خالی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پاسخ‌های پیشین می‌توان گفت از کجا می‌توان یقین داشت که کلینی آن توقیع را در هیچ‌یک از نوشته‌هایش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نکردن آن در کتاب کافی دلیل نمی‌شود که در کتاب دیگری نیز آن را نیاورده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 را در کتاب رسائل الائمه یا در کتاب دیگری آورده باشد؛به‌ویژه آنکه معمولاً چنین نویسندگانی رساله‌ها و نامه‌های ائمه را در کتاب جداگانه‌ای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می‌توان گفت کتاب کافی با دیگر کتاب‌ها فرق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مانند رساله عملیه بود تا در دسترس همه مردم قرار گیرد و نمی شد آن را مخفی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بنابراین،ملاحظات یادشده را هم به همراه</w:t>
      </w:r>
      <w:bookmarkStart w:id="890" w:name="pg5664_43572"/>
    </w:p>
    <w:p>
      <w:pPr>
        <w:pStyle w:val="BookText"/>
        <w:rPr/>
      </w:pPr>
      <w:bookmarkEnd w:id="890"/>
      <w:r>
        <w:rPr>
          <w:rFonts w:ascii="IRNazanin" w:hAnsi="IRNazanin" w:eastAsia="IRNazanin"/>
          <w:color w:val="111111"/>
          <w:sz w:val="28"/>
          <w:sz w:val="28"/>
          <w:szCs w:val="28"/>
          <w:rtl w:val="true"/>
          <w:lang w:bidi="fa-IR"/>
        </w:rPr>
        <w:t xml:space="preserve">داشت ولی امکان داشت که کتاب رسائل ائمه را از دسترس عموم مردم دور نگه داشت </w:t>
      </w:r>
      <w:r>
        <w:rPr>
          <w:rStyle w:val="FootnoteAnchor"/>
          <w:rtl w:val="true"/>
        </w:rPr>
        <w:footnoteReference w:id="994"/>
      </w:r>
      <w:r>
        <w:rPr>
          <w:rFonts w:ascii="IRNazanin" w:hAnsi="IRNazanin" w:eastAsia="IRNazanin"/>
          <w:color w:val="111111"/>
          <w:sz w:val="28"/>
          <w:sz w:val="28"/>
          <w:szCs w:val="28"/>
          <w:rtl w:val="true"/>
          <w:lang w:bidi="fa-IR"/>
        </w:rPr>
        <w:t>براساس این احتمال‌ها،نقل نشدن در کافی نمی‌تواند نشان دهنده عدم اعتماد به روای،و عدم وثوق به صدور روایت باشد</w:t>
      </w:r>
      <w:r>
        <w:rPr>
          <w:rFonts w:eastAsia="IRNazanin" w:cs="IRNazanin"/>
          <w:color w:val="111111"/>
          <w:sz w:val="28"/>
          <w:szCs w:val="28"/>
          <w:rtl w:val="true"/>
          <w:lang w:bidi="fa-IR"/>
        </w:rPr>
        <w:t>.</w:t>
      </w:r>
    </w:p>
    <w:p>
      <w:pPr>
        <w:pStyle w:val="Heading6"/>
        <w:numPr>
          <w:ilvl w:val="5"/>
          <w:numId w:val="1"/>
        </w:numPr>
        <w:rPr/>
      </w:pPr>
      <w:bookmarkStart w:id="891" w:name="__RefHeading___Toc3420270_581953129"/>
      <w:bookmarkStart w:id="892" w:name="_Toc352"/>
      <w:bookmarkEnd w:id="891"/>
      <w:r>
        <w:rPr>
          <w:rtl w:val="true"/>
        </w:rPr>
        <w:t>دوم</w:t>
      </w:r>
      <w:r>
        <w:rPr>
          <w:rtl w:val="true"/>
        </w:rPr>
        <w:t>.</w:t>
      </w:r>
      <w:r>
        <w:rPr>
          <w:rtl w:val="true"/>
        </w:rPr>
        <w:t>بررسی دلالت توقیع</w:t>
      </w:r>
      <w:bookmarkEnd w:id="892"/>
    </w:p>
    <w:p>
      <w:pPr>
        <w:pStyle w:val="Heading6"/>
        <w:numPr>
          <w:ilvl w:val="5"/>
          <w:numId w:val="1"/>
        </w:numPr>
        <w:rPr/>
      </w:pPr>
      <w:bookmarkStart w:id="893" w:name="__RefHeading___Toc3420272_581953129"/>
      <w:bookmarkStart w:id="894" w:name="_Toc353"/>
      <w:bookmarkEnd w:id="893"/>
      <w:r>
        <w:rPr>
          <w:rtl w:val="true"/>
        </w:rPr>
        <w:t>چگونگی استدلال</w:t>
      </w:r>
      <w:bookmarkEnd w:id="894"/>
    </w:p>
    <w:p>
      <w:pPr>
        <w:pStyle w:val="BookText"/>
        <w:rPr/>
      </w:pPr>
      <w:r>
        <w:rPr>
          <w:rFonts w:ascii="IRNazanin" w:hAnsi="IRNazanin" w:eastAsia="IRNazanin"/>
          <w:color w:val="111111"/>
          <w:sz w:val="28"/>
          <w:sz w:val="28"/>
          <w:szCs w:val="28"/>
          <w:rtl w:val="true"/>
          <w:lang w:bidi="fa-IR"/>
        </w:rPr>
        <w:t>مراد از حوادث واقعه در روایات نمی‌تواند صرفاً احکام شرعی یا منازعات باشد؛زیرا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نفس حادثه را به فقها رجوع داده‌اند،نه حکم آن و نه قضاوت درباره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حجتی علیکم و انا حجه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اموری مناسبت دارد که به رأی و نظر متکی است و اگر مراد احکام شرعی باشد،باید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می‌بودند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رجوع در مسائل شرعی به فقها،از بدیهیاتی است که قطعاً بر اسحاق بن یعقوب پوشیده نبوده است؛چه رسد به اینکه بر او مشکل شده باشد</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پس مراد از حوادث،مطلق مسائل مستحدثه‌ای است که در امور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برای شیعیان به پدید می‌آید که از آن جمله است اجرای حدود در زمان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توقیع شریف،فقها که راویان حقیقی احادیث ائمه و حجت ایشان بر مردم هستند،در همه مسائل مستحدثه و همه مناصب امام به نیابت از ایشان نصب می‌گردند که از جمله این مناصب،منصب اقامه حدود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دیگر،کلام امام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حجتی علیکم و انا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مقام تعلیل و بدون هیچ قیدی است،حجیت علی الاطلاق راویان حدیث را ثابت می‌کند و کاملاً در این ظهور دارد که آن‌ها در تمامی اموری که حضرت،حجت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اقامه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جواهر الکلام </w:t>
      </w:r>
      <w:r>
        <w:rPr>
          <w:rStyle w:val="FootnoteAnchor"/>
          <w:rtl w:val="true"/>
        </w:rPr>
        <w:footnoteReference w:id="996"/>
      </w:r>
      <w:r>
        <w:rPr>
          <w:rFonts w:ascii="IRNazanin" w:hAnsi="IRNazanin" w:eastAsia="IRNazanin"/>
          <w:color w:val="111111"/>
          <w:sz w:val="28"/>
          <w:sz w:val="28"/>
          <w:szCs w:val="28"/>
          <w:rtl w:val="true"/>
          <w:lang w:bidi="fa-IR"/>
        </w:rPr>
        <w:t>،ذیل حدیث در برخی از کتاب‌ها 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فانهم خلیفتی علیکم؛ </w:t>
      </w:r>
      <w:r>
        <w:rPr>
          <w:rStyle w:val="FootnoteAnchor"/>
          <w:rtl w:val="true"/>
        </w:rPr>
        <w:footnoteReference w:id="997"/>
      </w:r>
      <w:r>
        <w:rPr>
          <w:rFonts w:ascii="IRNazanin" w:hAnsi="IRNazanin" w:eastAsia="IRNazanin"/>
          <w:color w:val="111111"/>
          <w:sz w:val="28"/>
          <w:sz w:val="28"/>
          <w:szCs w:val="28"/>
          <w:rtl w:val="true"/>
          <w:lang w:bidi="fa-IR"/>
        </w:rPr>
        <w:t>که آنها خلیفه من بر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روایت</w:t>
      </w:r>
      <w:bookmarkStart w:id="895" w:name="pg5664_43573"/>
    </w:p>
    <w:p>
      <w:pPr>
        <w:pStyle w:val="BookText"/>
        <w:rPr/>
      </w:pPr>
      <w:bookmarkEnd w:id="895"/>
      <w:r>
        <w:rPr>
          <w:rFonts w:ascii="IRNazanin" w:hAnsi="IRNazanin" w:eastAsia="IRNazanin"/>
          <w:color w:val="111111"/>
          <w:sz w:val="28"/>
          <w:sz w:val="28"/>
          <w:szCs w:val="28"/>
          <w:rtl w:val="true"/>
          <w:lang w:bidi="fa-IR"/>
        </w:rPr>
        <w:t>این کتاب‌ها را بپذیریم،به‌یقین این ظهور،شدت بیشتری خواهد یافت؛چرا که عرفاً معلوم است مراد از خلیفه،عموم ولایت است؛مانند فرمایش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w:t>
      </w:r>
      <w:r>
        <w:rPr>
          <w:rFonts w:eastAsia="IRNazanin" w:cs="IRNazanin"/>
          <w:color w:val="111111"/>
          <w:sz w:val="28"/>
          <w:szCs w:val="28"/>
          <w:rtl w:val="true"/>
          <w:lang w:bidi="fa-IR"/>
        </w:rPr>
        <w:t xml:space="preserve">) . </w:t>
      </w:r>
      <w:r>
        <w:rPr>
          <w:rStyle w:val="FootnoteAnchor"/>
          <w:rtl w:val="true"/>
        </w:rPr>
        <w:footnoteReference w:id="998"/>
      </w:r>
    </w:p>
    <w:p>
      <w:pPr>
        <w:pStyle w:val="Heading6"/>
        <w:numPr>
          <w:ilvl w:val="5"/>
          <w:numId w:val="1"/>
        </w:numPr>
        <w:rPr/>
      </w:pPr>
      <w:bookmarkStart w:id="896" w:name="__RefHeading___Toc3420274_581953129"/>
      <w:bookmarkStart w:id="897" w:name="_Toc354"/>
      <w:bookmarkEnd w:id="896"/>
      <w:r>
        <w:rPr>
          <w:rtl w:val="true"/>
        </w:rPr>
        <w:t>اشکال یکم</w:t>
      </w:r>
      <w:r>
        <w:rPr>
          <w:rtl w:val="true"/>
        </w:rPr>
        <w:t>:</w:t>
      </w:r>
      <w:r>
        <w:rPr>
          <w:rtl w:val="true"/>
        </w:rPr>
        <w:t>اختصاص به احکام شرعیه</w:t>
      </w:r>
      <w:bookmarkEnd w:id="897"/>
    </w:p>
    <w:p>
      <w:pPr>
        <w:pStyle w:val="BookText"/>
        <w:rPr/>
      </w:pPr>
      <w:r>
        <w:rPr>
          <w:rFonts w:ascii="IRNazanin" w:hAnsi="IRNazanin" w:eastAsia="IRNazanin"/>
          <w:color w:val="111111"/>
          <w:sz w:val="28"/>
          <w:sz w:val="28"/>
          <w:szCs w:val="28"/>
          <w:rtl w:val="true"/>
          <w:lang w:bidi="fa-IR"/>
        </w:rPr>
        <w:t>این شبهه به دو بیان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برای عهد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 شرعیه‌ای که اسحاق بن یعقوب از امام پرسیده است</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بنابراین،نمی‌توانیم از این سخن حضرت استفاده کنیم که به فقیهان در همه زمینه‌ها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سیاسی و اجتماعی ولایت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می‌توان پذیرفت این است که فقط درباره آن قضایای معهود،نه بیشتر از آن به فقیهان ولایت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وجوهی که مطرح شد،این احتمال نفی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آن،با در نظر گرفتن سیاق،بعید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عهد باشد؛زیرا در دیگر بندهای روایت،مسائل شرعی و مسائل جزئی درباره افراد خاص پرسیده شده و امام به‌صورت خاص و جزء به جزء پاسخ آنها را بیان داشته‌اند،به نظر می‌رسد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مسائل شرعی خاصی می‌بود،حضرت حکم شرعی مسئله را به‌صورت خاص بیان می‌داشتند؛چنان‌که حکم فقاع و شلماب را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موضوع سؤال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احتمال برای عهد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 می‌شود و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بوده،برای عموم و استغراق دلالت می‌کند و مقصود از آن،مطلق مسائل مستحدثه،چه در امور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چه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مناسبتی میان نفس حوادث و احکامشان کافی است تا سؤال از حکم حوادث باشد تا فقیه مرجع در احکام باشد،نه خود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است روشن میان تعبیر ارجاع چیزی به شخصی و تعبیر ارجاع در آن چیز به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p>
    <w:p>
      <w:pPr>
        <w:pStyle w:val="BookText"/>
        <w:rPr/>
      </w:pPr>
      <w:r>
        <w:rPr>
          <w:rFonts w:ascii="IRNazanin" w:hAnsi="IRNazanin" w:eastAsia="IRNazanin"/>
          <w:color w:val="111111"/>
          <w:sz w:val="28"/>
          <w:sz w:val="28"/>
          <w:szCs w:val="28"/>
          <w:rtl w:val="true"/>
          <w:lang w:bidi="fa-IR"/>
        </w:rPr>
        <w:t>این است که در صورت اول خود آن شیء به شخص موکول می‌شود،اما در صورت دوم حکم آن شیء به شخص مورد نظر ارجاع داده می‌شود و با توجه به اینکه توقیع از نوع دوم است،در رجوع به فقها در مسائل شرعی ظهور دارد،نه غیر آن</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وجود قرینه و مناسبت موجب می‌شود بتوان حوادث را مجازاً در احکام حوادث به کاربرد،به هر حال این کاربرد مجازی است و به قرینه نیاز دارد و چنین قرینه‌ای ظاهراً موجود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گفته شود مناسبت حکم و موضوع و خود ارجاع به فقها در ارجاع احکام حوادث،ظهور دارد که مدعایی است نیازمند اثبات،ولی قابل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 میان ارجاع به چیزی و ارجاع در چیزی،ظاهراً وجه صحیحی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مثال،چه بگوییم امور قضایی به فقها ارجاع داده می‌شود و چه گفته شود در امور قضایی به فقها رجوع کنند،تفاوت معنایی پدید نمی‌آید و عرف از این دو عبارت این‌گونه می‌فهمد که فقها مرجع در امور قضایی هستند،نه اینکه فقها صرفاً مرجع در بیان احکام قضایی‌اند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مناسبت حکم و موضوعیت و قرینیت این امر ادعا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این،باید از این فقیه گران‌قدر پرسید اگر امام می‌خواست خود حوادث را به فقها ارجاع دهد،باید با چه عبارتی این مطلب را ابراز می‌کرد و آیا عبارتی غیر از عبارت توقیع شریف را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این توقیع،در زمان نیابت نایب دوم،ابوجعفر محمد بن عثمان صادر شده که دست‌کم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غیبت کبری فاصله داشته است، </w:t>
      </w:r>
      <w:r>
        <w:rPr>
          <w:rStyle w:val="FootnoteAnchor"/>
          <w:rtl w:val="true"/>
        </w:rPr>
        <w:footnoteReference w:id="1001"/>
      </w:r>
      <w:r>
        <w:rPr>
          <w:rFonts w:ascii="IRNazanin" w:hAnsi="IRNazanin" w:eastAsia="IRNazanin"/>
          <w:color w:val="111111"/>
          <w:sz w:val="28"/>
          <w:sz w:val="28"/>
          <w:szCs w:val="28"/>
          <w:rtl w:val="true"/>
          <w:lang w:bidi="fa-IR"/>
        </w:rPr>
        <w:t>در حالی که اگر این توقیع برای نصب فقیهان به نیابت عامه صادر شده است،طبیعتاً باید در واپسین روزهای غیبت صغری صادر می‌گردید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می‌توان گفت غیبت صغری زمینه‌ای بود برای آغاز غیبت کبری و حلّ مشکلات اجتماعی و دینی به‌دست عالمان و دانشمندان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صدور توقیع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آغاز غیبت صغری نیز به همین منظور صورت گرفته است تا به مرور در جامعه شیعه،زمینه برای پذیرش عالمان دینی در این مناصب پدید آید</w:t>
      </w:r>
      <w:r>
        <w:rPr>
          <w:rFonts w:eastAsia="IRNazanin" w:cs="IRNazanin"/>
          <w:color w:val="111111"/>
          <w:sz w:val="28"/>
          <w:szCs w:val="28"/>
          <w:rtl w:val="true"/>
          <w:lang w:bidi="fa-IR"/>
        </w:rPr>
        <w:t>.</w:t>
      </w:r>
      <w:bookmarkStart w:id="898" w:name="pg5664_43575"/>
    </w:p>
    <w:p>
      <w:pPr>
        <w:pStyle w:val="Heading6"/>
        <w:numPr>
          <w:ilvl w:val="5"/>
          <w:numId w:val="1"/>
        </w:numPr>
        <w:rPr/>
      </w:pPr>
      <w:bookmarkStart w:id="899" w:name="__RefHeading___Toc3420276_581953129"/>
      <w:bookmarkStart w:id="900" w:name="_Toc355"/>
      <w:bookmarkEnd w:id="898"/>
      <w:bookmarkEnd w:id="899"/>
      <w:r>
        <w:rPr>
          <w:rtl w:val="true"/>
        </w:rPr>
        <w:t>اشکال دوم</w:t>
      </w:r>
      <w:r>
        <w:rPr>
          <w:rtl w:val="true"/>
        </w:rPr>
        <w:t>:</w:t>
      </w:r>
      <w:r>
        <w:rPr>
          <w:rtl w:val="true"/>
        </w:rPr>
        <w:t>اضطراب متن</w:t>
      </w:r>
      <w:bookmarkEnd w:id="900"/>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خلیفتی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کتاب‌ها موجب اضطراب متن روایت می‌شود</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تعبیر در برخی روایات موجب اضطراب متن نمی‌شود؛چون این دو تعبیر هیچ تنافی با هم ندارند و قابل جمع‌اند و هر کدام صحیح باشد،قابل استفاده در استدلال است</w:t>
      </w:r>
      <w:r>
        <w:rPr>
          <w:rFonts w:eastAsia="IRNazanin" w:cs="IRNazanin"/>
          <w:color w:val="111111"/>
          <w:sz w:val="28"/>
          <w:szCs w:val="28"/>
          <w:rtl w:val="true"/>
          <w:lang w:bidi="fa-IR"/>
        </w:rPr>
        <w:t>.</w:t>
      </w:r>
    </w:p>
    <w:p>
      <w:pPr>
        <w:pStyle w:val="Heading6"/>
        <w:numPr>
          <w:ilvl w:val="5"/>
          <w:numId w:val="1"/>
        </w:numPr>
        <w:rPr/>
      </w:pPr>
      <w:bookmarkStart w:id="901" w:name="__RefHeading___Toc3420278_581953129"/>
      <w:bookmarkStart w:id="902" w:name="_Toc356"/>
      <w:bookmarkEnd w:id="901"/>
      <w:r>
        <w:rPr>
          <w:rtl w:val="true"/>
        </w:rPr>
        <w:t>اشکال سوم</w:t>
      </w:r>
      <w:r>
        <w:rPr>
          <w:rtl w:val="true"/>
        </w:rPr>
        <w:t>:</w:t>
      </w:r>
      <w:r>
        <w:rPr>
          <w:rtl w:val="true"/>
        </w:rPr>
        <w:t>عدم اختصاص راویان احادیث به فقها</w:t>
      </w:r>
      <w:bookmarkEnd w:id="902"/>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راویان احادیث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مراد،افراد ثقه و مورد اطمینانی هستند از 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بنابراین،از کجا استفاده می‌شود که مراد،فقیه جامع شرایط است</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پاسخ را در چند بند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ناقلان روایت نیست،بلکه روایت همراه با درایت مقصود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تعبیرات گوناگون ائمه علیهم السلام از لزوم همراه بودن روایت و درایت،سخن به میان آمده است؛مثل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حقیقی به درک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صرفاً به دنبال جمع روایت‌اند و از فهم آن نصیبی ندارند،در شمار سفهایند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درک روایات و درایت آنها،برتری و منزلت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دستور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کردن بسنده نکنید،بلکه خرد خود را برای فهم و درک آن به کار گیرید؛نه آنکه صرفاً به دنبال شنیدن روایت و ضبط الفاظ آن باشید</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مجموعه این‌گونه احادیث نشان می‌دهد راویان حقیقی از نظر ائمه،همان صاحبان درک صحیح از روایات و آشنایان با مکتب اهل بیت هستند</w:t>
      </w:r>
      <w:r>
        <w:rPr>
          <w:rFonts w:eastAsia="IRNazanin" w:cs="IRNazanin"/>
          <w:color w:val="111111"/>
          <w:sz w:val="28"/>
          <w:szCs w:val="28"/>
          <w:rtl w:val="true"/>
          <w:lang w:bidi="fa-IR"/>
        </w:rPr>
        <w:t xml:space="preserve">. </w:t>
      </w:r>
      <w:r>
        <w:rPr>
          <w:rStyle w:val="FootnoteAnchor"/>
          <w:rtl w:val="true"/>
        </w:rPr>
        <w:footnoteReference w:id="100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که مطمئناً فقاهت و اجتهاد مورد نظر بوده،در عین حال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کنندگان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ضمیمه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مقبوله عمر بن حنظله،</w:t>
      </w:r>
    </w:p>
    <w:p>
      <w:pPr>
        <w:pStyle w:val="BookText"/>
        <w:rPr/>
      </w:pPr>
      <w:r>
        <w:rPr>
          <w:rFonts w:ascii="IRNazanin" w:hAnsi="IRNazanin" w:eastAsia="IRNazanin"/>
          <w:color w:val="111111"/>
          <w:sz w:val="28"/>
          <w:sz w:val="28"/>
          <w:szCs w:val="28"/>
          <w:rtl w:val="true"/>
          <w:lang w:bidi="fa-IR"/>
        </w:rPr>
        <w:t>ابتدا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حدیثنا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و سپس تعبیراتِ گویای صاحب‌نظر بودن در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حلالنا وحرامنا و عرف احکامنا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شده است،در حالی که بدون بی‌گمان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دخالتی نداشته و از شرایط قاضی یا حاکم نیست،بلکه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آگاهی و اشراف بر سنت معصومان به‌عنوان یکی از غنی‌ترین منباع اجتهادی نمی‌باشد</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ائمه و تا مدتی پس از آن،غالباً فتاوا در قالب نقل روایات صورت می‌گرفته است و صاحبان قدرت اجتهاد،ترجیح می‌دادند در فتوا به متن نص بسنده کرده،از آن عبور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دیگر،طالبان احکام،چنان که به امام دسترسی نداشتند،با مراجعه به راویان شناخته شده،نظر حضرت را به دست می‌آوردند و از حلال و حرام الهی آگاه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رو،با توجه به اینکه در آن دوره‌ها،فقاهت بسیار بسیط بوده و تحت‌الشعاع روایت قرار داشته،جمع و تنقیح روایات،مهم‌ترین رکن اجتهاد به شمار می‌آمده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قرب به معصومان رایج بوده است؛لذا از فقها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به‌علاوه،تعبیر آوردن از فقها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از آن رو باشد که علمای شیعه،در برابر ائمه رأی و نظری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برخلاف دیگر فرقه‌ها اسلامی،قیاس و استحسان را مبنای فتوا قرار نمی‌دهند و فتوایشان بر اساس روایات 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فقهای شیعه،درحقیقت،راویان احادیث‌اند،برخلاف علمای مذاهب دیگر که چنین محدودیتی برای خویش قایل نیستند</w:t>
      </w:r>
      <w:r>
        <w:rPr>
          <w:rFonts w:eastAsia="IRNazanin" w:cs="IRNazanin"/>
          <w:color w:val="111111"/>
          <w:sz w:val="28"/>
          <w:szCs w:val="28"/>
          <w:rtl w:val="true"/>
          <w:lang w:bidi="fa-IR"/>
        </w:rPr>
        <w:t xml:space="preserve">. </w:t>
      </w:r>
      <w:r>
        <w:rPr>
          <w:rStyle w:val="FootnoteAnchor"/>
          <w:rtl w:val="true"/>
        </w:rPr>
        <w:footnoteReference w:id="100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توقیع شریف،قراینی وجود دارد که نشان می‌دهد صرف راوی بودن،مورد نظر نیست؛زیرا از یک سو،راوی به تناسب حکم و موضوع،باید لیاقت و صلاحیت آن را داشته باشد که امام،شیعیان را در حوادث واقعه به او ارجاع دهد و از سوی دیگر،باید در حدی از کمال علمی و عملی باشد که امام،او را در مقام حجت خود بر مردم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 فرد عامی که تنها سرمایه‌اش نقل چند حدیث،آن هم بدون درک محتوای آن و تشخیص عام و خاص و متعارضات آن بوده،از فهم موافقت</w:t>
      </w:r>
      <w:bookmarkStart w:id="903" w:name="pg5664_43577"/>
    </w:p>
    <w:p>
      <w:pPr>
        <w:pStyle w:val="BookText"/>
        <w:rPr/>
      </w:pPr>
      <w:bookmarkEnd w:id="903"/>
      <w:r>
        <w:rPr>
          <w:rFonts w:ascii="IRNazanin" w:hAnsi="IRNazanin" w:eastAsia="IRNazanin"/>
          <w:color w:val="111111"/>
          <w:sz w:val="28"/>
          <w:sz w:val="28"/>
          <w:szCs w:val="28"/>
          <w:rtl w:val="true"/>
          <w:lang w:bidi="fa-IR"/>
        </w:rPr>
        <w:t>یا مخالفتش با قرآن ناتوان است،می‌تواند مرجع حوادث باشد و از سوی امام در مقام حجتِ بر مردم معرفی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صدر و ذیل توقیع،خود شاهد آن است که هر راوی حدیثی،در دایره نصب حضرت قرار ندارد و اجمالاً افراد خاصی برای این کار برگزیده شده‌اند که لیاقت‌های ویژه‌ای دارند</w:t>
      </w:r>
      <w:r>
        <w:rPr>
          <w:rFonts w:eastAsia="IRNazanin" w:cs="IRNazanin"/>
          <w:color w:val="111111"/>
          <w:sz w:val="28"/>
          <w:szCs w:val="28"/>
          <w:rtl w:val="true"/>
          <w:lang w:bidi="fa-IR"/>
        </w:rPr>
        <w:t xml:space="preserve">. </w:t>
      </w:r>
      <w:r>
        <w:rPr>
          <w:rStyle w:val="FootnoteAnchor"/>
          <w:rtl w:val="true"/>
        </w:rPr>
        <w:footnoteReference w:id="1008"/>
      </w:r>
    </w:p>
    <w:p>
      <w:pPr>
        <w:pStyle w:val="Heading6"/>
        <w:numPr>
          <w:ilvl w:val="5"/>
          <w:numId w:val="1"/>
        </w:numPr>
        <w:rPr/>
      </w:pPr>
      <w:bookmarkStart w:id="904" w:name="__RefHeading___Toc3420280_581953129"/>
      <w:bookmarkStart w:id="905" w:name="_Toc357"/>
      <w:bookmarkEnd w:id="904"/>
      <w:r>
        <w:rPr>
          <w:rtl w:val="true"/>
        </w:rPr>
        <w:t>اشکال چهارم</w:t>
      </w:r>
      <w:r>
        <w:rPr>
          <w:rtl w:val="true"/>
        </w:rPr>
        <w:t>:</w:t>
      </w:r>
      <w:r>
        <w:rPr>
          <w:rtl w:val="true"/>
        </w:rPr>
        <w:t>اختصاص توقیع به امور تبلیغ دین</w:t>
      </w:r>
      <w:bookmarkEnd w:id="905"/>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حجیت،در امر تبلیغ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مدلول توقیع نبوده،مختص تبلیغ احکام است و شامل تصرفات شخصی در اموال و نفوس و تصدی مصالح عامه،حکومت،فصل خصومت و اجرای حدود نمی‌شود و همه این امور بیگانه از مفهوم حجیت می‌باشند که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بر بندگان به واسطه بعثت پیامبران احتجاج می‌نماید،و پیامبران نیز به واسطه نصب خلفا،و خلفا نیز به دلیل نایب قرار دادن فقها در تبلیغ اوامر و نواهی احتجاج می‌کنند و تصرفات،مورد و محل احتجاج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توقیع شریف بیگانه از مدعاست و بر نیابت فقها در امور یادشده دلالت نمی‌کند</w:t>
      </w:r>
      <w:r>
        <w:rPr>
          <w:rFonts w:eastAsia="IRNazanin" w:cs="IRNazanin"/>
          <w:color w:val="111111"/>
          <w:sz w:val="28"/>
          <w:szCs w:val="28"/>
          <w:rtl w:val="true"/>
          <w:lang w:bidi="fa-IR"/>
        </w:rPr>
        <w:t xml:space="preserve">. </w:t>
      </w:r>
      <w:r>
        <w:rPr>
          <w:rStyle w:val="FootnoteAnchor"/>
          <w:rtl w:val="true"/>
        </w:rPr>
        <w:footnoteReference w:id="100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ائمه علیهم السلام شایع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فرمایش حضرت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حجیت دیگر ائمه علیهم السلام فقط به معنای تبلیغ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هیچ وجه صحیحی برای تفکیک در معنای حجیت وجود ندارد،در نتیجه نباید تفاوتی بین حجیت امام عصر عجّل الله تعالی فرجه الشریف و دیگر ائمه علیهم السلام با حجیت فقها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فرق در این است که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امر تفاوت معنایی در پی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وحدت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بحث ولایت فقیه گشوده می‌شود و همان ولایت عامه‌ای که برای امام ثابت است،برای فقیه نیز اثبات می‌گردد،مگر ولایاتی که با دلیل خاص خارج گردد</w:t>
      </w:r>
      <w:r>
        <w:rPr>
          <w:rFonts w:eastAsia="IRNazanin" w:cs="IRNazanin"/>
          <w:color w:val="111111"/>
          <w:sz w:val="28"/>
          <w:szCs w:val="28"/>
          <w:rtl w:val="true"/>
          <w:lang w:bidi="fa-IR"/>
        </w:rPr>
        <w:t xml:space="preserve">. </w:t>
      </w:r>
      <w:r>
        <w:rPr>
          <w:rStyle w:val="FootnoteAnchor"/>
          <w:rtl w:val="true"/>
        </w:rPr>
        <w:footnoteReference w:id="1010"/>
      </w:r>
      <w:bookmarkStart w:id="906" w:name="pg5664_43578"/>
    </w:p>
    <w:p>
      <w:pPr>
        <w:pStyle w:val="Heading6"/>
        <w:numPr>
          <w:ilvl w:val="5"/>
          <w:numId w:val="1"/>
        </w:numPr>
        <w:rPr/>
      </w:pPr>
      <w:bookmarkStart w:id="907" w:name="__RefHeading___Toc3420282_581953129"/>
      <w:bookmarkStart w:id="908" w:name="_Toc358"/>
      <w:bookmarkEnd w:id="906"/>
      <w:bookmarkEnd w:id="907"/>
      <w:r>
        <w:rPr>
          <w:rtl w:val="true"/>
        </w:rPr>
        <w:t>اشکال ششم</w:t>
      </w:r>
      <w:r>
        <w:rPr>
          <w:rtl w:val="true"/>
        </w:rPr>
        <w:t>:</w:t>
      </w:r>
      <w:r>
        <w:rPr>
          <w:rtl w:val="true"/>
        </w:rPr>
        <w:t>عدم دلالت بر نصب</w:t>
      </w:r>
      <w:bookmarkEnd w:id="908"/>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بپذیریم در همه اموری که به رئیس مراجعه می‌شود باید به فقیه مراجعه کرد،نهایتا به واسطه توقیع لزوم اذن فقیه در معروفی که مأذون است ثابت می‌گردد،اما به واسطه این توقیع نمی‌توان مشروعیت تصرف خاصی در مال و عرض و یا فعل خاصی نظیر اقامه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مشروعیتشان تردید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اثبات رسانید</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گرچه در این اشکال اشاره‌ای به اقامه حدود نشده است،اما با توجه به این که شیخ انصاری اقامه حدود را نیز از اموری می‌شمارد که شک در مشروعیت آنها در زمان غیبت وجود دارد،این اشکال اقامه حدود را نیز می‌تواند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اشکال در صورتی وارد است که حکومت این روایت و امثال آن بر روایات باب حدود و ادله‌ای که ادعا شده اختصاص حدود به معصومین علیهم السلام را به اثبات می‌رسانند،را نپذیریم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همان گونه که در بحث از روایت اشعثیات گذشت به نظر نگارنده ادله ولایت فقیه که از جمله آنها توقیع شریف است،بر روایاتی نظیر روایت اشعثیات حکومت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می‌توان به واسطه همین روایات مشروعیت اقامه حدود را به اثبات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این مطالب باید گفت که اگر چه این توقیع شریف مورد اشکال‌های دلالی و سندی قرار گرفته است ولی در نهایت،توقیع شریف بر ولایت عامه فقیه در امور سیاسی اجتماعی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اقامه حدود نیز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می‌کند و در باره سند آن نیز گفتنی است که با در نظر گرفتن شرایط موجود آن زمان،اطمینان به صدوراین توقیع از امام مهدی علیه السلام حاصل می‌شود</w:t>
      </w:r>
      <w:r>
        <w:rPr>
          <w:rFonts w:eastAsia="IRNazanin" w:cs="IRNazanin"/>
          <w:color w:val="111111"/>
          <w:sz w:val="28"/>
          <w:szCs w:val="28"/>
          <w:rtl w:val="true"/>
          <w:lang w:bidi="fa-IR"/>
        </w:rPr>
        <w:t xml:space="preserve">. </w:t>
      </w:r>
      <w:r>
        <w:rPr>
          <w:rStyle w:val="FootnoteAnchor"/>
          <w:rtl w:val="true"/>
        </w:rPr>
        <w:footnoteReference w:id="1012"/>
      </w:r>
    </w:p>
    <w:p>
      <w:pPr>
        <w:pStyle w:val="Heading5"/>
        <w:numPr>
          <w:ilvl w:val="4"/>
          <w:numId w:val="1"/>
        </w:numPr>
        <w:rPr/>
      </w:pPr>
      <w:bookmarkStart w:id="909" w:name="__RefHeading___Toc3420284_581953129"/>
      <w:bookmarkStart w:id="910" w:name="_Toc359"/>
      <w:bookmarkEnd w:id="909"/>
      <w:r>
        <w:rPr/>
        <w:t>6</w:t>
      </w:r>
      <w:r>
        <w:rPr>
          <w:rtl w:val="true"/>
        </w:rPr>
        <w:t>-</w:t>
      </w:r>
      <w:r>
        <w:rPr>
          <w:rtl w:val="true"/>
        </w:rPr>
        <w:t>دیگر روایات</w:t>
      </w:r>
      <w:bookmarkEnd w:id="910"/>
    </w:p>
    <w:p>
      <w:pPr>
        <w:pStyle w:val="Heading6"/>
        <w:numPr>
          <w:ilvl w:val="5"/>
          <w:numId w:val="1"/>
        </w:numPr>
        <w:rPr/>
      </w:pPr>
      <w:bookmarkStart w:id="911" w:name="__RefHeading___Toc3420286_581953129"/>
      <w:bookmarkStart w:id="912" w:name="_Toc360"/>
      <w:bookmarkEnd w:id="911"/>
      <w:r>
        <w:rPr>
          <w:rtl w:val="true"/>
        </w:rPr>
        <w:t>الف</w:t>
      </w:r>
      <w:r>
        <w:rPr>
          <w:rtl w:val="true"/>
        </w:rPr>
        <w:t>)</w:t>
      </w:r>
      <w:r>
        <w:rPr>
          <w:rtl w:val="true"/>
        </w:rPr>
        <w:t>روایات منع از تعطیل حدود</w:t>
      </w:r>
      <w:bookmarkEnd w:id="912"/>
    </w:p>
    <w:p>
      <w:pPr>
        <w:pStyle w:val="Heading6"/>
        <w:numPr>
          <w:ilvl w:val="5"/>
          <w:numId w:val="1"/>
        </w:numPr>
        <w:rPr/>
      </w:pPr>
      <w:bookmarkStart w:id="913" w:name="__RefHeading___Toc3420288_581953129"/>
      <w:bookmarkStart w:id="914" w:name="_Toc361"/>
      <w:bookmarkEnd w:id="913"/>
      <w:r>
        <w:rPr>
          <w:rtl w:val="true"/>
        </w:rPr>
        <w:t>اشاره</w:t>
      </w:r>
      <w:bookmarkEnd w:id="91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وجود دارد که به صورت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عصر حضور و چه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را لازم و تعطیل آن را حرام دانسته‌اند؛از جمله،روایتی است</w:t>
      </w:r>
      <w:bookmarkStart w:id="915" w:name="pg5664_43579"/>
    </w:p>
    <w:p>
      <w:pPr>
        <w:pStyle w:val="BookText"/>
        <w:rPr/>
      </w:pPr>
      <w:bookmarkEnd w:id="915"/>
      <w:r>
        <w:rPr>
          <w:rFonts w:ascii="IRNazanin" w:hAnsi="IRNazanin" w:eastAsia="IRNazanin"/>
          <w:color w:val="111111"/>
          <w:sz w:val="28"/>
          <w:sz w:val="28"/>
          <w:szCs w:val="28"/>
          <w:rtl w:val="true"/>
          <w:lang w:bidi="fa-IR"/>
        </w:rPr>
        <w:t>که در ضمن آن امام علی علیه السلام هنگام اقامه حد بر زنی که چهار بار اقرار به زنا کرده است،چنین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پیامبرت خبر دادی که هر کس یکی از حدود مرا تعطیل نماید،با من دشمنی ورزیده،و با این کار دشمنی مرا طلب کرده است</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متن روایت بدین شرح است</w:t>
      </w:r>
    </w:p>
    <w:p>
      <w:pPr>
        <w:pStyle w:val="BookText"/>
        <w:rPr/>
      </w:pPr>
      <w:r>
        <w:rPr>
          <w:rFonts w:ascii="IRNazanin" w:hAnsi="IRNazanin" w:eastAsia="IRNazanin"/>
          <w:color w:val="111111"/>
          <w:sz w:val="28"/>
          <w:sz w:val="28"/>
          <w:szCs w:val="28"/>
          <w:rtl w:val="true"/>
          <w:lang w:bidi="fa-IR"/>
        </w:rPr>
        <w:t>عن الحسن بن محبوب،عن علی بن ابی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علی بن ابی حمزه بطائنی است به قرینه روایتش از ابی‌بصیر</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،عن أبی بصیر،عن عمران بن میثم أوصالح بن میثم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أتت امرأة مجح </w:t>
      </w:r>
      <w:r>
        <w:rPr>
          <w:rStyle w:val="FootnoteAnchor"/>
          <w:rtl w:val="true"/>
        </w:rPr>
        <w:footnoteReference w:id="1015"/>
      </w:r>
      <w:r>
        <w:rPr>
          <w:rFonts w:ascii="IRNazanin" w:hAnsi="IRNazanin" w:eastAsia="IRNazanin"/>
          <w:color w:val="111111"/>
          <w:sz w:val="28"/>
          <w:sz w:val="28"/>
          <w:szCs w:val="28"/>
          <w:rtl w:val="true"/>
          <w:lang w:bidi="fa-IR"/>
        </w:rPr>
        <w:t>امیرالمؤمنین علیه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امیرالمؤمنین،انّی زنیت فطهّرنی طهّر اللّه،فان عذاب الدنیا أیسر من عذاب الآخرة الذی لا ینقطع؟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اللّهمّ انه قد ثبت لک علیها أربع شهادات،و ان قد قلت لنبیک صلّی الله علیه و آله فیما أخبرته به من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عطل حداً من حدودی فقد عاندنی و طلب بذلک مضادتی اللهم فانی غیر معطل لحدودک و لا طالب مصادتک،و لا مضیع لاحکامک،بل مطیع لک،متبع سنة نبیک صلّی الله علیه و آله</w:t>
      </w:r>
      <w:r>
        <w:rPr>
          <w:rFonts w:eastAsia="IRNazanin" w:cs="IRNazanin"/>
          <w:color w:val="111111"/>
          <w:sz w:val="28"/>
          <w:szCs w:val="28"/>
          <w:rtl w:val="true"/>
          <w:lang w:bidi="fa-IR"/>
        </w:rPr>
        <w:t xml:space="preserve">» </w:t>
      </w:r>
      <w:r>
        <w:rPr>
          <w:rStyle w:val="FootnoteAnchor"/>
          <w:rtl w:val="true"/>
        </w:rPr>
        <w:footnoteReference w:id="1016"/>
      </w:r>
    </w:p>
    <w:p>
      <w:pPr>
        <w:pStyle w:val="Heading6"/>
        <w:numPr>
          <w:ilvl w:val="5"/>
          <w:numId w:val="1"/>
        </w:numPr>
        <w:rPr/>
      </w:pPr>
      <w:bookmarkStart w:id="916" w:name="__RefHeading___Toc3420290_581953129"/>
      <w:bookmarkStart w:id="917" w:name="_Toc362"/>
      <w:bookmarkEnd w:id="916"/>
      <w:r>
        <w:rPr>
          <w:rtl w:val="true"/>
        </w:rPr>
        <w:t>سند روایات</w:t>
      </w:r>
      <w:bookmarkEnd w:id="917"/>
    </w:p>
    <w:p>
      <w:pPr>
        <w:pStyle w:val="BookText"/>
        <w:rPr/>
      </w:pPr>
      <w:r>
        <w:rPr>
          <w:rFonts w:ascii="IRNazanin" w:hAnsi="IRNazanin" w:eastAsia="IRNazanin"/>
          <w:color w:val="111111"/>
          <w:sz w:val="28"/>
          <w:sz w:val="28"/>
          <w:szCs w:val="28"/>
          <w:rtl w:val="true"/>
          <w:lang w:bidi="fa-IR"/>
        </w:rPr>
        <w:t>این روایت در کافی شریف،من لایحضر،تهذیب و محاسن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شفتی در مورد سند این روایت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اعتبار سند این روایت نه تنها تردیدی نیست،بلکه از کمال قوت برخوردار است</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اما برای بررسی این ادعا لازم است،اسناد این روایت در کتب مذکور بررسی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بعد از ذکر روایت گفته است که مثل همین روایت را عده‌ای از اصحاب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حماد</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از ابی عبدالله علیه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کافی معتبر نیست زیرا در سند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حمزة بطائنی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گرفته که با وجود همه اختلافات موجود،نهایتا وثاقت او را نپذیرفته‌اند و او را در حکم ضعیف دانسته‌اند</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آقای خویی در موضعی از مبانی تکملة روایت دوم کافی را صحیح دانسته،اما در جای دیگری،آن را مورد تردید قرار داده،روایت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بعید شمرده است</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بنابراین روایت دوم کافی هم با تردید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تهذیب این حدیث را از خالد بن حماد </w:t>
      </w:r>
      <w:r>
        <w:rPr>
          <w:rStyle w:val="FootnoteAnchor"/>
          <w:rtl w:val="true"/>
        </w:rPr>
        <w:footnoteReference w:id="1021"/>
      </w:r>
      <w:r>
        <w:rPr>
          <w:rFonts w:ascii="IRNazanin" w:hAnsi="IRNazanin" w:eastAsia="IRNazanin"/>
          <w:color w:val="111111"/>
          <w:sz w:val="28"/>
          <w:sz w:val="28"/>
          <w:szCs w:val="28"/>
          <w:rtl w:val="true"/>
          <w:lang w:bidi="fa-IR"/>
        </w:rPr>
        <w:t>روایت کرده است،در حالی که خالد بن حماد اصلا وجود خارجی ندارد و غیر از این روایت هم از او نقل نشده است</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به احتمال قوی در سند شیخ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یوده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اشتباه در تصحیف و نسخه‌برداری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سند محاسن برقی </w:t>
      </w:r>
      <w:r>
        <w:rPr>
          <w:rStyle w:val="FootnoteAnchor"/>
          <w:rtl w:val="true"/>
        </w:rPr>
        <w:footnoteReference w:id="1023"/>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که مورد توثیق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نمی‌توان نقل‌های این روایت در کافی،تهذیب و محاسن را مورد اعتماد دانست و باید روایت صدوق را مورد بررسی قرار داد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شفتی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مرسل دانسته </w:t>
      </w:r>
      <w:r>
        <w:rPr>
          <w:rStyle w:val="FootnoteAnchor"/>
          <w:rtl w:val="true"/>
        </w:rPr>
        <w:footnoteReference w:id="1024"/>
      </w:r>
      <w:r>
        <w:rPr>
          <w:rFonts w:ascii="IRNazanin" w:hAnsi="IRNazanin" w:eastAsia="IRNazanin"/>
          <w:color w:val="111111"/>
          <w:sz w:val="28"/>
          <w:sz w:val="28"/>
          <w:szCs w:val="28"/>
          <w:rtl w:val="true"/>
          <w:lang w:bidi="fa-IR"/>
        </w:rPr>
        <w:t>اما تحقیق این است که روایت مرسل نیست و ادامه روایت قبل است که سعد بن طریف از اصبغ بن نباته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خویی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تکملة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با وجود این که طریق صدوق به اصبغ بن نباته را تضعیف کرده است، </w:t>
      </w:r>
      <w:r>
        <w:rPr>
          <w:rStyle w:val="FootnoteAnchor"/>
          <w:rtl w:val="true"/>
        </w:rPr>
        <w:footnoteReference w:id="1025"/>
      </w:r>
      <w:r>
        <w:rPr>
          <w:rFonts w:ascii="IRNazanin" w:hAnsi="IRNazanin" w:eastAsia="IRNazanin"/>
          <w:color w:val="111111"/>
          <w:sz w:val="28"/>
          <w:sz w:val="28"/>
          <w:szCs w:val="28"/>
          <w:rtl w:val="true"/>
          <w:lang w:bidi="fa-IR"/>
        </w:rPr>
        <w:t>سند صدوق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معتبر دانسته است</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در نتیجه با توجه به این که خود سعد نیز توثیق شده است </w:t>
      </w:r>
      <w:r>
        <w:rPr>
          <w:rStyle w:val="FootnoteAnchor"/>
          <w:rtl w:val="true"/>
        </w:rPr>
        <w:footnoteReference w:id="1027"/>
      </w:r>
      <w:r>
        <w:rPr>
          <w:rFonts w:ascii="IRNazanin" w:hAnsi="IRNazanin" w:eastAsia="IRNazanin"/>
          <w:color w:val="111111"/>
          <w:sz w:val="28"/>
          <w:sz w:val="28"/>
          <w:szCs w:val="28"/>
          <w:rtl w:val="true"/>
          <w:lang w:bidi="fa-IR"/>
        </w:rPr>
        <w:t>،پس روایت معتبر و</w:t>
      </w:r>
      <w:bookmarkStart w:id="918" w:name="pg5664_43581"/>
    </w:p>
    <w:p>
      <w:pPr>
        <w:pStyle w:val="BookText"/>
        <w:rPr/>
      </w:pPr>
      <w:bookmarkEnd w:id="918"/>
      <w:r>
        <w:rPr>
          <w:rFonts w:ascii="IRNazanin" w:hAnsi="IRNazanin" w:eastAsia="IRNazanin"/>
          <w:color w:val="111111"/>
          <w:sz w:val="28"/>
          <w:sz w:val="28"/>
          <w:szCs w:val="28"/>
          <w:rtl w:val="true"/>
          <w:lang w:bidi="fa-IR"/>
        </w:rPr>
        <w:t>صحیح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که به سبب نقل در چندین جامع روایی،مشهور نیز می‌باشد</w:t>
      </w:r>
      <w:r>
        <w:rPr>
          <w:rFonts w:eastAsia="IRNazanin" w:cs="IRNazanin"/>
          <w:color w:val="111111"/>
          <w:sz w:val="28"/>
          <w:szCs w:val="28"/>
          <w:rtl w:val="true"/>
          <w:lang w:bidi="fa-IR"/>
        </w:rPr>
        <w:t>.</w:t>
      </w:r>
    </w:p>
    <w:p>
      <w:pPr>
        <w:pStyle w:val="Heading6"/>
        <w:numPr>
          <w:ilvl w:val="5"/>
          <w:numId w:val="1"/>
        </w:numPr>
        <w:rPr/>
      </w:pPr>
      <w:bookmarkStart w:id="919" w:name="__RefHeading___Toc3420292_581953129"/>
      <w:bookmarkStart w:id="920" w:name="_Toc363"/>
      <w:bookmarkEnd w:id="919"/>
      <w:r>
        <w:rPr>
          <w:rtl w:val="true"/>
        </w:rPr>
        <w:t>چگونگی استدلال</w:t>
      </w:r>
      <w:bookmarkEnd w:id="920"/>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شدن حدود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اقامه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اسباب آن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حدیث،تعطیلی حدود به منزله دشمنی با خداست که از بزرگترین گناهان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تعطیلی حدود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در صورت تمکّن مطلقاً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قاعده اصولی 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 شامل عصرحضور و هم حکومت فقیه می‌شود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1" w:name="__RefHeading___Toc3420294_581953129"/>
      <w:bookmarkStart w:id="922" w:name="_Toc364"/>
      <w:bookmarkEnd w:id="921"/>
      <w:r>
        <w:rPr>
          <w:rtl w:val="true"/>
        </w:rPr>
        <w:t>نقد و بررسی</w:t>
      </w:r>
      <w:bookmarkEnd w:id="922"/>
    </w:p>
    <w:p>
      <w:pPr>
        <w:pStyle w:val="BookText"/>
        <w:rPr/>
      </w:pPr>
      <w:r>
        <w:rPr>
          <w:rFonts w:ascii="IRNazanin" w:hAnsi="IRNazanin" w:eastAsia="IRNazanin"/>
          <w:color w:val="111111"/>
          <w:sz w:val="28"/>
          <w:sz w:val="28"/>
          <w:szCs w:val="28"/>
          <w:rtl w:val="true"/>
          <w:lang w:bidi="fa-IR"/>
        </w:rPr>
        <w:t>ممکن است،ادعا شود که یکی از شرایط اقامه حدود،حضور امام معصوم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عدم اجرای اقامه حدود در زمان غیبت ناشی از فقدان اسباب بوده،تعطیل حدود صادق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دیدگاه عدم جواز،این اشکال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آن که دلیلی برای اثبات اشتراط حضور در دست نیست،نمی‌توان از ظهور روایت در لزوم و وجوب اقامه حدود،رفع 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علاوه بر این که دلالت روایت بر اهمیت اجرای حدود،پس از اثبات جرم و فراهم بودن امکان اقامه،روشن است،با این روایت می‌توان وجوب اقامه حدود در زمان غیبت را نیز به اثبات رسانید،البته پس از اثبات عدم اشتراط حضور امام معصوم علیه السلام</w:t>
      </w:r>
      <w:r>
        <w:rPr>
          <w:rFonts w:eastAsia="IRNazanin" w:cs="IRNazanin"/>
          <w:color w:val="111111"/>
          <w:sz w:val="28"/>
          <w:szCs w:val="28"/>
          <w:rtl w:val="true"/>
          <w:lang w:bidi="fa-IR"/>
        </w:rPr>
        <w:t>.</w:t>
      </w:r>
    </w:p>
    <w:p>
      <w:pPr>
        <w:pStyle w:val="Heading6"/>
        <w:numPr>
          <w:ilvl w:val="5"/>
          <w:numId w:val="1"/>
        </w:numPr>
        <w:rPr/>
      </w:pPr>
      <w:bookmarkStart w:id="923" w:name="__RefHeading___Toc3420296_581953129"/>
      <w:bookmarkStart w:id="924" w:name="_Toc365"/>
      <w:bookmarkEnd w:id="923"/>
      <w:r>
        <w:rPr>
          <w:rtl w:val="true"/>
        </w:rPr>
        <w:t>ب</w:t>
      </w:r>
      <w:r>
        <w:rPr>
          <w:rtl w:val="true"/>
        </w:rPr>
        <w:t>)</w:t>
      </w:r>
      <w:r>
        <w:rPr>
          <w:rtl w:val="true"/>
        </w:rPr>
        <w:t>روایات اهمیت اجرای حدود</w:t>
      </w:r>
      <w:bookmarkEnd w:id="924"/>
    </w:p>
    <w:p>
      <w:pPr>
        <w:pStyle w:val="Heading6"/>
        <w:numPr>
          <w:ilvl w:val="5"/>
          <w:numId w:val="1"/>
        </w:numPr>
        <w:rPr/>
      </w:pPr>
      <w:bookmarkStart w:id="925" w:name="__RefHeading___Toc3420298_581953129"/>
      <w:bookmarkStart w:id="926" w:name="_Toc366"/>
      <w:bookmarkEnd w:id="925"/>
      <w:r>
        <w:rPr>
          <w:rtl w:val="true"/>
        </w:rPr>
        <w:t>اشاره</w:t>
      </w:r>
      <w:bookmarkEnd w:id="926"/>
    </w:p>
    <w:p>
      <w:pPr>
        <w:pStyle w:val="BookText"/>
        <w:rPr/>
      </w:pPr>
      <w:r>
        <w:rPr>
          <w:rFonts w:ascii="IRNazanin" w:hAnsi="IRNazanin" w:eastAsia="IRNazanin"/>
          <w:color w:val="111111"/>
          <w:sz w:val="28"/>
          <w:sz w:val="28"/>
          <w:szCs w:val="28"/>
          <w:rtl w:val="true"/>
          <w:lang w:bidi="fa-IR"/>
        </w:rPr>
        <w:t>یکی از دلایل جواز اقامه حدود،روایات و نصوص مستفیضه‌ای است که با عنوان عام به ما رسیده است و بر اهمیت اجرای حدود دلالت می‌نماید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موثّقة حنّان بن سدیر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یقام فی الاءرض أزکی فیها من مطر أربعین لیلة و أیامها</w:t>
      </w:r>
      <w:r>
        <w:rPr>
          <w:rFonts w:eastAsia="IRNazanin" w:cs="IRNazanin"/>
          <w:color w:val="111111"/>
          <w:sz w:val="28"/>
          <w:szCs w:val="28"/>
          <w:rtl w:val="true"/>
          <w:lang w:bidi="fa-IR"/>
        </w:rPr>
        <w:t xml:space="preserve">». </w:t>
      </w:r>
      <w:r>
        <w:rPr>
          <w:rStyle w:val="FootnoteAnchor"/>
          <w:rtl w:val="true"/>
        </w:rPr>
        <w:footnoteReference w:id="1029"/>
      </w:r>
      <w:bookmarkStart w:id="927" w:name="pg5664_43582"/>
    </w:p>
    <w:p>
      <w:pPr>
        <w:pStyle w:val="BookText"/>
        <w:rPr/>
      </w:pPr>
      <w:bookmarkEnd w:id="927"/>
      <w:r>
        <w:rPr>
          <w:rFonts w:ascii="IRNazanin" w:hAnsi="IRNazanin" w:eastAsia="IRNazanin"/>
          <w:color w:val="111111"/>
          <w:sz w:val="28"/>
          <w:sz w:val="28"/>
          <w:szCs w:val="28"/>
          <w:rtl w:val="true"/>
          <w:lang w:bidi="fa-IR"/>
        </w:rPr>
        <w:t>و روایت سکونی از امام صادق علیه السلام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اقامة حدّ خَیر مِنْ مَطَر أربعین صباحا</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روایت دیگری نیز در کافی به این شرح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الرحمن بن الحجاج،عن ابی ابراهیم،فی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یحیها بالقطر،و لکن یبعث الله رجالا فیحیون العدل،فتحیا الارض لاحیاء العدل،و لاقامة الحد لله انفع فی الارض من القطر اربعین صباحا</w:t>
      </w:r>
      <w:r>
        <w:rPr>
          <w:rFonts w:eastAsia="IRNazanin" w:cs="IRNazanin"/>
          <w:color w:val="111111"/>
          <w:sz w:val="28"/>
          <w:szCs w:val="28"/>
          <w:rtl w:val="true"/>
          <w:lang w:bidi="fa-IR"/>
        </w:rPr>
        <w:t xml:space="preserve">». </w:t>
      </w:r>
      <w:r>
        <w:rPr>
          <w:rStyle w:val="FootnoteAnchor"/>
          <w:rtl w:val="true"/>
        </w:rPr>
        <w:footnoteReference w:id="1031"/>
      </w:r>
    </w:p>
    <w:p>
      <w:pPr>
        <w:pStyle w:val="Heading6"/>
        <w:numPr>
          <w:ilvl w:val="5"/>
          <w:numId w:val="1"/>
        </w:numPr>
        <w:rPr/>
      </w:pPr>
      <w:bookmarkStart w:id="928" w:name="__RefHeading___Toc3420300_581953129"/>
      <w:bookmarkStart w:id="929" w:name="_Toc367"/>
      <w:bookmarkEnd w:id="928"/>
      <w:r>
        <w:rPr>
          <w:rtl w:val="true"/>
        </w:rPr>
        <w:t>چگونگی استدلال</w:t>
      </w:r>
      <w:bookmarkEnd w:id="929"/>
    </w:p>
    <w:p>
      <w:pPr>
        <w:pStyle w:val="BookText"/>
        <w:rPr/>
      </w:pPr>
      <w:r>
        <w:rPr>
          <w:rFonts w:ascii="IRNazanin" w:hAnsi="IRNazanin" w:eastAsia="IRNazanin"/>
          <w:color w:val="111111"/>
          <w:sz w:val="28"/>
          <w:sz w:val="28"/>
          <w:szCs w:val="28"/>
          <w:rtl w:val="true"/>
          <w:lang w:bidi="fa-IR"/>
        </w:rPr>
        <w:t>این احادیث،نشان دهنده اهمیت و وجوب اقامه و اجرای حدود الهی در جامعه اسلامی است و مطلق بودن آن‌ها شامل حکومت فقیهان در عصر غیبت نیز می‌شود</w:t>
      </w:r>
      <w:r>
        <w:rPr>
          <w:rFonts w:eastAsia="IRNazanin" w:cs="IRNazanin"/>
          <w:color w:val="111111"/>
          <w:sz w:val="28"/>
          <w:szCs w:val="28"/>
          <w:rtl w:val="true"/>
          <w:lang w:bidi="fa-IR"/>
        </w:rPr>
        <w:t>.</w:t>
      </w:r>
    </w:p>
    <w:p>
      <w:pPr>
        <w:pStyle w:val="Heading6"/>
        <w:numPr>
          <w:ilvl w:val="5"/>
          <w:numId w:val="1"/>
        </w:numPr>
        <w:rPr/>
      </w:pPr>
      <w:bookmarkStart w:id="930" w:name="__RefHeading___Toc3420302_581953129"/>
      <w:bookmarkStart w:id="931" w:name="_Toc368"/>
      <w:bookmarkEnd w:id="930"/>
      <w:r>
        <w:rPr>
          <w:rtl w:val="true"/>
        </w:rPr>
        <w:t>نقد و بررسی</w:t>
      </w:r>
      <w:bookmarkEnd w:id="931"/>
    </w:p>
    <w:p>
      <w:pPr>
        <w:pStyle w:val="BookText"/>
        <w:rPr/>
      </w:pPr>
      <w:r>
        <w:rPr>
          <w:rFonts w:ascii="IRNazanin" w:hAnsi="IRNazanin" w:eastAsia="IRNazanin"/>
          <w:color w:val="111111"/>
          <w:sz w:val="28"/>
          <w:sz w:val="28"/>
          <w:szCs w:val="28"/>
          <w:rtl w:val="true"/>
          <w:lang w:bidi="fa-IR"/>
        </w:rPr>
        <w:t>اما استدلال به این روایات با اشکال مواجه است،زیرا صرف اثبات اهمیت اجرای حدود نمی‌تواند،وجوب اقامه حدود در عصر غیبت،را به اثبات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ادعا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اجرای حدود در این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قوانین و احکام خداوند است،نه حدود در قبال قصاص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در اسلام دو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حد به معنای اصطلاح خاص و یک حد به معنای قوانین خداوند است</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البته ناگفته نماند که این ادعا درست به نظر نمی‌رسد،زیرا هرچند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متعددی دارد،اما به نظر نگارنده،هرگاه به صورت مطلق استعمال شود و قرینه‌ای در کلام موجود نباشد،به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است،همچنین ممکن است در برخی از این روایات قراینی دال بر تعیین حد به مفهوم اصطلاحی و خاص،موجود باشد</w:t>
      </w:r>
      <w:r>
        <w:rPr>
          <w:rFonts w:eastAsia="IRNazanin" w:cs="IRNazanin"/>
          <w:color w:val="111111"/>
          <w:sz w:val="28"/>
          <w:szCs w:val="28"/>
          <w:rtl w:val="true"/>
          <w:lang w:bidi="fa-IR"/>
        </w:rPr>
        <w:t>.</w:t>
      </w:r>
    </w:p>
    <w:p>
      <w:pPr>
        <w:pStyle w:val="Heading6"/>
        <w:numPr>
          <w:ilvl w:val="5"/>
          <w:numId w:val="1"/>
        </w:numPr>
        <w:rPr/>
      </w:pPr>
      <w:bookmarkStart w:id="932" w:name="__RefHeading___Toc3420304_581953129"/>
      <w:bookmarkStart w:id="933" w:name="_Toc369"/>
      <w:bookmarkEnd w:id="932"/>
      <w:r>
        <w:rPr>
          <w:rtl w:val="true"/>
        </w:rPr>
        <w:t>ج</w:t>
      </w:r>
      <w:r>
        <w:rPr>
          <w:rtl w:val="true"/>
        </w:rPr>
        <w:t>)</w:t>
      </w:r>
      <w:r>
        <w:rPr>
          <w:rtl w:val="true"/>
        </w:rPr>
        <w:t>روایت ابی‌عبیده</w:t>
      </w:r>
      <w:bookmarkEnd w:id="933"/>
    </w:p>
    <w:p>
      <w:pPr>
        <w:pStyle w:val="Heading6"/>
        <w:numPr>
          <w:ilvl w:val="5"/>
          <w:numId w:val="1"/>
        </w:numPr>
        <w:rPr/>
      </w:pPr>
      <w:bookmarkStart w:id="934" w:name="__RefHeading___Toc3420306_581953129"/>
      <w:bookmarkStart w:id="935" w:name="_Toc370"/>
      <w:bookmarkEnd w:id="934"/>
      <w:r>
        <w:rPr>
          <w:rtl w:val="true"/>
        </w:rPr>
        <w:t>اشاره</w:t>
      </w:r>
      <w:bookmarkEnd w:id="93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محبوب،عن جمیل بن صالح،عن أبی عبیدة،عن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تزوجت رجلا ولها</w:t>
      </w:r>
      <w:bookmarkStart w:id="936" w:name="pg5664_43583"/>
    </w:p>
    <w:p>
      <w:pPr>
        <w:pStyle w:val="BookText"/>
        <w:rPr/>
      </w:pPr>
      <w:bookmarkEnd w:id="936"/>
      <w:r>
        <w:rPr>
          <w:rFonts w:ascii="IRNazanin" w:hAnsi="IRNazanin" w:eastAsia="IRNazanin"/>
          <w:color w:val="111111"/>
          <w:sz w:val="28"/>
          <w:sz w:val="28"/>
          <w:szCs w:val="28"/>
          <w:rtl w:val="true"/>
          <w:lang w:bidi="fa-IR"/>
        </w:rPr>
        <w:t>زوج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زوجها الأول مقیما معها فی المصر الذی هی فیه تصل إلیه ویصل إلیها فإن علیها ما علی الزانی المحصن الرجم،قال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زوجها الأول غائبا عنها أو کان مقیما معها فی المصر لا یصل إلیها ولا تصل إلیه فإن علیها ما علی الزانیة غیر المحصنة ولا لعان بینهما ولا تفریق،قلت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یرجمهما أو یضربهما الحد وزوجها لا یقدمها إلی الامام ولا یرید ذلک منها؟فقال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 لا یزال لله فی بدنها حتی یقوم به من قام أو تلقی الله و هو علیها غضبان،قلت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جاهلة بما صنعت؟قال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هی فی دار الهجرة؟قلت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 امرأة الیوم من نساء المسلمین إلا وهی تعلم أن المرأة المسلمة لا یحل لها أن تتزوج زوجین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المرأة إذا فجرت قالت،لم أدر أو جهلت أن الذی فعلت حرام ولم یقم علیها الحد إذا لتعطلت الحدود</w:t>
      </w:r>
      <w:r>
        <w:rPr>
          <w:rFonts w:eastAsia="IRNazanin" w:cs="IRNazanin"/>
          <w:color w:val="111111"/>
          <w:sz w:val="28"/>
          <w:szCs w:val="28"/>
          <w:rtl w:val="true"/>
          <w:lang w:bidi="fa-IR"/>
        </w:rPr>
        <w:t xml:space="preserve">. </w:t>
      </w:r>
      <w:r>
        <w:rPr>
          <w:rStyle w:val="FootnoteAnchor"/>
          <w:rtl w:val="true"/>
        </w:rPr>
        <w:footnoteReference w:id="1033"/>
      </w:r>
    </w:p>
    <w:p>
      <w:pPr>
        <w:pStyle w:val="Heading6"/>
        <w:numPr>
          <w:ilvl w:val="5"/>
          <w:numId w:val="1"/>
        </w:numPr>
        <w:rPr/>
      </w:pPr>
      <w:bookmarkStart w:id="937" w:name="__RefHeading___Toc3420308_581953129"/>
      <w:bookmarkStart w:id="938" w:name="_Toc371"/>
      <w:bookmarkEnd w:id="937"/>
      <w:r>
        <w:rPr>
          <w:rtl w:val="true"/>
        </w:rPr>
        <w:t>چگونگی استدلال</w:t>
      </w:r>
      <w:bookmarkEnd w:id="938"/>
    </w:p>
    <w:p>
      <w:pPr>
        <w:pStyle w:val="BookText"/>
        <w:rPr/>
      </w:pPr>
      <w:r>
        <w:rPr>
          <w:rFonts w:ascii="IRNazanin" w:hAnsi="IRNazanin" w:eastAsia="IRNazanin"/>
          <w:color w:val="111111"/>
          <w:sz w:val="28"/>
          <w:sz w:val="28"/>
          <w:szCs w:val="28"/>
          <w:rtl w:val="true"/>
          <w:lang w:bidi="fa-IR"/>
        </w:rPr>
        <w:t>دو فقره از این روایت مورد استدلال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یقوم به من قام</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گفته شده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در این عبارت؛اعم از امام و غیر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شامل فقها که نایبان امام علیه السلام در عصر غیبت هستند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لتعطّلت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عموم است و ازعموم تعلیل،اقامه حدود در زمان غیبتِ امام معصوم برداشت می‌شود؛چون اگر حدود در عصر غیبت اجرا نشود،موجب تعطیلی حکم الله خواهد شد،در حالی که هدف قانون گذار حکیم از وضع احکام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ناموس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نفوس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اعمالی است که موجب هلاکت نفسشان می‌شود و اگر بنا باشد در عصر غیبت چنین حکمی تعطیل باشد قطعاً اختلال نظام و نقض غرض پیش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بنابراین،اجرای حدود الهی همانگونه که در زمان حکومت معصوم جایز،بلکه واجب است در عصر غیبت نیز،نواب عام معصومین که همان فقهای جامع الشرائط هستند،باید مجری احکام الهی؛از جمله اقامهءحدود باشند</w:t>
      </w:r>
      <w:r>
        <w:rPr>
          <w:rFonts w:eastAsia="IRNazanin" w:cs="IRNazanin"/>
          <w:color w:val="111111"/>
          <w:sz w:val="28"/>
          <w:szCs w:val="28"/>
          <w:rtl w:val="true"/>
          <w:lang w:bidi="fa-IR"/>
        </w:rPr>
        <w:t>.</w:t>
      </w:r>
    </w:p>
    <w:p>
      <w:pPr>
        <w:pStyle w:val="Heading6"/>
        <w:numPr>
          <w:ilvl w:val="5"/>
          <w:numId w:val="1"/>
        </w:numPr>
        <w:rPr/>
      </w:pPr>
      <w:bookmarkStart w:id="939" w:name="__RefHeading___Toc3420310_581953129"/>
      <w:bookmarkStart w:id="940" w:name="_Toc372"/>
      <w:bookmarkEnd w:id="939"/>
      <w:r>
        <w:rPr>
          <w:rtl w:val="true"/>
        </w:rPr>
        <w:t>نقد و بررسی</w:t>
      </w:r>
      <w:bookmarkEnd w:id="94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اطلاقی قابل استفاده نیست؛به قرینه روایت دیگری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941" w:name="pg5664_43584"/>
    </w:p>
    <w:p>
      <w:pPr>
        <w:pStyle w:val="BookText"/>
        <w:rPr/>
      </w:pPr>
      <w:bookmarkEnd w:id="941"/>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تفسیر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محبوب،عن أبی أیوب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بکیر ابن أعین یروی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بذات محرم حتی یواقعها ضرب ضربة بالسیف أخذت منه ما أخذت و إن کانت تابعته ضربت ضربة بالسیف أخذت منها ما أخذت،قیل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یضربهما ولیس لهما خصم؟قال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علی الامام إذا رفعا إلیه</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در کنار هم قرار دادن این دو روایت نشان می‌دهد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سابق،امام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امکان دارد که مراد از امام،اعم از امام معصوم علیه السلام و نایبان 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تعلیل مورد استفاده از روایت هم،مانند روایات منع از تعطیل حدود،مبتنی بر اثبات عدم اشتراط حضور امام معصوم علیه السلام است</w:t>
      </w:r>
      <w:r>
        <w:rPr>
          <w:rFonts w:eastAsia="IRNazanin" w:cs="IRNazanin"/>
          <w:color w:val="111111"/>
          <w:sz w:val="28"/>
          <w:szCs w:val="28"/>
          <w:rtl w:val="true"/>
          <w:lang w:bidi="fa-IR"/>
        </w:rPr>
        <w:t>.</w:t>
      </w:r>
    </w:p>
    <w:p>
      <w:pPr>
        <w:pStyle w:val="Heading6"/>
        <w:numPr>
          <w:ilvl w:val="5"/>
          <w:numId w:val="1"/>
        </w:numPr>
        <w:rPr/>
      </w:pPr>
      <w:bookmarkStart w:id="942" w:name="__RefHeading___Toc3420312_581953129"/>
      <w:bookmarkStart w:id="943" w:name="_Toc373"/>
      <w:bookmarkEnd w:id="942"/>
      <w:r>
        <w:rPr>
          <w:rtl w:val="true"/>
        </w:rPr>
        <w:t>د</w:t>
      </w:r>
      <w:r>
        <w:rPr>
          <w:rtl w:val="true"/>
        </w:rPr>
        <w:t>)</w:t>
      </w:r>
      <w:r>
        <w:rPr>
          <w:rtl w:val="true"/>
        </w:rPr>
        <w:t>نبوی مشهور</w:t>
      </w:r>
      <w:r>
        <w:rPr>
          <w:rtl w:val="true"/>
        </w:rPr>
        <w:t>:«</w:t>
      </w:r>
      <w:r>
        <w:rPr>
          <w:rtl w:val="true"/>
        </w:rPr>
        <w:t>علماء امتی کانبیاء بنی اسرائیل</w:t>
      </w:r>
      <w:r>
        <w:rPr>
          <w:rtl w:val="true"/>
        </w:rPr>
        <w:t>»</w:t>
      </w:r>
      <w:bookmarkEnd w:id="943"/>
    </w:p>
    <w:p>
      <w:pPr>
        <w:pStyle w:val="BookText"/>
        <w:rPr/>
      </w:pPr>
      <w:r>
        <w:rPr>
          <w:rFonts w:ascii="IRNazanin" w:hAnsi="IRNazanin" w:eastAsia="IRNazanin"/>
          <w:color w:val="111111"/>
          <w:sz w:val="28"/>
          <w:sz w:val="28"/>
          <w:szCs w:val="28"/>
          <w:rtl w:val="true"/>
          <w:lang w:bidi="fa-IR"/>
        </w:rPr>
        <w:t>در نبوی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کانبیاء بنی اسرائیل</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و مانند آن حدیث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الفقیه فی هذا الوقت کمنزلة الانبیاء فی بنی اسرائیل</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علما امت به منزله انبیاء بنی اسرائیل معرفی شده‌اند و شکی نیست که انبیاء می‌توانند اقامه حدود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هر دو روایت مرسل هستند و معلوم نیست که کتاب فقه الرضا از حضرت امام رضا علیه السلام باشد،عمل اصحاب جابر ضعف سند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نبوی مشهور هرچند اطلاق دارد ولی به احتمال زیاد مراد از علما،اهل بیت علیهم السلام می‌باشد؛به همین دلیل بزرگان شیعه،در موارد متعددی،برای اثبات منزلت اهل بیت علیهم السلام و حتی عصمت ایشان،به این روایت استناد کرده‌اند</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علاوه بر این،همان طور که در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 است،وصف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اهل‌بیت علیهم السلام در موارد زیادی به کار رفته است</w:t>
      </w:r>
      <w:r>
        <w:rPr>
          <w:rFonts w:eastAsia="IRNazanin" w:cs="IRNazanin"/>
          <w:color w:val="111111"/>
          <w:sz w:val="28"/>
          <w:szCs w:val="28"/>
          <w:rtl w:val="true"/>
          <w:lang w:bidi="fa-IR"/>
        </w:rPr>
        <w:t xml:space="preserve">. </w:t>
      </w:r>
      <w:r>
        <w:rPr>
          <w:rStyle w:val="FootnoteAnchor"/>
          <w:rtl w:val="true"/>
        </w:rPr>
        <w:footnoteReference w:id="1039"/>
      </w:r>
      <w:bookmarkStart w:id="944" w:name="pg5664_43585"/>
    </w:p>
    <w:p>
      <w:pPr>
        <w:pStyle w:val="BookText"/>
        <w:rPr/>
      </w:pPr>
      <w:bookmarkEnd w:id="944"/>
      <w:r>
        <w:rPr>
          <w:rFonts w:ascii="IRNazanin" w:hAnsi="IRNazanin" w:eastAsia="IRNazanin"/>
          <w:color w:val="111111"/>
          <w:sz w:val="28"/>
          <w:sz w:val="28"/>
          <w:szCs w:val="28"/>
          <w:rtl w:val="true"/>
          <w:lang w:bidi="fa-IR"/>
        </w:rPr>
        <w:t>حدیث دوم هم در مقام بیان منزلت و شأن والای فقهاست،و منزلت ایشان را همسنگ،انبیاء بنی اسرائیل دانسته،اما این امر ملازمه‌ای با همسانی در اختیارات و وظایف ندارد؛به طور حتم،انبیاء بنی‌اسرائیل به دلیل نبوت و عصمت،وظایفی داشتند که فقها چنین وظایفی،بر دوش ندارند</w:t>
      </w:r>
      <w:r>
        <w:rPr>
          <w:rFonts w:eastAsia="IRNazanin" w:cs="IRNazanin"/>
          <w:color w:val="111111"/>
          <w:sz w:val="28"/>
          <w:szCs w:val="28"/>
          <w:rtl w:val="true"/>
          <w:lang w:bidi="fa-IR"/>
        </w:rPr>
        <w:t>.</w:t>
      </w:r>
    </w:p>
    <w:p>
      <w:pPr>
        <w:pStyle w:val="Heading6"/>
        <w:numPr>
          <w:ilvl w:val="5"/>
          <w:numId w:val="1"/>
        </w:numPr>
        <w:rPr/>
      </w:pPr>
      <w:bookmarkStart w:id="945" w:name="__RefHeading___Toc3420314_581953129"/>
      <w:bookmarkStart w:id="946" w:name="_Toc374"/>
      <w:bookmarkEnd w:id="945"/>
      <w:r>
        <w:rPr>
          <w:rtl w:val="true"/>
        </w:rPr>
        <w:t>ه</w:t>
      </w:r>
      <w:r>
        <w:rPr>
          <w:rtl w:val="true"/>
        </w:rPr>
        <w:t>)</w:t>
      </w:r>
      <w:r>
        <w:rPr>
          <w:rtl w:val="true"/>
        </w:rPr>
        <w:t>حدیث اللهم ارحم خلفائی</w:t>
      </w:r>
      <w:bookmarkEnd w:id="946"/>
    </w:p>
    <w:p>
      <w:pPr>
        <w:pStyle w:val="Heading6"/>
        <w:numPr>
          <w:ilvl w:val="5"/>
          <w:numId w:val="1"/>
        </w:numPr>
        <w:rPr/>
      </w:pPr>
      <w:bookmarkStart w:id="947" w:name="__RefHeading___Toc3420316_581953129"/>
      <w:bookmarkStart w:id="948" w:name="_Toc375"/>
      <w:bookmarkEnd w:id="947"/>
      <w:r>
        <w:rPr>
          <w:rtl w:val="true"/>
        </w:rPr>
        <w:t>اشاره</w:t>
      </w:r>
      <w:bookmarkEnd w:id="948"/>
    </w:p>
    <w:p>
      <w:pPr>
        <w:pStyle w:val="BookText"/>
        <w:rPr/>
      </w:pPr>
      <w:r>
        <w:rPr>
          <w:rFonts w:ascii="IRNazanin" w:hAnsi="IRNazanin" w:eastAsia="IRNazanin"/>
          <w:color w:val="111111"/>
          <w:sz w:val="28"/>
          <w:sz w:val="28"/>
          <w:szCs w:val="28"/>
          <w:rtl w:val="true"/>
          <w:lang w:bidi="fa-IR"/>
        </w:rPr>
        <w:t>صدوق این روایت را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مرسل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سند که هر سه مجهول هستند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خالی از قوت نیست و در امالی‌اش با سندی که قریب به صحیح یا صحیح است،روایت را ذکر کرده است</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عن عیسی بن عبدالله العلوی العمری عن ابیه عن آبائه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خلفائی،ثلاثا،قیل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من خلفائک؟قال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حدیثی و سنتی ثم یعلمونها امتی</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در نقل‌های این روایت تفاوتهایی وجود دارد و در اکثر این 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من بعدی،یروون حدیثی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949" w:name="__RefHeading___Toc3420318_581953129"/>
      <w:bookmarkStart w:id="950" w:name="_Toc376"/>
      <w:bookmarkEnd w:id="949"/>
      <w:r>
        <w:rPr>
          <w:rtl w:val="true"/>
        </w:rPr>
        <w:t>چگونگی استدلال</w:t>
      </w:r>
      <w:bookmarkEnd w:id="950"/>
    </w:p>
    <w:p>
      <w:pPr>
        <w:pStyle w:val="BookText"/>
        <w:rPr/>
      </w:pPr>
      <w:r>
        <w:rPr>
          <w:rFonts w:ascii="IRNazanin" w:hAnsi="IRNazanin" w:eastAsia="IRNazanin"/>
          <w:color w:val="111111"/>
          <w:sz w:val="28"/>
          <w:sz w:val="28"/>
          <w:szCs w:val="28"/>
          <w:rtl w:val="true"/>
          <w:lang w:bidi="fa-IR"/>
        </w:rPr>
        <w:t>بر اساس این روایت،فقهاء خلفا و جانشینان نبی گرامی اسلام صلّی الله علیه و 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جانشین علی الاطلاق کسی باشد،متبادر و ظاهر از این جانشینی،نیابت از او در جمیع وظایف است</w:t>
      </w:r>
      <w:r>
        <w:rPr>
          <w:rFonts w:eastAsia="IRNazanin" w:cs="IRNazanin"/>
          <w:color w:val="111111"/>
          <w:sz w:val="28"/>
          <w:szCs w:val="28"/>
          <w:rtl w:val="true"/>
          <w:lang w:bidi="fa-IR"/>
        </w:rPr>
        <w:t>.</w:t>
      </w:r>
    </w:p>
    <w:p>
      <w:pPr>
        <w:pStyle w:val="Heading6"/>
        <w:numPr>
          <w:ilvl w:val="5"/>
          <w:numId w:val="1"/>
        </w:numPr>
        <w:rPr/>
      </w:pPr>
      <w:bookmarkStart w:id="951" w:name="__RefHeading___Toc3420320_581953129"/>
      <w:bookmarkStart w:id="952" w:name="_Toc377"/>
      <w:bookmarkEnd w:id="951"/>
      <w:r>
        <w:rPr>
          <w:rtl w:val="true"/>
        </w:rPr>
        <w:t>نقد و بررسی</w:t>
      </w:r>
      <w:bookmarkEnd w:id="952"/>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خلفا در این روایت به تبلیغ حدیث و سنت،ظاهر است در این که مراد حضرت این بوده که آنها فقط در امر ابلاغ احکام الله به عامه مکفین خلیفه رسول الله صلّی الله علیه و آله هستند یعنی همانطور که پیامبر صلّی الله علیه و آله مبلغ از جانب خداست آنان نیز مبلغ از سوی پیامبرند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تفسیر به فعل یا وصفی باشد که بتواند خود مناط</w:t>
      </w:r>
      <w:bookmarkStart w:id="953" w:name="pg5664_43586"/>
    </w:p>
    <w:p>
      <w:pPr>
        <w:pStyle w:val="BookText"/>
        <w:rPr/>
      </w:pPr>
      <w:bookmarkEnd w:id="953"/>
      <w:r>
        <w:rPr>
          <w:rFonts w:ascii="IRNazanin" w:hAnsi="IRNazanin" w:eastAsia="IRNazanin"/>
          <w:color w:val="111111"/>
          <w:sz w:val="28"/>
          <w:sz w:val="28"/>
          <w:szCs w:val="28"/>
          <w:rtl w:val="true"/>
          <w:lang w:bidi="fa-IR"/>
        </w:rPr>
        <w:t>خلافت قرار گیرد این احتمال قریب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کسی است که به علم خویش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تفسیر به فعل یا وصفی صورت گیرد که نتواند به نفسه مناط خلافت باشد،مشخص می‌گردد که مراد فقط تعیین ذات خلیفه بوده است و اطلاق در خلافت به قوت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کسی است که نزد تو نشسته است یا لحیه آن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این که در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حدیث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است،در حالی که این دو نمی‌تواند ملاک خلافت قرار گیرد پس این احتمال منتفی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این احتمال ممکن باشد،بعید بودن آن مخفی نیست در حالی که کلام باید به روشن‌ترین احتمالات حمل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مراد از روایت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وارثین حدیث و سنت من،بعد ازمن،در همه وظایفم،جانشین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که بگذریم،اشکالی که به روایات سابق وارد گردید،به این روایت نیز وارد می‌شود؛چون بعید نیست که مراد از خلفاء و منظور از کسانی که حدیث و سنت پیامبر صلّی الله علیه و آله را حفظ،روایت و تبلیغ می‌نمایند،ائمه علیهم السلام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که در روایات بیشماری در مورد ائمه علیهم السلام،تعبیر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Style w:val="FootnoteAnchor"/>
          <w:rtl w:val="true"/>
        </w:rPr>
        <w:footnoteReference w:id="1042"/>
      </w:r>
    </w:p>
    <w:p>
      <w:pPr>
        <w:pStyle w:val="Heading6"/>
        <w:numPr>
          <w:ilvl w:val="5"/>
          <w:numId w:val="1"/>
        </w:numPr>
        <w:rPr/>
      </w:pPr>
      <w:bookmarkStart w:id="954" w:name="__RefHeading___Toc3420322_581953129"/>
      <w:bookmarkStart w:id="955" w:name="_Toc378"/>
      <w:bookmarkEnd w:id="954"/>
      <w:r>
        <w:rPr>
          <w:rtl w:val="true"/>
        </w:rPr>
        <w:t>و</w:t>
      </w:r>
      <w:r>
        <w:rPr>
          <w:rtl w:val="true"/>
        </w:rPr>
        <w:t>)</w:t>
      </w:r>
      <w:r>
        <w:rPr>
          <w:rtl w:val="true"/>
        </w:rPr>
        <w:t>روایت</w:t>
      </w:r>
      <w:r>
        <w:rPr>
          <w:rtl w:val="true"/>
        </w:rPr>
        <w:t>«</w:t>
      </w:r>
      <w:r>
        <w:rPr>
          <w:rtl w:val="true"/>
        </w:rPr>
        <w:t>مجاری الامور</w:t>
      </w:r>
      <w:r>
        <w:rPr>
          <w:rtl w:val="true"/>
        </w:rPr>
        <w:t>»</w:t>
      </w:r>
      <w:bookmarkEnd w:id="955"/>
    </w:p>
    <w:p>
      <w:pPr>
        <w:pStyle w:val="Heading6"/>
        <w:numPr>
          <w:ilvl w:val="5"/>
          <w:numId w:val="1"/>
        </w:numPr>
        <w:rPr/>
      </w:pPr>
      <w:bookmarkStart w:id="956" w:name="__RefHeading___Toc3420324_581953129"/>
      <w:bookmarkStart w:id="957" w:name="_Toc379"/>
      <w:bookmarkEnd w:id="956"/>
      <w:r>
        <w:rPr>
          <w:rtl w:val="true"/>
        </w:rPr>
        <w:t>اشاره</w:t>
      </w:r>
      <w:bookmarkEnd w:id="957"/>
    </w:p>
    <w:p>
      <w:pPr>
        <w:pStyle w:val="BookText"/>
        <w:rPr/>
      </w:pPr>
      <w:r>
        <w:rPr>
          <w:rFonts w:ascii="IRNazanin" w:hAnsi="IRNazanin" w:eastAsia="IRNazanin"/>
          <w:color w:val="111111"/>
          <w:sz w:val="28"/>
          <w:sz w:val="28"/>
          <w:szCs w:val="28"/>
          <w:rtl w:val="true"/>
          <w:lang w:bidi="fa-IR"/>
        </w:rPr>
        <w:t>شیخ انصاری در بحث ولایت فقیه در کتاب مکاسب،به روایاتی،از جمله این روایت،اشاره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مجاری الامور بید العلماء باللّه الامناء علی حلاله و حرامه </w:t>
      </w:r>
      <w:r>
        <w:rPr>
          <w:rStyle w:val="FootnoteAnchor"/>
          <w:rtl w:val="true"/>
        </w:rPr>
        <w:footnoteReference w:id="1043"/>
      </w:r>
      <w:r>
        <w:rPr>
          <w:rFonts w:ascii="IRNazanin" w:hAnsi="IRNazanin" w:eastAsia="IRNazanin"/>
          <w:color w:val="111111"/>
          <w:sz w:val="28"/>
          <w:sz w:val="28"/>
          <w:szCs w:val="28"/>
          <w:rtl w:val="true"/>
          <w:lang w:bidi="fa-IR"/>
        </w:rPr>
        <w:t>جریانات تمامی شؤون امت،باید به دست عالمان ربانی که امین الهی بر حلال وحرام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جامع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 xml:space="preserve">. </w:t>
      </w:r>
      <w:r>
        <w:rPr>
          <w:rStyle w:val="FootnoteAnchor"/>
          <w:rtl w:val="true"/>
        </w:rPr>
        <w:footnoteReference w:id="1044"/>
      </w:r>
    </w:p>
    <w:p>
      <w:pPr>
        <w:pStyle w:val="Heading6"/>
        <w:numPr>
          <w:ilvl w:val="5"/>
          <w:numId w:val="1"/>
        </w:numPr>
        <w:rPr/>
      </w:pPr>
      <w:bookmarkStart w:id="958" w:name="__RefHeading___Toc3420326_581953129"/>
      <w:bookmarkStart w:id="959" w:name="_Toc380"/>
      <w:bookmarkEnd w:id="958"/>
      <w:r>
        <w:rPr>
          <w:rtl w:val="true"/>
        </w:rPr>
        <w:t>چگونگی استدلال</w:t>
      </w:r>
      <w:bookmarkEnd w:id="95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مجاری الامور مطلق است و شامل همه امور می‌شود و اقامه حدود نیز از این امور است</w:t>
      </w:r>
      <w:r>
        <w:rPr>
          <w:rFonts w:eastAsia="IRNazanin" w:cs="IRNazanin"/>
          <w:color w:val="111111"/>
          <w:sz w:val="28"/>
          <w:szCs w:val="28"/>
          <w:rtl w:val="true"/>
          <w:lang w:bidi="fa-IR"/>
        </w:rPr>
        <w:t>.</w:t>
      </w:r>
      <w:bookmarkStart w:id="960" w:name="pg5664_43587"/>
    </w:p>
    <w:p>
      <w:pPr>
        <w:pStyle w:val="BookText"/>
        <w:rPr/>
      </w:pPr>
      <w:bookmarkEnd w:id="960"/>
      <w:r>
        <w:rPr>
          <w:rFonts w:ascii="IRNazanin" w:hAnsi="IRNazanin" w:eastAsia="IRNazanin"/>
          <w:color w:val="111111"/>
          <w:sz w:val="28"/>
          <w:sz w:val="28"/>
          <w:szCs w:val="28"/>
          <w:rtl w:val="true"/>
          <w:lang w:bidi="fa-IR"/>
        </w:rPr>
        <w:t>بر اساس این روایت،مجاری الامور،به دست علما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اقامه حدود نیز که از جمله شوون و امور امت است،به فقها واگذار شده است</w:t>
      </w:r>
      <w:r>
        <w:rPr>
          <w:rFonts w:eastAsia="IRNazanin" w:cs="IRNazanin"/>
          <w:color w:val="111111"/>
          <w:sz w:val="28"/>
          <w:szCs w:val="28"/>
          <w:rtl w:val="true"/>
          <w:lang w:bidi="fa-IR"/>
        </w:rPr>
        <w:t>.</w:t>
      </w:r>
    </w:p>
    <w:p>
      <w:pPr>
        <w:pStyle w:val="Heading6"/>
        <w:numPr>
          <w:ilvl w:val="5"/>
          <w:numId w:val="1"/>
        </w:numPr>
        <w:rPr/>
      </w:pPr>
      <w:bookmarkStart w:id="961" w:name="__RefHeading___Toc3420328_581953129"/>
      <w:bookmarkStart w:id="962" w:name="_Toc381"/>
      <w:bookmarkEnd w:id="961"/>
      <w:r>
        <w:rPr>
          <w:rtl w:val="true"/>
        </w:rPr>
        <w:t>نقد و بررسی</w:t>
      </w:r>
      <w:bookmarkEnd w:id="962"/>
    </w:p>
    <w:p>
      <w:pPr>
        <w:pStyle w:val="BookText"/>
        <w:rPr/>
      </w:pPr>
      <w:r>
        <w:rPr>
          <w:rFonts w:ascii="IRNazanin" w:hAnsi="IRNazanin" w:eastAsia="IRNazanin"/>
          <w:color w:val="111111"/>
          <w:sz w:val="28"/>
          <w:sz w:val="28"/>
          <w:szCs w:val="28"/>
          <w:rtl w:val="true"/>
          <w:lang w:bidi="fa-IR"/>
        </w:rPr>
        <w:t>شیخ انصاری،نهایتا در مورد این روایت و دیگر روایات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ملاحضه صدر و ذیل و سیاق روایات،انصاف اقتضا دارد که جزم حاصل شود به این که این روایات در مقام بیان وظیفه فقها از حیث احکام شرعی هستند</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یکی از فقهای معاصر نیز دو اشکال عمده بر استدلال به این روایت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این استدلال که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بالاحکام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تنها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مراد از علماء را،ائمه علیهم السلام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قرینه این فرمایش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الامناء علی حلاله و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مختص به احکام شرعیه دانسته و گفته،ظاهر این است که فقها مرجع در احکام هستند</w:t>
      </w:r>
      <w:r>
        <w:rPr>
          <w:rFonts w:eastAsia="IRNazanin" w:cs="IRNazanin"/>
          <w:color w:val="111111"/>
          <w:sz w:val="28"/>
          <w:szCs w:val="28"/>
          <w:rtl w:val="true"/>
          <w:lang w:bidi="fa-IR"/>
        </w:rPr>
        <w:t xml:space="preserve">. </w:t>
      </w:r>
      <w:r>
        <w:rPr>
          <w:rStyle w:val="FootnoteAnchor"/>
          <w:rtl w:val="true"/>
        </w:rPr>
        <w:footnoteReference w:id="1046"/>
      </w:r>
    </w:p>
    <w:p>
      <w:pPr>
        <w:pStyle w:val="Heading6"/>
        <w:numPr>
          <w:ilvl w:val="5"/>
          <w:numId w:val="1"/>
        </w:numPr>
        <w:rPr/>
      </w:pPr>
      <w:bookmarkStart w:id="963" w:name="__RefHeading___Toc3420330_581953129"/>
      <w:bookmarkStart w:id="964" w:name="_Toc382"/>
      <w:bookmarkEnd w:id="963"/>
      <w:r>
        <w:rPr>
          <w:rtl w:val="true"/>
        </w:rPr>
        <w:t>ز</w:t>
      </w:r>
      <w:r>
        <w:rPr>
          <w:rtl w:val="true"/>
        </w:rPr>
        <w:t>)</w:t>
      </w:r>
      <w:r>
        <w:rPr>
          <w:rtl w:val="true"/>
        </w:rPr>
        <w:t>برداشت نراقی از مجموع روایات</w:t>
      </w:r>
      <w:bookmarkEnd w:id="964"/>
    </w:p>
    <w:p>
      <w:pPr>
        <w:pStyle w:val="BookText"/>
        <w:rPr/>
      </w:pPr>
      <w:r>
        <w:rPr>
          <w:rFonts w:ascii="IRNazanin" w:hAnsi="IRNazanin" w:eastAsia="IRNazanin"/>
          <w:color w:val="111111"/>
          <w:sz w:val="28"/>
          <w:sz w:val="28"/>
          <w:szCs w:val="28"/>
          <w:rtl w:val="true"/>
          <w:lang w:bidi="fa-IR"/>
        </w:rPr>
        <w:t>در پایان این بحث شایان ذکر است که نراقی از مجموع روایات سابق دو قاعده کلی استخراج کرده و در بحث از ولایت فقیه بر اقامه حدود نیز،به همین قواعد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موردهایی را که فقیه عادل در آنها ولایت دارد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پیامبر و امام،که فرمانروایان مردم و دژهای استوار اسلام هستند،در آن ولایت دارند،فقیه نیز در آن ولایت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در موردی دلیل خاصی بر استثناء وجود داشته باشد،مانند اجماع یا دلیل خاص یاغیر این 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موردهایی که نظام زندگی مردم به آن وابسته است و دخالت در آن به حکم عقل و یا شرع لازم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ولی فقیه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امر اول،پس از اجماعی که بسیاری از اصحاب،آن را به روشنی بیان کرده‌اند و چنین می‌نماید که نزد آنان از بایسته‌ها و ضروریهاست،روایاتی است که به این مسئله به روشنی دامن زده‌اند</w:t>
      </w:r>
      <w:r>
        <w:rPr>
          <w:rFonts w:eastAsia="IRNazanin" w:cs="IRNazanin"/>
          <w:color w:val="111111"/>
          <w:sz w:val="28"/>
          <w:szCs w:val="28"/>
          <w:rtl w:val="true"/>
          <w:lang w:bidi="fa-IR"/>
        </w:rPr>
        <w:t>.</w:t>
      </w:r>
      <w:bookmarkStart w:id="965" w:name="pg5664_43588"/>
    </w:p>
    <w:p>
      <w:pPr>
        <w:pStyle w:val="BookText"/>
        <w:rPr/>
      </w:pPr>
      <w:bookmarkEnd w:id="965"/>
      <w:r>
        <w:rPr>
          <w:rFonts w:ascii="IRNazanin" w:hAnsi="IRNazanin" w:eastAsia="IRNazanin"/>
          <w:color w:val="111111"/>
          <w:sz w:val="28"/>
          <w:sz w:val="28"/>
          <w:szCs w:val="28"/>
          <w:rtl w:val="true"/>
          <w:lang w:bidi="fa-IR"/>
        </w:rPr>
        <w:t>دلیل امر دوم،پس از اجماع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اجتماعی ناچار باید شارع مهربان حکیم برای مردم ولی و حاکمی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فقیهان بهترین خلق خدا،پس از پیامبران و افضل و امین هستند و به دست آنها مجاری امور است،به ولایت سزاوارترند</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علاوه بر این که برخی دلایل مطروحه این قواعد،قابل تامل‌اند،این نکته نیز حائز اهمیت است که استدلال به قاعده اول مبتنی است بر عدم استثناء اقامه حدود،در حالی که برخی مدعی این استثناء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اساس مطالب فصل پیش این ادعا دفع می‌گردد ولی به هر حال به صرف این قاعده نمی‌توان اقامه حدود را ثابت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دوم هم در صورتی مشروعیت اقامه حدود را ثابت می‌نماید که مطلوبیت اقامه حدود در هر صورت و در هر زمانی،ثابت باشد،در حالی که برخی از جمله شیخ انصاری،چنین مطلوبیتی را نپذیرفته‌اند</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هرچند بزرگانی چون آقای خویی،به دلیل اطلاقات و عمومات،اینگونه مطلوبیت و مشروعیت را ثابت می‌دانند</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بر اساس دیدگاه این بزرگان نیز،این قاعده به تنهایی راهگشا نیست و به مدد اطلاقات و عمومات می‌تواند مشروعیت اقامه حدود به دست فقیه را به اثبات برساند</w:t>
      </w:r>
      <w:r>
        <w:rPr>
          <w:rFonts w:eastAsia="IRNazanin" w:cs="IRNazanin"/>
          <w:color w:val="111111"/>
          <w:sz w:val="28"/>
          <w:szCs w:val="28"/>
          <w:rtl w:val="true"/>
          <w:lang w:bidi="fa-IR"/>
        </w:rPr>
        <w:t>.</w:t>
      </w:r>
    </w:p>
    <w:p>
      <w:pPr>
        <w:pStyle w:val="Heading6"/>
        <w:numPr>
          <w:ilvl w:val="5"/>
          <w:numId w:val="1"/>
        </w:numPr>
        <w:rPr/>
      </w:pPr>
      <w:bookmarkStart w:id="966" w:name="__RefHeading___Toc3420332_581953129"/>
      <w:bookmarkStart w:id="967" w:name="_Toc383"/>
      <w:bookmarkEnd w:id="966"/>
      <w:r>
        <w:rPr>
          <w:rtl w:val="true"/>
        </w:rPr>
        <w:t>ح</w:t>
      </w:r>
      <w:r>
        <w:rPr>
          <w:rtl w:val="true"/>
        </w:rPr>
        <w:t>)</w:t>
      </w:r>
      <w:r>
        <w:rPr>
          <w:rtl w:val="true"/>
        </w:rPr>
        <w:t>جمع بندی روایات</w:t>
      </w:r>
      <w:bookmarkEnd w:id="967"/>
    </w:p>
    <w:p>
      <w:pPr>
        <w:pStyle w:val="BookText"/>
        <w:rPr/>
      </w:pPr>
      <w:r>
        <w:rPr>
          <w:rFonts w:ascii="IRNazanin" w:hAnsi="IRNazanin" w:eastAsia="IRNazanin"/>
          <w:color w:val="111111"/>
          <w:sz w:val="28"/>
          <w:sz w:val="28"/>
          <w:szCs w:val="28"/>
          <w:rtl w:val="true"/>
          <w:lang w:bidi="fa-IR"/>
        </w:rPr>
        <w:t>در یک جمع بندی از مجموع مسائل مطروحه در روایات می‌توان گفت که حتی اگر نتوان از تک تک این روایات ولایت فقیه در اجرای حدود را ثابت کرد ولی از کنار هم قرار دادن این روایات می‌توان این مهم را نتیجه گرفت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هم از مقوله حکم می‌باشد به‌خصوص در مثل حد قذف با ترافع نزد حاکم و ثبوت حد نزد وی و حکم حاکم به ثبوت حد بر قاذف،چرا که مراد از حکم بر قاذف انفاذ و اجرای حکم بر اوست نه صرف حکم بدون اجرا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علیکم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در اراده ولایت عامه دارد،چنان که در نیابت خاص از امام علیه السلام هم این عبارت ظهور در ولایت عام و بر جمیع امور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حجتی علیکم و انا حجة‌الله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شدیدی بر این دارد که فقها در اموری که امام علیه السلام حجت خدا محسوب می‌شوند،حجت امام علیه السلام هستند که از این امور اجرای 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روایات این ظهور را تشدید می‌کند چون معلوم و ضروری است که مراد از خلافت عموم ولایت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روایات معتبره ابی خدیجه مقبوله عمر بن حنظله و توقیع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حکم برای فقیه ثابت می‌شود و با روایت حفص اقامه حدود بالخصوص ثابت می‌گردد</w:t>
      </w:r>
      <w:r>
        <w:rPr>
          <w:rFonts w:eastAsia="IRNazanin" w:cs="IRNazanin"/>
          <w:color w:val="111111"/>
          <w:sz w:val="28"/>
          <w:szCs w:val="28"/>
          <w:rtl w:val="true"/>
          <w:lang w:bidi="fa-IR"/>
        </w:rPr>
        <w:t xml:space="preserve">» </w:t>
      </w:r>
      <w:r>
        <w:rPr>
          <w:rStyle w:val="FootnoteAnchor"/>
          <w:rtl w:val="true"/>
        </w:rPr>
        <w:footnoteReference w:id="1050"/>
      </w:r>
      <w:bookmarkStart w:id="968" w:name="pg5664_43590"/>
    </w:p>
    <w:p>
      <w:pPr>
        <w:pStyle w:val="Heading3"/>
        <w:numPr>
          <w:ilvl w:val="2"/>
          <w:numId w:val="1"/>
        </w:numPr>
        <w:rPr/>
      </w:pPr>
      <w:bookmarkStart w:id="969" w:name="__RefHeading___Toc3420334_581953129"/>
      <w:bookmarkStart w:id="970" w:name="_Toc384"/>
      <w:bookmarkEnd w:id="968"/>
      <w:bookmarkEnd w:id="969"/>
      <w:r>
        <w:rPr/>
        <w:t>3</w:t>
      </w:r>
      <w:r>
        <w:rPr>
          <w:rtl w:val="true"/>
        </w:rPr>
        <w:t>-</w:t>
      </w:r>
      <w:r>
        <w:rPr>
          <w:rtl w:val="true"/>
        </w:rPr>
        <w:t>متصدی اقامه حدود</w:t>
      </w:r>
      <w:bookmarkEnd w:id="970"/>
    </w:p>
    <w:p>
      <w:pPr>
        <w:pStyle w:val="Heading4"/>
        <w:numPr>
          <w:ilvl w:val="3"/>
          <w:numId w:val="1"/>
        </w:numPr>
        <w:rPr/>
      </w:pPr>
      <w:bookmarkStart w:id="971" w:name="__RefHeading___Toc3420336_581953129"/>
      <w:bookmarkStart w:id="972" w:name="_Toc385"/>
      <w:bookmarkEnd w:id="971"/>
      <w:r>
        <w:rPr>
          <w:rtl w:val="true"/>
        </w:rPr>
        <w:t>اشاره</w:t>
      </w:r>
      <w:bookmarkEnd w:id="972"/>
    </w:p>
    <w:p>
      <w:pPr>
        <w:pStyle w:val="BookText"/>
        <w:rPr/>
      </w:pPr>
      <w:r>
        <w:rPr>
          <w:rFonts w:ascii="IRNazanin" w:hAnsi="IRNazanin" w:eastAsia="IRNazanin"/>
          <w:color w:val="111111"/>
          <w:sz w:val="28"/>
          <w:sz w:val="28"/>
          <w:szCs w:val="28"/>
          <w:rtl w:val="true"/>
          <w:lang w:bidi="fa-IR"/>
        </w:rPr>
        <w:t>پس از اثبات مشروعیت اقامه حدود در عصر غیبت،ضروری می‌نماید تا متصدی و مجری حدود نیز مشخص گردد،هرچند دلایل مطرح شده در مباحث پیشین به وضوح بر ولایت فقیه بر اقامه حدود دلالت می‌کردند،اما لازم است موارد خاصی که ممکن است به عنوان مثال عامه مردم،مجاز به اجرای حدود باشند،نیز بررسی شود،علاوه بر این که در مورد فقیه هم بحث‌هایی قابل طرح است که در ادامه این بدانها اشاراتی صورت می‌گیرد</w:t>
      </w:r>
      <w:r>
        <w:rPr>
          <w:rFonts w:eastAsia="IRNazanin" w:cs="IRNazanin"/>
          <w:color w:val="111111"/>
          <w:sz w:val="28"/>
          <w:szCs w:val="28"/>
          <w:rtl w:val="true"/>
          <w:lang w:bidi="fa-IR"/>
        </w:rPr>
        <w:t>.</w:t>
      </w:r>
    </w:p>
    <w:p>
      <w:pPr>
        <w:pStyle w:val="Heading4"/>
        <w:numPr>
          <w:ilvl w:val="3"/>
          <w:numId w:val="1"/>
        </w:numPr>
        <w:rPr/>
      </w:pPr>
      <w:bookmarkStart w:id="973" w:name="__RefHeading___Toc3420338_581953129"/>
      <w:bookmarkStart w:id="974" w:name="_Toc386"/>
      <w:bookmarkEnd w:id="973"/>
      <w:r>
        <w:rPr>
          <w:rtl w:val="true"/>
        </w:rPr>
        <w:t>عموم مردم</w:t>
      </w:r>
      <w:bookmarkEnd w:id="974"/>
    </w:p>
    <w:p>
      <w:pPr>
        <w:pStyle w:val="Heading5"/>
        <w:numPr>
          <w:ilvl w:val="4"/>
          <w:numId w:val="1"/>
        </w:numPr>
        <w:rPr/>
      </w:pPr>
      <w:bookmarkStart w:id="975" w:name="__RefHeading___Toc3420340_581953129"/>
      <w:bookmarkStart w:id="976" w:name="_Toc387"/>
      <w:bookmarkEnd w:id="975"/>
      <w:r>
        <w:rPr>
          <w:rtl w:val="true"/>
        </w:rPr>
        <w:t>اشاره</w:t>
      </w:r>
      <w:bookmarkEnd w:id="976"/>
    </w:p>
    <w:p>
      <w:pPr>
        <w:pStyle w:val="BookText"/>
        <w:rPr/>
      </w:pPr>
      <w:r>
        <w:rPr>
          <w:rFonts w:ascii="IRNazanin" w:hAnsi="IRNazanin" w:eastAsia="IRNazanin"/>
          <w:color w:val="111111"/>
          <w:sz w:val="28"/>
          <w:sz w:val="28"/>
          <w:szCs w:val="28"/>
          <w:rtl w:val="true"/>
          <w:lang w:bidi="fa-IR"/>
        </w:rPr>
        <w:t>پس از آن که مشروعیت اقامه حدود در عصر غیبت به اثبات رسید،و دانستیم که ضروری است،حتما شخص یا نهادی خاص این مسئولیت را بر عهده گیرد،این سوال پیش می‌آید که آیا عموم مردم و کسانی که از قوه اجتهاد برخوردار نیستند،می‌توانند به اقامه حدود مبادرت ورزند یا خیر؟در جواب باید گفت در مواردی به ایشان اجازه داده شده است که اقامه حدود نمایند که ما این موارد را در دو عنوان اقامه حدود در جرایم خاص و اقامه حدود در همه جرایم طبقه بندی کرده‌ایم</w:t>
      </w:r>
      <w:r>
        <w:rPr>
          <w:rFonts w:eastAsia="IRNazanin" w:cs="IRNazanin"/>
          <w:color w:val="111111"/>
          <w:sz w:val="28"/>
          <w:szCs w:val="28"/>
          <w:rtl w:val="true"/>
          <w:lang w:bidi="fa-IR"/>
        </w:rPr>
        <w:t>.</w:t>
      </w:r>
    </w:p>
    <w:p>
      <w:pPr>
        <w:pStyle w:val="Heading5"/>
        <w:numPr>
          <w:ilvl w:val="4"/>
          <w:numId w:val="1"/>
        </w:numPr>
        <w:rPr/>
      </w:pPr>
      <w:bookmarkStart w:id="977" w:name="__RefHeading___Toc3420342_581953129"/>
      <w:bookmarkStart w:id="978" w:name="_Toc388"/>
      <w:bookmarkEnd w:id="977"/>
      <w:r>
        <w:rPr/>
        <w:t>1</w:t>
      </w:r>
      <w:r>
        <w:rPr>
          <w:rtl w:val="true"/>
        </w:rPr>
        <w:t>-</w:t>
      </w:r>
      <w:r>
        <w:rPr>
          <w:rtl w:val="true"/>
        </w:rPr>
        <w:t>اقامه حدود در جرایم خاص</w:t>
      </w:r>
      <w:bookmarkEnd w:id="978"/>
    </w:p>
    <w:p>
      <w:pPr>
        <w:pStyle w:val="Heading6"/>
        <w:numPr>
          <w:ilvl w:val="5"/>
          <w:numId w:val="1"/>
        </w:numPr>
        <w:rPr/>
      </w:pPr>
      <w:bookmarkStart w:id="979" w:name="__RefHeading___Toc3420344_581953129"/>
      <w:bookmarkStart w:id="980" w:name="_Toc389"/>
      <w:bookmarkEnd w:id="979"/>
      <w:r>
        <w:rPr>
          <w:rtl w:val="true"/>
        </w:rPr>
        <w:t>اشاره</w:t>
      </w:r>
      <w:bookmarkEnd w:id="98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جرایم خاص،جرایم استثنایی هستند که شارع در هر حال و برای هر کدام از مومنین اجازه داده است آن را اقامه نمایند بدون این که تحصیل اذن از امام</w:t>
      </w:r>
      <w:bookmarkStart w:id="981" w:name="pg5664_43591"/>
    </w:p>
    <w:p>
      <w:pPr>
        <w:pStyle w:val="BookText"/>
        <w:rPr/>
      </w:pPr>
      <w:bookmarkEnd w:id="981"/>
      <w:r>
        <w:rPr>
          <w:rFonts w:ascii="IRNazanin" w:hAnsi="IRNazanin" w:eastAsia="IRNazanin"/>
          <w:color w:val="111111"/>
          <w:sz w:val="28"/>
          <w:sz w:val="28"/>
          <w:szCs w:val="28"/>
          <w:rtl w:val="true"/>
          <w:lang w:bidi="fa-IR"/>
        </w:rPr>
        <w:t>معصوم علیه السلام و یا حاکم اسلامی،ضروری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جرایم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النبی و الائمة،مدعی نبوت و قتل در فراش</w:t>
      </w:r>
      <w:r>
        <w:rPr>
          <w:rFonts w:eastAsia="IRNazanin" w:cs="IRNazanin"/>
          <w:color w:val="111111"/>
          <w:sz w:val="28"/>
          <w:szCs w:val="28"/>
          <w:rtl w:val="true"/>
          <w:lang w:bidi="fa-IR"/>
        </w:rPr>
        <w:t>.</w:t>
      </w:r>
    </w:p>
    <w:p>
      <w:pPr>
        <w:pStyle w:val="Heading6"/>
        <w:numPr>
          <w:ilvl w:val="5"/>
          <w:numId w:val="1"/>
        </w:numPr>
        <w:rPr/>
      </w:pPr>
      <w:bookmarkStart w:id="982" w:name="__RefHeading___Toc3420346_581953129"/>
      <w:bookmarkStart w:id="983" w:name="_Toc390"/>
      <w:bookmarkEnd w:id="982"/>
      <w:r>
        <w:rPr>
          <w:rtl w:val="true"/>
        </w:rPr>
        <w:t>الف</w:t>
      </w:r>
      <w:r>
        <w:rPr>
          <w:rtl w:val="true"/>
        </w:rPr>
        <w:t>)</w:t>
      </w:r>
      <w:r>
        <w:rPr>
          <w:rtl w:val="true"/>
        </w:rPr>
        <w:t>ساب النبی و الائمه</w:t>
      </w:r>
      <w:bookmarkEnd w:id="983"/>
    </w:p>
    <w:p>
      <w:pPr>
        <w:pStyle w:val="BookText"/>
        <w:rPr/>
      </w:pPr>
      <w:r>
        <w:rPr>
          <w:rFonts w:ascii="IRNazanin" w:hAnsi="IRNazanin" w:eastAsia="IRNazanin"/>
          <w:color w:val="111111"/>
          <w:sz w:val="28"/>
          <w:sz w:val="28"/>
          <w:szCs w:val="28"/>
          <w:rtl w:val="true"/>
          <w:lang w:bidi="fa-IR"/>
        </w:rPr>
        <w:t xml:space="preserve">کسی که نبی گرامی اسلام صلّی الله علیه و آله را دشنام دهد،برای هر کس که این دشنام را می‌شنود در صورتی که ضرری متوجه وی یا مالش و یا غیر او از مومنین نباشد،قتل دشنام دهنده جایز است؛ </w:t>
      </w:r>
      <w:r>
        <w:rPr>
          <w:rStyle w:val="FootnoteAnchor"/>
          <w:rtl w:val="true"/>
        </w:rPr>
        <w:footnoteReference w:id="1051"/>
      </w:r>
      <w:r>
        <w:rPr>
          <w:rFonts w:ascii="IRNazanin" w:hAnsi="IRNazanin" w:eastAsia="IRNazanin"/>
          <w:color w:val="111111"/>
          <w:sz w:val="28"/>
          <w:sz w:val="28"/>
          <w:szCs w:val="28"/>
          <w:rtl w:val="true"/>
          <w:lang w:bidi="fa-IR"/>
        </w:rPr>
        <w:t>حتی اگر از امام علیه السلام و حاکم اسلامی کسب اذن ننماید</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بلکه مقتضی روایاتی که در این باب موجود است،وجوب قتل دشنام دهنده می‌باشد</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 xml:space="preserve">فتوای جواز قتل،مورد اجماع فقهای امامیه است </w:t>
      </w:r>
      <w:r>
        <w:rPr>
          <w:rStyle w:val="FootnoteAnchor"/>
          <w:rtl w:val="true"/>
        </w:rPr>
        <w:footnoteReference w:id="1054"/>
      </w:r>
      <w:r>
        <w:rPr>
          <w:rFonts w:ascii="IRNazanin" w:hAnsi="IRNazanin" w:eastAsia="IRNazanin"/>
          <w:color w:val="111111"/>
          <w:sz w:val="28"/>
          <w:sz w:val="28"/>
          <w:szCs w:val="28"/>
          <w:rtl w:val="true"/>
          <w:lang w:bidi="fa-IR"/>
        </w:rPr>
        <w:t xml:space="preserve">و از وجوب قتل هم نفی خلاف شده، </w:t>
      </w:r>
      <w:r>
        <w:rPr>
          <w:rStyle w:val="FootnoteAnchor"/>
          <w:rtl w:val="true"/>
        </w:rPr>
        <w:footnoteReference w:id="1055"/>
      </w:r>
      <w:r>
        <w:rPr>
          <w:rFonts w:ascii="IRNazanin" w:hAnsi="IRNazanin" w:eastAsia="IRNazanin"/>
          <w:color w:val="111111"/>
          <w:sz w:val="28"/>
          <w:sz w:val="28"/>
          <w:szCs w:val="28"/>
          <w:rtl w:val="true"/>
          <w:lang w:bidi="fa-IR"/>
        </w:rPr>
        <w:t>حتی برخی ادعای اجماع بر وجوب کرده‌اند</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مقام معظم رهبری هم در یک استفتاء تصریح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ساب النبی قتل است و حتی نیاز به محکمه و محاکمه هم ندارد</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لازم به ذکر است که ائمه علیهم السلام و حضرت فاطمة الزهراء علیها السّلام در این حکم ملحق به پیامبر صلّی الله علیه و آله هستند</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و درباره ایشان نیز نفی خلاف و ادعای اجماع شده است</w:t>
      </w:r>
      <w:r>
        <w:rPr>
          <w:rFonts w:eastAsia="IRNazanin" w:cs="IRNazanin"/>
          <w:color w:val="111111"/>
          <w:sz w:val="28"/>
          <w:szCs w:val="28"/>
          <w:rtl w:val="true"/>
          <w:lang w:bidi="fa-IR"/>
        </w:rPr>
        <w:t xml:space="preserve">. </w:t>
      </w:r>
      <w:r>
        <w:rPr>
          <w:rStyle w:val="FootnoteAnchor"/>
          <w:rtl w:val="true"/>
        </w:rPr>
        <w:footnoteReference w:id="105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عبارات فقها جواز قتل بدون اذن از حاکم شرع مقید به سامع شده است؛بنابراین به نظر می‌رسد افراد دیگری که علم به وقوع دشنام دارند اما خود مستقیما سب را نشنیده‌اند،نمی‌توانند بدون اذن از حاکم شرع اقدام به قتل دشنام‌دهنده بنمایند</w:t>
      </w:r>
      <w:r>
        <w:rPr>
          <w:rFonts w:eastAsia="IRNazanin" w:cs="IRNazanin"/>
          <w:color w:val="111111"/>
          <w:sz w:val="28"/>
          <w:szCs w:val="28"/>
          <w:rtl w:val="true"/>
          <w:lang w:bidi="fa-IR"/>
        </w:rPr>
        <w:t>.</w:t>
      </w:r>
      <w:bookmarkStart w:id="984" w:name="pg5664_43592"/>
    </w:p>
    <w:p>
      <w:pPr>
        <w:pStyle w:val="Heading6"/>
        <w:numPr>
          <w:ilvl w:val="5"/>
          <w:numId w:val="1"/>
        </w:numPr>
        <w:rPr/>
      </w:pPr>
      <w:bookmarkStart w:id="985" w:name="__RefHeading___Toc3420348_581953129"/>
      <w:bookmarkStart w:id="986" w:name="_Toc391"/>
      <w:bookmarkEnd w:id="984"/>
      <w:bookmarkEnd w:id="985"/>
      <w:r>
        <w:rPr>
          <w:rtl w:val="true"/>
        </w:rPr>
        <w:t>ب</w:t>
      </w:r>
      <w:r>
        <w:rPr>
          <w:rtl w:val="true"/>
        </w:rPr>
        <w:t>)</w:t>
      </w:r>
      <w:r>
        <w:rPr>
          <w:rtl w:val="true"/>
        </w:rPr>
        <w:t>مدعی نبوت</w:t>
      </w:r>
      <w:bookmarkEnd w:id="986"/>
    </w:p>
    <w:p>
      <w:pPr>
        <w:pStyle w:val="BookText"/>
        <w:rPr/>
      </w:pPr>
      <w:r>
        <w:rPr>
          <w:rFonts w:ascii="IRNazanin" w:hAnsi="IRNazanin" w:eastAsia="IRNazanin"/>
          <w:color w:val="111111"/>
          <w:sz w:val="28"/>
          <w:sz w:val="28"/>
          <w:szCs w:val="28"/>
          <w:rtl w:val="true"/>
          <w:lang w:bidi="fa-IR"/>
        </w:rPr>
        <w:t>هر کس ادعای نبوت نماید،قتلش واجب است</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قتل مدعی نبوت هم همچون،ساب النبی نیاز به اذن از حاکم شرع ندارد</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در این مسئله هم ادعای عدم خلاف شده است</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در این حکم فقها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 افزوده‌اند تا بدین وسیله کافر ذمی مانند یهودی و مسیحی را خارج نمایند؛بنابراین ادعای نبوت از سوی کافر ذمی موجب قتل او نخواهد بود</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همچنین قابل ذکر است که در این مسئله فقها معمولا قید سامع را ذکر نکرده‌اند و تنها امام خمینی،این قید را در تحریر الوسیلة متذکر شده است</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به نظر می‌رسد این قید مورد توجه دیگر فقها نیز بوده است و آن را به اعتماد مسئله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احتمال هم بعید نیست که علت عدم ذکر در برخی موارد،اعتقاد به لزوم تحصیل اذن از حاکم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ذکر این نکته ضروری است که برخی فقها قتل مدعی نبوت را جایزنمی‌دانند و همچون دیگر معاصی حکم آن را تعزیر دانسته ادله جواز قتل را ناتمام‌می‌شمارند</w:t>
      </w:r>
      <w:r>
        <w:rPr>
          <w:rFonts w:eastAsia="IRNazanin" w:cs="IRNazanin"/>
          <w:color w:val="111111"/>
          <w:sz w:val="28"/>
          <w:szCs w:val="28"/>
          <w:rtl w:val="true"/>
          <w:lang w:bidi="fa-IR"/>
        </w:rPr>
        <w:t xml:space="preserve">. </w:t>
      </w:r>
      <w:r>
        <w:rPr>
          <w:rStyle w:val="FootnoteAnchor"/>
          <w:rtl w:val="true"/>
        </w:rPr>
        <w:footnoteReference w:id="1065"/>
      </w:r>
    </w:p>
    <w:p>
      <w:pPr>
        <w:pStyle w:val="Heading6"/>
        <w:numPr>
          <w:ilvl w:val="5"/>
          <w:numId w:val="1"/>
        </w:numPr>
        <w:rPr/>
      </w:pPr>
      <w:bookmarkStart w:id="987" w:name="__RefHeading___Toc3420350_581953129"/>
      <w:bookmarkStart w:id="988" w:name="_Toc392"/>
      <w:bookmarkEnd w:id="987"/>
      <w:r>
        <w:rPr>
          <w:rtl w:val="true"/>
        </w:rPr>
        <w:t>ج</w:t>
      </w:r>
      <w:r>
        <w:rPr>
          <w:rtl w:val="true"/>
        </w:rPr>
        <w:t>)</w:t>
      </w:r>
      <w:r>
        <w:rPr>
          <w:rtl w:val="true"/>
        </w:rPr>
        <w:t>قتل در فراش</w:t>
      </w:r>
      <w:bookmarkEnd w:id="988"/>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همسر خود را در حال زنا با مرد اجنبی مشاهده کند و علم به تمکین زن داشته باشد،می‌تواند در همان حال آنان را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اقتباسی از مسئله 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رحمة الله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فقها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شوهری همسر خود را با مرد اجنبی در حال زنا دید و آن دو را به قتل برساند،اگر چه از نظر اخروی گناهی مرتکب نشده است؛اما از نظر حقوقی زوج باید این مسئله را اثبات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برای اثبات ادعای خود باید یا بینه اقامه کند یا اولیای دم،ادعای وی را تصدیق نمایند؛زیرا اصل اقتضا می‌کند که مجنی‌علیه مستحق قتل نبوده و عمل زنا که مورد ادعای قاتل می‌باشد،واقع نشده است</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محقق اردبیلی در این رابطه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حکم که شوهر در صورت مشاهده زنای همسرش با مرد دیگر و ارتکاب قتل،مجازات اخروی ندارد،گویا یک حکم اجماعی است و علاوه بر این موید به حکم عقل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فرقد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امام صادق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حکم مشهور میان فقهاست بلکه ممکن است به حد اجماع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حکم تنها مربوط به عالم واقع و نفس الامر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نظر اخلاقی و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نظر ظاهر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نظر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مورد بازخواست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باید قصاص شود مگر آنکه برای اثبات ادعای خود شاهد بیاورد یا ولی دم ادعای او را تصدیق کند</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دو نکته مهم در این حکم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قتل حکمی تکلیفی و حجتی است شرعی بین زوج و خدا،اما برای این که بتواند از قصاص بگریزد باید بتواند بینه بر این امر اقامه نماید یا این که بازماندگان مقتول وی را تایید کنند </w:t>
      </w:r>
      <w:r>
        <w:rPr>
          <w:rStyle w:val="FootnoteAnchor"/>
          <w:rtl w:val="true"/>
        </w:rPr>
        <w:footnoteReference w:id="1068"/>
      </w:r>
      <w:r>
        <w:rPr>
          <w:rFonts w:ascii="IRNazanin" w:hAnsi="IRNazanin" w:eastAsia="IRNazanin"/>
          <w:color w:val="111111"/>
          <w:sz w:val="28"/>
          <w:sz w:val="28"/>
          <w:szCs w:val="28"/>
          <w:rtl w:val="true"/>
          <w:lang w:bidi="fa-IR"/>
        </w:rPr>
        <w:t>در غیر این صورت حکم ظاهری عمل ارتکابی قصاص خواهد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جواز قتل زوجه مطاوعه و رضایت قلبی وی شرط است و زوج باید علم به مطاوعه داشته باشد </w:t>
      </w:r>
      <w:r>
        <w:rPr>
          <w:rStyle w:val="FootnoteAnchor"/>
          <w:rtl w:val="true"/>
        </w:rPr>
        <w:footnoteReference w:id="1069"/>
      </w:r>
      <w:r>
        <w:rPr>
          <w:rFonts w:ascii="IRNazanin" w:hAnsi="IRNazanin" w:eastAsia="IRNazanin"/>
          <w:color w:val="111111"/>
          <w:sz w:val="28"/>
          <w:sz w:val="28"/>
          <w:szCs w:val="28"/>
          <w:rtl w:val="true"/>
          <w:lang w:bidi="fa-IR"/>
        </w:rPr>
        <w:t>و صرف احتمال مطاوعه کفایت نمی‌کند</w:t>
      </w:r>
      <w:r>
        <w:rPr>
          <w:rFonts w:eastAsia="IRNazanin" w:cs="IRNazanin"/>
          <w:color w:val="111111"/>
          <w:sz w:val="28"/>
          <w:szCs w:val="28"/>
          <w:rtl w:val="true"/>
          <w:lang w:bidi="fa-IR"/>
        </w:rPr>
        <w:t>.</w:t>
      </w:r>
      <w:bookmarkStart w:id="989" w:name="pg5664_43594"/>
    </w:p>
    <w:p>
      <w:pPr>
        <w:pStyle w:val="Heading5"/>
        <w:numPr>
          <w:ilvl w:val="4"/>
          <w:numId w:val="1"/>
        </w:numPr>
        <w:rPr/>
      </w:pPr>
      <w:bookmarkStart w:id="990" w:name="__RefHeading___Toc3420352_581953129"/>
      <w:bookmarkStart w:id="991" w:name="_Toc393"/>
      <w:bookmarkEnd w:id="989"/>
      <w:bookmarkEnd w:id="990"/>
      <w:r>
        <w:rPr/>
        <w:t>2</w:t>
      </w:r>
      <w:r>
        <w:rPr>
          <w:rtl w:val="true"/>
        </w:rPr>
        <w:t>-</w:t>
      </w:r>
      <w:r>
        <w:rPr>
          <w:rtl w:val="true"/>
        </w:rPr>
        <w:t>اقامه حدود در همه جرایم</w:t>
      </w:r>
      <w:bookmarkEnd w:id="991"/>
    </w:p>
    <w:p>
      <w:pPr>
        <w:pStyle w:val="Heading6"/>
        <w:numPr>
          <w:ilvl w:val="5"/>
          <w:numId w:val="1"/>
        </w:numPr>
        <w:rPr/>
      </w:pPr>
      <w:bookmarkStart w:id="992" w:name="__RefHeading___Toc3420354_581953129"/>
      <w:bookmarkStart w:id="993" w:name="_Toc394"/>
      <w:bookmarkEnd w:id="992"/>
      <w:r>
        <w:rPr>
          <w:rtl w:val="true"/>
        </w:rPr>
        <w:t>اشاره</w:t>
      </w:r>
      <w:bookmarkEnd w:id="993"/>
    </w:p>
    <w:p>
      <w:pPr>
        <w:pStyle w:val="BookText"/>
        <w:rPr/>
      </w:pPr>
      <w:r>
        <w:rPr>
          <w:rFonts w:ascii="IRNazanin" w:hAnsi="IRNazanin" w:eastAsia="IRNazanin"/>
          <w:color w:val="111111"/>
          <w:sz w:val="28"/>
          <w:sz w:val="28"/>
          <w:szCs w:val="28"/>
          <w:rtl w:val="true"/>
          <w:lang w:bidi="fa-IR"/>
        </w:rPr>
        <w:t>فقهای شیعه در برخی موارد،بدون در نظر گرفتن شرط فقاهت اقامه حدود را جایز می‌دانند،بدون این که این جواز را مقید به جرایم خاصی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بتوان این موارد را در چهار عنوان مورد بررسی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 بر عبد،زوجه و ولد،و اقامه حد از سوی سلطان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تفصیلی این نظریات و ادله آنها بحثی مستقل و مفصل می‌طلبد،بدین جهت در این نوشتار،به ارائه گزارشی از این دیدگاهها و اختلاف نظرهایی که در این موارد به چشم می‌خورد،اکتفا می‌کنیم</w:t>
      </w:r>
      <w:r>
        <w:rPr>
          <w:rFonts w:eastAsia="IRNazanin" w:cs="IRNazanin"/>
          <w:color w:val="111111"/>
          <w:sz w:val="28"/>
          <w:szCs w:val="28"/>
          <w:rtl w:val="true"/>
          <w:lang w:bidi="fa-IR"/>
        </w:rPr>
        <w:t>.</w:t>
      </w:r>
    </w:p>
    <w:p>
      <w:pPr>
        <w:pStyle w:val="Heading6"/>
        <w:numPr>
          <w:ilvl w:val="5"/>
          <w:numId w:val="1"/>
        </w:numPr>
        <w:rPr/>
      </w:pPr>
      <w:bookmarkStart w:id="994" w:name="__RefHeading___Toc3420356_581953129"/>
      <w:bookmarkStart w:id="995" w:name="_Toc395"/>
      <w:bookmarkEnd w:id="994"/>
      <w:r>
        <w:rPr>
          <w:rtl w:val="true"/>
        </w:rPr>
        <w:t>الف</w:t>
      </w:r>
      <w:r>
        <w:rPr>
          <w:rtl w:val="true"/>
        </w:rPr>
        <w:t>)</w:t>
      </w:r>
      <w:r>
        <w:rPr>
          <w:rtl w:val="true"/>
        </w:rPr>
        <w:t>اقامه حد بر عبد</w:t>
      </w:r>
      <w:bookmarkEnd w:id="995"/>
    </w:p>
    <w:p>
      <w:pPr>
        <w:pStyle w:val="BookText"/>
        <w:rPr/>
      </w:pPr>
      <w:r>
        <w:rPr>
          <w:rFonts w:ascii="IRNazanin" w:hAnsi="IRNazanin" w:eastAsia="IRNazanin"/>
          <w:color w:val="111111"/>
          <w:sz w:val="28"/>
          <w:sz w:val="28"/>
          <w:szCs w:val="28"/>
          <w:rtl w:val="true"/>
          <w:lang w:bidi="fa-IR"/>
        </w:rPr>
        <w:t>فقهای شیعه معتقدند در زمان غیبت مولی می‌تواند بر عبد خود حد جاری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وسید بن زهره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این مطلب را مورد اجماع شیعه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فقها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خلافی نیست که مولی می‌تواند بر عبد خود اقامه حد نماید؛زیرا این مطلب در کتابهای متعددی تصریح شده است،همچون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المحقق الثانی علی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 کتاب‌ها</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اما صاحب جواهر ضمن پذیرش این دیدگاه شهرت آن را مسلم دانسته،می‌گوید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یکون إجماعا کما أعترف به بعضهم،بل فی المسالک لم یخالف فیه إلا الشاذ النادر،ولعله کذلک،إذ لم یحک الخلاف فیه إلا من المفید و الدیلمی،بل عن الغنیة الاجماع علیه،بل مقتضی جواز الحلی له بعد ما سمعته منه سابقا کونه مجمعا علیه أو أن النصوص به متواترة</w:t>
      </w:r>
      <w:r>
        <w:rPr>
          <w:rFonts w:eastAsia="IRNazanin" w:cs="IRNazanin"/>
          <w:color w:val="111111"/>
          <w:sz w:val="28"/>
          <w:szCs w:val="28"/>
          <w:rtl w:val="true"/>
          <w:lang w:bidi="fa-IR"/>
        </w:rPr>
        <w:t xml:space="preserve">» </w:t>
      </w:r>
      <w:r>
        <w:rPr>
          <w:rStyle w:val="FootnoteAnchor"/>
          <w:rtl w:val="true"/>
        </w:rPr>
        <w:footnoteReference w:id="1073"/>
      </w:r>
      <w:bookmarkStart w:id="996" w:name="pg5664_43595"/>
    </w:p>
    <w:p>
      <w:pPr>
        <w:pStyle w:val="BookText"/>
        <w:rPr/>
      </w:pPr>
      <w:bookmarkEnd w:id="996"/>
      <w:r>
        <w:rPr>
          <w:rFonts w:ascii="IRNazanin" w:hAnsi="IRNazanin" w:eastAsia="IRNazanin"/>
          <w:color w:val="111111"/>
          <w:sz w:val="28"/>
          <w:sz w:val="28"/>
          <w:szCs w:val="28"/>
          <w:rtl w:val="true"/>
          <w:lang w:bidi="fa-IR"/>
        </w:rPr>
        <w:t>در ادامه صاحب جواهر به استدلال پرداخته،دلایل چندی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فقها،نصوص متواتر،اخبار مستفیضه بین خاصه و عامه،عموم تسلط مولی بر عبدش،نبوی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الحدود علی ما ملکت أیمانکم</w:t>
      </w:r>
      <w:r>
        <w:rPr>
          <w:rFonts w:eastAsia="IRNazanin" w:cs="IRNazanin"/>
          <w:color w:val="111111"/>
          <w:sz w:val="28"/>
          <w:szCs w:val="28"/>
          <w:rtl w:val="true"/>
          <w:lang w:bidi="fa-IR"/>
        </w:rPr>
        <w:t xml:space="preserve">» </w:t>
      </w:r>
      <w:r>
        <w:rPr>
          <w:rStyle w:val="FootnoteAnchor"/>
          <w:rtl w:val="true"/>
        </w:rPr>
        <w:footnoteReference w:id="1074"/>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5"/>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قطع بر وجود سیره در جواز تعزیر که از اقسام حدود است</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مقتضی اطلاق نص و فتوی،جواز اقامه حد بر عبد است،چه مولی عادل باشد یا فاسق و چه زن باشد یا مرد</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اما در شرایط مولی بین اصحاب اختلافاتی وجود دارد و حتی سلار در مراسم و علامه حلی در مختلف،به خلاف مشهور فقها،فقاهت مولی را لازم می‌دانند</w:t>
      </w:r>
      <w:r>
        <w:rPr>
          <w:rFonts w:eastAsia="IRNazanin" w:cs="IRNazanin"/>
          <w:color w:val="111111"/>
          <w:sz w:val="28"/>
          <w:szCs w:val="28"/>
          <w:rtl w:val="true"/>
          <w:lang w:bidi="fa-IR"/>
        </w:rPr>
        <w:t xml:space="preserve">. </w:t>
      </w:r>
      <w:r>
        <w:rPr>
          <w:rStyle w:val="FootnoteAnchor"/>
          <w:rtl w:val="true"/>
        </w:rPr>
        <w:footnoteReference w:id="1079"/>
      </w:r>
    </w:p>
    <w:p>
      <w:pPr>
        <w:pStyle w:val="Heading6"/>
        <w:numPr>
          <w:ilvl w:val="5"/>
          <w:numId w:val="1"/>
        </w:numPr>
        <w:rPr/>
      </w:pPr>
      <w:bookmarkStart w:id="997" w:name="__RefHeading___Toc3420358_581953129"/>
      <w:bookmarkStart w:id="998" w:name="_Toc396"/>
      <w:bookmarkEnd w:id="997"/>
      <w:r>
        <w:rPr>
          <w:rtl w:val="true"/>
        </w:rPr>
        <w:t>ب</w:t>
      </w:r>
      <w:r>
        <w:rPr>
          <w:rtl w:val="true"/>
        </w:rPr>
        <w:t>)</w:t>
      </w:r>
      <w:r>
        <w:rPr>
          <w:rtl w:val="true"/>
        </w:rPr>
        <w:t>اقامه حد بر ولد و زوجه</w:t>
      </w:r>
      <w:bookmarkEnd w:id="99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اقامه حد بر ولد و زوجه دو قول وجود دارد؛ </w:t>
      </w:r>
      <w:r>
        <w:rPr>
          <w:rStyle w:val="FootnoteAnchor"/>
          <w:rtl w:val="true"/>
        </w:rPr>
        <w:footnoteReference w:id="1080"/>
      </w:r>
      <w:r>
        <w:rPr>
          <w:rFonts w:ascii="IRNazanin" w:hAnsi="IRNazanin" w:eastAsia="IRNazanin"/>
          <w:color w:val="111111"/>
          <w:sz w:val="28"/>
          <w:sz w:val="28"/>
          <w:szCs w:val="28"/>
          <w:rtl w:val="true"/>
          <w:lang w:bidi="fa-IR"/>
        </w:rPr>
        <w:t>شیخ طوسی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1"/>
      </w:r>
      <w:r>
        <w:rPr>
          <w:rFonts w:ascii="Amiri" w:hAnsi="Amiri" w:eastAsia="Amiri" w:cs="Amiri"/>
          <w:color w:val="111111"/>
          <w:sz w:val="28"/>
          <w:sz w:val="28"/>
          <w:szCs w:val="28"/>
          <w:rtl w:val="true"/>
          <w:lang w:bidi="ar-SA"/>
        </w:rPr>
        <w:t>علامه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2"/>
      </w:r>
      <w:r>
        <w:rPr>
          <w:rFonts w:ascii="IRNazanin" w:hAnsi="IRNazanin" w:eastAsia="IRNazanin"/>
          <w:color w:val="111111"/>
          <w:sz w:val="28"/>
          <w:sz w:val="28"/>
          <w:szCs w:val="28"/>
          <w:rtl w:val="true"/>
          <w:lang w:bidi="fa-IR"/>
        </w:rPr>
        <w:t>شهید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قایل به جوازند و قول جواز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براج،و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جنید نیز نقل شده است، </w:t>
      </w:r>
      <w:r>
        <w:rPr>
          <w:rStyle w:val="FootnoteAnchor"/>
          <w:rtl w:val="true"/>
        </w:rPr>
        <w:footnoteReference w:id="1084"/>
      </w:r>
      <w:r>
        <w:rPr>
          <w:rFonts w:ascii="IRNazanin" w:hAnsi="IRNazanin" w:eastAsia="IRNazanin"/>
          <w:color w:val="111111"/>
          <w:sz w:val="28"/>
          <w:sz w:val="28"/>
          <w:szCs w:val="28"/>
          <w:rtl w:val="true"/>
          <w:lang w:bidi="fa-IR"/>
        </w:rPr>
        <w:t>در حالی که مفید،ابن ادریس،ابن زهره،طبرسی،کرکی و شهید ثانی قول عدم جواز را برگزیده‌اند</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علامه حلی در این مورد هم فقاهت را معتبر می‌داند،و شهید ثانی نیز با این که منع را اقوی می‌داند،در صورتی که مولی فقیه باشد،قول جواز را متجه</w:t>
      </w:r>
      <w:bookmarkStart w:id="999" w:name="pg5664_43596"/>
    </w:p>
    <w:p>
      <w:pPr>
        <w:pStyle w:val="BookText"/>
        <w:rPr/>
      </w:pPr>
      <w:bookmarkEnd w:id="999"/>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همچنین محقق کرکی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 بر زوجه و ولد جایز نیست مگر با اهلیت حکم</w:t>
      </w:r>
      <w:r>
        <w:rPr>
          <w:rFonts w:eastAsia="IRNazanin" w:cs="IRNazanin"/>
          <w:color w:val="111111"/>
          <w:sz w:val="28"/>
          <w:szCs w:val="28"/>
          <w:rtl w:val="true"/>
          <w:lang w:bidi="fa-IR"/>
        </w:rPr>
        <w:t xml:space="preserve">. </w:t>
      </w:r>
      <w:r>
        <w:rPr>
          <w:rStyle w:val="FootnoteAnchor"/>
          <w:rtl w:val="true"/>
        </w:rPr>
        <w:footnoteReference w:id="1087"/>
      </w:r>
    </w:p>
    <w:p>
      <w:pPr>
        <w:pStyle w:val="Heading6"/>
        <w:numPr>
          <w:ilvl w:val="5"/>
          <w:numId w:val="1"/>
        </w:numPr>
        <w:rPr/>
      </w:pPr>
      <w:bookmarkStart w:id="1000" w:name="__RefHeading___Toc3420360_581953129"/>
      <w:bookmarkStart w:id="1001" w:name="_Toc397"/>
      <w:bookmarkEnd w:id="1000"/>
      <w:r>
        <w:rPr>
          <w:rtl w:val="true"/>
        </w:rPr>
        <w:t>ج</w:t>
      </w:r>
      <w:r>
        <w:rPr>
          <w:rtl w:val="true"/>
        </w:rPr>
        <w:t>)</w:t>
      </w:r>
      <w:r>
        <w:rPr>
          <w:rtl w:val="true"/>
        </w:rPr>
        <w:t>اقامه حد از سوی ظالمین</w:t>
      </w:r>
      <w:bookmarkEnd w:id="1001"/>
    </w:p>
    <w:p>
      <w:pPr>
        <w:pStyle w:val="BookText"/>
        <w:rPr/>
      </w:pPr>
      <w:r>
        <w:rPr>
          <w:rFonts w:ascii="IRNazanin" w:hAnsi="IRNazanin" w:eastAsia="IRNazanin"/>
          <w:color w:val="111111"/>
          <w:sz w:val="28"/>
          <w:sz w:val="28"/>
          <w:szCs w:val="28"/>
          <w:rtl w:val="true"/>
          <w:lang w:bidi="fa-IR"/>
        </w:rPr>
        <w:t>اگر از سوی حکام جور فردی از شیعه به ولایت نصب شد،در حالی که می‌تواند بدون این که ضرری متوجه وی باشد،اقامه حدود بنماید؛آیا اقامه حدود برای او جایز است یا خیر؟مفید در محکی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در محکی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جواز را برگزیده‌اند منتها مشروط به این که با اعتقاد به نیابت از امام معصوم علیه السلام،به این امر مبادرت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براج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را چنین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استخلف السلطان الجائر انساناً من المسلمین و جعل الیه الحدود جاز ان یقیمها بعد ان یعتقد انه قبل الأمام العادل فی ذلک و انه یفعل ذلک باذنه</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شیخ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استخلفه سلطان ظالم علی قوم وجعل إلیه إقامة الحدود جاز له أن یقیمها علیهم علی الکمال،ویعتقد أنه إنما یفعل ذلک بإذن سلطان الحق،ویجب علی المؤمنین معونته وتمکینه من ذلک ما لم یتعد الحق فی ذلک وما هو مشروع فی شریعة الاسلام،فإن تعدی ما جعل الله الحق لم یجز له القیام به،ولا لأحد معاونته علی ذلک،اللهم إلا أن یخاف فی ذلک علی نفسه،فإنه یجوز له حینئذ أن یفعل فی حال التقیة ما لم یبلغ قتل النفوس،و أما قتل النفوس فلا یجوز فیه التقیة علی حال</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علامه حلی این عبارت شیخ را مفاد روایت دانسته،ابن ادریس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أوردها إیرادا من طریق الخبر لا اعتقادا من جهة الفتیا و النظر</w:t>
      </w:r>
      <w:r>
        <w:rPr>
          <w:rFonts w:eastAsia="IRNazanin" w:cs="IRNazanin"/>
          <w:color w:val="111111"/>
          <w:sz w:val="28"/>
          <w:szCs w:val="28"/>
          <w:rtl w:val="true"/>
          <w:lang w:bidi="fa-IR"/>
        </w:rPr>
        <w:t xml:space="preserve">» </w:t>
      </w:r>
      <w:r>
        <w:rPr>
          <w:rStyle w:val="FootnoteAnchor"/>
          <w:rtl w:val="true"/>
        </w:rPr>
        <w:footnoteReference w:id="109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حلی،فاضل،شهیدان و غیر ایشان که شاید به حد مشهور برسند،اقامه حدود در دستگاه ظلمه را جایز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سلطان جائر وی را مجبور نماید که اقامه حد نماید،در این صورت مادامی که مرتکب قتل نشده است،قبول ولایت از</w:t>
      </w:r>
      <w:bookmarkStart w:id="1002" w:name="pg5664_43597"/>
    </w:p>
    <w:p>
      <w:pPr>
        <w:pStyle w:val="BookText"/>
        <w:rPr/>
      </w:pPr>
      <w:bookmarkEnd w:id="1002"/>
      <w:r>
        <w:rPr>
          <w:rFonts w:ascii="IRNazanin" w:hAnsi="IRNazanin" w:eastAsia="IRNazanin"/>
          <w:color w:val="111111"/>
          <w:sz w:val="28"/>
          <w:sz w:val="28"/>
          <w:szCs w:val="28"/>
          <w:rtl w:val="true"/>
          <w:lang w:bidi="fa-IR"/>
        </w:rPr>
        <w:t>روی تقیه جایز است اما در دماء تقیه‌ای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گفتنی است که در این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قتل از روی تقیه یا تحقق اکراه در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فقها خلافی نیست</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البته آقای خویی در این مسئله مخالف مشهور است و قتل از روی اکراه را جایز دانسته،معتقد است اکراه در قتل محقق می‌شود</w:t>
      </w:r>
      <w:r>
        <w:rPr>
          <w:rFonts w:eastAsia="IRNazanin" w:cs="IRNazanin"/>
          <w:color w:val="111111"/>
          <w:sz w:val="28"/>
          <w:szCs w:val="28"/>
          <w:rtl w:val="true"/>
          <w:lang w:bidi="fa-IR"/>
        </w:rPr>
        <w:t xml:space="preserve">. </w:t>
      </w:r>
      <w:r>
        <w:rPr>
          <w:rStyle w:val="FootnoteAnchor"/>
          <w:rtl w:val="true"/>
        </w:rPr>
        <w:footnoteReference w:id="1092"/>
      </w:r>
    </w:p>
    <w:p>
      <w:pPr>
        <w:pStyle w:val="Heading4"/>
        <w:numPr>
          <w:ilvl w:val="3"/>
          <w:numId w:val="1"/>
        </w:numPr>
        <w:rPr/>
      </w:pPr>
      <w:bookmarkStart w:id="1003" w:name="__RefHeading___Toc3420362_581953129"/>
      <w:bookmarkStart w:id="1004" w:name="_Toc398"/>
      <w:bookmarkEnd w:id="1003"/>
      <w:r>
        <w:rPr>
          <w:rtl w:val="true"/>
        </w:rPr>
        <w:t>حاکم جور</w:t>
      </w:r>
      <w:bookmarkEnd w:id="1004"/>
    </w:p>
    <w:p>
      <w:pPr>
        <w:pStyle w:val="Heading5"/>
        <w:numPr>
          <w:ilvl w:val="4"/>
          <w:numId w:val="1"/>
        </w:numPr>
        <w:rPr/>
      </w:pPr>
      <w:bookmarkStart w:id="1005" w:name="__RefHeading___Toc3420364_581953129"/>
      <w:bookmarkStart w:id="1006" w:name="_Toc399"/>
      <w:bookmarkEnd w:id="1005"/>
      <w:r>
        <w:rPr>
          <w:rtl w:val="true"/>
        </w:rPr>
        <w:t>اشاره</w:t>
      </w:r>
      <w:bookmarkEnd w:id="1006"/>
    </w:p>
    <w:p>
      <w:pPr>
        <w:pStyle w:val="BookText"/>
        <w:rPr/>
      </w:pPr>
      <w:r>
        <w:rPr>
          <w:rFonts w:ascii="IRNazanin" w:hAnsi="IRNazanin" w:eastAsia="IRNazanin"/>
          <w:color w:val="111111"/>
          <w:sz w:val="28"/>
          <w:sz w:val="28"/>
          <w:szCs w:val="28"/>
          <w:rtl w:val="true"/>
          <w:lang w:bidi="fa-IR"/>
        </w:rPr>
        <w:t>در فصول گذشته دانستیم که اقامه حدود به جعل اولی وظیفه امام معصوم علیه السلام است و در زمان غیبت به نظر مشهورِ فقهای شیعه،که مستند به دلایل محکم و غیر قابل انکاری است،اقامه حدود به فقها تفویض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خلاف آنچه تاکنون در این نوشتار به اثبات رسید،برخی مدعی‌اند در زمان غیبت امام علیه السلام و حاکمیت حاکمان جور،اقامه حدود از وظایف حاکمان جور است،و اقامه حدود از سوی ایشان مشروع بوده،جایز نیست فقها در این امر مداخله نمایند،و تصرفات فقها در اقامه حدود تنها زمانی نافذ و مشروع است که حاکمان جور نسبت به اقامه حدود بی تفاوت باشند</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برای بررسی این دیدگاه ابتدا لازم است مراد نویسنده محترم از حاکم جور روشن شود،آنگاه دلایلی که برای مشروعیت بخشی به اقامه حدود توسط ایشان ارائه گردیده مورد نقد و بررسی قرار گیرد</w:t>
      </w:r>
      <w:r>
        <w:rPr>
          <w:rFonts w:eastAsia="IRNazanin" w:cs="IRNazanin"/>
          <w:color w:val="111111"/>
          <w:sz w:val="28"/>
          <w:szCs w:val="28"/>
          <w:rtl w:val="true"/>
          <w:lang w:bidi="fa-IR"/>
        </w:rPr>
        <w:t>.</w:t>
      </w:r>
    </w:p>
    <w:p>
      <w:pPr>
        <w:pStyle w:val="Heading5"/>
        <w:numPr>
          <w:ilvl w:val="4"/>
          <w:numId w:val="1"/>
        </w:numPr>
        <w:rPr/>
      </w:pPr>
      <w:bookmarkStart w:id="1007" w:name="__RefHeading___Toc3420366_581953129"/>
      <w:bookmarkStart w:id="1008" w:name="_Toc400"/>
      <w:bookmarkEnd w:id="1007"/>
      <w:r>
        <w:rPr/>
        <w:t>1</w:t>
      </w:r>
      <w:r>
        <w:rPr>
          <w:rtl w:val="true"/>
        </w:rPr>
        <w:t>-</w:t>
      </w:r>
      <w:r>
        <w:rPr>
          <w:rtl w:val="true"/>
        </w:rPr>
        <w:t>تعریف حاکم جور</w:t>
      </w:r>
      <w:bookmarkEnd w:id="100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جور نقیض عدل است و به انحراف از راه هم گفته می‌شود</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این واژه یکبار در قرآن به معنی دوم بکار رفته است</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در روایات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کاربرد این عنوان در روایات نشان می‌دهد که امام جور،در مواردی</w:t>
      </w:r>
      <w:bookmarkStart w:id="1009" w:name="pg5664_43598"/>
    </w:p>
    <w:p>
      <w:pPr>
        <w:pStyle w:val="BookText"/>
        <w:rPr/>
      </w:pPr>
      <w:bookmarkEnd w:id="1009"/>
      <w:r>
        <w:rPr>
          <w:rFonts w:ascii="IRNazanin" w:hAnsi="IRNazanin" w:eastAsia="IRNazanin"/>
          <w:color w:val="111111"/>
          <w:sz w:val="28"/>
          <w:sz w:val="28"/>
          <w:szCs w:val="28"/>
          <w:rtl w:val="true"/>
          <w:lang w:bidi="fa-IR"/>
        </w:rPr>
        <w:t>که از تولی ائمه جور نکوهش شده،به پذیرش اعتقادی ولایت غیرمعصومان به جای امامان معصوم علیهم السلام اختصاص دارد</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ولی در دیگر موارد،مراد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 است که با تعدی و تجاوز به حقوق مردم و ظلم به آنان و با زیرپاگذاردن احکام اسلامی از مسیر حق و عدل خارج شده است، </w:t>
      </w:r>
      <w:r>
        <w:rPr>
          <w:rStyle w:val="FootnoteAnchor"/>
          <w:rtl w:val="true"/>
        </w:rPr>
        <w:footnoteReference w:id="1097"/>
      </w:r>
      <w:r>
        <w:rPr>
          <w:rFonts w:ascii="IRNazanin" w:hAnsi="IRNazanin" w:eastAsia="IRNazanin"/>
          <w:color w:val="111111"/>
          <w:sz w:val="28"/>
          <w:sz w:val="28"/>
          <w:szCs w:val="28"/>
          <w:rtl w:val="true"/>
          <w:lang w:bidi="fa-IR"/>
        </w:rPr>
        <w:t>هرچند ولایت معصومان علیهم السلام را نیز پذیرفته باشد</w:t>
      </w:r>
      <w:r>
        <w:rPr>
          <w:rFonts w:eastAsia="IRNazanin" w:cs="IRNazanin"/>
          <w:color w:val="111111"/>
          <w:sz w:val="28"/>
          <w:szCs w:val="28"/>
          <w:rtl w:val="true"/>
          <w:lang w:bidi="fa-IR"/>
        </w:rPr>
        <w:t xml:space="preserve">. </w:t>
      </w:r>
      <w:r>
        <w:rPr>
          <w:rStyle w:val="FootnoteAnchor"/>
          <w:rtl w:val="true"/>
        </w:rPr>
        <w:footnoteReference w:id="1098"/>
      </w:r>
    </w:p>
    <w:p>
      <w:pPr>
        <w:pStyle w:val="Heading5"/>
        <w:numPr>
          <w:ilvl w:val="4"/>
          <w:numId w:val="1"/>
        </w:numPr>
        <w:rPr/>
      </w:pPr>
      <w:bookmarkStart w:id="1010" w:name="__RefHeading___Toc3420368_581953129"/>
      <w:bookmarkStart w:id="1011" w:name="_Toc401"/>
      <w:bookmarkEnd w:id="1010"/>
      <w:r>
        <w:rPr/>
        <w:t>2</w:t>
      </w:r>
      <w:r>
        <w:rPr>
          <w:rtl w:val="true"/>
        </w:rPr>
        <w:t>-</w:t>
      </w:r>
      <w:r>
        <w:rPr>
          <w:rtl w:val="true"/>
        </w:rPr>
        <w:t>دلایل مشروعیت اقامه حدود توسط حاکم جور</w:t>
      </w:r>
      <w:bookmarkEnd w:id="1011"/>
    </w:p>
    <w:p>
      <w:pPr>
        <w:pStyle w:val="Heading6"/>
        <w:numPr>
          <w:ilvl w:val="5"/>
          <w:numId w:val="1"/>
        </w:numPr>
        <w:rPr/>
      </w:pPr>
      <w:bookmarkStart w:id="1012" w:name="__RefHeading___Toc3420370_581953129"/>
      <w:bookmarkStart w:id="1013" w:name="_Toc402"/>
      <w:bookmarkEnd w:id="1012"/>
      <w:r>
        <w:rPr>
          <w:rtl w:val="true"/>
        </w:rPr>
        <w:t>اشاره</w:t>
      </w:r>
      <w:bookmarkEnd w:id="1013"/>
    </w:p>
    <w:p>
      <w:pPr>
        <w:pStyle w:val="BookText"/>
        <w:rPr/>
      </w:pPr>
      <w:r>
        <w:rPr>
          <w:rFonts w:ascii="IRNazanin" w:hAnsi="IRNazanin" w:eastAsia="IRNazanin"/>
          <w:color w:val="111111"/>
          <w:sz w:val="28"/>
          <w:sz w:val="28"/>
          <w:szCs w:val="28"/>
          <w:rtl w:val="true"/>
          <w:lang w:bidi="fa-IR"/>
        </w:rPr>
        <w:t>کیفر دادن مجرمان در عرف جوامع بشری از اختیارات حکومت است و کسی جز متصدیان امور حکومت مجاز به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مبنا از سوی فقه اسلامی هم پذیرفته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یکی از دقدقه‌های فقهای شیعه،تشکیل حکومتی بوده است الهی،تا بتوان در سایه آن،قوانین الهی را به اجرا گذارد و با اجرای حدود و تعزیرات و مجازات‌های اسلامی توام با اجرای صحیح امر به معروف و نه از منکر و توجه به اخلاق اسلامی،جامعه را پالایش و تطهیر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صرف لزوم حکومت برای اقامه حدود باعث نمی‌شود،اقامه حدود توسط حاکمان خودکامه مشروع باشد،بلکه برای اثبات مشروعیت این امر دلایل محکم و استوار از خدشه مورد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دلایل مطرح شده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اختصاص واژه امام به معصومان علیهم السلام،سیره عملی معصومان علیهم السلام در تایید و ارجاع حدود به حاکمان جور و منع از تعطیلی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هر کدام از این دلایل مورد بررسی قرار می‌گیرد</w:t>
      </w:r>
      <w:r>
        <w:rPr>
          <w:rFonts w:eastAsia="IRNazanin" w:cs="IRNazanin"/>
          <w:color w:val="111111"/>
          <w:sz w:val="28"/>
          <w:szCs w:val="28"/>
          <w:rtl w:val="true"/>
          <w:lang w:bidi="fa-IR"/>
        </w:rPr>
        <w:t>.</w:t>
      </w:r>
    </w:p>
    <w:p>
      <w:pPr>
        <w:pStyle w:val="Heading6"/>
        <w:numPr>
          <w:ilvl w:val="5"/>
          <w:numId w:val="1"/>
        </w:numPr>
        <w:rPr/>
      </w:pPr>
      <w:bookmarkStart w:id="1014" w:name="__RefHeading___Toc3420372_581953129"/>
      <w:bookmarkStart w:id="1015" w:name="_Toc403"/>
      <w:bookmarkEnd w:id="1014"/>
      <w:r>
        <w:rPr>
          <w:rtl w:val="true"/>
        </w:rPr>
        <w:t>الف</w:t>
      </w:r>
      <w:r>
        <w:rPr>
          <w:rtl w:val="true"/>
        </w:rPr>
        <w:t>)</w:t>
      </w:r>
      <w:r>
        <w:rPr>
          <w:rtl w:val="true"/>
        </w:rPr>
        <w:t>عدم اختصاص واژه امام به معصومان علیهم السلام</w:t>
      </w:r>
      <w:bookmarkEnd w:id="1015"/>
    </w:p>
    <w:p>
      <w:pPr>
        <w:pStyle w:val="Heading6"/>
        <w:numPr>
          <w:ilvl w:val="5"/>
          <w:numId w:val="1"/>
        </w:numPr>
        <w:rPr/>
      </w:pPr>
      <w:bookmarkStart w:id="1016" w:name="__RefHeading___Toc3420374_581953129"/>
      <w:bookmarkStart w:id="1017" w:name="_Toc404"/>
      <w:bookmarkEnd w:id="1016"/>
      <w:r>
        <w:rPr>
          <w:rtl w:val="true"/>
        </w:rPr>
        <w:t>چگونگی استدلال</w:t>
      </w:r>
      <w:bookmarkEnd w:id="101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مسلمان اجرای حدود را از وظایف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حاکم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شیعه هم این اصل را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فراوانی هم به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المسلمین</w:t>
      </w:r>
      <w:r>
        <w:rPr>
          <w:rFonts w:eastAsia="IRNazanin" w:cs="IRNazanin"/>
          <w:color w:val="111111"/>
          <w:sz w:val="28"/>
          <w:szCs w:val="28"/>
          <w:rtl w:val="true"/>
          <w:lang w:bidi="fa-IR"/>
        </w:rPr>
        <w:t>»</w:t>
      </w:r>
      <w:bookmarkStart w:id="1018" w:name="pg5664_43599"/>
    </w:p>
    <w:p>
      <w:pPr>
        <w:pStyle w:val="BookText"/>
        <w:rPr/>
      </w:pPr>
      <w:bookmarkEnd w:id="1018"/>
      <w:r>
        <w:rPr>
          <w:rFonts w:ascii="IRNazanin" w:hAnsi="IRNazanin" w:eastAsia="IRNazanin"/>
          <w:color w:val="111111"/>
          <w:sz w:val="28"/>
          <w:sz w:val="28"/>
          <w:szCs w:val="28"/>
          <w:rtl w:val="true"/>
          <w:lang w:bidi="fa-IR"/>
        </w:rPr>
        <w:t>در اجرای حدود اشاره کرده است</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در این روایات این اصل که مسوولیت اجرای حدود فقط متوجه امام است و دیگر مسلمین مجاز به دخالت در آن نیستند تایید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دعائم الاسلام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الحکم و لا الحدود ولا الجمعه الا بامام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همین اصل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واژه امام مختص به امام معصوم علیه السلام نیست و شامل هر حاکم مبسوط الیدی می‌شود،روشن می‌کند که مقصود از این روایات بیان تکلیفی است که متوجه حاکمان در آن روز و هر زمان دیگر است و نه فقط وظیفه امام معصوم و یا فقیهی که ممکن است صدها سال دیگر اتفاقاً در جایی به این منصب دست پیدا کند</w:t>
      </w:r>
      <w:r>
        <w:rPr>
          <w:rFonts w:eastAsia="IRNazanin" w:cs="IRNazanin"/>
          <w:color w:val="111111"/>
          <w:sz w:val="28"/>
          <w:szCs w:val="28"/>
          <w:rtl w:val="true"/>
          <w:lang w:bidi="fa-IR"/>
        </w:rPr>
        <w:t xml:space="preserve">. </w:t>
      </w:r>
      <w:r>
        <w:rPr>
          <w:rStyle w:val="FootnoteAnchor"/>
          <w:rtl w:val="true"/>
        </w:rPr>
        <w:footnoteReference w:id="1100"/>
      </w:r>
    </w:p>
    <w:p>
      <w:pPr>
        <w:pStyle w:val="Heading6"/>
        <w:numPr>
          <w:ilvl w:val="5"/>
          <w:numId w:val="1"/>
        </w:numPr>
        <w:rPr/>
      </w:pPr>
      <w:bookmarkStart w:id="1019" w:name="__RefHeading___Toc3420376_581953129"/>
      <w:bookmarkStart w:id="1020" w:name="_Toc405"/>
      <w:bookmarkEnd w:id="1019"/>
      <w:r>
        <w:rPr>
          <w:rtl w:val="true"/>
        </w:rPr>
        <w:t>نقد و بررسی</w:t>
      </w:r>
      <w:bookmarkEnd w:id="102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در فصل دوم این نوشتار و ضمن بحث از روایت جعفریات به طور مفصل راجع به کاربردهای واژه امام در روایات بحث و بررسی صورت گرفت نیازی به تکرار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بحث روشن شد،هرگاه قرینه‌ای در کلام نباشد،واژه امام در روایات و فقه شیعه منصرف به امام معصوم علیه السلام است؛بنابراین شالوده این</w:t>
      </w:r>
      <w:bookmarkStart w:id="1021" w:name="pg5664_43600"/>
    </w:p>
    <w:p>
      <w:pPr>
        <w:pStyle w:val="BookText"/>
        <w:rPr/>
      </w:pPr>
      <w:bookmarkEnd w:id="1021"/>
      <w:r>
        <w:rPr>
          <w:rFonts w:ascii="IRNazanin" w:hAnsi="IRNazanin" w:eastAsia="IRNazanin"/>
          <w:color w:val="111111"/>
          <w:sz w:val="28"/>
          <w:sz w:val="28"/>
          <w:szCs w:val="28"/>
          <w:rtl w:val="true"/>
          <w:lang w:bidi="fa-IR"/>
        </w:rPr>
        <w:t>استدلال با همین نکته متلاشی می‌شود،زیرا به نظر فقهای شیعه در همه این موارد امام معصوم علیه السلام مراد است،مگر این که قرینه‌ای در کلام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نباید از نظر دور داشت که شاید از این رهگذر مطلب دیگری که بیگانه از منظور نویسنده است،قوت یابد؛شاید بتوان بر اساس این روایات این مطلب را تایید کرد که هر فقیهی نمی‌تواند به اقامه حدود بپردازد،بلکه تنها فقیهی مجاز به اقامه حدود است که علاوه بر فقاهت،ولایت بالفعل هم داشته باشد و عرفا بتوان او را امام نامید؛بنابراین امکان دارد به واسطه این روایات فقط ولی فقیه را مجاز به اقامه حدود دانست نه همه فقها را</w:t>
      </w:r>
      <w:r>
        <w:rPr>
          <w:rFonts w:eastAsia="IRNazanin" w:cs="IRNazanin"/>
          <w:color w:val="111111"/>
          <w:sz w:val="28"/>
          <w:szCs w:val="28"/>
          <w:rtl w:val="true"/>
          <w:lang w:bidi="fa-IR"/>
        </w:rPr>
        <w:t>.</w:t>
      </w:r>
    </w:p>
    <w:p>
      <w:pPr>
        <w:pStyle w:val="Heading6"/>
        <w:numPr>
          <w:ilvl w:val="5"/>
          <w:numId w:val="1"/>
        </w:numPr>
        <w:rPr/>
      </w:pPr>
      <w:bookmarkStart w:id="1022" w:name="__RefHeading___Toc3420378_581953129"/>
      <w:bookmarkStart w:id="1023" w:name="_Toc406"/>
      <w:bookmarkEnd w:id="1022"/>
      <w:r>
        <w:rPr>
          <w:rtl w:val="true"/>
        </w:rPr>
        <w:t>ب</w:t>
      </w:r>
      <w:r>
        <w:rPr>
          <w:rtl w:val="true"/>
        </w:rPr>
        <w:t>)</w:t>
      </w:r>
      <w:r>
        <w:rPr>
          <w:rtl w:val="true"/>
        </w:rPr>
        <w:t>سیره عملی معصومان</w:t>
      </w:r>
      <w:bookmarkEnd w:id="1023"/>
    </w:p>
    <w:p>
      <w:pPr>
        <w:pStyle w:val="Heading6"/>
        <w:numPr>
          <w:ilvl w:val="5"/>
          <w:numId w:val="1"/>
        </w:numPr>
        <w:rPr/>
      </w:pPr>
      <w:bookmarkStart w:id="1024" w:name="__RefHeading___Toc3420380_581953129"/>
      <w:bookmarkStart w:id="1025" w:name="_Toc407"/>
      <w:bookmarkEnd w:id="1024"/>
      <w:r>
        <w:rPr>
          <w:rtl w:val="true"/>
        </w:rPr>
        <w:t>چگونگی استدلال</w:t>
      </w:r>
      <w:bookmarkEnd w:id="1025"/>
    </w:p>
    <w:p>
      <w:pPr>
        <w:pStyle w:val="BookText"/>
        <w:rPr/>
      </w:pPr>
      <w:r>
        <w:rPr>
          <w:rFonts w:ascii="IRNazanin" w:hAnsi="IRNazanin" w:eastAsia="IRNazanin"/>
          <w:color w:val="111111"/>
          <w:sz w:val="28"/>
          <w:sz w:val="28"/>
          <w:szCs w:val="28"/>
          <w:rtl w:val="true"/>
          <w:lang w:bidi="fa-IR"/>
        </w:rPr>
        <w:t>روایاتی که از سیره عملی و روش امامان علیهم السلام در ارجاع امر اقامه حدود به حاکمان عصر خویش و تایید اجرای حدود توسط آنان حکایت دارند،از جمله ادله ولایت حکام جور بر اقامه حدود معرفی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روایات می‌توان به موارد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 از امیرالمؤمنین علیه السلام درباره مردی که مرتکب گناهی شده بود سؤال کرد؛ایشان،وی را برای اجرای حد بر فرد گناهکار راهنمایی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حد بزن</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در جواب متوکل که از ایشان درباره مرد نصرانی که پس از زنای با زنی مسلمان اسلام آورده بود سؤال کرده بود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باید تا حد مرگ تازیانه زد</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معلی بن خُنَیس که سارقی را دستگیر کرده بود دستور فرمودند که سارق را برای اجرای حد سرقت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دهد</w:t>
      </w:r>
      <w:r>
        <w:rPr>
          <w:rFonts w:eastAsia="IRNazanin" w:cs="IRNazanin"/>
          <w:color w:val="111111"/>
          <w:sz w:val="28"/>
          <w:szCs w:val="28"/>
          <w:rtl w:val="true"/>
          <w:lang w:bidi="fa-IR"/>
        </w:rPr>
        <w:t xml:space="preserve">. </w:t>
      </w:r>
      <w:r>
        <w:rPr>
          <w:rStyle w:val="FootnoteAnchor"/>
          <w:rtl w:val="true"/>
        </w:rPr>
        <w:footnoteReference w:id="110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روایت،نه تنها بر جواز،بلکه بر وجوب اجرای حدود توسط دولت‌های</w:t>
      </w:r>
      <w:bookmarkStart w:id="1026" w:name="pg5664_43601"/>
    </w:p>
    <w:p>
      <w:pPr>
        <w:pStyle w:val="BookText"/>
        <w:rPr/>
      </w:pPr>
      <w:bookmarkEnd w:id="1026"/>
      <w:r>
        <w:rPr>
          <w:rFonts w:ascii="IRNazanin" w:hAnsi="IRNazanin" w:eastAsia="IRNazanin"/>
          <w:color w:val="111111"/>
          <w:sz w:val="28"/>
          <w:sz w:val="28"/>
          <w:szCs w:val="28"/>
          <w:rtl w:val="true"/>
          <w:lang w:bidi="fa-IR"/>
        </w:rPr>
        <w:t>جور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تصور که این موارد،مجوزهایی مربوط به موارد خاص بوده و از آن جواز اقدام دیگر حاکمان جور استفاده نمی‌شود نادرست است؛زیرا بر اساس اصل اشتراک تکالیف،بین دزدی که در آن روز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 شده و دیگر دزدان و نیز بین خلیفه اول و یا متوکل عباسی با دیگر حاکمان جور مسلمان تفاوتی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بنابراین،مطرح شدن مکرر این مضمون و تاکید بر این که امام و و الی باید حد را جاری کند و این که عفو سارق با اوست به این معنی است که امام علیه السلام حاکمان زمان خود را واجد اختیار کافی برای اجرای حدود می‌دانسته‌اند</w:t>
      </w:r>
      <w:r>
        <w:rPr>
          <w:rFonts w:eastAsia="IRNazanin" w:cs="IRNazanin"/>
          <w:color w:val="111111"/>
          <w:sz w:val="28"/>
          <w:szCs w:val="28"/>
          <w:rtl w:val="true"/>
          <w:lang w:bidi="fa-IR"/>
        </w:rPr>
        <w:t>.</w:t>
      </w:r>
    </w:p>
    <w:p>
      <w:pPr>
        <w:pStyle w:val="Heading6"/>
        <w:numPr>
          <w:ilvl w:val="5"/>
          <w:numId w:val="1"/>
        </w:numPr>
        <w:rPr/>
      </w:pPr>
      <w:bookmarkStart w:id="1027" w:name="__RefHeading___Toc3420382_581953129"/>
      <w:bookmarkStart w:id="1028" w:name="_Toc408"/>
      <w:bookmarkEnd w:id="1027"/>
      <w:r>
        <w:rPr>
          <w:rtl w:val="true"/>
        </w:rPr>
        <w:t>نقدو بررسی</w:t>
      </w:r>
      <w:bookmarkEnd w:id="1028"/>
    </w:p>
    <w:p>
      <w:pPr>
        <w:pStyle w:val="BookText"/>
        <w:rPr/>
      </w:pPr>
      <w:r>
        <w:rPr>
          <w:rFonts w:ascii="IRNazanin" w:hAnsi="IRNazanin" w:eastAsia="IRNazanin"/>
          <w:color w:val="111111"/>
          <w:sz w:val="28"/>
          <w:sz w:val="28"/>
          <w:szCs w:val="28"/>
          <w:rtl w:val="true"/>
          <w:lang w:bidi="fa-IR"/>
        </w:rPr>
        <w:t>هیچ یک از روایات فوق ظهور در جواز اقامه حدود توسط حاکمان جور ندارند،چه رسد به وجوب؛زیرا امام علیه السلام که وجودش لطف است برای همه بشریت،وظیفه بیان و تبلیغ احکام شرع را بر عهده دارد و از راهنمایی هیچ کس حتی دشمنان خود دریغ نمی‌ورزد،روایات فوق هم مبین همین مطلب است و امام علیه السلام به بیان حکم شرعی موارد فوق پرداخته است و اصلا به مشروعیت اجرای این احکام توسط چنین حاکمانی اشاره نکرده‌است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نامشروع بودن ولایت سیاسی غیر معصومان از مسلمات مکتب تشیع است،و نمی‌توان به صرف همکاری و راهنمایی امام علیه السلام برای حفظ دین و شریعت،این امر را به منزله مشروعیت بخشیدن به این حاکمان قلمداد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برخی از این روایات،از جمله دستور امام به تحویل دزد به و الی،را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دانست</w:t>
      </w:r>
      <w:r>
        <w:rPr>
          <w:rFonts w:eastAsia="IRNazanin" w:cs="IRNazanin"/>
          <w:color w:val="111111"/>
          <w:sz w:val="28"/>
          <w:szCs w:val="28"/>
          <w:rtl w:val="true"/>
          <w:lang w:bidi="fa-IR"/>
        </w:rPr>
        <w:t>.</w:t>
      </w:r>
    </w:p>
    <w:p>
      <w:pPr>
        <w:pStyle w:val="Heading6"/>
        <w:numPr>
          <w:ilvl w:val="5"/>
          <w:numId w:val="1"/>
        </w:numPr>
        <w:rPr/>
      </w:pPr>
      <w:bookmarkStart w:id="1029" w:name="__RefHeading___Toc3420384_581953129"/>
      <w:bookmarkStart w:id="1030" w:name="_Toc409"/>
      <w:bookmarkEnd w:id="1029"/>
      <w:r>
        <w:rPr>
          <w:rtl w:val="true"/>
        </w:rPr>
        <w:t>ج</w:t>
      </w:r>
      <w:r>
        <w:rPr>
          <w:rtl w:val="true"/>
        </w:rPr>
        <w:t>)</w:t>
      </w:r>
      <w:r>
        <w:rPr>
          <w:rtl w:val="true"/>
        </w:rPr>
        <w:t>منع از تعطیل حدود</w:t>
      </w:r>
      <w:bookmarkEnd w:id="1030"/>
    </w:p>
    <w:p>
      <w:pPr>
        <w:pStyle w:val="Heading6"/>
        <w:numPr>
          <w:ilvl w:val="5"/>
          <w:numId w:val="1"/>
        </w:numPr>
        <w:rPr/>
      </w:pPr>
      <w:bookmarkStart w:id="1031" w:name="__RefHeading___Toc3420386_581953129"/>
      <w:bookmarkStart w:id="1032" w:name="_Toc410"/>
      <w:bookmarkEnd w:id="1031"/>
      <w:r>
        <w:rPr>
          <w:rtl w:val="true"/>
        </w:rPr>
        <w:t>چگونگی استدلال</w:t>
      </w:r>
      <w:bookmarkEnd w:id="103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عطل حداً من حدودی فقد عاندنی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اجرای حدود الهی در همه زمان‌ها و مکان‌ها را تأکید می‌کند و براساس اطلاق آن،حاکمان جور نیز مکلف به اجرای حدود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دلیلی خاص اشتراط فقاهت را برای مجریان حدود ثابت نکند،این اطلاق قابل اخذ خواهد بود</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عموم فقهای</w:t>
      </w:r>
    </w:p>
    <w:p>
      <w:pPr>
        <w:pStyle w:val="BookText"/>
        <w:rPr/>
      </w:pPr>
      <w:r>
        <w:rPr>
          <w:rFonts w:ascii="IRNazanin" w:hAnsi="IRNazanin" w:eastAsia="IRNazanin"/>
          <w:color w:val="111111"/>
          <w:sz w:val="28"/>
          <w:sz w:val="28"/>
          <w:szCs w:val="28"/>
          <w:rtl w:val="true"/>
          <w:lang w:bidi="fa-IR"/>
        </w:rPr>
        <w:t>متأخر که به لزوم اجرای حدود در زمان غیبت معتقدند،در صورتی که فقیه جامع الشرایط قادر به اجرای حدود نباشد چاره‌ای جز تعطیل اجرای حدود نیست؛چون همان گونه که صاحب جواهر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الأجماع بقسمیه علی عدم خطاب غیرهم بذلک فانحصر الخطاب بهم</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اگر به نظر ایشان حکمت تشریع حدود اقتضا دارد که اجرای آنها به زمان معصوم محدود نشود و اگر عقل عملی بر لزوم جلوگیری از انتشار مفاسد و محارم در همه زمانها بوسیله اجرای حدود حکم می‌کند</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پس چگونه در دوره طولانی غیبت که فقیهان شیعه غالباً قادر به اجرای حدود الهی نیستند،عموم فقهای شیعه،به توقف اجرای حدود الهی فتوی داده و حکمت تشریع حدود و حکم عقل عملی را نادیده گرفته‌اند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نهایه با این عقیده مخالفت کرده </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براج در مهذّب نیز همین نظر را عیناً چنین کرده است</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این دو کلام در مقابل نظر عموم فقهای شیعه،به روشنی بر جواز تصدی اقامه حدود در حکومت جور از سوی هر انسان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غیر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و اجماع مورد ادعای صاحب جواهر را که هیچ کس جز فقها نمی‌تواند عهده‌دار اجرای حدود باشد را بی اعتبار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شیخ طوسی این موضوع مهم قابل استفاده است که وظیفه اجرای حدود در حکومت جور هم وجود دارد و هر فردی که توانایی اجرای صحیح آن را دارد باید در اجرای صحیح آن با حکومت همکاری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شیخ طوسی تنها استحباب تصدی اجرای حدود در حکومت جور را مطرح کرده است ولی همان طور که صاحب جواهر متذکر شده </w:t>
      </w:r>
      <w:r>
        <w:rPr>
          <w:rStyle w:val="FootnoteAnchor"/>
          <w:rtl w:val="true"/>
        </w:rPr>
        <w:footnoteReference w:id="1109"/>
      </w:r>
      <w:r>
        <w:rPr>
          <w:rFonts w:ascii="IRNazanin" w:hAnsi="IRNazanin" w:eastAsia="IRNazanin"/>
          <w:color w:val="111111"/>
          <w:sz w:val="28"/>
          <w:sz w:val="28"/>
          <w:szCs w:val="28"/>
          <w:rtl w:val="true"/>
          <w:lang w:bidi="fa-IR"/>
        </w:rPr>
        <w:t>این امر از اموری است که جواز آن مساوی با وجوب آن می‌باشد</w:t>
      </w:r>
      <w:r>
        <w:rPr>
          <w:rFonts w:eastAsia="IRNazanin" w:cs="IRNazanin"/>
          <w:color w:val="111111"/>
          <w:sz w:val="28"/>
          <w:szCs w:val="28"/>
          <w:rtl w:val="true"/>
          <w:lang w:bidi="fa-IR"/>
        </w:rPr>
        <w:t xml:space="preserve">.» </w:t>
      </w:r>
      <w:r>
        <w:rPr>
          <w:rStyle w:val="FootnoteAnchor"/>
          <w:rtl w:val="true"/>
        </w:rPr>
        <w:footnoteReference w:id="1110"/>
      </w:r>
      <w:bookmarkStart w:id="1033" w:name="pg5664_43603"/>
    </w:p>
    <w:p>
      <w:pPr>
        <w:pStyle w:val="Heading6"/>
        <w:numPr>
          <w:ilvl w:val="5"/>
          <w:numId w:val="1"/>
        </w:numPr>
        <w:rPr/>
      </w:pPr>
      <w:bookmarkStart w:id="1034" w:name="__RefHeading___Toc3420388_581953129"/>
      <w:bookmarkStart w:id="1035" w:name="_Toc411"/>
      <w:bookmarkEnd w:id="1033"/>
      <w:bookmarkEnd w:id="1034"/>
      <w:r>
        <w:rPr>
          <w:rtl w:val="true"/>
        </w:rPr>
        <w:t>نقد و بررسی</w:t>
      </w:r>
      <w:bookmarkEnd w:id="103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این نویسنده اذعان دارند،منع از تعطیلی حدود پس از اثبات لزوم فقاهت در مجری حدود،نمی‌تواند به اقامه حدود توسط حاکمان ستمگر مشروعیت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نویسنده،به حکمت تشریع حدود و حکم عقل عملی،اشاره کرده،دیدگاه صاحب جواهر مبنی بر اختصاص خطاب ادله حدود به فقها را به نقد کشیده‌است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همان طور که گذشت به نظر نگارنده اختصاص خطاب به فقها صحیح نیست،اما حکمت تشریع و منع از تعطیلی حدود هیچ ملازمه‌ای با ولایت ستمگران بر اقامه حدود ندارد؛زیرا بر اساس این دلایل تنها لزوم و بایستگی اقامه حدود توسط حکام شرع به اثبات می‌رسد اما مصداق حکام شرع را فقه شیعه مشخص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شیعه که برخاسته از روایات معصومان علیهم السلام است،فقهای جامع الشرائط به عنوان حاکم شرع شناخته می‌شوند نه غیر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باید توجه داشت که تعطیلی حدود غیر از عدم اجرا به خاطر عدم امکان است و تعطیلی حدود تنها زمانی صادق است که امکان اجرا متصور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صورت گرفته به نظریات شیخ طوسی و ابن براج هم اثری در اثبات مدعا ندارد چون این بزرگواران تصریح کرده‌اند که به نیابت از امام معصوم علیه السلام به اقامه از سوی ظالمین بپردازند که خلاف مدعای نویسنده را ثابت کرده،فقدان مشروعیت ایشان را تایید می‌نماید و الا این قید ضرورتی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همه این موارد باید توجه داشت که ضرر تعطیلی حدود بیش از ضرر قتل نفس محترمه نیست،در حالی که اقامه حدود در بسیاری از موارد،به دستاویزی برای حاکمان ستمگر تبدیل شده‌است تا از آن برای سرکوبی مخالفان خود کمک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حدود شرعی در حکومت این ستمکاران،اغلب علیه انسانهای بی‌پناه و بی‌قدرت به مورد اجرا گذاشته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نمی‌توان از حاکمی که خود غرق در هرگونه فساد و تباهی است انتظار داشت که با اقامه حدود به تهذیب و تطهیر جامعه بپردازد</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حکام فاسق که قادر به برآورده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عدل و قسط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bookmarkStart w:id="1036" w:name="pg5664_43604"/>
    </w:p>
    <w:p>
      <w:pPr>
        <w:pStyle w:val="BookText"/>
        <w:rPr/>
      </w:pPr>
      <w:bookmarkEnd w:id="1036"/>
      <w:r>
        <w:rPr>
          <w:rFonts w:ascii="IRNazanin" w:hAnsi="IRNazanin" w:eastAsia="IRNazanin"/>
          <w:color w:val="111111"/>
          <w:sz w:val="28"/>
          <w:sz w:val="28"/>
          <w:szCs w:val="28"/>
          <w:rtl w:val="true"/>
          <w:lang w:bidi="fa-IR"/>
        </w:rPr>
        <w:t>درقرآن وعده داده شده است،نبوده‌اند،برای تحکیم قدرت خویش با خشونت و شقاوت،توده‌های عادی مردم را با عوام فریبی و ترسانیدن از در خطر بودن دین الهی به دنبال خود کشانیده‌اند و هرگاه لازم دیده‌اند از حدود الهی به نفع خود و برای سرکوب دیدگاههای مخالف استفاده کرده‌اند،که نمونه عینی آن را در همین روزها و سالها شاهد هستیم و می‌بینیم که چگونه برای به دست آوردن مقاصد سیاسی به استناد فتاوای برخی علمای متحجر و کم خرد سنی،به کشتار شیعیان در عراق،افغانستان و پاکستان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باز بر این نکته تاکید می‌نماییم که به نظر فقه شیعه،با فرض فقدان هرگونه دلیلی که از تفویض اقامه حدود به فقها حکایت نماید،باز فقهای شیعه به عنوان قدر متیقنِ مخاطب اوامر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 و فاقطعوا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اجرای حدود می‌باشند تا حدود الهی تعطیل نشود،و به هیچ عنوان منع از تعطیلی حدود مقتضی ولایت حاکمان جور بر این مهم نیست</w:t>
      </w:r>
      <w:r>
        <w:rPr>
          <w:rFonts w:eastAsia="IRNazanin" w:cs="IRNazanin"/>
          <w:color w:val="111111"/>
          <w:sz w:val="28"/>
          <w:szCs w:val="28"/>
          <w:rtl w:val="true"/>
          <w:lang w:bidi="fa-IR"/>
        </w:rPr>
        <w:t>.</w:t>
      </w:r>
    </w:p>
    <w:p>
      <w:pPr>
        <w:pStyle w:val="Heading4"/>
        <w:numPr>
          <w:ilvl w:val="3"/>
          <w:numId w:val="1"/>
        </w:numPr>
        <w:rPr/>
      </w:pPr>
      <w:bookmarkStart w:id="1037" w:name="__RefHeading___Toc3420390_581953129"/>
      <w:bookmarkStart w:id="1038" w:name="_Toc412"/>
      <w:bookmarkEnd w:id="1037"/>
      <w:r>
        <w:rPr>
          <w:rtl w:val="true"/>
        </w:rPr>
        <w:t>فقیه یا ولی فقیه</w:t>
      </w:r>
      <w:bookmarkEnd w:id="103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 اقامه حدود و تعزیرات در عصر غیبت بر اساس دلایلی که در این فصل به تفصیل به بوته نقد گذاشته‌شد،به اثبات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ملاحظه گردید که این دلایل فقها را هدف قرار داده ایشان را صالح بر اقامه حدود تشخیص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سوالی که این در پی یافتن پاسخی برای آن هستیم،صلاحیت فقها در زمانی است که حکومت اسلامی برپا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زمانی که یکی از فقها بدین مهم نایل آید و موفق شد حکومتی اسلامی بر مبنای ولایت عامه فقیه تشکیل دهد،دیگر فقها می‌توانند به طور موازی،به اقامه حدود بپردازند یا خیر؟به عبارت دیگر آیا اقامه حدود وظیفه هر فقیهی</w:t>
      </w:r>
    </w:p>
    <w:p>
      <w:pPr>
        <w:pStyle w:val="BookText"/>
        <w:rPr/>
      </w:pPr>
      <w:r>
        <w:rPr>
          <w:rFonts w:ascii="IRNazanin" w:hAnsi="IRNazanin" w:eastAsia="IRNazanin"/>
          <w:color w:val="111111"/>
          <w:sz w:val="28"/>
          <w:sz w:val="28"/>
          <w:szCs w:val="28"/>
          <w:rtl w:val="true"/>
          <w:lang w:bidi="fa-IR"/>
        </w:rPr>
        <w:t>است یا فقط ولی فقیه می‌تواند این مسئولیت را به دوش بکشد؟برخی از محققین در پاسخ به این سوال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و گرفتن مالیاتهای اسلامی و غیر آنها به و الی و امام موکول شده است و امام و و الی مقبوض الید مراد نیست،بلکه مبسوط الید از ایشان مورد نظر می‌باشد،پس هرگاه یکی از ایشان به پا خاست و حکومت اسلامی را مانند دیگر حکومت‌ها بنیان نهاد،اجرای این احکام به عهده اوست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آراء و عقاید وی متابعت نمایند،مگر در اموری که تخلف از آنها منجر به تضعیف حکومت نمی‌گردد</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در این فصل تصرف دیگر فقها در اقامه حدود،به عدم تضعیف حکومت اسلامی منوط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نویسنده در ادامه حتی تصرفاتی که منجر به تضعیف حکومت نشود را نیز خارج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ادعا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 کسی است که واجبات کفایی بر او معین شده است؛پس جایز نیست دیگر فقها با وی تزاحم کرده،در اموری که تحت سلطه و اختیار وی می‌باشد،داخل شوند حتی اگر موجب ضعف و فساد نشود؛بدان جهت که این امر احتمال تضعیف حکومت را در پی دارد،و برای از بین بردن هر گونه احتمال تضعیف حکومت،و برای منع از تداخل دیگر فقها همین احتمال به ضمیمه فقدان اطلاقی که در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در امری که فقیه دیگری قبلا اعمال سلطه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اتکا باشد،کفایت می‌نماید</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همین فقیه دور اندیش،در جای دیگری نیز اشاره می‌کند که قبل از تشکیل حکومت اسلامی،اصلا اقامه حدود جایز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ممکن است ادعا شود که اجرای حدود قبل از تشکلیل حکومت جایز نیست،زیرا اجرای حدود بدون حکومت،مستلزم فساد مجری است،بلکه قبل از تشکیل حکومت،امام محسوب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اقامه حدود بر عهده امام مسلمین است</w:t>
      </w:r>
      <w:r>
        <w:rPr>
          <w:rFonts w:eastAsia="IRNazanin" w:cs="IRNazanin"/>
          <w:color w:val="111111"/>
          <w:sz w:val="28"/>
          <w:szCs w:val="28"/>
          <w:rtl w:val="true"/>
          <w:lang w:bidi="fa-IR"/>
        </w:rPr>
        <w:t xml:space="preserve">]» </w:t>
      </w:r>
      <w:r>
        <w:rPr>
          <w:rStyle w:val="FootnoteAnchor"/>
          <w:rtl w:val="true"/>
        </w:rPr>
        <w:footnoteReference w:id="111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از فقها همین دیدگاه را به بیان دیگری ابراز داشته است،ایشان با جدا</w:t>
      </w:r>
    </w:p>
    <w:p>
      <w:pPr>
        <w:pStyle w:val="BookText"/>
        <w:rPr/>
      </w:pPr>
      <w:r>
        <w:rPr>
          <w:rFonts w:ascii="IRNazanin" w:hAnsi="IRNazanin" w:eastAsia="IRNazanin"/>
          <w:color w:val="111111"/>
          <w:sz w:val="28"/>
          <w:sz w:val="28"/>
          <w:szCs w:val="28"/>
          <w:rtl w:val="true"/>
          <w:lang w:bidi="fa-IR"/>
        </w:rPr>
        <w:t>کردن فقاهت از ولایت،مدعی است فقاهت فقط فقیه را بالقوه مستعد ولایت می‌نماید و ولایت تنها از آنِ زعیم و فقیهی است که قدرت سیاسی داشته،این قوه را به فعل رسانیده باشند؛بنابراین در صورت تشکیل حکومت اسلامی و به دست گرفتن قدرت سیاسی توسط یکی از فقها،دیگر فقها،فاقد ولایت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فقها به فرمایشی از امیرالمومنین علیه السلام استناد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مولاامیرمومنان علیه السلام در 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احق الناس بهذا الامر اقواهم علیه واعلمهم بامر الله فیه</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حضرت در این بیان،دو شرط اساسی را برای شایستگی مقام زعامت سیاسی در اسلام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 سیاسی اداری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زعامت،آگاه‌ترین افراد امت بوده باشد،که همان معنای فقاهت است،که بیش‌تر فقاهت در شئون زعامت و سیاست ملحوظ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زعامت سیاسی فقاهت،دومین شرط اساسی،پس از قدرت سیاسی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این،صرفا شایستگی فقیهان را برای مقام ولایت و زعامت سیاسی،پس از واجدیت دیگر شرایط می‌رساند،نه فعلیت آن را،زیرا در فرض دوم،تعدد ولایات برحسب تعدد فقهای جامع الشرایط،و موجب تزاحم ولایت‌ها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حتما با قانون نظم،مغایرت دارد،و مایه تشتت آرا،و از هم پاشیدگی وحدت امت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تلازمی میان فقاهت و ولایت بالفعل وجود ندارد،و هر فقیهی به دلیل آن که فقیه است،فعلا دارای مقام ولایت نیست بلکه صرفا شایستگی آن را دارد</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یکی دیگر از فقهایی که تلازم بین ولایت و فقیه را به دیده انکار نگریسته،به واجب کفایی بودن لزوم تصدی امور عامه بر فقیه اشاره کرده،می‌گوید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کلمات شیخ و دیگران آمده،لزوم تصدی امور عامه بر فقیه یک واجب کفایی است،و این می‌رساند که ولایت فقیه جنبه شاءنیت دارد و هرفقیه جامع شرایطی تنها شایستگی این مقام را دارد،نه آن که بالفعل این مقام رادارا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فقیهی،بالفعل دارای مقام ولایت نیست،بلکه تنها زمینه تصدی ولایت در او فراهم است که با فراهم شدن دیگر امکانات،ازجمله همراهی مردم به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همگانی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وی،فعلیت</w:t>
      </w:r>
    </w:p>
    <w:p>
      <w:pPr>
        <w:pStyle w:val="BookText"/>
        <w:rPr/>
      </w:pPr>
      <w:r>
        <w:rPr>
          <w:rFonts w:ascii="IRNazanin" w:hAnsi="IRNazanin" w:eastAsia="IRNazanin"/>
          <w:color w:val="111111"/>
          <w:sz w:val="28"/>
          <w:sz w:val="28"/>
          <w:szCs w:val="28"/>
          <w:rtl w:val="true"/>
          <w:lang w:bidi="fa-IR"/>
        </w:rPr>
        <w:t>پیدا می کند و این پذیرفتن همگانی یا به طور مستقیم یا به وسیله خبرگان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سان،تزاحم ولایات نیز به وجود نمی‌آید،زیرا تزاحم در صورتی است که ولایت لازمه فقاهت باشد،نه آن که فقاهت تنها شایستگی را ایجاد کند،و فعلیت به دست نمایندگان شایسته مردم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روشن گردید مقام ولایت برای فقیه جامع شرایط،از راه میانه بین انتصاب و انتخاب ثابت می‌گردد،نه انتصاب مطلق است که تنها از سوی شارع شخصا معین شده باشد،بلکه با ارائه اوصاف لازم به مردم،بر آنان است تا فردلایق و شایسته را که واجد اوصاف یاد شده باشد شناسایی کرده،او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فارضوا به حکما</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به نظر می‌رسد،دیدگاه فوق مبتنی بر انتصابی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 بودن ولایت فقیه است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ولایت فقیه بر طبق نظریه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نظریه مورد قبول اکثریت قریب به اتفاق فقهای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همه فقهای جامع الشرایط می‌شود و برای تمامی آنان اثبات ولایت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 هرگاه یکی از آنان،متصدی حکومت و زعامت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موجب نخواهد شد که دیگران از مقام ولایتی که دارند ساقط شوند؛بلکه هم چنان برای فقهای دیگر نیز اعمال ولایت جایز خواهد بود؛لکن به منظور جلوگیری از هرج و مرج،اعمالِ ولایت فقهای مزبور فقط در محدوده‌ای مجاز است که منجر به ایجاد مزاحمت برای فقیه حاکم نگردد؛یعنی،محدوده‌ای جزئی که فقیه حاکم در آن مداخله و اعمال ولایت نمی‌کند؛همچون انجام بعضی از امور حسبیه در سطح شهرستان‌ها و یا گرفتن خمس و زکات و دیگر وجوه شرعیه از مردم و صرف آنها در مصارف شرعی؛ </w:t>
      </w:r>
      <w:r>
        <w:rPr>
          <w:rStyle w:val="FootnoteAnchor"/>
          <w:rtl w:val="true"/>
        </w:rPr>
        <w:footnoteReference w:id="1118"/>
      </w:r>
      <w:r>
        <w:rPr>
          <w:rFonts w:ascii="IRNazanin" w:hAnsi="IRNazanin" w:eastAsia="IRNazanin"/>
          <w:color w:val="111111"/>
          <w:sz w:val="28"/>
          <w:sz w:val="28"/>
          <w:szCs w:val="28"/>
          <w:rtl w:val="true"/>
          <w:lang w:bidi="fa-IR"/>
        </w:rPr>
        <w:t>چنان که در زمان ما نیز چنین اعمال ولایتی از سوی فقهای جامع الشرایط انجام می‌گیرد و هیچ گونه مزاحمتی نیز برای ولی فقیه ایجاد نمی‌کند</w:t>
      </w:r>
      <w:r>
        <w:rPr>
          <w:rFonts w:eastAsia="IRNazanin" w:cs="IRNazanin"/>
          <w:color w:val="111111"/>
          <w:sz w:val="28"/>
          <w:szCs w:val="28"/>
          <w:rtl w:val="true"/>
          <w:lang w:bidi="fa-IR"/>
        </w:rPr>
        <w:t xml:space="preserve">.» </w:t>
      </w:r>
      <w:r>
        <w:rPr>
          <w:rStyle w:val="FootnoteAnchor"/>
          <w:rtl w:val="true"/>
        </w:rPr>
        <w:footnoteReference w:id="111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فقها را بر آن داشته تا از مزاحمت فقیه منع نمایند،لزوم حرج و مرج است اما</w:t>
      </w:r>
    </w:p>
    <w:p>
      <w:pPr>
        <w:pStyle w:val="BookText"/>
        <w:rPr/>
      </w:pPr>
      <w:r>
        <w:rPr>
          <w:rFonts w:ascii="IRNazanin" w:hAnsi="IRNazanin" w:eastAsia="IRNazanin"/>
          <w:color w:val="111111"/>
          <w:sz w:val="28"/>
          <w:sz w:val="28"/>
          <w:szCs w:val="28"/>
          <w:rtl w:val="true"/>
          <w:lang w:bidi="fa-IR"/>
        </w:rPr>
        <w:t>شیخ انصاری در تبیین عدم جواز مزاحمت فقیه حاکم،به دلایل ولایت فقیه اشاره کرده،عدم جواز مزاحمت را به این ادله مستن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ولایت فقیه به توقیع استناد نماییم،قبل از وقوع تصرف مزاحمت جایز است،زیرا مخاطب توقیع عوام‌اند که موظف به ارجاع امور به حکام می‌باشند؛بنابراین نهی از مزاحمت به ایشان اختصاص می‌یابد،اما حکام هر کدام حجت از سوی امام بوده،بر هیچ یک جایز نیست که امر حادثی را به دیگری ارجاع دهد و جایز است که خود بدان امر مباشرت نماید،حتی اگر دیگری پیش از او اثبات ید کرده‌باشد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مستند ما عمومات نیابت باشد،که مقتضی است فعل فقیه مانند فعل فقیه و نظرش مانند نظر امام باشد که تعدی از آن جایز نیست،ظاهر این است که مزاحمت در امری که فقیهی داخل در آن شده و اثبات ید کرده،حتی اگر هنوز تصرفی نکرده،جایز نیست؛زیرا وارد شدن او در این امر مانند وارد شدن امام است و وارد شدن فقیه دوم بنای وی در تصرف مزاحمتی برای اوست که مانند مزاحمت امام است و ادله نیابت اینچنین تصرفاتی که مستلزم مزاحمت امام باشد را شامل نمی‌شود</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بیان شیخ انصاری در رابطه با اصل ولایت فقیه است،به همین دلیل ایشان تزاحم فقها را بر اساس ادله نیابت عامه فقیه مورد بررسی قرار دادند،و نظر خاصی نسبت به ولایت فقیه بر اجرای حدود ندارد؛ولی با توجه به این که ولایت بر اجرای حدود نیز یکی از ولایات فقیه قلمداد می‌شود،کلیه مباحث مطروحه قابل استناد در بحث ما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پیش روشن شد که دلایل مشروعیت اقامه حدود،منحصر به ادله نیابت نیست؛از این رو لازم است،بر اساس دیگر ادله نیز این مسئله مورد بررسی قرار گیرد،و روشن شود که بر اساس این دلایل کدام فقیه متصدی اقامه حدود خواهد بود؟و آیا فقاهت ملازمه‌ای با ولایت بر اقامه حدود دارد یا خیر؟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استثنای ادله نیابت،دیگر ادله ظهوری در تعیین شخص فقیه نداشتند،و عمدتا متکی بر اصل و قاعده اکتفا بر قدر متیقن بودند،به عنوان مثال پس از این که اطلاق ازمانی ادله حدود مشروعیت و لزوم اقامه حدود در عصر غیبت را به اثبات رسانید،آقای خویی فقها را قدر متیقن از اعمال این ولایت دانسته،ولایت ایشان بر اقامه حدود</w:t>
      </w:r>
    </w:p>
    <w:p>
      <w:pPr>
        <w:pStyle w:val="BookText"/>
        <w:rPr/>
      </w:pPr>
      <w:r>
        <w:rPr>
          <w:rFonts w:ascii="IRNazanin" w:hAnsi="IRNazanin" w:eastAsia="IRNazanin"/>
          <w:color w:val="111111"/>
          <w:sz w:val="28"/>
          <w:sz w:val="28"/>
          <w:szCs w:val="28"/>
          <w:rtl w:val="true"/>
          <w:lang w:bidi="fa-IR"/>
        </w:rPr>
        <w:t>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پرسشی که این قاعده در پی دارد این است که آیا همه فقها دارای چنین ولایتی هستند یا تنها ولی فقیه دارای چنین ولایتی است؟در جواب باید گفت اگر مقصود شارع از تشریع حدود با اعمال ولایت شخص ولی فقیه حاصل گردد،و ولی فقیه بتواند به تنهایی اجرای حدود کرده،مصالح آن را تامین نماید،تصرفات دیگر فقها بی‌مورد و خارج از قدر متیقن بوده،اصل عدم ولایت ایشان را نیز همانند دیگر مردم،در بر می‌گیرد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از نظر دور داشت که بر اساس اکتفا به قدر متیقن باید در صورت فقدان فقیه در تمام مکانها یا در مکانی خاص،عدول مومنین مصداق قدر متیقن قرار گیرند در حالی که هیچ فقیهی بر این امر فتوا نداده است و می‌توان گفت اجماع مرکب بر خلاف آن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نظر نگارنده بعید نیست با توجه به اطلاق ازمانی ادله حدود و جاودانگی شهید ثانی،الروضة البهیة،ج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اسلام،در این صورت نیز،بر مومنین واجب باشد تمهیداتی فراهم نمایند تا اقامه حدود میسر گردد و در عین حال از سوء استفاده از این نهاد مقدس،برای اهداف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تامین منافع گروههای خاص،جلوگیری شود</w:t>
      </w:r>
      <w:r>
        <w:rPr>
          <w:rFonts w:eastAsia="IRNazanin" w:cs="IRNazanin"/>
          <w:color w:val="111111"/>
          <w:sz w:val="28"/>
          <w:szCs w:val="28"/>
          <w:rtl w:val="true"/>
          <w:lang w:bidi="fa-IR"/>
        </w:rPr>
        <w:t>.</w:t>
      </w:r>
      <w:bookmarkStart w:id="1039" w:name="pg5664_43610"/>
    </w:p>
    <w:p>
      <w:pPr>
        <w:pStyle w:val="Heading2"/>
        <w:numPr>
          <w:ilvl w:val="1"/>
          <w:numId w:val="1"/>
        </w:numPr>
        <w:rPr/>
      </w:pPr>
      <w:bookmarkStart w:id="1040" w:name="__RefHeading___Toc3420392_581953129"/>
      <w:bookmarkStart w:id="1041" w:name="_Toc413"/>
      <w:bookmarkEnd w:id="1039"/>
      <w:bookmarkEnd w:id="1040"/>
      <w:r>
        <w:rPr>
          <w:rtl w:val="true"/>
        </w:rPr>
        <w:t>نتایج تحقیق</w:t>
      </w:r>
      <w:bookmarkEnd w:id="1041"/>
    </w:p>
    <w:p>
      <w:pPr>
        <w:pStyle w:val="BookText"/>
        <w:rPr/>
      </w:pPr>
      <w:r>
        <w:rPr>
          <w:rFonts w:ascii="IRNazanin" w:hAnsi="IRNazanin" w:eastAsia="IRNazanin"/>
          <w:color w:val="111111"/>
          <w:sz w:val="28"/>
          <w:sz w:val="28"/>
          <w:szCs w:val="28"/>
          <w:rtl w:val="true"/>
          <w:lang w:bidi="fa-IR"/>
        </w:rPr>
        <w:t>این تحقیق به منظور بررسی فرضیه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اجرای حدود و تعزیرات در عصر غیبت توسط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 و در این راستا فرضیه فوق ثابت گردید و نتایج ذیل به 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حد که در اصل به معنای منع است،در روایات اهل بیت علیهم السلام در معانی متعددی که شامل حد اصطلاحی،تعزیر،قصاص و مطلق مجازات می‌گردد،به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در روایاتی که قرینه‌ای بر تعیین یکی از معانی،در دست نیست،باید معنای مطلق مجازات و عقوبت را که سازگار با حقیقت عرفی این واژه است،برگزید،مگر این که اصل احتیاط امر دیگری را اقتضا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همین نکته،بسیاری از احکام و قواعدی که ادعا شده مختص باب حدودند،به ابواب قصاص و تعزیرات نیز سریان می‌یابند،در نتیجه برخی از ادله‌ای که برای مشروعیت یا عدم مشروعیت اقامه حدود ابراز شده‌اند،تعزیرات را نیز در بر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مشروعیت در فصل مانعین اقامه حدود،به معنای حرمت و عدم نفوذ تصرف در اقامه حدود است،اما در کلام باورمندان به جواز اقامه حدود،مشروعیت به معنای وجوب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عدم جواز که بر اصل عدم ولایت مبتنی است،دلایل محکمی که بتواند اقامه حدود را به ائمه معصومین علیهم السلام اختصاص دهد،ارائه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این دیدگاه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اجماع مستند به ابن ادریس و ابن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گفته‌های ابن ادریس و ابن زهره،خلاف این مطلب را به اثبات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از فقها همچون محقق و علامه حلی،میرزای قمی،شیخ بهائی و انصاری،و برخی دیگر از فقها در جواز اقامه حدود تردید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مشهور فقها قول جواز را برتری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انسان کامل در سرپرستی جامعه یکی از دلایل دیدگاه عدم جواز است که به نظر می‌رسد،صرفا توجیهی است،اجتماعی،عرف مدار و غیر وابسته به دلایل متقن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در حجیت اخبار آحاد در زمینه‌های کیفری،دیدگاهی است قابل تامل،که بر یافته‌های اصولی تکیه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مهمترین و معتبرترین دلیل حجیت خبر واحد،سیره عقلاست،بعید نیست بتوان گفت،عقلا در احکام شدید کیفری به خبر واحد اکتفا نمی‌نمایند،اثبات این مطلب تاثیری بر اصل جواز اقامه حدود ندارد اما می‌تواند اجرای برخی از حدود و کیفیت اجرای برخی دیگر را به چالش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موجود در اشعثیات،مهمترین دلیل نقلی دیدگاه جواز است،که ظاهرا مفاد آن،انحصار مناصب حکم،امامت جمعه و اقامه حدود به امام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و آقای خویی،کتاب مزبور را آماج نقدهای سندی قرار داده،مولف آن را نامعلوم و خودش را فاقد حجیت یافته‌اند،در مقابل محدث نوری از این کتاب دفاع کرده به قدری بر آن اعتماد دارد که روایات آن را پیش از روایات دیگر کتب،در مستدرک ذکر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توجه داشت که روایت فوق از حیث دلالت،نظری به عصر غیبت ندارد و صرفا بیان کننده حکم اولی مسئله در زمان حضور است،توجه به فقرات حکم و جمعه که در کنار حدود قرار گرفته‌اند ما را به این مطلب رهنمون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می‌توان گفت،در مقایسه این روایت و روایات نیابت عامه فقیه و روایات دال بر جواز اقامه حدود،می‌توان گفت که روایات نیابت،حاکم بر روایت اشعثیات می‌باشند و آن را مقید به زمان حضور می‌سازند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درا و تخفیف حدود نیز نباید به گونه‌ای تفسیر شود که منجر به تعطیلی حدود گردد،بنابراین نمی‌توان با توسعه مفهوم شبهه و با این ادعا که فتوای برخی فقها به عدم جواز اقامه حدود،پدیدآور شبهه دائمی است،اقامه حدود را تعطیل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باورمندان به عدم جوزا اقامه حدود،با پذیرش مشروعیت اقامه تعزیرات،آن را به عنوان کیفر جانشین حدود،معرفی کرده‌اند،در حالی که اکثر ادله‌ای که ایشان بر عدم جواز اقامه حدود ارائه کرده‌اند،تعزیرات را نیز در بر می‌گیرد و چالشی جدی،فراروی دیدگاه عدم جواز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مسئله ولایت فقیه و مسئله اقامه حدود،در اکثر موارد بین این دو مسئله رابطه مستقیم وجود دارد و اعتقاد به ولایت و نیابت فقیه،معمولا اعتقاد به مشروعیت اقامه حدود توسط وی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جواز اقامه حدود در عصر غیبت به ادله‌ای مستند است که برخی از این ادله تام بوده،دیدگاه جواز را به اثبات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مبغوضیت تعطیلی حدود و لزوم حفظ نظم واجتناب از اختلال آن یکی از ادله تحلیلی دیدگاه جواز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بررسی‌های به عمل آمده،به نظر می‌رسد صرف مبغوضیت تعطیلی حدود،دلیل محکمی بر جواز آن نیست،همچنین اگر اجرای دیگر مجازاتها و جایگرینی تعزیر و احکام سلطانی ممکن باشد،تعطیلی حدود،اختلال نظام چندانی در پی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فلسفه تشریع حدود نیز،پس از امکان کشف ملاکات احکام جزایی مقدور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جاودانگی احکام الهی و امکان کشف فلسفه احکام در معاملات به معنی اعم،که شامل مجازاتها نیز می‌گردد،بعید نیست مشروعیت اقامه حدود در عصر غیبت به اثبات رسد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دلیل مشروعیت اقامه حدود،اطلاق ازمانی ادله حدود است که جهان‌شمولی و زمان شمولی احکام حدود را به اثبات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ثابت شد اقامه حدود در هر عصری مشروع است،این سوال پدید می‌آید که چه کسی متصدی اجرای حدود است،ادله نیابت عامه فقیه،فقیهان را متصدی این مهم معرفی می‌نماید،همچنین با توجه به اصل عدم ولایت،می‌توان در این مورد به قاعده،قدرمتیقن نیز استناد کرد و تنها فقیهان را از این اصل خارج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اعتماد بر قدر متیقن برای تعیین مخاطب اطلاقات واحکام باب حدود،پی‌آمدهای دیگری نیز دارد که باید بدان ملتزم بود،بر اساس این اصل در صورتی که در مکان یا زمانی خاص،هیچ فقیهی یافت نشود،باید عدول مومنین،مجاز به اقامه حدود باشند،درحالی که فقها بر</w:t>
      </w:r>
    </w:p>
    <w:p>
      <w:pPr>
        <w:pStyle w:val="BookText"/>
        <w:rPr/>
      </w:pPr>
      <w:r>
        <w:rPr>
          <w:rFonts w:ascii="IRNazanin" w:hAnsi="IRNazanin" w:eastAsia="IRNazanin"/>
          <w:color w:val="111111"/>
          <w:sz w:val="28"/>
          <w:sz w:val="28"/>
          <w:szCs w:val="28"/>
          <w:rtl w:val="true"/>
          <w:lang w:bidi="fa-IR"/>
        </w:rPr>
        <w:t>آن با دیده تردید نگریسته‌اند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توجه به ادله‌ای که نیابت عامه فقیه را به اثبات می‌رسانند،نظیر توقیع شریف صادره از ناحیه مقدسه،مقبوله عمر بن حنظله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ادله‌ای که به طور خاص اجرای حدود را بر دوش فقها نهاده است،نظیر روایت حفص بن غیاث این ناسازگاری بین دیدگاه فقها و مقتضای اطلاق ازمانی ادله حدود را برطرف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این ادله با اشکالات متنی و سندی قابل توجهی مواجه است که تحقیقات نگارنده حاکی از آن است که این موارد قابل رفع بوده،خدشه‌های سندی و دلالی قابل اعتنایی نمی‌توان بر این ادله وارد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مردم هم می‌توانند در جرایم یا مواردی خاص به اقامه حدود مبادرت ورزند،جرم دشنام به پیامبر از جمله این جرایم است که به موجب فتوای فقهای شیعه که مستند به فصل معصومان علیه السلام است،هر کس دشنام را بشنود،بدون نیاز به کسب اجازه از حاکم شرع مجاز به قتل دشنام‌دهنده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مواردی که عامه مردم مجاز به اقامه حدودند،قتل در فراش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داشت،که اثبات جرایم فوق برای رهایی از چنگال قصاص ضروری است و الا اولیاء دم می‌توانند،تقاضای قصاص نمایند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پایانی این نوشتار بر خلاف روند کلی به تضییق،ولایت فقها در اقامه حدود،نظر دارد و این مطلب را به اثبات می‌رساند که پس از این که فقیهی ولایت و زعامت را به دست گرفت و بر دستگاه قضا واجرای حدود مستولی شد،روا نیست،دیگر فقها در این امور مداخله نمایند؛از این جهت که اصلا ولایتی بر این امور برای ایشان فعلیت نیافته،و یا بدین دلیل که با وجود فعلیت یافتن ولایت بر اقامه حدود،به دلیل ثانوی و برای جلوگیری از هرج و مرج مزاحمت فقیهِ حاکم جایز نیست</w:t>
      </w:r>
      <w:r>
        <w:rPr>
          <w:rFonts w:eastAsia="IRNazanin" w:cs="IRNazanin"/>
          <w:color w:val="111111"/>
          <w:sz w:val="28"/>
          <w:szCs w:val="28"/>
          <w:rtl w:val="true"/>
          <w:lang w:bidi="fa-IR"/>
        </w:rPr>
        <w:t>.</w:t>
      </w:r>
      <w:bookmarkStart w:id="1042" w:name="pg5664_43614"/>
    </w:p>
    <w:p>
      <w:pPr>
        <w:pStyle w:val="Heading2"/>
        <w:numPr>
          <w:ilvl w:val="1"/>
          <w:numId w:val="1"/>
        </w:numPr>
        <w:rPr/>
      </w:pPr>
      <w:bookmarkStart w:id="1043" w:name="__RefHeading___Toc3420394_581953129"/>
      <w:bookmarkStart w:id="1044" w:name="_Toc414"/>
      <w:bookmarkEnd w:id="1042"/>
      <w:bookmarkEnd w:id="1043"/>
      <w:r>
        <w:rPr>
          <w:rtl w:val="true"/>
        </w:rPr>
        <w:t>پیشنهادها</w:t>
      </w:r>
      <w:bookmarkEnd w:id="1044"/>
    </w:p>
    <w:p>
      <w:pPr>
        <w:pStyle w:val="Heading3"/>
        <w:numPr>
          <w:ilvl w:val="2"/>
          <w:numId w:val="1"/>
        </w:numPr>
        <w:rPr/>
      </w:pPr>
      <w:bookmarkStart w:id="1045" w:name="__RefHeading___Toc3420396_581953129"/>
      <w:bookmarkStart w:id="1046" w:name="_Toc415"/>
      <w:bookmarkEnd w:id="1045"/>
      <w:r>
        <w:rPr>
          <w:rtl w:val="true"/>
        </w:rPr>
        <w:t>پژوهشی</w:t>
      </w:r>
      <w:bookmarkEnd w:id="1046"/>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 تحقیقات دیگری در زمینه اجرای حدود،با رویکرد برون دینی و با توجه به فلسفه تشریع مجازات‌ها در اسلام و دیگر مکاتب کیفری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دفاع منطقی از مجازات‌های اسلامی،سعی نماید،کارآیی آنها را بر اساس نیازهای فطری و خواهشهای نفسانی بشر،و حکمت‌هایی که شارع حکیم در اقامه حدود لحاظ کرده است،به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فقه شیعی و اسلامی،فقهی است حکومتی،اما بدین جهت که پیش از این،شیعه از حکومت دینی برخوردار نبوده است،ضروری است،فقه الحکومه بیش از پیش مورد توجه قرار گیرد و بر اساس فقه سنتی و جواهری،به استخراج قواعد و اصول آن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است تحقیقی مستقل در رابطه نقش عقل در درک ملاکاتِ احکام کیفری صورت گرفته،جنبه‌های مختلف احکام جزایی در این تحقیق لحاظ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زمان و مکان بر اصل مشروعیت اقامه حدود،امکان اجرای برخی حدود و کیفیت برخی دیگر،از مباحث مهم و مورد نیاز جامعه است و به منظور پاسخ گویی به مسائل فراروی،لازم است بیش از پیش بدان پرداخته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پیشرفت‌های علمی در زمینه پلیس جنایی،روش‌های نوینی برای کشف جرم و شناسایی بزهکار،فراهم آورده است،ضروری است میزان اعتبار این روش‌ها،با توجه به سیاست جنایی اسلام مورد ارزیابی قرار گیرد</w:t>
      </w:r>
      <w:r>
        <w:rPr>
          <w:rFonts w:eastAsia="IRNazanin" w:cs="IRNazanin"/>
          <w:color w:val="111111"/>
          <w:sz w:val="28"/>
          <w:szCs w:val="28"/>
          <w:rtl w:val="true"/>
          <w:lang w:bidi="fa-IR"/>
        </w:rPr>
        <w:t>.</w:t>
      </w:r>
      <w:bookmarkStart w:id="1047" w:name="pg5664_43615"/>
    </w:p>
    <w:p>
      <w:pPr>
        <w:pStyle w:val="Heading3"/>
        <w:numPr>
          <w:ilvl w:val="2"/>
          <w:numId w:val="1"/>
        </w:numPr>
        <w:rPr/>
      </w:pPr>
      <w:bookmarkStart w:id="1048" w:name="__RefHeading___Toc3420398_581953129"/>
      <w:bookmarkStart w:id="1049" w:name="_Toc416"/>
      <w:bookmarkEnd w:id="1047"/>
      <w:bookmarkEnd w:id="1048"/>
      <w:r>
        <w:rPr>
          <w:rtl w:val="true"/>
        </w:rPr>
        <w:t>اجرایی</w:t>
      </w:r>
      <w:r>
        <w:rPr>
          <w:rtl w:val="true"/>
        </w:rPr>
        <w:t>-</w:t>
      </w:r>
      <w:r>
        <w:rPr>
          <w:rtl w:val="true"/>
        </w:rPr>
        <w:t>قانونی</w:t>
      </w:r>
      <w:bookmarkEnd w:id="1049"/>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دلایل برخی مخالفت‌ها با اقامه حدود در عصر غیبت،عدم امکان توفیر شرایط معتبر در اجرای حدود به لحاظ شکلی است،عمده اشکالات این دسته از مخالفین علم قضات را هدف قرار داده و علم ایشان در حدود را معتبر ندانسته،راههای اثبات جرم حدی را در بینه و اقرار خلاصه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 مناسب است،مسولین امر به موجب قانونی جامع و مانع محدوده و شرایط حجیت واعتبار علم قضات ماذون فعلی را مشخص نمایند،تا مانع کج سلیقه‌گی و اعمال نظرهای شخصی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شرایط قضا،اجتهاد است،این شرط به‌خصوص در باب حدود اهمیت و حساسیت خاصی می‌یابد،به نظر می‌رسد،شایسته است مسولین امر به منظور حصول این شرط و دیگر شرایط معتبر در اقامه حدود الهی،در مورد دو مرحله‌ای کردن،رسیدگی به جرایم حدی به طور خاص بیاندیشند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طرح پس از این که دادگاه بدوی،وقوع جرم را احراز کرد،و بدون تردید بزه انتسابی را از مصادیق حدود تشخیص داد،پرونده را به دادگاه بالاتر که از قاضی مجتهد برخوردار است،ارجاع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بدین ترتیب،ضمن رعایت جانب احتیاط در دماء و شروط معتبر در اقامه حدود،مشکل کمبود،قضات مجتهد،لااقل در باب حدود مرتفع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دادگاهها،دادرس بدوی پرونده باید بتواند،در صورتی که وقوع بزه ثابت است ولی حصول شرایط مجازات حدی محرز نشده است،مجرم را بر اساس ماده‌های دقیق و تخلف ناپذیرِ قانونی مجازاتِ تعزیری نماید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کشورها اجرای حکم اعدام نیاز به تایید بالاترین مقام اجرایی آن کشور دارد،به نظر می‌رسد با توجه به اهتمام شارع نسبت به حفظ نفوس محترمه،مناسب باشد،قانون مجازات اسلامی اصلاح شود و تنفیذ مجازات‌های حدی سالب حیات به رئیس قوه قضائیه یا شخص ولی فقیه واگذار گردد</w:t>
      </w:r>
      <w:r>
        <w:rPr>
          <w:rFonts w:eastAsia="IRNazanin" w:cs="IRNazanin"/>
          <w:color w:val="111111"/>
          <w:sz w:val="28"/>
          <w:szCs w:val="28"/>
          <w:rtl w:val="true"/>
          <w:lang w:bidi="fa-IR"/>
        </w:rPr>
        <w:t>.</w:t>
      </w:r>
      <w:bookmarkStart w:id="1050" w:name="pg5664_43616"/>
    </w:p>
    <w:p>
      <w:pPr>
        <w:pStyle w:val="Heading2"/>
        <w:numPr>
          <w:ilvl w:val="1"/>
          <w:numId w:val="1"/>
        </w:numPr>
        <w:rPr/>
      </w:pPr>
      <w:bookmarkStart w:id="1051" w:name="__RefHeading___Toc3420400_581953129"/>
      <w:bookmarkStart w:id="1052" w:name="_Toc417"/>
      <w:bookmarkEnd w:id="1050"/>
      <w:bookmarkEnd w:id="1051"/>
      <w:r>
        <w:rPr>
          <w:rtl w:val="true"/>
        </w:rPr>
        <w:t>کتابنامه</w:t>
      </w:r>
      <w:bookmarkEnd w:id="1052"/>
    </w:p>
    <w:p>
      <w:pPr>
        <w:pStyle w:val="Heading3"/>
        <w:numPr>
          <w:ilvl w:val="2"/>
          <w:numId w:val="1"/>
        </w:numPr>
        <w:rPr/>
      </w:pPr>
      <w:bookmarkStart w:id="1053" w:name="__RefHeading___Toc3420402_581953129"/>
      <w:bookmarkStart w:id="1054" w:name="_Toc418"/>
      <w:bookmarkEnd w:id="1053"/>
      <w:r>
        <w:rPr>
          <w:rtl w:val="true"/>
        </w:rPr>
        <w:t>اشاره</w:t>
      </w:r>
      <w:bookmarkEnd w:id="1054"/>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البلاغه،ترجمه فیض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آشتیانی،میرزا حسن،کتاب القضاء،دارالهجرة،قم،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شیخ راضی،محمدطاهر،بدایة الوصول فی شرح کفایة الاصول،تحقیق محمد عبدالحکیم موسوی،چاپ ستاره،</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آمدی،عبدالواحد بن محمد تمیمی،غرر الحکم و درر الکلم،مکتبة الاعلام الاسلامی،قم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آملی،کتاب المکاسب و البیع،تحریر بحث النائینی،نشر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آیت‌الهی،محمدتقی،ولایت فقیه؛زیربنای فکری مشروطه مشروعه،امیرکبیر،تهران،</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ابی‌جمهور احسایی،الاقطاب الفقهیة،تحقیق شیخ محمد حصون،انتشارات کتابخانه آیت الله مرعشی،چ اول،قم،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 العزیزیة فی الاحادیث الدینیة،مطبعة سید الشهداء،قم،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ابن‌اثیر،النهایة فی غریب الحدیث،مؤسسه اسماعیلیان،چ چهارم،قم،</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حلی،ابوجعفر محمد بن منصور،السرائر الحاوی لتحریر الفتاوی،مؤسسه نشر اسلامی،قم،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ابن‌بابویه،علی،فقه الرضا،المؤتمر العالمی للامام الرضا،مشهد،</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براج طرابلسی،عبدالعزیز،جواهر الفقه،تحقیق ابراهیم بهادری،نشر اسلامی،قم،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،المهذب،تحقیق مؤسسه سید الشهداء،نشر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ابن‌حزم اندلسی،المحلی،دارالفکر،بیروت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ابن‌خلدون،تاریخ ابن خلدون،دار احیاء التراث العربی،چ چهارم،بیروت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ابن‌زهره حلبی،حمزة بن علی،غنیة النزوع الی علمی الاصول و الفروع،تحقیق ابراهیم بهادری،مؤسسه امام صادق،قم،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ابن‌داوود،رجال ابن‌داوود،تحقیق سید محمد صادق آل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الحیدریة،نجف،</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ابن‌درید،جمهرة اللغة،تحقیق رمزی منیر بعلبکی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للملایین،بیروت،</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ابن‌سلام،غریب الحدیث،دارلکتاب العربی،بیروت،</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ابن‌شعبه حرانی،ابومحمد حسن بن علی بن الحسین،تحف العقول عن آل الرسول،تصحیح علی‌اکبر غفاری،نشر اسلامی،چ دوم،قم،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ابن‌شهرآشوب،ابوعبدالله محمد بن علی،معالم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ابن‌صباغ،علی بن محمد بن احمد مالکی،الفصول المهمة فی معرفة الائمة،تحقیق سامی الغریری،دارالحدیث،قم،</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ابن‌طاووس،ابوالقاسم سید علی بن موسی،اقبال الاعمال،تحقیق جواد قیومی اصفهانی،مکتب الاعلام الاسلامی،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ابن‌عابدین،رد المحتار علی الدر المختار،دارالفکر،بیروت،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ابن‌عدی الجرجانی،ابواحمد عبدالله،الکامل فی ضعفاء الرجال،دارالفکر،بیروت،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ابن‌فارس،ابوالحسین احمد بن فارس زکریا،معجم مقائیس اللغة،مکتبة الاعلام الاسلامیة،</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ابن‌فهد حلی،جمال‌الدین ابوالعباس،مهذب البارع فی شرح المختصر النافع،مؤسسه نشر اسلامی،قم،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ابن‌قدامه،موفق‌الدین عبدالله،المغنی،دارالکتاب العربی للنشر و التوزیع،بیروت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ابن‌قولویه قمی،ابوالقاسم جعفر بن محمد،کامل الزیارات،تحقیق جواد قیومی اصفهانی،نشر الثقافة،چاپ نشر اسلامی،قم،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ابن‌ماجه،محمد بن یزید قزوینی،سنن ابن‌ماجه،دارالفکر للطباعة و النشر،بیروت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ابن‌منظور،جمال‌الدین محمد بن مکرم،لسان العرب،نشر ادب حوزه،قم،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ابن‌نجیم مصری،البحر الرائق،دارالکتب العلمیة،بیروت،</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ابوزهره،محمد،الجریمة و العقوبة فی الفقه الاسلامی،دارالفکر العربی،قاهره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ابوهلال عسکری،الفروق اللغویة،مؤسسه نشر اسلامی،قم،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ابی‌داوود،سلیمان بن اشعث سجستانی،سنن ابی‌داوود،دارالفکر للطباعة و النشر،بیروت،</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ابی‌یعلی الفراء،الاحکام السلطانیة،مکتب الاعلام الاسلامی،قم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حنبل،مسند احمد بن حنبل،دارصادر،بیروت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اراکی،محمدعلی،الحکومة الاسلامیة فی احادیث الشیعة الامامیة،به کوشش رضا استادی،مؤسسه در راه حق،قم،</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اردبیلی،محمدعلی،جامع الرواة،مکتبة المحمدی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 دانش،جعفر،ترمینولوژی حقوق جزای اسلامی،نشر اعظم بناب،</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اردبیلی،احمد،مجمع الفائدة و البرهان فی شرح ارشاد الاذهان،نشر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استرآبادی،محمدامین،الفوائد المدنیة و الشواهد المکیة،نشر اسلامی،قم،</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استرآبادی،میرزا محمد،منهج المقال فی تحقیق احوال الرجال،چاپ سنگی،</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موسی بن جعفر،الجعفریات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النینوی الحدیثة،تهران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اصفهانی،سید ابوالحسن،وسیلة الوصول الی حقائق الاصول،تقریر میرزا حسن سیادتی سبزواری،نشر اسلامی،قم،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اصفهانی،محمدتقی،هدایة المسترشدین،مؤسسه آل البیت،قم،</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آغاجری،هاشم،کنش دین و دولت در ایران عصر صفوی،مرکز بازشناسی اسلام و ایران،تهران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اسچپ اول و دوم،جان،گزیده متون حقوقی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امریکا،ترجمه امیر سماواتی پیروز،مؤسسة نگاه بنیه،تهران،</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امین،سیدحسن،تاریخ حقوق ایران،انتشارات دایرة المعارف ایران‌شناسی،تهران،</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امین،سیدمحسن،اعیان الشیعة،دارالتعارف،بیروت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نجفی،عبدالحسین،الغدیر فی الکتاب و السنة و الادب،دارالکتاب العربی،چ چهارم،بیروت،</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انصاری،شیخ مرتضی،فرائد الاصول،مجمع فکر اسلامی،قم،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الطهارة،مؤسسه امام هادی،قم،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المکاسب،مجمع فکر اسلامی،قم،</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الشهادات،چاپخانه باقری،قم،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الصلوة،چاپ کنگره،چاپخانه باقری،قم،</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انگلیبرت کمپفر،سفرنامه کمپفر،ترجمه کیکاووس جهانداری،خوارزمی،چ دوم،تهران،</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اوستا،ترجمه جلیل دوستخواه،انتشارات مروارید،تهران،</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بجنوردی،سید محمدحسن،القواعد الفقهیة،نشر الهادی،قم،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بحرالعلوم،سید محمد،بلغة الفقیه،تعلیقه سید محمدتقی آل بحرالعلوم،منشورات کتابخانه امام صادق،چ چهارم،تهران،</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بحرانی،ابن‌میثم،قواعدالمرام فی علم الکلام،مکتبة آیة‌الله المرعشی،قم،</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بحرانی،شیخ یوسف،حدائق الناظرة فی احکام العترة الطاهرة،مؤسسه نشر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بحرانی،شیخ یوسف،لؤلؤة البحرین،مؤسسه آل البیت لاحیاء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بخاری،ابوعبدالله محمد بن اسماعیل،صحیح البخاری،دارالفکر للطباعة و النشر،بیروت،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برقی،ابوجعفر احمد بن محمد بن خالد،المحاسن،دارالکتب الاسلامیة،قم،</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بروجردی،سیدعلی،طرائف المقال فی معرفة طبقات الرجال،تحقیق سید مهدی رجایی،کتابخانه آیت‌الله مرعشی نجفی،قم،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بکاریا،سزار،رسالة جرایم و مجازاتها،ترجمه محمدعلی اردبیلی،نشر میزان،چ پنجم،تهران،</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 عاملی،بهاءالدین محمد،جامع عباسی،انتشارات فراهانی،تهران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 فی احکام الدین،تحقیق مرتضی احمدیان،کتابفروشی بصیرتی،قم،</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 فی الدرایة،تحقیق ماجد الغرباوی،تراثنا،قم،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ناس،جان،تاریخ جامع ادیان،ترجمه علی‌اصغر حکمت،انتشارات پیروز،تهران،</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پیروزمند،علیرضا،نظام معقول تحلیل مبنایی نظام ولایت فقیه با نگاهی به نظرات منتقدین،انتشارات کیهان،تهران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تبریزی،میرزا جواد،ارشاد الطالب الی التعلیق علی المکاسب،مؤسسه اسماعیلیان،قم،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الحدود و التعزیرات،دفتر آیت‌الله تبریزی،قم،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النجاة،نشر برگزیده،</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الترمذی،ابوعیسی محمد بن عیسی،سنن ترمذی،تحقیق عبدالوهاب عبداللطیف،دارالفکر،بیروت،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تهرانی،آقا بزرگ،الذریعة الی تصانیف الشیعة،دارالضواء،چ سوم،بیروت،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الشیعة،انتشارات اسماعیلیان،قم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جبعی العاملی،زین‌الدین علی،رسائل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صلاة‌الجمعة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بصیرتی،قم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الدمشقیة،منشورات جامعة النجف الدینیة،نجف،</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فی شرح ارشاد الاذهان،مؤسسه آل البیت لاحیاء التراث،قم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 فی شرح نکت الارشاد،تحقیق مرکز الابحاث و الدراسات الاسلامیة،قم،</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شرائع الاسلام،مؤسسه المعارف الاسلامیه،چ اول،</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جر،خلیل،فرهنگ لاروس،ترجمه سید حمید طبیبیان،انتشارات امیرکبیر،چ شانزدهم،تهران،</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جرجانی،علی بن محمد بن علی،التعریفات،تحقیق ابراهیم الابیاری،دار النشر،دار الکتب العربی،بیروت،</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جزائری،سید عبدالله بن نورالدین،التحفة السنیة فی شرح النخبة المحسنیة،تحقیق سید علیرضا ریحان مدرس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جزیری،عبدالرحمان،الفقه علی المذاهب الاربعة،دارالفکر،بیروت،</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جعفرپیشه،مصطفی،مفاهیم اساسی ولایت فقیه،دبیرخانه مجلس خبرگان،قم،</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لنگرودی،محمدجعفر،ترمینولوژی حقوق،انتشارات گنج دانش،چ پانزدهم،تهران،</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جعفریان،رسول،دین و سیاست در دوره صفویه،انصاریان،قم،</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جمال‌الدین حسن،ابن الشهید الثانی،معالم الدین و ملاذ المجتهدین،نشر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آملی،عبدالله،ولایت فقیه؛ولایت فقاهت و عدالت،تنظیم و ویرایش محمد محرابی،انتشارات اسراء،قم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جواهری،محمد،المفید من معجم رجال الحدیث،مکتبة المحلاتی،چ دوم،قم،</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جوهری،اسماعیل بن حماد،الصحاح تاج اللغة و صحاح العربیة،دارالعلم للملایین،چ چهارم،بیروت،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ده‌آبادی،محمدعلی،جزوه درسی جرم‌شناسی،مدرسه تخصصی فقه و اصول،قم،</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حسکانی،عبیدالله بن احمد،شواهد التنزیل لقواعد التفضیل فی آیات النازلة فی اهل البیت،تحقیق محمدباقر محمودی،مؤسسه طبع و نشر وابسته به وزارت فرهنگ و ارشاد اسلامی،تهران،</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حائری،سید کاظم،القضاء فی الفقه الاسلامی،مجمع دارالفکر الاسلامی،چ اول،قم،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حائری،شیخ مرتضی،الخمس،نشر اسلامی،قم،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حائری،محمدحسین،الفصول الغرویة فی الاصول الفقهیة،دار احیاء العلوم الاسلامی،قم،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یزدی،مهدی،حکمت و حکومت،شادی،لندن،</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حائری،مهدی،دائرة‌المعارف 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زاده،محمدجعفر،بررسی جرم محاربه و افساد فی الارض،انتشارات کیهان،تهران،</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عاملی،محمد بن الحسن،امل الآمل،تحقیق سید احمد حسینی،مکتبة الاندلس،چاپ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الآداب،بغداد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الی تحصیل مسائل الشریعة،داراحیاء التراث العربی،چ پنجم،بیروت،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الراوندی،فضل‌الله بن علی،النوادر،تحقیق سعیدرضا علی‌عسکری،مؤسسه دارالحدیث،قم،</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حسون،محمد،حیاة المحقق الکرکی و آثاره،احتجاج،تهران،</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حسین‌زاده،محمدعلی،علما و مشروعیت دولت صفوی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جرجانی،سید امیر ابوالفتح،تفسیر شاهی،تحقق میرزا ولی‌الله اشراقی سرابی،انتشارات نوید،تهران،</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خطیب،سید عبدالزهراء،مصادر نهج‌البلاغه و اسانیده،بیروت،</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روحانی،سید محمدصادق،فقه الصادق،مدرسه امام صادق،چ سوم،قم،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الفقاهه التعلیق علی مکاسب الشیخ الاعظم،چاپخانه علمیه،چ چهارم،قم،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شیرازی،سیدمحمد،فقه العولمة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شیرازی،سید محمد،الفقه؛کتاب الحدود و التعزیرات،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دارالقرآن الکریم،قم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مراغی،میرفتاح بن علی،العناوین الفقهیة،نشر اسلامی،قم،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الحصکفی،الدر المختار،دارالفکر،بیروت،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حکیم،سید محسن،مستمسک العروة،کتابخانه آیت‌الله مرعشی نجفی،قم،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حکیم،سید محمدسعید،مصباح المنهاج،مؤسسه المنار،قم،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حلبی،ابن ابی‌المجلد علاءالدین علی بن حسن،اشاره السبق الی معرفة الحق،نشر اسلامی،قم،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حلبی،ابوالصلاح،الکافی فی الفقه،تحقیق رضا استادی،کتابخانه عمومی امام امیرالمومنین علی،اصفهان،</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حلی،ابوطالب محمد بن الحسن،ایضاح الفوائد فی اشکالات القواعد،چاپخانه علمیه،قم،</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حلی،ابوالقاسم نجم‌الدین جعفر بن الحسن،شرایع الاسلام فی مسائل الحلال و الحرام،مطبعة‌الاداب،چ اول،نجف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النافع،مؤسسه بعثت،چاپ دوم،تهران،</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شرح المختصر،مؤسسه سید الشهداء،قم،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حلی،جمال‌الدین حسن بن یوسف المطهر،ارشادالاذهان الی احکام الایمان،تحقق فارس حسون،نشر اسلامی،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،الالفین فی امامة امیرالمومنین علی بن ابی طالب،مؤسسة دارالهجرة،چ سوم،قم،</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حادی عشر،ترجمه محمدعلی حسینی شهرستانی،مؤسسه انتشارات علامه،چ اول،قم،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المتعلمین،انتشارات فقیه،تهران،</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الاحکام،تحقیق ابراهیم بهادری،مؤسسه امام صادق،قم،</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الفقهاء،مؤسسه آل البیت لاحیاء التراث،قم،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الاقوال فی معرفة الرجال،نشر الثقافة چاپ نشر اسلامی،قم،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 فی معرفة الحلال و الحرام،نشر اسلامی،قم،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شرح تجرید الاعتقاد،تصحیح و تعلیقه حسن حسن‌زاده آملی،نشر اسلامی،قم،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الوصول الی علم الاصول،تحقیق عبدالحسین محمد علی البقال،مکتب الاعلام الاسلامی،چ دوم،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الشیعة،نشر اسلامی،قم،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 فی تحقیق المذهب،نشر حاج احمد،چ اول،تبریز،</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حلی،یحیی بن سعید،الجامع للشرائع،مؤسسه سید الشهداء،قم،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خازم،علی،مدخل إلی علم الفقه عند المسلمین الشیعة،دارالغربه،بیروت،</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خامنه‌ای،سید علی،اجوبة الاستفتاءات،الدار الاسلامیه،چ سوم،بیروت،</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خرازی،سید محسن،بدایة المعارف الالهیة فی شرح العقائد الامامیة،مؤسسه نشر اسلامی،چ پنجم،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خراسانی،محمدکاظم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الاصول،مؤسسه نشر اسلامی،چاپ هفتم،قم،</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خسروپناه،عبدالحسین،جامعه مدنی و حاکمیت دینی،انتشارات وثوق،</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خوانساری،آقاجمال محمد بن حسین،الحواشی علی شرح اللمعة الدمشقیة،مدرسه رضویه،چ دوم،</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خوانساری،حسین بن جمال‌الدین محمد،مشارق الشموس فی شرح الدروس،مؤسسه آل البیت لاحیاء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خوانساری،سید احمد،جامع المدارک فی شرح المختصر النافع،تحقیق و تعلیق علی‌اکبر غفاری،کتابخانه صدوق،چ دوم،تهران،</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خوانساری،سید محمدباقر،روضات الجنات فی احوال العلما و السادات،انتشارات اسماعیلیان،قم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الخوری الشرتونی،سعید،اقرب الموارد فی فصیح العربیة و الشوارد،کتابخانه آیت الله مرعشی،قم،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خویی،سید ابوالقاسم،کتاب الاجتهاد و التقلید،تقریر سید محمدمهدی موسوی خلخالی،چاپخانه نوظهور،قم،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تکملة‌المنهاج،علمیه،چ دوم،قم،</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خویی،سید ابوالقاسم،مستند العروة الوثقی؛کتاب الزکوة،چاپخانه علمیه،قم،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الفقاهة،تقریر محمدعلی توحیدی،مکتبة الداوری،قم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و تفصیل طبقات الرواة،چ پنجم،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راجر،م،سیوری،تحقیقاتی در تاریخ عصر صفوی،ترجمه عباسقلی غفاری فرد و محمدباقر آرام،انتشارات امیر کبیر،تهران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رازی،محمد بن عبدالقادر،مختار الصحاح،درالکتب العلمیة،بیروت،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اصفهانی،مفردات فی غریب القرآن،دفتر نشر الکتاب،چ دوم،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راوندی،قطب‌الدین ابوالحسین،فقه القرآن،کتابخانه آیت‌الله مرعشی،چ دوم،قم،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رحمان‌ستایش،محمدکاظم و مهدی مهریزی،رسائل فی ولایة الفقیه،پژوهشگاه علوم و فرهنگ اسلامی و پژوهشکده فقه و حقوق دفترتبلیغات اسلامی،قم،</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 همدانی،احمد،الامام علی بن ابی‌طالب،المنیر للطباعة و النشر،تهران،</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رضوی،سید احمد،بحوث حول الولایة،لیتوگرافی رضا،مشهد،</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روزدری،علی،تقریرات آیت‌الله المجدد الشیرازی،موسسة آل البیت لاحیاء التراث،قم،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زبیدی،محب‌الدین ابوفیض السید محمد مرتضی الحسینی،تاج العروس من جواهر القاموس،دارالفکر،بیروت،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زحیلی،وهبه مصطفی،الفقه الاسلامی و ادلته،دمشق،</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زراعت،عباس،شرح قانون مجازات اسلامی بخش کلیات،انتشارات ققنوس،چ سوم،</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 عاملی،ابومحمد علی بن یونس،الصراط المستقیم الی مستحقی التقدیم،تعلیق محمدباقر بهبودی،المکتبة المرتضویة لاحیاء آثار الجعفریه،چ اول،تهران،</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دال،رابرت،تجزیه و تحلیل جدید سیاست،ترجمه حسین ظفریان،نشر مترجم،</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دورکیم،امیل،خودکشی،ترجمه کتر نادر سالارزاده،انتشارات دانشگاه علامه طباطبایی،تهران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علی‌اکبر،لغت‌نامه دهخدا،مؤسسه انتشارات و چاپ دانشگاه تهران،تهران،</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دهقان،حمید،شمیم عدالت،مؤسسه انتشارات رسالت،قم،</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ساریخانی،عادل،جزوه درسی تعزیرات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جزای عمومی اسلام،انتشارات دانشگاه پیام نور،تهران،</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 بدری،شبهات و ردود،نشر حبیب،چ دوم،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سبحانی،جعفر،اصول الحدیث و احکامه فی علم الدرایة،مؤسسه نشر اسلامی،چ پنجم،قم،</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علم الرجال،نشر اسلامی،قم،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الالهیات،مؤسسه امام صادق،قم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جاوید،دفتر انتشارات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سبزواری،سید عبدالاعلی،مهذب الاحکام فی بیان الحلال و الحرام،دفتر آیت‌الله سبزواری،چ چهارم،قم،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سبزواری،محمدباقر،ذخیرة المعاد فی شرح الارشاد،مؤسسه آل البیت لاحیاء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الاحکام،تحقیق مرتضی واعظی اراکی،نشر اسلامی،قم،</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سرخسی،المبسوط،دارالمعرفه،بیروت،</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سروش،محمد،دین و دولت در اندیشه اسلامی،دفتر تبلیغات اسلامی و دبیرخانه مجلس خبرگان،انتشارات ایران،قم،</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سعید،ایوب،ابتلائات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تاملات فی الطریق الی المسیح الدجال و المهدی المنتظر فی الیهودیة و المسیحیة و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،دارالهادی للطباعة و النشر،بیروت،</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سلار،ابو حمزه بن عبدالعزیز دیلمی،المراسم العلویة و الاحکام النبویة فی الفقه الامامیة،معاونت فرهنگی مجمع جهانی اهل بیت،قم،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سلطان‌محمدی،ابوالفضل،اندیشه‌های سیاسی جمال‌الدین خوانساری،بوستان کتاب،قم،</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سیاسی علّامه مجلسی،بوستان کتاب،قم،</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سلیمی،علی و محمد داوری،جامعه‌شناسی کجروی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مطالعات کجروی و کنترل اجتماعی،کتاب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حوزه و دانشگاه،چ دوم،قم،</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سمعانی،ابوسعد عبدالکریم بن محمد،الانساب،دارالجنان،بیروت،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مرتضی،ابو القاسم علی بن حسین موسوی،الانتصار فی انفرادات الامامیة،نشر اسلامی،قم،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الانبیاء،دارالضواء،چ دوم،بیروت،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،الذریعة،تصحیح ابوالقاسم گرجی،انتشارات دانشگاه تهران،تهران،</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المرتضی،تحقیق سید احمد حسینی و سید مهدی رجایی،دارالقرآن الکریم،قم،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الامامة،مؤسسه اسماعیلیان،چ دوم،قم،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،المقتع فی الغیبة،تحقیق سید محمدعلی حکیم،مؤسسه آل البیت،بیروت،</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مرعشی،شرح احقاق الحق،منشورت کتابخانه آیت الله العظمی مرعشی نجفی،قم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شاطبی،ابواسحاق،الموافقات فی اصول الشریعة،دار المعرفه،چ دوم،بیروت،</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شافعی،الام،دارالفکر،چ سوم،بیروت،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شاملو احمدی،محمدحسین،فرهنگ اصطلاحات و عناوین جزایی،نشر دادیار،اصفهان،</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شربینی،محمد بن احمد،الاقناع فی حل الفاظ ابی‌شجاع،دارالمعرفه للطباعه و النشر،بیروت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شریعتمداری،جعفر،شرح وتفسیر لغات قرآن،انتشارات آستان قدس رضوی،مشهد،</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شریفی،احمدحسین و حسن یوسفیان،پژوهشی در عصمت معصومان،پژوهشگاه فرهنگ و اندیشه اسلامی،تهران،</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شفایی،محسن،شئون ولایت،ایران،چ اول،</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شفتی بیدآبادی،سید محمدباقر،مطالع الانوار فی شرح شرائع الاسلام،مؤسسه امام مهدی،</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فی اقامة الحدود فی هذه الاعصار،تحقیق علی‌اوسط ناطقی و لطیف فرادی،بوستان کتاب،قم،</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ناتری،محمدابراهیم،بررسی تطبیقی مجازات اعدام،دفتر تبلیغات اسلامی،پژوهشکده فقه و حقوق،قم،</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شوشتری،سید محمدجعفر،منتهی الدرایة،دارالکتاب جزائری،چ سوم،قم،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شیرازی،محمدعلی بن محمدصادق،معیار اللغة،چاپ سنگی،</w:t>
      </w:r>
      <w:r>
        <w:rPr>
          <w:rFonts w:eastAsia="IRNazanin" w:cs="IRNazanin"/>
          <w:color w:val="111111"/>
          <w:sz w:val="28"/>
          <w:szCs w:val="28"/>
          <w:lang w:bidi="fa-IR"/>
        </w:rPr>
        <w:t>1311</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صافی،لطف‌الله،التعزیر انواعه و ملحقاته،مؤسسه النشر الاسلامی،قم،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صالح،صبحی،الإسلام و مستقبل الحضارة،دارالشوری،بیروت،</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صالح،علی‌پاشا،سرگذشت قانون،مؤسسه انتشارات و چاپ دانشگاه تهران،تهران،</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 همدانی،احمد،الهدایة الی من له الولایة،تقریر بحث آیت‌الله گلپایگانی،چاپخانه علمیه،قم،</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صانعی،پرویز،حقوق جزای عمومی،انتشارات طرح نو،تهران،</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صدر،سید حسن،نهایة الدرایة،تحقیق ماجد الغرباوی،نشر المشعر،قم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صدر،سید محمدباقر،دروس فی علم الاصول،نشر اسلامی،چ پنجم،قم،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الواضحة،مطبعة الآداب،نجف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صدرالمتألهین،محمد بن ابراهیم،تفسیر القرآن الکریم،انتشارات بیدار،چ دوم،قم،</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صدوق،ابوجعفر محمد بن علی بن بابویه،امالی،مؤسسه بعثت،قم،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الشرایع،منشورات مکتبة و مطبعتها،نجف،</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الرضا،تحقیق حسین اعلمی،مؤسسه اعلمی،بیروت،</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النعمة،تصحیح علی‌اکبر غفاری،نشر اسلامی،قم،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الخصال،تصحیح علی‌اکبر غفاری،نشر اسلامی،قم،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الاخبار،تصحیح علی‌اکبر غفاری،مؤسسة النشر الاسلامی،قم،</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،المقنع،مؤسسه امام هادی،قم،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الفقیه،نشر اسلامی،چ دوم،قم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الصفار،محمد بن حسن بن فروخ،بصائر الدرجات الکبری فی فضائل آل محمد،منشورات اعلمی،تهران،</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صفی‌پور،عبدالرحیم بن عبدالکریم،منتهی الارب فی لغة العرب،کتابخانه سنایی،</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الصیمری البحرانی،شیخ مفلح،غایة المرام فی شرح شرائع الاسلام،تحقیق شیخ جعفر الکوثرانی العاملی،درالهادی،بیروت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طباطبایی،سید علی،ریاض المسائل،نشر اسلامی،قم،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طباطبایی،سید محمدحسین،شیعه در اسلام،انتشارات هجرت،قم،</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القرآن،منشورات جامعة المدرسین فی الحوزة العلمیة فی القم المقدسة،قم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زعامت؛بحثی درباره مرجعیت و روحانیت،انتشار،تهران،</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بروجردی،سید حسین،جامع احادیث الشیعة،مطبعة العلمیه،قم،</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التقریر،تقریر محمد فاضل 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حکیم،سید محسن،نهج الفقاهة،انتشارات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یزدی،سیدکاظم،عروة الوثقی،نشر اسلامی،قم،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طبرسی،ابومنصور احمد بن علی،الاحتجاج،تحقیق سید محمدباقر خرسان،دارالنعمان،نجف،</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طبرسی،امین‌الاسلام ابوعلی الفضل،مجمع البیان فی تفسیر القرآن،مؤسسه اعلمی،بیروت،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طریحی،فخرالدین،مجمع البحرین،مکتبة النشر الثقافة الاسلامیة،چ دوم،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طوسی،ابوجعفر محمد بن حسن،الاستبصار فیما اختلف من الاخبار،دارالکتب الاسلامیه،تهران،</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الهادی الی سبیل الرشاد الاقتصادی،کتابخانه چهل ستون،تهران،</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الشافی،تعلیق سید حسن بحرالعلوم،مطبعة الآداب،چ دوم،نجف،</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 فی شرح المقنعة،دارالکتب الاسلامیه،چ سوم،تهران،</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،الخلاف،نشر اسلامی،قم،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الطوسی،مکتبة الحیدریة،نجف،</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العشر،نشر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،الفهرست،نشر اسلامی،قم،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الاصول،تحقیق محمدمهدی نجف،موسسة آل البیت للطباعة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الغیبة،تحقیق عبدالله تهرانی و احمد ناصح،بهمن،تهران،</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فی الفقه الامامیة،المکتبة المرتضویة لاحیاء آثار الجعفریة،تهران،</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مجرد الفقه و الفتاوی،انتشارات قدس محمدی،قم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عالم،عبدالرحمان،بنیادهای علم سیاست،نشر نی،تهران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عاملی،سید محمدجواد،مفتاح الکرامة فی شرح القواعد العلامة،تحقیق محمدباقر خالصی،نشر اسلامی،قم،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عراقی،ضیاءالدین علی بن محمد،شرح تبصرة المتعلمین،نشر اسلامی،قم،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عقیقی بخشایشی،چهارده نور پاک،انتشارات نوید اسلام،تهران،</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عبدالعزیز،عامر،التعزیر فی الشریعة الاسلامیة،مکتبه مصطفی البابی الحیلی و اولاده،مصر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عبده،محمد،خطب الامام علی،دارالنهضه،قم،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حویزی،عبد علی بن جمعه،تفسیر نور الثقلین،تصحیح سید هاشم محلاتی،مؤسسه اسماعیلیان،چ چهارم،قم،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عطاردی،عزیزالله،مسند امام رضا،انتشارات آستان قدس رضوی،مشهد،</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عکاز،فکری احمد،فلسفة العقوبة فی الشریعة الاسلامیة و القانون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عمانی،حسن بن علی بن ابی‌عقیل حذاء،حیاة ابن ابی‌عقیل و فقهه،مرکز المعجم الفقهی،قم،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فتاوی ابن ابی‌عقیل،تحقیق شیخ علی‌پناه اشتهاردی،نشر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عمید،حسن،فرهنگ عمید،مؤسسه انتشارات امیرکبیر،تهران،</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زنجانی،عباسعلی،فقه سیاسی،مؤسسه انتشارات امیرکبیر،تهران،</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عوده،عبدالقادر،التشریع الجنایی الاسلامی مقارنا بالقانون الوضعی،مؤسسه الرساله،بیروت،</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جنایی اسلام،ترجمه اکبر غفوری،انتشارات آستان قدس رضوی،مشهد،</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عیاشی،محمد بن مسعود،تفسیر العیاشی،تحقیق سید هاشم رسولی محلاتی،مکتبة العلمیه الاسلامیه،تهران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 نجف‌آبادی،محسن،مبناء و ماهیت تعزیر،پایان‌نامه کارشناسی ارشد حقوق جزا و جرم‌شناسی،به راهنمایی دکتر محمد جعفر حبیب‌زاده،دانشگاه تربیت مدرس،</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غزالی،ابوحامد محمد بن محمد،المستصفی من علم الاصول،دارالکتب العلمیه،بیروت،</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غضائری بغدادی،احمد بن حسین،رجال ابن 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سید محمدرضا جلالی،دارالحدیث،قم،</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آبی،زین‌الدین ابوعلی الحسن،کشف الرموز فی شرح المختصر النافع،تحقیق علی‌پناه اشتهاردی و حاج آقا حسین یزدی،نشر اسلامی،قم،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مقداد،جمال‌الدین مقداد بن عبدالله،التنقیح الرائح لمختصر الشرائع،کتابخانه آیت‌الله مرعشی،قم،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هندی،بهاءالدین محمد بن حسن،کشف اللثام عن قواعد الاحکام،مؤسسه نشر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 بهنسی،احمد،العقوبة فی الفقه الاسلامی،دارالشرق،چ پنجم جده،</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الفقه الجنایی الاسلامی،دار الشروق،چ دوم،جده،</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رازی،ابوعبدالله محمد بن عمر،تفسیر کبیر مفاتیح الغیب،داراحیاء التراث العربی،چ سوم،بیروت،</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فراهیدی،خلیل بن احمد،کتاب العین،مؤسسه دارالهجره،چ دوم،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فلور،ویلم،نظام قضایی عصر صفوی،ترجمه حسن زندیه،پژوشگاه حوزه و دانشگاه و مؤسسه چاپ و نشر زیتون،چ دوم،قم،</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فیاض،محمداسحاق،منهاج الصالحین،امیر،قم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فیروزآبادی،قاموس 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فیض،علیرضا،مقارنه و تطبیق در حقوق جزای عمومی اسلام،سازمان چاپ انتشارات وزارت فرهنگ و ارشاد اسلامی،چ ششم،تهران،</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کاشانی،محمدمحسن،مفاتیح الشرایع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،الوافی،تحقیق ضیاءالدین حسینی اصفهانی،کتابخانه امیر المؤمنین،اصفهان،</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قرشی،سید علی‌اکبر،قاموس قرآن،دارالکتب الاسلامیه،چ ششم،تهران،</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قلعجی،محمد،معجم لغة الفقهاء،دارالنفایس،چ دوم،بیروت،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قمی،ابوالحسن علی بن ابراهیم،تفسیر القمی،تحقیق سید طیب موسوی،دارالکتاب،چ دوم،قم،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قمی،شیخ عباس،الکنی والالقاب،مکتبة الصدر،تهران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حنفی،سلیمان بن ابراهیم،ینابیع المودة لذوی القربی،تحقیق سید علی‌جمال اشرف حسینی،اسوه،قم،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کاشانی،ابوبکر،بدائع الصنائع،مطبعه حبیبیه،پاکستان،</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کاشانی،محمدرسول بن عبدالعزیز،النبیه فی وظایف الفقیه،در ضمن رسائل فی ولایة الفقیه،تحقیق محمدکاظم رحمان‌ستایش و مهدی مهریزی،پژوهشگاه علوم و فرهنگ اسلامی،پژوهشکده فقه و حقوق،دفتر تبلیغات اسلامی،قم،</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الغطاء،جعفر بن خضر،کشف الغطاء عن مبهمات الشریعة الغراء،انتشارات مهدوی،اصفهان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الغطاء،علی،النور الساطع فی الفقه النافع،</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خراسانی،محمدعلی،فوائد الاصول،نشر اسلامی،قم،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کرکی،علی بن الحسین،رسائل الکرکی،تحقیق محمد حسون،کتابخانه آیت‌الله مرعشی،قم،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جهرمی،علی،الدر المنضود فی احکام الحدود،تقریر ابحاث آیت‌الله العظمی السید محمدرضا گلپایگانی،دارالقرآن الکریم،قم،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کریمی،حسین،موازین قضایی از دیدگاه امام خمینی،ترجمه و تدوین انتشارات شکوری،</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کشی،ابوعمرو محمد بن عمر بن عبدالعزیز،رجال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حسن مصطفوی،نشر دانشگاه مشهد،مشهد،</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کلانتری،علی‌اکبر،حکم ثانوی در تشریع اولی،انتشارات دفتر تبلیغات اسلامی،پژوهشکده فقه و حقوق،قم،</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کلینی،محمد بن یعقوب بن اسحاق،الاصول من الکافی،دارالکتب الاسلامیه،چ پنجم،تهران،</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کنانی،عبدالوحاب و دیگران،موسوعة السیاسیة،المؤسسة العربیة الدراسات و النشر،بیروت،</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پژوهشگران،دائرة المعارف تشیع،چاپ بنیاد،تهران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گلپایگانی،سید محمدرضا،کتاب القضاء،تقریر سید علی حسینی میلانی،دارالقرآن الکریم،قم،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الی من له الولایة،دار القرآن الکریم،قم،</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گولد،جولیوس،فرهنگ علوم اجتماعی،انتشارات مازیار،تهران،</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لاری،سید عبدالحسین،رسائل سید لاری،کنگره بزرگداشت سید عبدالحسین لاری،بنیاد معارف اسلام،لار و جهرم،</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لاریجانی،محمدجواد،نقد دینداری و مدرنیسم،انتشارات اطلاعات،تهران،</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مالک،المدونه الکبری،دار احیاء التراث العربی،بیروت،</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مامقانی،عبدالله،تنقیج المقال،مکتبة المرتضویة،نجف،</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ماوردی،ابوالحسن علی بن محمد،الاحکام السلطانیة و الولایات الدینیة،دارالکتب العلمیه،بیروت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طباطبایی،سید محمد،مفاتیح الاصول،مؤسسه آل البیت،قم،</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مجلسی،محمدباقر،بحارالانوار الجامعة لدرر اخبار الائمة الاطهار،مؤسسه الوفاء،چ دوم،بیروت،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العقول فی شرح اخبار آل الرسول،تحقیق سید هاشم رسولی،دارالکتب الاسلامیه،چ دوم،تهران،</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مجلسی،محمدتقی،روضة‌المتقین فی شرح من لایحضره الفقیه،مؤسسه کوشانپور،چ دوم،قم،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صاحبقرانی،مؤسسه اسماعیلیان،قم،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محسنی،مرتضی،دوره حقوق جزای عمومی،کتابخانه گنج دانش،چ دوم،تهران،</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داماد،سید مصطفی،قواعد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شهید بهشتی،دانشکده حقوق،تهران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جزایی،مرکز نشر اسلامی،چ پنجم،قم،</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محمدفؤاد عبدالباقی،المعجم المفهرس لالفاظ القرآن،مؤسسه اعلمی،بیروت،</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ری‌شهری،محمد،میزان الحکمة،دارالحدیث،قم،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محمودی،ضیاءالدین،الاصول الستة عشر من الاصول الاولیة،دارالحدیث،قم،</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المصطفی،حیاة صاحب المدارک،مرکز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مروارید،علی‌اصغر،المصادر الفقهیة،دارالتراث،بیروت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الفقهیة،دارالتراث،بیروت،</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جزائری،سید محمدجعفر،هدی الطالب الی شرح المکاسب،مؤسسه دارالکتاب،قم،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مسعودی،ابوالحسن علی بن الحسین،مروج الذهب و معادن الجوهر،نشر داراندلس،بیروت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الحجاج القشیری،صحیح مسلم،دارالفکر،بیروت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یزدی،محمدتقی،راه و راهنماشناسی،امیرکبیر،تهران،</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مصطفوی،حسن،التحقیق فی کلمات القرآن الکریم،بنگاه ترجمه و نشر کتاب،تهران،</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مصطفوی،سید محمدکاظم،مائة قاعدة فقهیة،نشر اسلامی،چ سوم،قم،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مطرزی خوارزمی،ناصر بن عبدالسید،المغرب فی ترتیب المعرب،مکتبة ناشرون،بیروت،</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مطهری،مرتضی،آشنایی با علوم اسلامی،انتشارات صدرا،چ هشتم،تهران،</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آثار،مؤسسه چاپ فجر،چاپ دوم،تهران،</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جهان‌بینی اسلامی،انتشارات صدرا،چ پنجم،تهران،</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مظفر،محمدرضا،عقاید الامامیة،انصاریان،قم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مغربی،ابوحنیفه نعمان بن محمد،دعائم الاسلام و ذکر الحلال و الحرام و القضایا والاحکام،دارالمعارف،قاهره،</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مغنیه،محمدجواد،فقه الامام الصادق،مؤسسه انصاریان،قم،</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مفید،محمد بن محمد بن نعمان،الإختصاص،تصحیح و تعلیق علی‌اکبر غفاری،دار المفید،چ دوم،بیروت،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فی معرفة حجج الله علی العباد،دارالمفید للطباعة و النشر و التوزیع،بیروت،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المقالات،تحقیق ابراهیم انصاری،دارالمفید للطباعة و النشر،بیروت،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،المقنعة،نشر اسلامی،چ دوم،قم،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المقری الفیومی،احمد بن محمد بن علی،المصباح المنیر فی غریب الشرح الکبیر للرافعی،دار النشر و المکتبة العلمیة،بیروت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نجفی،محمدهادی،تقریرات الحدود و التعزیرات،تقریر بحث الگلپایگانی،چاپ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شیرازی،ناصر،الأمثل فی تفسیر کتاب الله المنزل،مدرسة امام علی بن ابی‌طالب،قم،</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فقهیة هامة،مدرسة امام علی بن ابی‌طالب،قم،</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قرآن،مدرسة امام علی بن ابی‌طالب،چ سوم،قم،</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نمونه،دارالکتب الاسلامیه،تهران،</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العاملی،شمس‌الدین محمد،البیان،تحقیق محمد حسون،محقق،قم،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 فی الفقه الامامیة،مؤسسة النشر الاسلامی،قم،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 فی احکام الشریعة،مؤسسه آل البیت،قم،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 فی الفقه والاصول و العربیة،تحقیق سید الهادی حکیم،مکتبه المفید،چ اول،قم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،اللمعة‌الدمشقیة فی فقه الامامیة،دارالتراث،الدار الاسلامیه،بیروت،</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منتظری،حسینعلی،البدر الزاهر،تقریرات درس مرحوم بروجردی،دفتر تبلیغات اسلامی،چ دوم،قم،</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المکاسب المحرمة،نشر تفکر،قم،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ولایة الفقیه و فقه الدولة الاسلامیة،المرکز العالمی للدراسات الاسلامیه،قم،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الحکم فی الاسلام،چاپ هاشمیون،</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السلطنه عدل،مصطفی،حقوق اساسی یا اصول مشروطیت،</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اردبیلی،سید عبدالکریم،فقه الحدود و التعزیرات،مکتبه امیر المؤمنین،دارالعلم مفید،قم،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خلخالی،سید محمدمهدی،حاکمیت در اسلام یا ولایت فقیه،نشر اسلامی،قم،</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خمینی،سید روح الله،الاجتهاد و التقلید،مؤسسه تنظیم و نشر آثار امام خمینی،تهران،</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،تحریرالوسیلة،مطبعة الآداب،دارالکتب العلمیه،نجف،</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رسائل؛ولایة الفقیه،مؤسسه تنظیم و نشر آثار امام خمینی،تهران،</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،الرسائل،تحقیق مجتبی تهرانی،مؤسسه اسماعیلیان،قم،</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نور،مؤسسه تنظیم و نشر آثار امام خمینی،چ چهارم،تهران،</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،الطهارة،چاپخانه مهر،قم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البیع،مؤسسه تنظیم و نشر آثار امام خمینی،تهران،</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فقیه،مؤسسه تنظیم و نشر آثار امام خمینی،تهران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همدانی،سیدمحمدباقر،ترجمه تفسیرالمیزان،دفتر انتشارات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المهدی،السید الصادق،العقوبات الشرعیة و موقعها من النظام الاجتماعی الاسلامی،الزهراء للإعلام العربی،قاهره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قمی،ابوالقاسم،جامع‌الشتات،تصحیح مرتضی رضوی،انتشارات کیهان،تهران،</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الایام فی مسائل الحلال و الحرام،تحقیق عباس تبریزیان،مکتبة الاعلام الاسلامی،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الاحکام،مؤسسه نشر اسلامی،قم،</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میرداماد،محمدباقر حسینی استرآبادی،الرواشح السماویة،دارالحدیث،قم،</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نائینی،محمدحسین،تنبیه الامة و تنزیه الملة،تحقیق محمد حسّون،شرکت سهامی انتشار،چ نهم،تهران،</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055" w:name="pg5664_43634"/>
    </w:p>
    <w:p>
      <w:pPr>
        <w:pStyle w:val="BookText"/>
        <w:rPr/>
      </w:pPr>
      <w:bookmarkEnd w:id="1055"/>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نجاشی،ابوالعباس محمد بن علی،رجال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اسماء مصنفی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اسلامی،چ پنجم،قم،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نجفی،محمد بن حسن،جواهر الکلام فی شرح شرائع الاسلام،دارالکتب الاسلامیه،چ دوم،تهران،</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ایروانی،علی بن عبدالحسین،حاشیة المکاسب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نراقی،احمد بن محمد مهدی،عوائد الایام،مرکز نشر اسلامی،قم،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 فی احکام الشریعة،مؤسسه آل البیت لاحیاء التراث،قم،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نسائی،سنن النسائی،دارالفکر للطباعة و النشر،بیروت،</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شاهرودی،علی،مستدرکات علم رجال الحدیث،چاپ شفق،تهران،</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البحار،تحقیق شیخ حسن علی نمازی،مؤسسة النشر الإسلامی،قم،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طبرسی،میرزا حسین،خاتمة مستدرک الوسائل الشیعة،مؤسسه آل البیت لاحیاء التراث،قم،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المسائل،مؤسسه آل البیت علیهم السلام لاحیاء التراث،بیروت،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نووی،شرف‌الدین،المنهاج،انتشارات غزالی،سنندج،</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نووی،محیی‌الدین،المجموع،دارالفکر،بیروت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بهبهانی،محمدباقر،تعلیقة علی منهج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مدارک الاحکام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الفقهیة،منشورات مؤسسه علامه وحید بهبهانی،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،مصابیح‌الظلام،مؤسسه علامه وحید بهبهانی،قم،</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شاهرودی،سید محمود،بایسته‌های فقه جزا،نشر میزان،تهران،</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الحج،مؤسسه انصاریان،قم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همدانی،آقارضا،مصباح الفقیه،منشورات مکتبة الصدر،چاپخانه حیدری،تهران</w:t>
      </w:r>
      <w:r>
        <w:rPr>
          <w:rFonts w:eastAsia="IRNazanin" w:cs="IRNazanin"/>
          <w:color w:val="111111"/>
          <w:sz w:val="28"/>
          <w:szCs w:val="28"/>
          <w:rtl w:val="true"/>
          <w:lang w:bidi="fa-IR"/>
        </w:rPr>
        <w:t>.</w:t>
      </w:r>
    </w:p>
    <w:p>
      <w:pPr>
        <w:pStyle w:val="Heading3"/>
        <w:numPr>
          <w:ilvl w:val="2"/>
          <w:numId w:val="1"/>
        </w:numPr>
        <w:rPr/>
      </w:pPr>
      <w:bookmarkStart w:id="1056" w:name="__RefHeading___Toc3420404_581953129"/>
      <w:bookmarkStart w:id="1057" w:name="_Toc419"/>
      <w:bookmarkEnd w:id="1056"/>
      <w:r>
        <w:rPr>
          <w:rtl w:val="true"/>
        </w:rPr>
        <w:t>مقالات</w:t>
      </w:r>
      <w:bookmarkEnd w:id="1057"/>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ارسطا،محمدجواد،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محجوریت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کتاب نقد،ش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قاعده درأ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اهل بیت فارسی،ش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قاعده درأ</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اهل بیت فارسی،ش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 عجّل الله تعالی فرجه الشریف و سیر تاریخی و نشانه‌های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عبدالله امینی،مجله انتظار،ش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پیناتل،ژان،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کیفرهای جانشین و جرم‌شناسی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علی‌حسین نجفی ابرندآبادی،نرم افزار مقالات حقوقی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جعفرپیشه،مصطفی،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ولایت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حکومت اسلامی،ش</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اداری علما در دولت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نورعلم،ش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ده‌آبادی،احمد،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درأ در فقه امامیه و حقوق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و حقوق،س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حسینی،سید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مکتب فقهی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نو در فقه اسلامی،ش</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،کاوشی نو در فقه اسلامی،ش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خرازی،سید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 حکم فقهی تجسس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فقه اهل بیت فارسی،ش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پناه،عبدالحسین،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حکومت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معرفت،ش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ربانی،محمدحسن،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اصطلاح‌شناسی در کتاب‌های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کاوشی نو در فقه اسلامی،ش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قضاوت بر اساس قرینه‌ها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کاوشی نو در فقه اسلامی،ش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بیرجندی،محمد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درأ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کاوشی نو در فقه اسلامی،ش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صدوری و وثوق سندی و دیدگاه‌ها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نو در فقه،ش</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برجی،یعقوب‌علی،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نراقی و مساله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،آیینه پژوهش،ش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،فروردین و اردیبهشت</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حسینی،سادات و مصطفی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چشم‌اندازی بر حدود و اجرای علنی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،الهیات و حقوق،ش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سروش،عبدالکریم،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در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کیان،ش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صراطهای مستقیم؛سخنی در پلورالیسم دینی،مثبت و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کیان،ش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محلاتی،محمد،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علوم سیاسی،ش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جمعه در 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حکومت اسلامی،ش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شقیر،محمد،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توقیع شریف امام زمان به اسحاق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فقه اهل بیت،ش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گلپایگانی،لطف‌الله،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حکومت یا ولایت فقها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اسلامی،ش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پور،جهانگیر،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خمینی؛فقیه دوران گذار از فقه جواهری تا فقه المصلحه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کیان،ش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مشروعیت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سیاسی،ش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عابدیان،سید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و اجرای حدود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معارف،س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فرزین قلعه جوین،مهرانگیز،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جایگاه جرم و مجرم در نصوص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پژوهشی ندای صادق،ش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قوی،نیره،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امور حسبیه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پژوهشی ندای صادق،ش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کدیور،محسن،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عقیده و مذهب در اسلام و اسناد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انتشارات دانشگاه مفید،مجموعه مقالات همایش بین المللی حقوق بشر و گفت‌وگوی تمدن‌ها،</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عقیده و مذهب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آفتاب،ش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کلانتری،علی‌اکبر،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مصلحت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نو در فقه اسلامی،ش</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،کاوشی نو در فقه اسلامی،ش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فقهی و حل مسایل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آفتاب،ش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لاهیجی،شمس‌الدین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شریعت و طریقت و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قمی،محمد،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ابتدایی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اهل بیت،ش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تعزیرات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علم،شهریور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داماد،مصطفی،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قوانین جزا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اجتماعی و فرهنگی زنان،ش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معرفت،محمد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مفهومی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حکومت اسلامی،ش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 زعامت سیاسی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حکومت اسلامی،ش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کتاب نقد،ش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از دیدگاه شیخ انصاری و آیت‌الله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از منظر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آشنا،ش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مهوری،محمدحسین،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اسلامی،ش</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و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اسلامی،ش</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میراحمدی،منصور،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آزادی و ولایت در اندیشه سیاسی امام‌خمینی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bookmarkStart w:id="1058" w:name="pg5664_43637"/>
    </w:p>
    <w:p>
      <w:pPr>
        <w:pStyle w:val="BookText"/>
        <w:rPr/>
      </w:pPr>
      <w:bookmarkEnd w:id="1058"/>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هادوی تهرانی،مهدی،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تاریخی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نقد،ش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هاشمی،سید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در فراش؛ضرورت بازگشت قانون به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زنان،ش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آرای کدیور درباره ادله شرعی 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،رواق اندیشه،ش </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یسک،هانس هاینریش،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تشابهات و تفاوت‌های حقوق جزای اسلامی و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حسن رضایی،فصلنامه پژوهشی دانشگاه امام صادق علیه السلام،ش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059" w:name="__RefHeading___Toc3420406_581953129"/>
      <w:bookmarkStart w:id="1060" w:name="_Toc420"/>
      <w:bookmarkEnd w:id="1059"/>
      <w:r>
        <w:rPr>
          <w:rtl w:val="true"/>
        </w:rPr>
        <w:t>منابع اینترنتی</w:t>
      </w:r>
      <w:bookmarkEnd w:id="1060"/>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سرقت در قانون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،وبلاگ گام‌های نوین حقوقی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امام زمان عجّل الله تعالی فرجه الشریف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www.monajat.org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الاعرجی،زهیر،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ولایة الفقیه و الادارة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الحیات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 گوندوز،احمد،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حقوق جزا در قوانین دوره عثمانی و تأثیر دین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تألیف علی حکیم‌پور،منتشر شده در </w:t>
      </w:r>
      <w:r>
        <w:rPr>
          <w:rFonts w:eastAsia="Times New Roman" w:cs="Times New Roman" w:ascii="Times New Roman" w:hAnsi="Times New Roman"/>
          <w:color w:val="111111"/>
          <w:sz w:val="28"/>
          <w:szCs w:val="28"/>
          <w:lang w:val="en-US" w:bidi="en-US"/>
        </w:rPr>
        <w:t>www.e-resaneh.com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انوری،رامین،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دیده‌بان حقوق بشر با اعدام در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www.nawaaye-afghanistan.net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1387/1/29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کرزی از رهایی مسیحی افغان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www.bbcpersian.com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باقی،عمادالدین،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حقوق بشر اعدام و قصاص</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www.emadbaghi.com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بکتاش،فهیم،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کرزای در تنگنای 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www.kabulpress.org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اجمالی بر تشکیل وزارت عدلیه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www.mouj-rasaneh.com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اندونزیایی در عربستان گردن زده 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www.mouj-rasaneh.com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شده توسطکمیته برگزاری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ریاضی،ریاضی،حد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سایت </w:t>
      </w:r>
      <w:r>
        <w:rPr>
          <w:rFonts w:eastAsia="Times New Roman" w:cs="Times New Roman" w:ascii="Times New Roman" w:hAnsi="Times New Roman"/>
          <w:color w:val="111111"/>
          <w:sz w:val="28"/>
          <w:szCs w:val="28"/>
          <w:lang w:val="en-US" w:bidi="en-US"/>
        </w:rPr>
        <w:t>roushd.ir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اعدام چه پیامدهایی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www.dailyafghanistan.com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مجازات اعدام در اسناد تقنینی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www.mouj-rasaneh.com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1387/7/24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خسروپناه،عبدالحسین،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و نظریه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http://www.mhekmat.ir</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زرنگار،ص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کاری و قضای نابکار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،تورنتو، </w:t>
      </w:r>
      <w:r>
        <w:rPr>
          <w:rFonts w:eastAsia="Times New Roman" w:cs="Times New Roman" w:ascii="Times New Roman" w:hAnsi="Times New Roman"/>
          <w:color w:val="111111"/>
          <w:sz w:val="28"/>
          <w:szCs w:val="28"/>
          <w:lang w:val="en-US" w:bidi="en-US"/>
        </w:rPr>
        <w:t>www.qodratwaqaano.persianblog.ir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1385/6/6</w:t>
      </w:r>
      <w:r>
        <w:rPr>
          <w:rFonts w:eastAsia="IRNazanin" w:cs="IRNazanin"/>
          <w:color w:val="111111"/>
          <w:sz w:val="28"/>
          <w:szCs w:val="28"/>
          <w:rtl w:val="true"/>
          <w:lang w:bidi="fa-IR"/>
        </w:rPr>
        <w:t>.</w:t>
      </w:r>
      <w:bookmarkStart w:id="1061" w:name="pg5664_43638"/>
    </w:p>
    <w:p>
      <w:pPr>
        <w:pStyle w:val="BookText"/>
        <w:rPr/>
      </w:pPr>
      <w:bookmarkEnd w:id="1061"/>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علمای هرات؛بازگشت سنگسار و قطع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www.nawaaye-afghanistan.net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تاریخ</w:t>
      </w:r>
      <w:r>
        <w:rPr>
          <w:rFonts w:eastAsia="IRNazanin" w:cs="IRNazanin"/>
          <w:color w:val="111111"/>
          <w:sz w:val="28"/>
          <w:szCs w:val="28"/>
          <w:lang w:bidi="fa-IR"/>
        </w:rPr>
        <w:t>1386/4/14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سعادت،قاسم‌علی،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و تعامل با حکومت در حقوق اساسی عصر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شده در سایت </w:t>
      </w:r>
      <w:r>
        <w:rPr>
          <w:rFonts w:eastAsia="Times New Roman" w:cs="Times New Roman" w:ascii="Times New Roman" w:hAnsi="Times New Roman"/>
          <w:color w:val="111111"/>
          <w:sz w:val="28"/>
          <w:szCs w:val="28"/>
          <w:lang w:val="en-US" w:bidi="en-US"/>
        </w:rPr>
        <w:t>www.seraj.ir</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صانعی،یوسف،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مدعی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www.feqh.org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حسینی،سید علیرضا،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فقه الحکومه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www.tebyan.net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هیاهو و غوغاسالاری در ورای یک حکم اعدام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www.afghanpaper.com12/11/1386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لنکرانی،محمدجواد،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عدالت در حکومت اسلامی و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www.j-fazel.org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فکری سیاست از شورا تا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www.alkatib.co.uk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www.arrasou.org</w:t>
      </w:r>
    </w:p>
    <w:p>
      <w:pPr>
        <w:pStyle w:val="BookText"/>
        <w:rPr/>
      </w:pPr>
      <w:r>
        <w:rPr>
          <w:rFonts w:ascii="IRNazanin" w:hAnsi="IRNazanin" w:eastAsia="IRNazanin"/>
          <w:color w:val="111111"/>
          <w:sz w:val="28"/>
          <w:sz w:val="28"/>
          <w:szCs w:val="28"/>
          <w:rtl w:val="true"/>
          <w:lang w:bidi="fa-IR"/>
        </w:rPr>
        <w:t xml:space="preserve">،اول محرم </w:t>
      </w:r>
      <w:r>
        <w:rPr>
          <w:rFonts w:eastAsia="IRNazanin" w:cs="IRNazanin"/>
          <w:color w:val="111111"/>
          <w:sz w:val="28"/>
          <w:szCs w:val="28"/>
          <w:lang w:bidi="fa-IR"/>
        </w:rPr>
        <w:t>1429.465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واژه‌های تخصصی اندیشه‌ی سیاسی و تاریخ تحولات ایران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سایت </w:t>
      </w:r>
      <w:r>
        <w:rPr>
          <w:rFonts w:eastAsia="Times New Roman" w:cs="Times New Roman" w:ascii="Times New Roman" w:hAnsi="Times New Roman"/>
          <w:color w:val="111111"/>
          <w:sz w:val="28"/>
          <w:szCs w:val="28"/>
          <w:lang w:val="en-US" w:bidi="en-US"/>
        </w:rPr>
        <w:t>www.iraneconomist.com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www.kateb-hazara.net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www.0916.mihanblog.com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www.ariananet.com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1384/2/6</w:t>
      </w:r>
      <w:r>
        <w:rPr>
          <w:rFonts w:eastAsia="IRNazanin" w:cs="IRNazanin"/>
          <w:color w:val="111111"/>
          <w:sz w:val="28"/>
          <w:szCs w:val="28"/>
          <w:rtl w:val="true"/>
          <w:lang w:bidi="fa-IR"/>
        </w:rPr>
        <w:t>.</w:t>
      </w:r>
    </w:p>
    <w:p>
      <w:pPr>
        <w:pStyle w:val="Heading3"/>
        <w:numPr>
          <w:ilvl w:val="2"/>
          <w:numId w:val="1"/>
        </w:numPr>
        <w:rPr/>
      </w:pPr>
      <w:bookmarkStart w:id="1062" w:name="__RefHeading___Toc3420408_581953129"/>
      <w:bookmarkStart w:id="1063" w:name="_Toc421"/>
      <w:bookmarkEnd w:id="1062"/>
      <w:r>
        <w:rPr>
          <w:rtl w:val="true"/>
        </w:rPr>
        <w:t>نرم افزارها</w:t>
      </w:r>
      <w:bookmarkEnd w:id="1063"/>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اهل بیت،نسخه اول،قم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معجم فقهی و مرکز پژوهش‌های اسلامی المصطفی،</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آرای فقهی قضایی،قم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آموزش قوه قضاییه،دفتر آموزش روحانیون و تدوین متون فقهی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فقه اهل بیت،نسخه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کامپیوتری علوم اسلامی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تفاسیر نور،دائرة المعارف چند رسانه‌ای قرآن کریم،قم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کامپیوتری علوم اسلامی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نورالدرایة،قم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کامپیوتری علوم اسلامی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اطلاعات مقالات حقوقی،نگارش اول،علی مکرم،بهار</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الاسلامیة الکبری الشاملة،مرکز التراث للبرمیجیات</w:t>
      </w:r>
      <w:r>
        <w:rPr>
          <w:rFonts w:eastAsia="IRNazanin" w:cs="IRNazanin"/>
          <w:color w:val="111111"/>
          <w:sz w:val="28"/>
          <w:szCs w:val="28"/>
          <w:rtl w:val="true"/>
          <w:lang w:bidi="fa-IR"/>
        </w:rPr>
        <w:t>.</w:t>
      </w:r>
      <w:bookmarkStart w:id="1064" w:name="pg5664_43640"/>
    </w:p>
    <w:p>
      <w:pPr>
        <w:pStyle w:val="Heading3"/>
        <w:numPr>
          <w:ilvl w:val="2"/>
          <w:numId w:val="1"/>
        </w:numPr>
        <w:rPr/>
      </w:pPr>
      <w:bookmarkStart w:id="1065" w:name="__RefHeading___Toc3420410_581953129"/>
      <w:bookmarkStart w:id="1066" w:name="_Toc422"/>
      <w:bookmarkEnd w:id="1064"/>
      <w:bookmarkEnd w:id="1065"/>
      <w:r>
        <w:rPr/>
        <w:t>ABSTRACT</w:t>
      </w:r>
      <w:bookmarkEnd w:id="1066"/>
    </w:p>
    <w:p>
      <w:pPr>
        <w:pStyle w:val="BookText"/>
        <w:rPr/>
      </w:pPr>
      <w:r>
        <w:rPr>
          <w:rFonts w:eastAsia="Times New Roman" w:cs="Times New Roman" w:ascii="Times New Roman" w:hAnsi="Times New Roman"/>
          <w:color w:val="111111"/>
          <w:sz w:val="28"/>
          <w:szCs w:val="28"/>
          <w:lang w:val="en-US" w:bidi="en-US"/>
        </w:rPr>
        <w:t>After the Occultation of the Twelfth Imam, one of the major concerns of the old and new Shiite jurists was the fate of religious laws, especially Hodud.Among the existing viewpoints, two are more significant.According to the first one, Islamic punishments are allowed during the Occultation period, but the second one bans them.It is important to ponder these two points of view because the establishment of the Islamic government in Iran made the execution of Hodud possible.On the other hand, executing these punishments resulted in severe international reactions.So, in order to study</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permissiveness of executing Hodud and Tazirat during the Occultation period " after some introductory issues, the dissertation first studies the view which prohibits the execution of Islamic punishments at the present time and allows them to be executed only under the rule of the infallible Imams.After relating the opinions of jurists, the dissertation evaluates the related analytical and traditional arguments such as " consensus over what has been related " (Al-Ejmaa manqul)by Ebn-Edris, " Ashathyat tradition " " the lack of the authenticity of a single tradition related to severe penal verdicts " etc.The result is that the execution of such laws cannot be restricted to the period of the infallible Imams.After rejecting this view, the thesis studies the view which allows such laws to be executed at the present time and challenges the legitimacy of the related arguments such the generality of Hodud arguments[itlaq-e adelle-ey hodud], Hafs b.Qiath tradition, maqbule Omar b.Hanzaleh, etc.Some of which proved to be convincing.Coming to the conclusion that jurists execution of Islamic punishments is legitimate.However, all people are allowed to execute Hodud in crimes like</w:t>
      </w:r>
    </w:p>
    <w:p>
      <w:pPr>
        <w:pStyle w:val="BookText"/>
        <w:rPr/>
      </w:pPr>
      <w:r>
        <w:rPr>
          <w:rFonts w:eastAsia="Times New Roman" w:cs="Times New Roman" w:ascii="Times New Roman" w:hAnsi="Times New Roman"/>
          <w:color w:val="111111"/>
          <w:sz w:val="28"/>
          <w:szCs w:val="28"/>
          <w:lang w:val="en-US" w:bidi="en-US"/>
        </w:rPr>
        <w:t>cursing the Prophet and Imams under specific conditions.In addition, after establishing an Islamic government and the appropriation of the execution of Hodud by a Valiy-ye Faqih(jurisprudent), other jurists are deprived of performing it</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 words:Hodud, Tazirat, jurisprudent, legitimacy, Occultation period</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مفید،المقنعه،ص</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طوسی،النهایة،ص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نراقی،عوائد الایام،ص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فی ولایة الفقیه،تحقیق محمدکاظم رحمان‌ستایش و مهدی مهریزی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 خوانساری،جامع المدارک،ج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فیروزآبادی،قاموس المحیط،ج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جوهری،الصحاح تاج اللغة و صحاح العربیة،ج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ابن‌منظور،لسان العرب،ج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جوهری،الصحاح تاج اللغة و صحاح العربیة،ج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زبیدی،تاج العروس،ج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خلیل بن احمد،کتاب العین،ج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طریحی،مجمع البحرین،ج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زبیدی،تاج العروس،ج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خلیل جر،فرهنگ لاروس،ج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ابن‌منظور،لسان العرب،ج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ابن‌اثیر،غریب الحدیث،ج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عبدالقادر،مختار الصحاح،ص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ابن‌فارس،معجم مقائیس اللغة،ج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جوهری،الصحاح تاج اللغة و صحاح العربیة،ج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مصطفوی،التحقیق فی کلمات القرآن الکریم،ج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ابن‌منظور،لسان العرب،ج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ابن‌فارس،معجم مقائیس اللغة،ج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مکارم شیرازی،مجله نور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 تعزیرات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زبیدی،تاج العروس،ج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منطق سخنی است که دلالت بر ماهیت چیزی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حد یا تعریف چیزی به وسیله جنس و فصل باشد،به آن حد تام گویند،اما اگر تعریف چیزی تنها به فصل باشد،به آن حد ناقص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لغویین به این تفاوت بین حد و رسم اشاره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ابوهلال عسکری،الفروق اللغویه،ص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ریاضیات،مفهوم حد برای بیان رفتار یک تابع مورد استفاده قرار می‌گیرد و به بررسی این رفتار در نقاط روی صفحه و یا در بی‌نهایت می‌پردازد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در حساب دیفرانسیل و انتگرال و نیز در آنالیز ریاضی برای تعریف مشتق و نیز مفهوم پیوستگی مورد استفاده قرار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کوشی در اوایل قرن نوزدهم حساب دیفرانسیل و انتگرال را به شکلی شبیه آنچه در حال حاضر می‌خوانیم،ارائه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که مقادیر متوالی به یک متغیر نسبت داده می‌شود،بی‌نهایت به عدد ثابتی نزدیک شوند،به‌طوری که اختلاف آنها از مقدار ثابت به هر اندازه کوچک قابل انتخاب باشد،این مقدار ثابت را حد همه مقادیر متغیر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roushd.ir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ریاضی،ریاضی،حد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مرز در زبان پهلوی،به کلیت هر چیز گفته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مرز ایران به معنای تمامی سرزمین ایران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معین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پیدایش تورات،باب دوم،آیه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؛انجیل متی باب نوزدهم،آیات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رساله اول پولس به قرنتیان،باب هفتم،بند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 بسیاری از مفسران در اینجا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صرفاً به اعراب بادیه و بیابانی منحصر دانسته‌اند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ابن‌منظور،لسان العرب،ج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ابن‌اثیر،النهایة فی غریب الحدیث،ج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عبدالکریم،موسوی اردبیلی،فقه الحدود و التعزیرات،ص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حسینی شیرازی،الفقه،کتاب الحدود و التعزیرات،ص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عاملی،وسائل الشیعة،ج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؛محدث نوری،مستدرک الوسائل،ج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حسینعلی منتظری،نظام الحکم فی الاسلام،ص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عاملی،وسائل الشیعة،ج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استادی،فقه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قلمرو قاعده درأ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عاملی،وسائل الشیعة،ص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این روایت در ضمن روایت دیگری تفسیر شده است؛تفسیری که با برداشت فوق از معنای این واژه ناسازگار می‌نماید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عمرو بن قیس،قال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 جعل لمن جاوز الحدّ حداً؟قال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حدّ فی الاموال أن لاتوءخذ إلاّ من حلّها فمن أخذها من غیر حلّها قطعت یده حداً لمجاوزة الحدّ و إنّ اللّه حدّ أن لاینکح النکاح الاّ من حلّه و من فعل غیر ذلک إن کان عزباً حدّ و إن کان محصناً رجم لمجاوزته الحدّ؛و در روایت عمرو بن قیس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امام صادق علیه السلام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برای کسی که از حد تجاوز کند،حد قرار داده شده است؟فرمود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در اموال حد قرار داده که تنها از راه حلال تحصیل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بنابراین،هر کس آن را از غیر راه حلال به دست آورد،دستش به عنوان حد قطع می‌شود؛چون از حدّ الهی تجاوز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ازدواج حد قرار داده که از راه غیرحلال انجام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بنابراین،اگر کسی از راه غیرحلال انجام دهد،اگر بدون همسر باشد،او را حد می‌زنند و اگر محصنه باشد،رجم می‌شود؛چرا که از حدّ الهی تجاوز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برای حد در این روایت این‌گونه می‌نماید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 جمله دوم در روایت پیشین و مانند آن،حدّ شرعی به معنای خاصّ آن است؛گر چه می‌توان گفت با توجه به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خاص مصداق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مطلق مجازات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رو،امام برای مثال به برخی از حدود خاص و مشهور اشاره کرده است،بدون این که معنای حد را در روایت پیشین تضییق نماید؛وگرنه،لازم است همچنان که حد در جمله دوم روایت تضییق می‌شود،در جمله اول نیز تضییق گردد و مراد از آن،فقط چند جرم حدی خاص باشد که لازمه آن،تخصیص اکثر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بنابراین،می‌توان گفت واژه حدگاه در معنای مطلق عقوبت نیز که شامل تعزیر شود،به کار می‌رود؛مگر اینکه اثبات شود در معنای اعم کاربرد ندارد و شمول حد بر تعزیر از باب الغای خصوصیت است که مسئله‌ای دیگر است و کاربرد در معنای اعمّ نیست؛گرچه نقد این ادعا هم گذشت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طوسی،تهذیب الاحکام،ج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؛شیخ حر عاملی،وسائل الشیعه،ج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؛شیخ کلینی،کافی،ج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؛علامه مجلسی،مرآت العقول،ج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؛شیخ صدوق،علل الشرائع،ج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روایات زیر نیز حد بدون قرینه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یعقوب،عن علی بن إبراهیم،عن أبیه،عن النوفلی،عن السکونی،عن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کفالة فی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عن الکافی علی بن ابراهیم عن النوفلی عن السکونی عن ابی عبدالله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 لایورث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الکافی محمد بن یحیی عن احمد بن محمد بن عیسی عن ابن محبوب عن هشام بن سالم عن عمار السابطی عن ابی عبدالله علیه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الحد لایورث کما تورث الدیة و المال و العقارو لکن من قام به من الورثة فطلبه فهو ولیه و من لم یطلبه فلا حق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عن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لایری ان یعفی عن شیء من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التهذیب و الفقیه عن السکونی عن جعفر عن ابیه عن علی علیه السلام فی حدیث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الحدود نظر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ادرؤوا الحدود بالشبهات و لاشفاعة ولاکفالة ولایمین فی حد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محمدکاظم خراسانی،کفایه الاصول،ص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مصطفی محقق داماد،قواعد 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جزایی،ص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عادل ساریخانی،جزوه درسی تعزیرات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نجم‌الدین حلی،شرایع الاسلام فی مسائل الحلال و الحرام،ج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 جبعی عاملی،مسالک الافهام الی تنقیح شرائع الاسلام،ج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 فی شرح شرائع الاسلام،ج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فتحی بهنسی،مدخل الفقه الجنایی الاسلامی،ص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محمدرضا گلپایگانی،در المنضود،ج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ابن‌فهد حلی،مهذب البارع،ج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 جبعی عاملی،مسالک الافهام الی تنقیح شرائع الاسلام،ج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نوری،مستدرک 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مقداد،التنقیح الرائع لمختصر الشرائع،ج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 طباطبایی،ریاض المسائل،ج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علی خازم،مدخل الی علم الفقه عند المسلمین الشیعة،ص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سرخسی،المبسوط،ج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ابوزهره،الجریمة و العقوبة فی الفقه الاسلامی،ص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المصادر الفقهیه،ج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عبدالقادر عودة،التشریع الجنایی،ج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عبدالرحمان الجزیری،الفقه علی المذاهب الاربعة،ج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اینکه قذف نیز جرمی حدی است که مجازاتش در قرآن مشخص شده است،در عین حال،فقهای عامه قذف را دارای دو جنبه حق‌الناسی و حق اللهی می‌دانند،لیکن بعضی جنبه حق‌اللهی آن را بر جنبه حق الناسی غالب می‌دانند،همانند ابوحنیفه،و بعضی دیگر،مثل شافعی و احمد،جنبه حق الناسی آن را بر جنبه حق‌اللهی آن مقدم می‌دانند؛اما مالک،جنبه حق‌الناسی حد قذف را قبل از شکایت و جنبه حق‌الله آن را بعد از شکایت غالب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عبدالقادر عوده،التشریع الجنایی،ج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حال،این‌گونه نیست که همه فقهای اهل‌سنت حد قذف را حق‌الله بدانند یا جنبه حق‌اللهی آن را بر جنبه حق‌الناسی آن مقدم برشمارند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ترتیب،ویژگی حق‌الله بودن حدود مخدوش خواهد بود؛گر چه حدود غالباً حق‌الله هستند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ابن‌نجیم مصری،البحر الرائق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الحصکفی،الدر المختار،ج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ابن‌عابدین،حاشیة رد المحتار،ج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ابوبکر کاشانی،بدائع الصنائع،ج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عبدالرحمان الجزیری،الفقه علی المذاهب الاربعة،ج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عبدالرحمان الجریری،الفقه علی المذاهب الاربعة،ج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اَلزّانِیَةُ وَ الزّانِی فَاجْلِدُوا کُلَّ واحِدٍ مِنْهُما مِائَةَ جَلْدَةٍ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السّارِقُ وَ السّارِقَةُ فَاقْطَعُوا أَیْدِیَهُما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الْخَمْرُ وَ الْمَیْسِرُ وَ الْأَنْصابُ وَ الْأَزْلامُ رِجْسٌ مِنْ عَمَلِ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جَزاءُ الَّذِینَ یُحارِبُونَ اللّهَ وَ رَسُولَهُ وَ یَسْعَوْنَ فِی الْأَرْضِ فَساداً أَنْ یُقَتَّلُوا أَوْ یُصَلَّبُوا 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الَّذِینَ یَرْمُونَ الْمُحْصَناتِ ثُمَّ لَمْ یَأْتُوا بِأَرْبَعَةِ شُهَداءَ فَاجْلِدُوهُمْ ثَمانِینَ جَلْدَةً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ابوبکر کاشانی،بدایع الصنایع،ج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عبدالرحمان الجریزی،الفقه علی المذاهب الاربعة،ص</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محیی‌الدین نووی،المجموع،ج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شافعی،الام،ج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احمد شربینی،الاقناع فی حل الفاظ ابی شجاع،ج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مالک،المدونة الکبری،ج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اینکه معمولاً حد قطّاع الطریق و حد محاربه در کنار هم در کتب اهل سنت نیامده،احتمالاً مراد از این دو حد در کلام ایشان یکسان باشد و فقط در اصطلاح اختلاف داشته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ابن‌ادریس در سرائر فرموده است که اهل سنت متفقاً مراد از محاربه را در آیه شریفه،فقط قطّاع الطریق می‌دانند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عبدالقادر عوده،التشریع الجنایی،ج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ابن‌حزم اندلسی،المحلی،ج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الرحمان جزیری،الفقه علی المذاهب الاربعة،ص</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 الاسلام،ج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خمینی،تحریر الوسیلة،ج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ثانی،الروضة البهیة فی شرح اللمعة الدمشقیة،ج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حلی،مختصر النافع،ص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فیروزآبادی،قاموس المحیط،ج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؛راغب اصفهانی،مفردات غریب القرآن،ص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؛ابن‌اثیر،النهایة،ج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؛ابن‌درید،جمهرة اللغة،ج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؛فیومی،المصباح المنیر،ص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؛مطرزی،المغرب فی ترتیب المعرب،ج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؛محمد بن ابی‌بکر رازی،مختار الصحاح،ص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؛عبدالرحیم صفی‌پور،منتهی الارب فی لغة العرب،ص</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؛میرزا محمدعلی شیرازی،معیار اللغة،ج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قابل توجه اینکه با دقت در کلام لغویان،به روشنی معلوم می‌شود سخن آنان در معنای تعزیر،برگرفته از کتاب‌های فقهی و کلمات اهل شرع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بدین معناست که برخی اهل لغت میان حقیقت لغوی و حقیقت شرعی یا فقهی دچار خلط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مطلب موجب شده تاج العروس بر برخی از ایشان خرده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کسانی را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دون الحد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معنای لغوی تعزیر دانسته‌اند،گرفتار اشتباه دانسته و به برخی دیگر از اشتباه‌های آنان در نقل حقیقت شرعی به جای لغوی اشاره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مقابل،به تمجید از کسانی پرداخته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دون الحد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برگرفته از یکی از معانی تعزیر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زبیدی،تاج العروس،ج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ابن‌اثیر،النهایة فی غریب الحدیث،ج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؛ابن‌سلام،غریب الحدیث،ج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؛خلیل بن احمد،کتاب العین،ج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ابن‌فارس،معجم مقائیس اللغة،ج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القادر،مختار الصحاح،ص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؛فیروزآبادی،قاموس المحیط،ج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؛ابوالحسن ابن‌فارس،معجم مقائیس اللغة،ج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؛ابن‌سلام،غریب الحدیث،ج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؛ابن‌منظور،لسان العرب،ج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؛ابن‌اثیر،النهایة فی غریب الحدیث،ج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زبیدی،تاج العروس،ج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علی‌اکبر دهخدا،لغتنامه دهخدا،ج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مطرزی،المغرب فی ترتیب المعرب،ج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لأعراف،آیه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أَرْسَلْناکَ شاهِداً وَ مُبَشِّراً وَ نَذِیراً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لِتُؤْمِنُوا بِاللّهِ وَ رَسُولِهِ وَ تُعَزِّرُوهُ وَ تُوَقِّرُوهُ وَ تُسَبِّحُوهُ بُکْرَةً وَ أَصِیلاً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خوانساری،شرح وتفسیر لغات قرآن،ج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طریحی،مجمع البحرین،ج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 اصفهانی،مفردات غریب القرآن،ص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عاملی،وسائل الشیعة،باب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ابواب بقیة الحدود و التعزیرات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الزناء وباب،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یحرم بالمصاهرة من کتاب النکاح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،من ابواب حد الزناء،الحدیث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،من ابواب حد الزناء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 فی شرح شرائع الاسلام،ج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محمدرضا گلپایگانی،الدر المنضود،ج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محمدهادی مقدس نجفی،تقریرات الحدود و التعزیرات،تقریر بحث گلپایگانی،ج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عبدالکریم موسوی اردبیلی،فقه الحدود و التعزیرات،ص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 جبعی عاملی،مسالک الافهام،ج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طوسی،المبسوط،ج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وهبه مصطفی زحیلی،الفقه الاسلامی و ادلته،ج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علیرضا فیض،مقارنه و تطبیق در حقوق جزای عمومی اسلام،ص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حلی،شرایع الاسلام،ج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 جبعی عاملی،مسالک الافهام،ج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 طباطبایی،ریاض المسایل،ج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افزون بر تفاوت‌هایی که در متن این نوشتار بدان اشاره می‌شود،تفاوت‌های دیگری نیز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ماوردی در احکام السلطانیه به سه تفاوت دیگر توجه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تعزیر به حال فاعل نگاه می‌شود،تأدیب شخص وجیه و متشخص خفیف‌تر از شخص غیروجیه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أقیلو ذوی الهیئات عثراتهم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تعزیر عفو و شفاعت جایز است و اگر حق هیچ آدمی در بین نباشد،حاکم باید اصلح از عفو یا تعزیر را برگزیند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إشفعوا الی ویقضی الله علی لسان نبیه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تعزیر موجب تلف شود،ضمان بر عهده تلف کننده ثابت است به خلاف 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ماوردی،الاحکام السلطانیة و الولایات الدینیة،ص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تفاوتی نیست میان کسی که یک جرعه شراب نوشیده و کسی که یک جام سر کشیده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است در حد سرقت،که کم و زیاد بودن در آن فرق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سرقت،چه یک چهارم و چه بیشتر باشد فرق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زنا نیز ادنی مرتبه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غیبوبة الحشفة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تحقق جرم زنا کافی است و میزان حد،به میزان فعل،بستگی ندارد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توجه داشت هر تعزیری مجازات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تعزیر به صورت موعظه انجام شود؛چنان‌که امیرالمؤمنان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بسیار گناهانی هستند که مجازاتشان صرفاً به همین است که مجرم را به ارتکاب عمل تذکر دهی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آمدی،غرر الحکم و درر الکلم،ج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ابوعبدالله مکی عاملی،القواعد و الفوائد فی الفقه والاصول و العربیة،ج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محسنی،دوره حقوق جزای عمومی،ج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مصطفی محقق داماد،قواعد 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جزایی،ص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عاملی،وسائل الشیعة،ج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 خوانساری،جامع المدارک،ج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مصطفی محقق داماد،قواعد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جزوه درسی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،دانشگاه شهید بهشتی،دانشکده حقوق،ص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هندی،کشف اللثام،ج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ابن‌زهره،غنیة النزوع الی علمی الاصول و الفروع،ص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تکمله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محمود هاشمی شاهرودی،بایسته های فقه جزا،ص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تکمله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عبدالرحمان جزیری،الفقه علی المذاهب الاربعة،ص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عبدالقادر عوده،التشریع الجنایی الاسلامی مقارناً بالقانون الوضعی،ج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عامر عبدالعزیز،التعزیر فی الشریعه الاسلامیه،ص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ابن‌قدامه،مغنی،ج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بدین ترتیب،دایره قلمرو تعزیر محدودتر می‌گردد؛زیرا در بسیاری از گناهان،حدی تشریع نشده،ولی کفاره مقرر شده است؛مانند ابطال روزه ماه رمضان که کفاره دارد و مجازات حد برای آنها تعیین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فقهای عامه در جواز تعزیر برای این گناهان اختلاف دارند،بعضی تنها به تعیین کفاره معتقدند و جمع بین کفاره و تعزیر را جایز نمی‌دانند و برخی دیگر،جمع آن دو را جایز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عبدالقادر عوده،التشریع الجنایی الاسلامی مقارناً بالقانون الوضعی،ج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امامی در خصوص ابطال روزه ماه مبارک رمضان بر عدم جواز تعزیر و انحصار مجازات به کفاره معتقدند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دست‌کم از ظهور کلامشان این‌طور فهمیده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در حالی است که به نظر بعضی فقها،کفاره عموماً مشمول تعزیر و وجود کفارات دلیل جواز تعزیر مالی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حسینعلی منتظری،نظام الحکم فی الاسلام،ص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وجود این،در برخی موارد فقها به جمع تعزیر و کفاره حکم کرده‌اند؛چنان که جماع مرد با همسر روزه‌دار خود را موجب کفاره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تازیانه تعزیر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بهایی،جامع عباسی،ص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ابوالصلاح،حلبی،الکافی فی الفقه،ص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ابن‌ادریس،السرائر الحاوی لتحریر الفتاوی،ص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حلی،شرایع الاسلام،ج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نجفی،جواهرالکلام فی شرح شرایع الاسلام،ج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طوسی،المبسوط،ج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حلی،شرایع الاسلام،ج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تکمله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حضرت علی علیه السلام در موارد متعدد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سیره به‌روشنی بر مشروعیت این امر دلالت می‌کند؛هر چند بر وجوب آن دلالت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به حفظ نظام مادی و معنوی و اجرای احکام از مجاری آنها اهتمام دارد و طبیعی است باید حاکم بتواند هر کس را که با نظام مخالفت نماید،تعزیر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و روایات خاصی که بر این دلالت می‌کنند که حاکم می‌تواند حتی کودک و مملوک را تعزیر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برخی روایات وارد آمده با این مضمون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جعل لکل شیء 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معتبره سماعه از 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لکل شیء حدا ومن تعدی ذلک الحد کان له 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تکمله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حفظ نظام کافی است نهی از منکر صورت گیرد و لزومی برای تعزیر وجود ندارد؛دست‌کم عقل به‌صورت مستقل بدین امر حکم نمی‌کند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اخبار و نصوص خاصه هم لزوم تعزیر در هر گناهی فهمیده نمی‌شود؛چرا که گناهان دارای مراتب‌اند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به‌علاوه در روایات آمده است که امیرمؤمنان از همه کسانی که در مجلس اقامه حدی حاضر شده بودند خواست در صورتی که بر آنان حدی هست،مجلس را ترک کنند و همه به جز ایشان و حسنین علیهما السلام مجلس را ترک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وجود این،حضرت هیچ‌کدام را تعزیر نکرد با اینکه این عمل اقرار فعلی آن افراد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لکل شیء 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مجمل است و معلوم نیست مراد از آن انتهاست یا غیر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احمد خوانساری،جامع المدارک،ج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وجه ضعف اشکال‌های فوق آشکار است؛چرا که تعزیر هم از مراتب نهی از منکر است؛هر چند منحصر در تعزیر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حد در روایاتی نظیر روایات سماعه نیز آشکار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حد در بند اول این روایات احکام الهی و مراد از حد در بند دوم مطلق عقوبت است که قطعاً شامل تعزیر نیز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به‌علاوه،اگر بپذیریم که تعزیر به ضرب اختصاص ندارد و توبیخ،نهی و امثال آن را نیز دربرمی‌گیرد،ضعف این اشکال‌ها آشکارتر می‌شود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حلی،شرایع الاسلام،ج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طوسی،المبسوط،ج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کریمی،موازین قضایی از دیدگاه امام خمینی،ج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مکارم شیرازی،مجله نور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 تعزیرات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از دیدگاه‌های فقها در معنای کبیره و تعداد آن،ر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محیی‌الدین نووی،المجموع،ج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ابوالصلاح حلبی،الکافی فی الفقه،ص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خمینی،تحریر الوسیلة،ح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عامر عبدالعزیز،التعزیر فی الشریعه الاسلامیة،ص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استدلال ضعیف به نظر می‌رسد؛زیرا هدف از اجرای تعزیر فقط اصلاح مجرم نیست و اهداف دیگری مثل تحذیر دیگران از ارتکاب جرم مشابه نیز مورد توجه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افزون بر آن،قصاص نفس از حقوق اولیای دم است،ولی اجرای تعزیر غالبا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حقوق جامعه در ارتباط دارد و نباید منعی در جمع این دو مجازات باشد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ابوالصلاح حلبی،الکافی فی الفقه،ص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محقق حلی،شرائع الاسلام،ج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ابن‌ادریس،السرائر الحاوی لتحریر الفتاوی،ص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ابوالصلاح حلبی،الکافی فی الفقه،ص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مصطفی محقق داماد،قواعد فقه،ص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محسن عینی نجف آبادی،مبناء و ماهیت تعزیر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نامه کارشناسی ارشد حقوق جزا و جرمشناسی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دانشگاه تربیت مدرس،</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تکمله المنهاج،ص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لطف‌الله صافی،التعزیر انواعه و ملحقاته،ص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سیدعبدالکریم موسوی اردبیلی،فقه الحدود و التعزیرات،ص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عبدالقادر عوده،حقوق جنایی اسلام،ج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عبدالعزیز عامر،التعزیر فی الشریعة الاسلامیة،ص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که برخی از فقها مانند شهید اول و شیخ بهایی در مقام بررسی تفاوت حد و تعزیر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تعزیر تابع عمل مفسده‌انگیزه است،بر خلاف حد که تابع معصیت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بهایی،جامع عباسی،ص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شهید اول،القواعد و الفوائد فی الفقه و الاصول و العربیة،ج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برخی عبارات فقها استفاده می‌شود که می‌توان از عقوبت تعزیری برای قطع ریشه فساد بهره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مثال،قتل انسانی به وسیله صغیر و مجنون را به دلیل عدم تکلیف آن دو مستوجب قصاص ندانسته،تنها برای از بین بردن تجری آن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حسماً للجرأة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 تأدیب می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ثانی،الروضه البهیة فی شرح اللمعة الدمشقیة،ج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همچنان‌که از نظر فقها اعمال مجازات تعزیری برای استعمال آنچه موجب تغیر عقل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بنگ و شوکران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دلیل فساد آنهاست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محمدجعفر حبیب‌زاده،بررسی جرم محاربه و افساد فی الارض،ص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ابن‌اثیر،غریب الحدیث،ج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خلیل بن احمد،کتاب العین،ج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خلیل جر،فرهنگ لاروس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میرزای قمی،قوانین الاصول،ص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احمد نراقی،عوائد الایام،ص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عاملی،وسایل الشیعة،ج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احمد نراقی،عوائد الایام،ص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محمدصادق روحانی،فقه الصادق،ج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مکارم شیرازی،بحوث فقهیة هامة،ص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مرتضی،المقتع فی الغیبة،ص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تنزیه الانبیاء،ص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طوسی،الغیبة،ص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مرتضی،الشافی فی الامامة،ج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دهخدا،لغتنامه دهخدا،مدخل غیبت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مرتضی مطهری،آشنایی با علوم اسلامی،ج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همان،مقدمه ای بر جهان‌بینی اسلامی،ج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عمید،فرهنگ عمید،ص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دهخدا،لغت‌نامه دهخدا،مدخل غیبت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محمدحسین طباطبایی،شیعه در اسلام،ص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مفید،الارشاد،ج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؛ابن‌صباغ مالکی،الفصول المهمه فی معرفة الائمة،ج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؛عقیقی بخشایشی،چهارده نور پاک،ج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این توقیع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بن محمد السمری اعظم الله اجر اخوانک فیک فانک میت بین سته ایام فاجمع امرک و لاتوص الی احد فیقوم مقامک بعد وفائک فقد وقعت الغیبه التامه فلا ظهور الا بعد اذن اللّه تعالی ذکر و ذلک بعد طول بعد طول الامده و قسوه القلوب و امتلاء الارض جوراً و سیاتی من شیعتی من یدعی المشاهده الافمن ادعی المشاهده قبل خروج السفیانی و الصیحه فهو کذاب مفتر و لاحول ولا قوة الا باللّه العلی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علی بن محمد سمری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برادران دینی تو را در مصیبت وفات تو اجر عظیم کرامت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به‌درستی‌که در اثنای این شش روز وفات خواهی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کار خود آماده 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خصوص وکالت به احدی وصیت مکن که بعد از تو درجایت بنشیند؛زیرا غیبت کبری واقع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مرا ظهور نخواهد بود،مگر به اذن خدای تعالی و این‌ظهور بعد از آن‌است که مدت غیبت طول کشد و دل‌ها را قساوت فراگیرد و زمین با جور و ستم پر گردد و به‌زودی از شیعه من کسانی می‌آیند که ادعای دیدن مرا می‌نمایند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پیش از خروج سفیانی و رسیدن صیحه از آسمان ادعای دیدن من نماید،کذاب و افتراگوست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مجلسی،بحار الانوار،ج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طوسی،الغیبة،ص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مرعشی،شرح احقاق الحق،ج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 شیخ طوسی پس از اشاره به ثواب فراوان مرابطه و مرزبانی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 این عمل،زمانی است که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در غیر این صورت،فضیلتی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الفضل فیها یکون حال کون الإمام ظاهراً و متی لم یکن الإمام ظاهراً لم یکن فیه ذلک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طوسی،النهایة،ص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علی‌اصغر مروارید،ینابیع الفقهیة،ج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شیخ معتقد است اگر امام ظاهر باشد،باید زکات را به او رساند تا در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اصناف ثمانیه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تقسیم کند،ولی وقتی امام ظاهر نیست،سهم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اَلْعامِلِینَ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می‌شود؛زیرا موردی برای این سه مصرف 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هؤلاء لا یوجدون الّا مع ظهور الإمام،لأنّ المؤلّفة قلوبهم إنّما یتألّفهم الإمام لیجاهدوا معه،و السعاة أیضا إنّما یکون من قبله فی جمع الزکاة،و الجهاد ایضاً انّما یکون به أو بمن نصبه فإذا لم یکن هو ظاهراً و لا من نصبه فرّق فیمن عداهم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طوسی،النهایة،ص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؛علی‌اصغر مروارید،ینابیع الفقهیة،ج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 در روایتی وارد شده است اگر میت وارثی نداشته باشد،اموال او از انفال است و به امام می‌رسد و در روایت دیگری،اموال او متعلق به همسر و همشهریانش دانسته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در مقام علاج تعارض،روایت اول را به دوره ظهور امام و روایت دوم را به دوره غیبت حمل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کان الإمام ظاهراً فماله للإمام،و متی کان الإمام غائباً فماله لأهل بلده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صدوق،من لا یحضره الفقیه،ج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این محدث والا توضیح نداده که روایت حضرت علی علیه السلام که با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شده و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فعلی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است،چگونه بر عصر غیبت امام قابل حمل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علیه السلام یقول فی الرجل یموت و یترک مالاً و لیس له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 المیراث همشاریجه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معرب همشهری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ضیاءالدین محمودی،الاصول السته عشر من الاصول الاولیه،ص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علاوه،بر اساس برخی روایات،امیرمؤمنان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وارث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اختیار همشهریان میت قرار داده‌اند؛نظیر این تفصیل‌های تکلّف‌آمیز را درباره برخی دیگر از مسائل نیز می‌توان 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صدوق،من لا یحضره الفقیه،ج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نجفی،جواهرالکلام،ج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سیدعلی طباطبایی،ریاض المسائل،ج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سروش،فصلنامه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اقامه جمعه در دولت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اکبر گنجی،ماهنامه آفتاب،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فقهی و حل مسائل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80</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مثال،درباره حق فسخ قراردادها،ابتدا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اصالة اللزوم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به‌عنوان مبنای بحث تقریر می‌شود که اصل اوّلی در هر عقدی،لزوم است و سپس به فحص از ادله‌ای که فسخ عقد بیع را در موارد خاصی مانند عیب یا غبن مجاز می‌شمرد،پرداخته می‌شود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سروش محلاتی،فصلنامه علوم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عدم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 از نراقی،کاشف الغطاء به اصل عدم ولایت اشاره کرده،ولی ایشان به جای واژه ولایت کلمه سلطان،به معنای سلطه را به کار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الغطاء،ج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یعقوبعلی برجی،محقق نراقی و مسئله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مجلس خبرگان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نراقی،عوائد الایام،ص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انصای،کتاب المکاسب،ج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خمینی،کتاب البیع،ج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محمدحسین طباطبایی،ولایت و زعامت،بحثی درباره مرجعیت و روحانیت،ص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آل بحرالعلوم،بلغة الفقیه،ج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جواد تبریزی،ارشاد الطالب،ج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حسینعلی منتظری،دراسات فی ولایة الفقیه و فقه الدولة الاسلامیة،ج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ملااحمد نراقی،عوائد الایام،ص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میرفتاح مراغی،العناوین،ج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الاصل أن لایکون لاحد بعد الله تعالی سلطان علی احد لتساویهم فی العبودیة و لیس لاحد من العبید تسلطّ علی امثاله بل لیس لغیر المالک مطلقاً سلطان علی مملکوک من دون اذن مالکه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جعفر کاشف الغطاء،کشف الغطاء،ص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الاصل ألاّ سلطان لاحد علی احد فان الخلق متساوون فی العبودیة و وجوب الانقیاد لرب البرّیه و لاملک و لاملکوت إلاّ لصاحب الکبریاء و العزة و الجبروت فلا وجه للإصدار النواهی و الاوامر الامن منصوب من المالک القاهر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حسینعلی منتظری،دراسات فی ولایة الفقیه و فقه الدولة الاسلامیة،ج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جواد ارسطا،فصلنامه 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و محجوریت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محمدهادی معرفت،فصلنامه 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یعقوبعلی برجی،محقق نراقی و مسأله ولایت فقیه،سایت مجلس خبرگان؛محمدهادی معرفت،فصلنامه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مفهومی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؛مهدی هادوی تهرانی،کتاب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 تاریخی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ابن‌فارس،معجم مقائیس اللغة،ج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راغب اصفهانی،المفردات و غرایب القرآن،ص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؛علی اکبر دهخدا،لغت نامه دهخدا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محمدحسین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محمدهادی معرفت،فصلنامه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مفهومی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مصطفی جعفرپیشه،فصلنامه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ولایت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محمدکاظم یزدی،عروة الوثقی،ج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احمد خوانساری،جامع المدارک،ج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اشتقاقه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الشقّ و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ابن‌منظور،لسان العرب،ج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ابن‌فارس،معجم مقائیس اللغة،ج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اکبر دهخدا،لغت‌نامه دهخدا،واژه فقه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مصطفی جعفرپیشه،مفاهیم اساسی ولایت فقیه،ص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ملاصدرا بر اصول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مَنْ‌حَفِظ علی‌أُمّتی‌أربعین حدیثاً یحتاجون إلیه فی أمر دینهم بعثه اللَّهُ یومَ القیامة فقیهاً عالماً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مفید،المقنعة،ص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اصغر مروارید،سلسلة الینابیع الفقهیة،ج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مصطفی جعفرپیشه،مفاهیم اساسی ولایت فقیه،ص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خمینی،صحیفه نور،ج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تقسیم‌بندی از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 و نظریه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عبدالحسین خسروپناه اقتباس شده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خویی،کتاب الاجتهاد و التقلید،ص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الحسین خسروپناه،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 و نظریه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http://www.mhekmat.ir</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احمد حسینی،کاوشی نو در فقه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مطلقه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بند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وندادید،چنین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زرتشت از اهوره‌مزدا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 که تو را به تلخ‌ترین اندوه دچار کند؟کیست که تو را به تلخ‌ترین درد،دردمند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اهوره مزدا پاسخ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سپتیمان زرتشت،چنین کسی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روسپی تجسمّی از ماده‌دیوی به همین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روسپی‌گری در پس اشون و نااَشون،مزداپرست و دیوپرست و نیکوکار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او یک‌سوم از سیلاب‌های روان کوهساران را می‌خشکاند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او یک‌سوم از اندیشه نیک،فصل نیک و کردار نیک و یک‌سوم از گیاهان رویان زرّین‌فام را می‌پژمراند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او یک‌سوم از رستنی‌هایی را که پوشش زمین است،می‌میراند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شدن به او،یک‌سوم از نیرومندی و توان اشون مرد را می‌کاهد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سپتیمان زرتشت،به‌راستی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اهوره‌مزدا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 چنین آفریدگانی بیش از ماران شیبا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 از گرگان زوزه‌کش،بیش از ماده‌گرگی که به گلّه شبیخون زند،سزاوار کشتن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اوستا،جلیل دوست‌خواه،ج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جعفریان،مجله نورعلم،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مشاغل اداری علما در دولت صفوی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خوانساری اصفهانی،روضات الجنات فی احوال العلماء و السادات،ج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ویلم فلور،نظام قضایی عصر صفوی،ص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پاشا صالح،سرگذشت قانون،ص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ویلم فلور،نظام قضایی عصر صفوی،ص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محمدعلی حسین‌زاده،علما و مشروعیت دولت صفوی،ص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؛به نقل از قاسمعلی سعادت،روحانیت و تعامل با حکومت در حقوق اساسی عصر صفوی در سایت </w:t>
      </w:r>
      <w:r>
        <w:rPr>
          <w:rFonts w:eastAsia="IRNazanin" w:cs="IRNazanin"/>
          <w:b w:val="false"/>
          <w:bCs w:val="false"/>
          <w:i w:val="false"/>
          <w:iCs w:val="false"/>
          <w:color w:val="333333"/>
          <w:sz w:val="20"/>
          <w:szCs w:val="20"/>
        </w:rPr>
        <w:t>www.seraj.ir</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ویلم فلور،نظام قضایی عصر صفوی،ص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قاسمعلی سعادت،روحانیت و تعامل با حکومت در حقوق اساسی عصر صفوی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سیوری،تحقیقاتی در تاریخ عصر صفوی،ص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سفرنامه پولاک،ایران و ایرانیان،ص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؛به نقل از قاسمعلی سعادت،روحانیت و تعامل با حکومت در حقوق اساسی عصر صفوی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پاشا صالح،سرگذشت قانون،ص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سیدحسن امین،تاریخ حقوق ایران،ص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مصطفی منصور السلطنه عدل،حقوق اساسی یا اصول مشروطیت،ص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اصفهانی،روضات الجنات،ج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مصلح‌الدین مهدوی،بیان المفاخر،ج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کریمی جهرمی،در المنضود،ج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نوشته است که خود شاهد بوده درباره فردی که مرتد شده بود،در اراک مجازات ارتداد اجرا شده،فرد مزبور به صلیب کشیده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 به اصرار شیخ عبدالکریم حائری،آقا نورالدین اراکی و برخی دیگر از بزرگان به اجرا درآمد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اجمالی بر تشکیل وزارت عدلیه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سایت </w:t>
      </w:r>
      <w:r>
        <w:rPr>
          <w:rFonts w:eastAsia="IRNazanin" w:cs="IRNazanin"/>
          <w:b w:val="false"/>
          <w:bCs w:val="false"/>
          <w:i w:val="false"/>
          <w:iCs w:val="false"/>
          <w:color w:val="333333"/>
          <w:sz w:val="20"/>
          <w:szCs w:val="20"/>
        </w:rPr>
        <w:t>www.mouj - rasaneh.com</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کاری و قضای نابکار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،تورنتو،منتشر شده در </w:t>
      </w:r>
      <w:r>
        <w:rPr>
          <w:rFonts w:eastAsia="IRNazanin" w:cs="IRNazanin"/>
          <w:b w:val="false"/>
          <w:bCs w:val="false"/>
          <w:i w:val="false"/>
          <w:iCs w:val="false"/>
          <w:color w:val="333333"/>
          <w:sz w:val="20"/>
          <w:szCs w:val="20"/>
        </w:rPr>
        <w:t>www.qodratwaqaanoo.persianblog.ir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w:t>
      </w:r>
      <w:r>
        <w:rPr>
          <w:rFonts w:eastAsia="IRNazanin" w:cs="IRNazanin"/>
          <w:b w:val="false"/>
          <w:bCs w:val="false"/>
          <w:i w:val="false"/>
          <w:iCs w:val="false"/>
          <w:color w:val="333333"/>
          <w:sz w:val="20"/>
          <w:szCs w:val="20"/>
        </w:rPr>
        <w:t>1385/6/6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اجمالی بر تشکیل وزارت عدلیه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سایت </w:t>
      </w:r>
      <w:r>
        <w:rPr>
          <w:rFonts w:eastAsia="IRNazanin" w:cs="IRNazanin"/>
          <w:b w:val="false"/>
          <w:bCs w:val="false"/>
          <w:i w:val="false"/>
          <w:iCs w:val="false"/>
          <w:color w:val="333333"/>
          <w:sz w:val="20"/>
          <w:szCs w:val="20"/>
        </w:rPr>
        <w:t>www.mouj - rasaneh.com</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خلیل رومان،درس‌ها و اندرزها،کابل،</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کاری و قضای نابکار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،تورنتو،منتشر شده در </w:t>
      </w:r>
      <w:r>
        <w:rPr>
          <w:rFonts w:eastAsia="IRNazanin" w:cs="IRNazanin"/>
          <w:b w:val="false"/>
          <w:bCs w:val="false"/>
          <w:i w:val="false"/>
          <w:iCs w:val="false"/>
          <w:color w:val="333333"/>
          <w:sz w:val="20"/>
          <w:szCs w:val="20"/>
        </w:rPr>
        <w:t>www.qodratwaqaanoo.persianblog.ir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w:t>
      </w:r>
      <w:r>
        <w:rPr>
          <w:rFonts w:eastAsia="IRNazanin" w:cs="IRNazanin"/>
          <w:b w:val="false"/>
          <w:bCs w:val="false"/>
          <w:i w:val="false"/>
          <w:iCs w:val="false"/>
          <w:color w:val="333333"/>
          <w:sz w:val="20"/>
          <w:szCs w:val="20"/>
        </w:rPr>
        <w:t>1385/6/6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قانون جزای افغانستان،ماده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همان،ماده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محمدعلی ابراهیمی،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سرقت در قانون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،وبلاگ گام‌های نوین حقوقی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پیام،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مشروعیت مجازات اعدام در اسناد تقنینی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سایت </w:t>
      </w:r>
      <w:r>
        <w:rPr>
          <w:rFonts w:eastAsia="IRNazanin" w:cs="IRNazanin"/>
          <w:b w:val="false"/>
          <w:bCs w:val="false"/>
          <w:i w:val="false"/>
          <w:iCs w:val="false"/>
          <w:color w:val="333333"/>
          <w:sz w:val="20"/>
          <w:szCs w:val="20"/>
        </w:rPr>
        <w:t>www.mouj - rasaneh.com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1387/7/24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www.kateb - hazara.net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رامین انوری،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دیده‌بان حقوق بشر با اعدام در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www.nawaaye - afghanistan.net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1387/1/29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مجازات اعدام چه پیامدهایی خواهد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،چهارشنبه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www.dailyafghanistan.com</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نفل از </w:t>
      </w:r>
      <w:r>
        <w:rPr>
          <w:rFonts w:eastAsia="IRNazanin" w:cs="IRNazanin"/>
          <w:b w:val="false"/>
          <w:bCs w:val="false"/>
          <w:i w:val="false"/>
          <w:iCs w:val="false"/>
          <w:color w:val="333333"/>
          <w:sz w:val="20"/>
          <w:szCs w:val="20"/>
        </w:rPr>
        <w:t>www.0916.mihanblog.com</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واسع سروش،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شورای علمای هرات؛بازگشت سنگسار و قطع دست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www.nawaaye - afghanistan.net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1386/4/14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رامین انوری،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حمایت کرزی از رهایی مسیحی افغان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www.bbcpersian.com 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؛فهیم بکتاش،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 کرزای در تنگنای تصمیم‌گیری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www.kabulpress.org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؛غرجستانی،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هیاهو و غوغاسالاری در ورای یک حکم اعدام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،شبکه اطلاع‌رسانی افغانستان، </w:t>
      </w:r>
      <w:r>
        <w:rPr>
          <w:rFonts w:eastAsia="IRNazanin" w:cs="IRNazanin"/>
          <w:b w:val="false"/>
          <w:bCs w:val="false"/>
          <w:i w:val="false"/>
          <w:iCs w:val="false"/>
          <w:color w:val="333333"/>
          <w:sz w:val="20"/>
          <w:szCs w:val="20"/>
        </w:rPr>
        <w:t>www.afghanpaper.com 12/11/1386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آک گوندوز،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قواعدحقوق جزا در قوانین دوره عثمانی و تاثیر دین بر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و تالیف علی حکیم پور،در سایت </w:t>
      </w:r>
      <w:r>
        <w:rPr>
          <w:rFonts w:eastAsia="IRNazanin" w:cs="IRNazanin"/>
          <w:b w:val="false"/>
          <w:bCs w:val="false"/>
          <w:i w:val="false"/>
          <w:iCs w:val="false"/>
          <w:color w:val="333333"/>
          <w:sz w:val="20"/>
          <w:szCs w:val="20"/>
        </w:rPr>
        <w:t>www.e - resaneh.com</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هانس هاینریش یسک،فصلنامه پژوهشی دانشگاه 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تشابهات و تفاوت‌های حقوق جزای اسلامی و 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حسن رضایی،ش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 اندونزیایی در عربستان گردن زده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www.mouj - rasaneh.com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توسطکمیته برگزاری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هانس هاینریش یسک،فصلنامه پژوهشی دانشگاه 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تشابهات و تفاوت های حقوق جزای اسلامی و 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حسن رضایی،ش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تحدید یاد شده در تعیین متقدمین،متأخرین و متأخر المتاخرین از محمدحسن ربانی،کاوشی نو در فقه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 شناسی در کتاب‌های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مرتضی،المقتع فی الغیبة،ص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همان،تنزیه الانبیاء،ص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همان،الشافی فی الامامة،ج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طوسی،الاقتصاد،ص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مرتضی،رسائل المرتضی،ج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طوسی،الغیبة،ص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فامّا اقامة الحدود فلیس یجوز لاحدٍ اقامتها الاّ لسلطان الزمان المنصوب من قبل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من نصبه الامام لاقامتها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الحکم بین الناس و القضاء بین المختلفین لا یجوز ایضاً الاّ لمن اذن له سلطان الحق فی ذلک و قد فوّضوا الی فقهاء شیعتهم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همان،النهایه،ص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شفتی،مقالة فی تحقیق اقامة الحدود فی هذه الاعصار،ص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این دیدگاه و اشکال‌های آن،به نظر می‌رسد،شیخ در این عبارت،میان اقامه حدود و حکم بین مردم تفاوت گذاشته است؛اولی را غیرجایز و دومی را از سوی فقها جایز می‌داند؛چرا که دلایل قابل قبولی نظیر صحیحه ابی‌خدیجه بر تفویض حکم به فقها وجود دارد،در حالی که شمول این ادله بر اقامه حدود محل بحث است و کلام این بزرگان،خود مؤیدی است بر امکان خدشه در شمول روایات یاد شده درباره اقامه حدود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حلی،تذکرة الفقها،ج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؛تحریر الاحکام،ج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؛فاضل آبی،کشف الرموز،ج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؛فاضل مقداد،التنقیح الرائح،ج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؛شهید ثانی،مسالک الافهام،ج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ابن‌فهد حلی،المهذب البارع،ج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قطب راوندی،فقه القرآن،ج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 الاسلام،ج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همان،مختصر النافع،ص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 خاص در اینجا بدین معناست که امام فرد خاصی را شخصاً به امری که شامل اقامه حدود نیز می‌گردد،برگزیده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عام هم بدین معناست که امام افرادی با ویژگی‌های خاصی را به چنین منصبی نصب نموده باشد،بدون اینکه به نام ایشان تصریح کند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محسن کدیور،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عقیده و مذهب در اسلام و اسناد حقوق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همایش بین‌المللی حقوق بشر و گفت‌وگوی تمدن‌ها،ص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؛ماهنامه آفتاب،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عقیده و مذهب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تبیین این نظر گفته شده که با مراجعه به کلام صاحب جواهر در قبل و بعد از این عبارت،معلوم می‌شود برداشت ایشان نیز از کلام محقق حلی،این است که در عصر غیبت،هیچ شخص عادی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فقها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اقامه حدود را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بر این مدعا آن است که صاحب جواهر در چند سطر قبل به این نکته تصریح کرده که در مقابل قول به عدم جواز اقامه حدود در عصر غیبت،قول دیگری نیز وجود دارد مبنی بر اینکه اقامه حدود در عصر غیبت برای فقهای جامع شرایط جایز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فی جوازه لنائب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قوة،خصوصا مع القول بجواز اقامة الحدود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به‌ویژه که خود صاحب جواهر نیز از کسانی است که بی‌تردید به مشروعیت اقامه حدود در عصر غیبت معتقد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چند سطر بعد پس از کلام محقق حلی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مسئله مخالفی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کل حال فلا خلاف اجده فی الحکم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مقصود صاحب جواهر نصب خاص باشد؛یعنی عدم جواز اقامه حدود در عصر غیبت حتی برای فقیه جامع شرایط،معنا ندارد با فاصله چند سطر آشکارا دو ادعای متناقض را مطرح کند؛یعنی از یک طرف ادعا کند در مقابل این نظریه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عدم جواز حدود در عصر غیبت حتی برای فقیه جامع شرایط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دیگری وجود دارد مبنی بر جواز اقامه حدود در عصر غیبت برای فقیه جامع شرایط،و از طرف دیگر در چند سطر بعد ادعا کند در این مسئله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نظریه عدم جواز اقامه حدود در عصر غیبت حتی برای فقیه جامع شرایط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مخالفی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این،عبارتی که صاحب جواهر بلافاصله در توضیح کلام محقق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نصبه لاقامتها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 او لما یشملها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نصب خاص مصطلح نیست،بلکه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صلاحیت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در مقابل صلاحیت عامی که امام به نایب خود واگذار می‌کند و از جمله آنها،صلاحیت اقامه حدود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ازاین‌رو،عبارت درباره نصب خاص اصطلاحی ساکت بوده،در مقام بیان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دیگر اینکه صاحب جواهر دقیقاً پیش از عبارت محقق حلی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لبعض ما ذکرنا من لزوم الفساد بایکال ذلک الی عامة الناس لا یجوز لاحد اقامة الحدود الا الامام علیه السلام مع 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وبسط 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من نصبه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 او لما یشملها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جواهر فلسفه اختصاص حکم به امام یا منصوب امام را چنین بیان می‌کند که واگذاری اقامه حدود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 فساد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بنابراین،می‌توان گفت گرچه مقصود از منصوب در عبارت محقق حلی نصب خاص باشد،اساساً در مقام نفی واگذاری اقامه حدود در عصر غیبت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عادی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بوده،درباره واگذاری این اختیار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جامع شرایط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ساکت است و در مقام بیان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حسین هاشمی،رواق اندیشه،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آرای کدیور درباره ادله شرعی ارتداد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میرزای قمی،مناهج الاحکام؛همان،غنائم الایام،ج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؛سیدعلی طباطبائی،ریاض المسائل،ج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؛سید محمدجواد عاملی،مفتاح الکرامة،ج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؛شیخ یوسف بحرانی،حدائق الناظره،ج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؛شیخ طوسی،الاقتصاد،ص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؛همان،مبسوط،ج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؛همان،الرسائل العشر،ص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؛ابن‌براج،المهذب،ج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؛شیخ مفید،المقنعه،ص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قطب راوندی،فقه القرآن،ج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نراقی،عوائد الایام،ص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؛همان،مستند الشیعه،ج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؛شیخ انصاری،کتاب المکاسب،ج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؛سید محسن حکیم،نهج الفقاهه،ص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؛سید مصطفی خمینی،ثلاث رسائل،ولایة الفقیه،ص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؛شیخ مرتضی حائری،الخمس،ص</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؛امام خمینی،کتاب البیع،ج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،سید محمدصادق روحانی،فقه الصادق،ج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؛آشتیانی،کتاب القضاء،ص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؛سید محمدسعید حکیم،مصباح المنهاج،ص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؛حسینعلی منتظری،نظام الحکم فی الاسلام،ص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؛سید محمدباقر صدر،الفتاوی الواضحة،ص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؛سید محمدعلی ابطحی،رسالة فی ثبوت الهلال،ص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صدوق،من لایحضره الفقیه،ج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؛همان،امالی،ص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؛همان،معانی الاخبار،ص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توجه به این نکته ضروری است که نظر نگارنده درباره این حدیث،در بحث‌های بعدی به‌صورت تفصیلی ارائه خواهد شد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طبرسی،مجمع البیان،ج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 الاسلام،ج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همان،مختصر النافع،ص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هم بدین دلیل بوده که با توجه به حکومت حاکمان جور،چون همه حکومت‌ها نامشروع بودند،فرض 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اقامه حدود در حکومت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تصدی قضاوت و اقامه حدود قابل تصور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فقهای قدیم شاید حتی تصور نمی‌کردند به برکت انقلاب اسلامی که حاصل زحمات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بزرگان دین،علما و فقهاست،روزی حکومتی عدل پدید آید که با وجود غیبت امام عصر عجّل الله تعالی فرجه الشریف حکومتی مشروع و عدل قلمداد شود و احکام الهی را اجرا کند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سیدمحسن امین،اعیان الشیعه،ج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آقابزرگ تهرانی،طبقات اعلام الشیعه،ج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آبی،کشف الرموز،ج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حلی،قواعد الاحکام،ج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همان،ارشادالاذهان،ج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همان،تحریر الاحکام،ج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همان،مختلف الشیعة،ج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همان،تذکرة الفقها،ج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همان،منتهی المطلب،ج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المحققین،ایضاح الفوائد فی اشکالات القواعد،ج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ابی‌جمهور،الاقطاب الفقهیه،ص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مقدس اردبیلی،مجمع الفائده،ج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بهایی،جامع عباسی،ص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میرزای قمی،جامع الشتات،ج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انصاری،کتاب المکاسب،ص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همان،القضاء و الشهادات،ص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سادات حسینی و مصطفی محقق داماد،الهیات و 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چشم‌اندازی بر حدود و اجرای علنی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خمینی،صحیفه نور،ج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حلی،مختصر النافع،ص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 خوانساری،جامع المدارک،ج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عاملی،وسائل الشیعة،ج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 خوانساری،جامع المدارک،ج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 شیرازی،فقه العولمة،ص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ابوالصلاح حلبی،قاضی ابن‌براج،محمدباقر سبزواری صاحب کفایة الاحکام،یحیی بن سعید حلی صاحب الجامع للشرائع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فقهایی هستندکه برخی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الکاتب در کتاب تکامل فکری سیاست از شوری تا ولایت فقیه،منتشره در سایت </w:t>
      </w:r>
      <w:r>
        <w:rPr>
          <w:rFonts w:eastAsia="IRNazanin" w:cs="IRNazanin"/>
          <w:b w:val="false"/>
          <w:bCs w:val="false"/>
          <w:i w:val="false"/>
          <w:iCs w:val="false"/>
          <w:color w:val="333333"/>
          <w:sz w:val="20"/>
          <w:szCs w:val="20"/>
        </w:rPr>
        <w:t>www.alkatib.co.uk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آدرس اینترنتی </w:t>
      </w:r>
      <w:r>
        <w:rPr>
          <w:rFonts w:eastAsia="IRNazanin" w:cs="IRNazanin"/>
          <w:b w:val="false"/>
          <w:bCs w:val="false"/>
          <w:i w:val="false"/>
          <w:iCs w:val="false"/>
          <w:color w:val="333333"/>
          <w:sz w:val="20"/>
          <w:szCs w:val="20"/>
        </w:rPr>
        <w:t>http://alkatib.co.uk/f1f2.htm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طرفدار دیدگاه عدم جواز می‌دانند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داماد،قواعد 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جزایی،ص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مجلسی،بحار الانوار،ج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حلی،کشف المراد،ج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عمادالدین 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ادامه حقوق بشر اعدام و قصاص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سایت </w:t>
      </w:r>
      <w:r>
        <w:rPr>
          <w:rFonts w:eastAsia="IRNazanin" w:cs="IRNazanin"/>
          <w:b w:val="false"/>
          <w:bCs w:val="false"/>
          <w:i w:val="false"/>
          <w:iCs w:val="false"/>
          <w:color w:val="333333"/>
          <w:sz w:val="20"/>
          <w:szCs w:val="20"/>
        </w:rPr>
        <w:t>www.emadbaghi.com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زهیر الاعرجی،مجله الحیات،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ولایة الفقیه و الادارة الاجتماعیة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،منتشر شده در سایت </w:t>
      </w:r>
      <w:r>
        <w:rPr>
          <w:rFonts w:eastAsia="IRNazanin" w:cs="IRNazanin"/>
          <w:b w:val="false"/>
          <w:bCs w:val="false"/>
          <w:i w:val="false"/>
          <w:iCs w:val="false"/>
          <w:color w:val="333333"/>
          <w:sz w:val="20"/>
          <w:szCs w:val="20"/>
        </w:rPr>
        <w:t>www.arrasou.org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مشاهده شده در تاریخ پنجشنبه اول محرم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محمدحسینی شیرازی،فقه العولمه،ص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عیاشی،تفسیر العیاشی،ج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؛قمی،تفسیر القمی،ج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؛عروسی حویزی،تفسیر نور الثقلین،ج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موسوی همدانی،ترجمه المیزان،ج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عمادالدین 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ادامه حقوق بشر اعدام و قصاص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سایت </w:t>
      </w:r>
      <w:r>
        <w:rPr>
          <w:rFonts w:eastAsia="IRNazanin" w:cs="IRNazanin"/>
          <w:b w:val="false"/>
          <w:bCs w:val="false"/>
          <w:i w:val="false"/>
          <w:iCs w:val="false"/>
          <w:color w:val="333333"/>
          <w:sz w:val="20"/>
          <w:szCs w:val="20"/>
        </w:rPr>
        <w:t>www.emadbaghi.com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بکاریا معتقد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کیفر باید حتمی باشد و با عفو و غیره متزلزل نشود؛چرا که یک عدالت خوب آن نیست که شدیداً مجازات کند،بلکه آن است که به همه تبهکاران بپردازد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سزار بکاریا،جرایم و مجازات‌ها،ص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؛به نقل از حنید دهقان،شمیم عدالت،ص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؛به نقل از تفسیر نمونه،ج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عمادالدین 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ادامه حقوق بشر اعدام و قصاص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سایت </w:t>
      </w:r>
      <w:r>
        <w:rPr>
          <w:rFonts w:eastAsia="IRNazanin" w:cs="IRNazanin"/>
          <w:b w:val="false"/>
          <w:bCs w:val="false"/>
          <w:i w:val="false"/>
          <w:iCs w:val="false"/>
          <w:color w:val="333333"/>
          <w:sz w:val="20"/>
          <w:szCs w:val="20"/>
        </w:rPr>
        <w:t>www.emadbaghi.com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امیل دورکیم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نادر سالار 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دانشگاه علامه طباطبایی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آملی،کتاب المکاسب و البیع،تحریر بحث النائینی،ج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محمدصادق روحانی،منهاج الفقاهة،ج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Clarson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c.m.v understanding criminal law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p.56_57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حمید دهقان،شمیم عدالت،ص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والامقام اسلام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بعثت لاتمم مکارم الاخلاق؛همانا مبعوث شدم تا مکارم اخلاق را تمام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مجلسی،بحارالانوار،ج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علیرضا فیض،مقارنه و تطبیق در حقوق جزای عمومی اسلام،ص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خمینی،صحیفه نور،ج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مرتضی،رسائل المرتضی،ج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در جواب مسائل تبانیات نیز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ما به خبر واحد عمل نمی‌کنند و در نهی از عمل به خبر واحد مطالب فراوانی نوشته‌اند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همان‌طور که نفی قیاس شعار آنان است،عدم جواز عمل به خبر واحد هم شعار آنان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برخی از آنان تعبّد به خبر واحد را به حکم عقل محال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مرتضی،رسائل مرتضی،ج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محمدحسین حائری،الاصول الغرویة فی الاصول الفقهیة،ص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 در ذریعه تعبد به حجیت خبر ثقه را عقلاً ممکن می‌داند،اما اثباتاً آن را نمی‌پذیرد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ابن‌ادریس حلّی نیز عمل به خبر واحد را شدیداً تقبیح کرده،آن را موجب هدم اسلام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ادله احکام را،کتاب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متواتر،اجماع و دلیل عقل برمی‌شمارد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حکم شرعی موضوعی را نتوان از کتاب و سنت متواتر یا اجماع استنباط کرد،آن‌گاه باید به دلیل عقل تمسک جست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ابن‌ادریس حلی،سرائر،ج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امین الاسلام طبرسی در مجمع‌البیان ذیل آیه نبأ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آیه دلالت دارد که خبر واحد،نه موجب علم است و نه موجب عمل؛زیرا معنای آیه این است که اگر کسی برای شما خبری آورد که به او اطمینان ندارید و احتمال می‌دهید خبرش دروغ باشد،از عمل به آن توقف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بنابراین،فرقی میان خبر عادل و فاسق وجود ندارد؛زیرا علت در هر دو موضوع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برای وجوب عمل به خبر واحد،اگر راوی آن عادل باشد،به این آیه استدلال کرده‌اند،لیکن این استدلال درست نیست؛زیرا آنان به دلیل 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مفهوم مخالف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استدلال کرده‌اند،حال آنکه دلیل خطاب نزد ما و بیشتر محققان حجت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طوسی،عدة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طوسی،نه دلالت آیة نَبَأْ،نه دلالت آیة نَفْر و نه ادعای اجماع صحابه را بر حجیت خبر نمی‌پذیرد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تنها دلیل حجیت خبر واحد را اجماع فرقه امامیه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 نخستین کسی است که بر حجیت خبر واحد دلیل عقلی اقامه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یکی از دلایل حجیت خبر واحد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ضرر مظنون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می‌داند که دلیلی دربردارنده عقلی متشکل از صغری و کبری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صغرای قضیه،ظن به حرمت یا وجوب است که متضمن ظن به استحقاق عقاب در صورت فعل یا ترک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کبرای قضیه هم این است که دفع هر ضرر یا عقاب مظنون واجب است و می‌توان گفت ظن به وجوب یا حرمت،در صورت ترک یا فعل ظن به مفسده است و احکام تابع مصلحت و مفسده هستند و دفع مفسده مظنون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حلی،مبادی الاصول،ص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معالم نخستین کسی است که دلیل انسداد را مطرح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جمال‌الدین حسن بن شهید ثانی،معالم الدین و ملاذ المجتهدین،ص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محمدحسین حائری،الفصول الغرویة فی الاصول الفقهیة،ص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محمد مجاهد طباطبایی،مفاتیح الاصول،ص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،محمدتقی اصفهانی،هدایة المسترشدین،ص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محمدامین استر آبادی،علامه حلی را نخستین کسی می‌داند که به اعتقاد او بدعت تقسیم احادیث اصول مشهوره به صحیح و ضعیف را بنیان نهاده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استرآبادی و سید نورالدین عاملی،الفوائد المدنیه و الشواهد المکیه،ص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گرچه این انتساب مشهور است،در آثار این بزرگواران چندان مشهود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باقر وحید بهبهانی عدم حجیت خبر ثقه و حسن را به صاحب مدارک نسبت داده،می‌نویسد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واحد موثق و حسن،از نظر مشهور اصولیان حجت و معتبر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بله،اشخاصی مانند صاحب مدارک و هم‌فکران و پیروان او از پسینیان،چه‌بسا از این نکته غفلت ورزیده و در نتیجه،در روش مشهور،تخلف و تخطی کرده‌اند و بدین وسیله،با انکار حجت بودن خبر غیرصحیح،باب ثبوت فقه را بسته‌اند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 بهبهانی،رسائل الوحید،ص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؛به نقل از سید احمد حسینی،مجله کاوشی نو در فقه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مکتب فقهی محقق اردبیلی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برخی دیگر از آثار نیز این مسلک به این دو بزرگوار نسبت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صاحب المدارک و محمدحسین منتظری،دراسات فی ولایة الفقیه و فقه الدولة الاسلامیة،ج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خواننده محترم توجه داشته باشد که صحیح اعلایی با اصطلاح عالی السند متفاوت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عالی السند روایتی است که سلسله سند کوتاه باشد؛مانند ثلاثیات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ابراهیم عن ابیه عن الامام الجواد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حسن صدر،نهایة الدرایة،ص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تعریف از صحیح اعلایی در منابع ذیل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محمدعلی کاظمی خراسانی،فوائد 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؛شیخ محمدطاهر آل شیخ راضی،بدایة الوصول فی شرح کفایة الاصول،ج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؛سید محمدجعفر شوشتری،منتهی الدرایة،ج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 حسینی،مجله کاوشی نو در فقه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مکتب فقهی محقق اردبیلی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قرینه‌ها که در این دیدگاه مورد توجه قرار می‌گیرد،عبارت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کتاب بر امام و گواهی آن از سوی حضرت،بودن روایت در مجامع ثلاثه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کافی،تهذیب و من لایحضر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 روایت در چند اصل،ذکر روایت با چند سند در یک کتاب،عمل پیشینیان از اصحاب،نقل روایت از سوی مشایخ ثلاثه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ابی‌عمیر،صفوان و بزنطی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روایت از سوی اصحاب اجماع،از مشایخ اجازه بودن راوی روایت،نقل روایت از سوی شیخ صدوق در من لایحضر،روایت از بنوفضال،اعتماد قمیین و تلقی روایت به 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کاوشی نو در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وثوق صدوری و وثوق سندی و دیدگاه‌ها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میان،آیت‌الله خویی حتی مرسلات ابن ابی‌عمیر را نیز نپذیرفته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صاحب مدارک،به روایات مرسله ابن ابی‌عمیر که همراه با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غیر واحد یا عن 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باشد،عمل می‌کند و آن را بالاتر از خبر واحد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محمدحسن ربانی،مجله کاوشی نو در فقه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درأ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 نیز مرسلات ابن ابی‌عمیر را پذیرفته،ولی مسندات او را نیازمند بررسی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چون شیخ انصاری،مرسلات همه ثقاة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انصاری،فرائد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اصحاب اجماع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مشایخ ثلاثه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همان،الصلوة،ج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؛همان،الطهاره،ج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؛همان،فرائد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؛کتاب المکاسب،ج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طاهریون و دیگران را معتبر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انصاری،الصلوة،ج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؛فرائد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محمدحسن بجنوردی،قواعد فقهیه،ج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محمدجواد مغنیه در مقدمة فقه‌الامام جعفرالصادق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ذکر سلسله روات احادیث خودداری کردم؛زیرا به نظر من،روایتی معتبر است که فقها به آن اعتماد و عمل کرده‌اند،نه روایتی که افراد ثقه آن را روایت کرده‌اند؛زیرا اسم فقه امام صادق یا فقه آل‌البیت حقیقتاً بر روایاتی صدق می‌کند که فقها به آنها عمل کرده و طبق آنها فتوا داده‌اند و صدها سال در آنها اعمال نظر و دقت کرده‌اند؛والاّ بر روایات مرده،هرچند در کتاب‌ها تدوین شده باشد و افراد صالح آنها را روایت کرده باشند،اسم فقه امام صادق،نه حقیقتاً و نه مجازاً صدق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چیزی جز حروف خشک نیستند؛حیات و روح آنها بستگی به عمل اصحاب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محمدجواد مغنیه،فقه الامام الصادق،ج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آخوند خراسانی،کفایة الاصول،ص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طوسی،عدة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انصاری،فرائد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صدر،دروس فی علم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صدر افزون بر سیره عقلا،دلالت سیره متشرعه،آیه نبأ و برخی روایات را بر حجیت خبر واحد تمام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بخاری،صحیح بخاری،ج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؛احمد حنبل،مسند احمد،ج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؛ابن‌ماجه،سنن ابن‌ماجه،ج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؛ابن‌اشعث سجستانی،سنن ابن‌داود،ج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؛ترمذی،سنن ترمذی،ج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؛نسائی،سنن نسائی،ج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منابع شیعی این روایت فقط در دعائم وجود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نعمان مغربی،دعائم الاسلام،ج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صالح،الاسلام و مستقبل الحضارة،ص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عبدالکریم سروش،مجله کیان،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در ترازو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 خوانساری،جامع المدارک،ج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صانعی در پاسخ به استفتایی درباره مجازات مدعی نبوت،به نقل از سایت </w:t>
      </w:r>
      <w:r>
        <w:rPr>
          <w:rFonts w:eastAsia="IRNazanin" w:cs="IRNazanin"/>
          <w:b w:val="false"/>
          <w:bCs w:val="false"/>
          <w:i w:val="false"/>
          <w:iCs w:val="false"/>
          <w:color w:val="333333"/>
          <w:sz w:val="20"/>
          <w:szCs w:val="20"/>
        </w:rPr>
        <w:t>www.feqh.org</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محمدباقر صدر،دروس فی علم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برخی مدعی شده‌اند به دلیل مناسبت حکم و موضوع،مراد از فسق در آیه شریفه،فسق خبری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می‌رسد این مدعا مخدوش باشد؛زیرا قطعاً فسق اعتقادی نیز می‌تواند موجب تعمد بر کذب شود؛در نتیجه،مناسبت یادشده موجود نیست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ابوالحسن اصفهانی،وسیلة الوصول الی حقائق الاصول،ص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راضی،هدایة المسترشدین،ج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درحالی که صاحبان دیدگاه جواز،مدعی ثبوت نصب عام برای فقها هستند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محمدحسین حائری،الفصول الغرویة فی الاصول الفقهیة،ص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خویی،البیان فی تفسیر القرآن،ص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محققان پانزده حدیث از احادیث باب حدود،هشت حدیث از باب قضاء،هشت حدیث از باب قصاص و نوزده روایت از باب دیات را قضیة فی واقعه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گرجی،کاوشی نو در فقه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قضیة فی واقعه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 نیست این احادیث خیلی بیش از این تعداد باشد؛چون تا به حال هیچ تحقیق مستقل و جامعی با رویکرد شناسایی دقیق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قضایای شخصیه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قضایای کلی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ابواب صورت نگرفته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ابن‌ادریس حلی،سرائر،ج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کرکی،رسائل الکرکی،ج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محمدحسن نجفی،جواهر الکلام،ج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حسین هاشمی،رواق اندیشه،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آرای کدیور درباره ادله شرعی ارتداد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طوسی،النهایة،ص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؛قاضی ابن‌براج،المهذب،ج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کلام ابن‌براج،شرط فقاهت نیامده است؛شهید اول،الدروس الشرعیه،ج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؛شهید ثانی،مسالک الافهام،ج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اینکه نفی ابن‌ادریس در این باره صحیح است یا خیر،مبحث دیگری است که جای بررسی مستقلی دارد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ادریس،سرائر،ج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حلی،مختلف الشیعة،ج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همان،تذکرة الفقهاء،ج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؛ابن‌فهد حلی،مهذب البارع،ج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؛علامه حلی،مختلف الشیعة،ج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فقها این قول را به محکی از ظاهر ابن‌ادریس نسبت داده‌اند؛برای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؛سیدمحمدصادق روحانی،فقه الصادق،ج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ادریس حلی،سرائر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عبارت سرائر که چند صفحه به طول می‌انجامد،عیناً عبارات ابوالصلاح حلبی در الکافی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مسئله،تردیدهایی را درباره دیدگاه ابن‌ادریس مطرح می‌کند؛چه بسا او در این بحث فقط قصد نقل اقوال را داشته،و قصد ارائه نظر خویش را نداشته است،یا اینکه از لازمه این عبارت در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والتمکن من انفسهم 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للحلبی،ص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ابن‌ادریس حلی،سرائر،ج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العلم بالحق فی الحکم المردود إلیه،والتمکن من إمضائه علی وجهه،واجتماع العقل و الرأی،والحزم،والتحصیل،وسعة الحلم،والبصیرة بالوضع،والتواتر بالفتیا،والقیام بها،وظهور العدالة و التدین بالحکم،والقوة علی القیام به،ووضعه مواضعه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صدوق،من لایحضره الفقیه،ج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کلینی،کافی،ج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ابن‌ادریس حلی،سرائر،ج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شفتی،مقالة فی تحقیق اقامة الحدود فی هذه الاعصار،ص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ادریس حلی،سرائر،ج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ابن‌زهره،غنیة النزوع الی علمی الاصول و الفروع،ص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حسین هاشمی،رواق اندیشه،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آرای کدیور درباره ادله شرعی ارتداد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ابن‌زهره،غنیة النزوع،ص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 بن موسی،الاشعثیات،ص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؛قاضی نعمان مغربی،دعائم الاسلام،ج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؛فضل الله راوندی،النوادر،ص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نوری،مستدرک الوسائل،ج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جَعْفَرٌ الصَّادِقُ عَنْ أَبِیهِ عَنْ آبَائِهِ عَنْ عَلِی علیه السلام قَالَ لَا یصْلُحُ الْحُکْمُ وَ لَا الْحَدُّ وَ لَا الْجُمُعَةُ إِلَّا بِإِمَام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مجلسی،بحار الانوار،ج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عَلِی ع أَنَّهُ قَالَ لَا یصْلُحُ الْحُکْمُ وَ لَا الْحُدُودُ وَ لَا الْجُمُعَةُ إِلَّا بِإِمَامٍ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نوری،مستدرک الوسائل،ج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ان فعلتموها لم ینزل بکم 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عدوکم،و اذا رفعتم حدودکم الی ائمتکم فحکموا فیها بالعدل،و ما نصحتم لائمتکم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نعمان مغربی،دعائم الاسلام،ج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 بن موسی،الاشعثیات،ص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تهرانی،الذریعة،ج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آقارضا همدانی،مصباح الفقیه،ج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خویی،کتاب الزکاة،ص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حسینعلی منتظری،دراسات فی المکاسب المحرمة،ج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تهرانی،الذریعة،ج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مجاسی،بحارالانوار،ج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نوری،خاتمة المستدرک،ج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حسینعلی منتظری،دراسات فی المکاسب المحرمة،ج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نجاشی،رجال النجاشی،ص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حلی،رجال العلامة،ص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طوسی،الفهرست،ص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نجاشی،رجال نجاشی،ص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بن طاووس در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ثقه بودن وی تصریح کرده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نوری،خاتمة المستدرک،ج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ابن‌داوود حلی،رجال ابن‌داوود،ص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نمازی شاهرودی،مستدرکات علم رجال،ص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ابن‌قولویه،کامل الزیارات،ص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صدوق،عیون اخبار الرضا علیه السلام،ج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صدوق،علل الشرائع،ج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طوسی،تهذیب الاحکام،ج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مفید،الارشاد،ج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طوسی،الفهرست،ص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نجاشی،رجال نجاشی،ص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طوسی،الفهرست،ص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حسینعلی منتظری،دراسات فی المکاسب،ج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ابن‌غضائری،کتاب الضعفاء،ج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نجاشی،رجال نجاشی،ص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طوسی،رجال الطوسی،ص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نوری،خاتمة المستدرک،ج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ابن‌غضائری،کتاب الضعفاء،ج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سمعانی،الانساب،ج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عدی،الکامل فی ضعفاء الرجال،ج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خویی،معجم الرجال،ج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تهرانی،الذریعة،ج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بن طاووس،اقبال الاعمال،ج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نوری،خاتمة المستدرک،ج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فضل‌الله راوندی،نوادر،ص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نوری،خاتمة المستدرک،ج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نرم‌افزار جامع فقه اهل بیت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مجلسی،بحارالانوار،ج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عاملی،امل الآمل،ج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نوری،خاتمة المستدرک،ج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تهرانی،الذریعة،ج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نوری،خاتمة المستدرک،ج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میان فقهای بعد از شهید ظاهراً وحید 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محمدباقر وحید بهبهانی،الحاشیه علی مدارک الاحکام،ج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روایتی را از این کتاب ذکر نموده که در کتاب‌های پیشینیان نبوده و در هیچ‌کدام از مجامع روایی 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مفتاح الکرامة نیز همین روایت را بعد از بهبهانی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جواد عاملی،مفتاح الکرامة،ج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اول نیز در کتاب لوامع صاحبقرانی روایتی را از کتاب جعفریات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 مجلسی،لوامع صاحبقرانی،ج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 می‌نماید که مجلسی پدر به کتاب دسترسی داشته باشد و پسر از آن محروم بماند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احتمال زیاد مجلسی پدر این روایت را از کتاب‌های دیگر نقل کرده است؛چون روایت یاد شده در دیگر مجامع روایی همچون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ایشان بر اساس نقل شهید اول در ذکری این روایت را به جعفریات نسبت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اول،ذکری الشیعة،ج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 القاسم خویی،مبانی تکملة المنهاج،ج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بن طاووس،فلاح السائل،ص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 خوانساری،جامع المدارک،ج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حسینعلی منتظری،دراسات فی المکاسب،ج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نوری،خاتمة‌المستدرک،ج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عاملی،وسائل الشیعة،ج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عاملی،مدارک الاحکام،ج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نراقی،عوائد الایام،ص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سلار در کتاب مراسم کتاب خود را به دو بخش عبادات و معاملات تقسیم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معاملات را در دو بخش عقود و احکام بررسی نموده،احکام را نیز به احکام جزایی و غیرجزایی تفکیک کرده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محمدصادق روحانی،فقه الصادق،ج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 اصفهانی،مفردات فی غریب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علی‌اکبر قرشی،قاموس 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قمی،تفسیر 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صدوق،معانی الاخبار،ص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حسین طباطبایی،المیزان،ج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احقاف،آیه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 در صحیحه زراره از امام باقر علیه السلام نقل شده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صلاة‌الجمعة فریضة و الإجتماع إلیها فریضة مع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عاملی،وسائل‌الشیعة،ج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موثقه سماعه آمده است که از امام صادق علیه السلام درباره نماز در روز جمعه سؤال شد،فرمود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امام دو رکعت است و کسی که به‌تنهایی نماز می‌گزارد،چهار رکعت است؛هر چند به جماعت نماز بخوانند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مع الإمام فرکعتان و أمّا لمن صلّی وحده فهی أربع رکعات و إن صلّوا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صحیحه زراره،دو رکعت اضافه در نماز ظهر در مقایسه با نماز جمعه،جایگزین دو خطبه جمعه با امام دانسته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وضعت الرکعتان اللّتان أضافهما النبی صلّی الله علیه و آله یوم الجمعة للمقیم،لمکان الخطبتین مع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صحیحه محمد بن‌مسلم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جمعه بر هفت نفر و نه کمتر از آن،واجب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امام،قاضی او،مدّعی،مدّعی‌علیه،دو شاهد و کسی که حد را نزد امام جاری می‌سازد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عاملی،وسائل الشیعة،ج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عاملی،وسائل‌الشیعة،ج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مجلسی،روضة‌المتقین،ج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ثانی،رسائل شهید ثانی،ج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عصر صدور این روایات،امامت جمعه،منصبی رسمی از سوی سلطان بوده است و شهید ثانی نیز در رساله صلاة جمعه،به این نکته اذعان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صلاة‌الجمعة فریضة مع‌الإمام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با توجه به این فضای سیاسی تفسیر شود؛یعنی مخاطبان امام در آن شرایط از این کلام چه برداشتی داشتند؟ 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اشتراط نماز جمعه به اذن سلطان و حاکم،در آن زمان مورد بحث میان فقهای عامه بوده و افرادی مانند ابوحنیفه در برابر دیگران از آن دفاع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این مباحث،سخن امام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صلاة‌الجمعه فریضة مع‌الإمام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مفهومی جز اشتراط به حاکم اسلامی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عامه،روایاتی از پیامبر نقل می‌کردند که نماز جمعه از شئون پیشوای مسلمین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إلی الولاة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الفیء و الحدود،و الجمعة و الصدقات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حلی،منتهی‌المطلب،ج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اساس،در موقعیتی که مناقشات فقهی،نقل احادیث و عملکرد دستگاه خلافت بر محور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به آن تلقی می‌شده است،نمی‌توان آن را به امام جماعت تفسیر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سروش،فصلنامه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اقامه جمعه در دولت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علیرضا صدر حسینی،علوم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مشروعیت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مصطفی خمینی،ثلاث رسائل،ولایة الفقیه،ص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طوسی،تهذیب الاحکام،ج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؛شیخ حر عاملی،وسائل الشیعة،ج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،کتاب الحدود و التعزیرات،ابواب حد السرقة،باب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شعبه حرانی،تحف العقول،ص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محدث نوری،مستدرک الوسائل،ج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،کتاب الجهاد،ابواب جهاد النفس وما یناسبه،باب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مفید،الإختصاص،ص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محدث نوری،مستدرک الوسائل،ج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،کتاب القصاص،ابواب القصاص فی النفس،باب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مجلسی،بحار الانوار،ج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مسعودی،مروج الذهب و معادن الجواهر،ج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الامام هو المنتجب المرتضی،والهادی المنتجی،والقائم المرتجی،اصطفاه اللّه بذلک،واصطنعه علی عینه فی الذر حین ذراه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کلینی،اصول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المطهر من الذنوب،والمبرا من العیوب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الامامة هی منزلة الانبیاء،وارث الاوصیاء،ان الامامة خلافة اللّه وخلافة الرسول صلّی الله علیه و آله و مقام امیرالمؤمنین علیه السلام ومیراث الحسن و الحسین علیهما السلام ان الامامة زمام الدین ونظام‌المسلمین وصلاح الدنیا و عز المؤمنین ان الامامة اس الاسلام النامی وفرعة السامی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کلینی،اصول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الحُجّة لا تقوم للَّه علی خلقه إلّا بإمامٍ حَتّی یعْرف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صفار،بصائر الدرجات،ص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الأرض لا تخلو إلّا و فیها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کلینی،اصول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بقیت الأرضُ بِغَیر إمام لساخت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نراقی،مستندالشیعه،ج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مؤمن قمی،فقه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ابتدایی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عاملی،وسائل الشیعة،ج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علیرضا صدر حسینی،درسنامه فقه الحکومة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نراقی،مستندالشیعة،ج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محمدجواد عاملی،مفتاح الکرامة،ج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خرجوا علی إمام عادل أو جماعة فقاتلوهم و إن خرجوا علی إمام جائر فلاتقاتلوهم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عاملی،وسائل‌الشیعة،ج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سرق السارق من البیدر من إمام جائر فلا قطع علیه إنّما أخذ حقّهُ،فَإذا کان من إمام عادل علیه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هؤلاء فَیقْتلُونه،و لو رُفِعَ إلی إمامٍ عادل ظاهرٍ لم یقتله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علیها شیء فیما بینها و بین الله عزّ و جلّ و إن قُدِّمَت إلی إمام عادلٍ أهْدَرَ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نراقی،مستندالشیعة،ج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امیرمؤمنان علیه السلام به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أفضل عباد الله عند الله إمام عادل هدی،فأقام سنة معلومة و أمات بدعة مجهولة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البلاغة،صبحی الصالح،ص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یدخلهم اللَّه الجنه بغیر 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عادل و تاجر صدوق و شیخ أفنی عمره فی طاعة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صدوق،خصال،ص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یظلّهم اللَّه عزّ و جلّ فی ظلّه یوم لا ظلّ الّا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عادل و شاب نشأ فی عبادة اللَّه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الحکومة الاسلامیه فی احادیث الشیعة الامامیه،به کوشش رضا استادی،ص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نراقی،مستندالشیعة،ج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سیدعلی طباطبایی،ریاض المسائل،ج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سیدجواد عاملی،مفتاح‌الکرامة،ج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طوسی،نهایة الاحکام،ج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حلی،منتهی المطلب،ج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همان،تذکرة الفقهاء،ج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اول،ذکری الشیعة،ج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کرکی،جامع المقاصد،ج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ابوالصلاح حلبی،الکافی الفقه،ص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سلار،المراسم،ص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؛علی بن حسن حلبی،اشاره السبق الی معرفة الحق،ص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؛یحیی بن سعید حلی،الجامع للشرائع،ص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محمداسحاق فیاض،محاضرات فی اصول الفقه،تقریرات درس سید ابوالقاسم خویی،ج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 رضوی،بحوث حول الولایة،ص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مطلب در فصل بعد بررسی قرار خواهد شد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عبدالاعلی سبزواری،کفایة الاحکام،ج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کلینی،اصول 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صدوق،من لایحضره الفقیه،ج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محمدمهدی موسوی خلخالی،حاکمیت در اسلام یا ولایت فقیه،ص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 بن موسی،الاشعثیات،ص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احمدحاجی ده‌آبادی،فقه و 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درأ در فقه امامیه و حقوق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عمادالدین 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ادامه حقوق بشر اعدام و قصاص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سایت </w:t>
      </w:r>
      <w:r>
        <w:rPr>
          <w:rFonts w:eastAsia="IRNazanin" w:cs="IRNazanin"/>
          <w:b w:val="false"/>
          <w:bCs w:val="false"/>
          <w:i w:val="false"/>
          <w:iCs w:val="false"/>
          <w:color w:val="333333"/>
          <w:sz w:val="20"/>
          <w:szCs w:val="20"/>
        </w:rPr>
        <w:t>www.emadbaghi.com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علی بن ابی عقیل حذاء،حیاة ابن ابی عقیل و فقهه،ص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احمد کاتب بغدادی،مجموعه فتاوا ابن ابی‌عقیل،ص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مرتضی،انتصار،ص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طوسی،خلاف،ج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براج،المهذب،ج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همان،جواهر الفقه،ص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ابن‌ادریس حلی،السرائر،ج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حلی،مختلف الشیعة،ج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اردبیلی،مجمع الفائدة و البرهان،ج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المحقق الکرکی و آثاره،ج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تکمله المنهاج،ج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صدوق،من لایحضره الفقیه،ج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عاملی،وسائل الشیعه،ج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صدوق،المقنع،ص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قاضی نعمان مغربی،دعائم الاسلام،ج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نوری،مستدرک الوسائل،ج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عبدالزهراء حسینی خطیب،مصادر نهج البلاغه و أسانیده،ج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محمدحسن ربانی،مجله کاوشی نو در فقه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درأ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مجلسی،بحارالانوار،ج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؛ابن شعبه حرانی،تحف العقول،ص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ابن‌جمهور احسائی،عوالی اللئالی،ج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صدوق،من لایحضره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آقارضا همدانی،مصباح الفقیه،ج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سبزواری،ذخیرة المعاد،ص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یوسف بحرانی،لؤلؤة البحرین،ص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؛اصول الحدیث،جعفر سبحانی،ص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ربانی،مجله کاوشی نو در فقه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درأ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خواننده محترم توجه داشته باشد که دیدگاه‌های دیگری نیز درباره مرسلات صدوق وجود دارد،تا جایی که برخی هرگز مراسیل صدوق را کمتر از مراسیل ابن ابی‌عمیر نمی‌دانند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قمی در هدیة الاحباب و الکنی والالقاب و علامه بحرالعلوم در فوائد الرجالیه فرموده‌اند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مراسیل صدوق لاتقصر عن مراسیل ابن ابی عمیر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عباس قمی،الکنی والالقاب،ج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؛سید بحرالعلوم،الفوائد الرجالیة،ج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؛شیخ بهایی،الحبل المتین،ص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؛محدث نوری،خاتمة المستدرک،ج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پیداست این سخن تنها درباره مرسلات صدوق در کتاب من لایحضره الفقیه درست است،نه دیگر کتاب‌ها؛همان‌گونه که از عبارت علامه بحرالعلوم برمی‌آید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بحرالعلوم،الفوائد الرجالیة،ج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 همه مرسلات صدوق را در هر لفظی پذیرفته‌اند،ولی شماری از بزرگان،مرسلات صدوق را دسته‌بندی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مرسله همراه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باشد؛یعنی قول را به‌گونه یقینی به امام نسبت داده و مثلاً فرموده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عن أمیرالمؤمنین علیه السلام،أنه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می‌نماید که صدوق جزم پیدا کرده که راویان ثقه بوده‌اند و سند معتبر است،ولی اگر مرسله مجهول باشد،مانند اینکه گفته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أمیرالمؤمنین،روی 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این‌گونه نخواهد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تفرشی،محقق میرداماد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التقریر،ج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البیع،ج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همان،المکاسب المحرمة،ج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دسته‌اند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آنچه یاد شد،بنا بر دیدگاه بسیاری از فقیهان،آوردن حدیث در کتاب من لایحضره الفقیه خود دلیل بر صحت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آقارضا همدانی بارها در مصباح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نکته را یادآور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میرزای قمی در غنائم الایام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 صدوق را قرینه بر اعتبار آن می‌داند،بلکه معتقد است ارسال آن در من لایحضره الفقیه،اشاره به کمال اعتماد بر آن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محمدجواد عاملی،مفتاح االکرامة،ج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؛نراقی،مستند الشیعة،ج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؛شیخ یوسف بحرانی،الحدائق الناضرة،ج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؛وحید بهبهانی،الفوائد الحائریة،ص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؛ابن‌فهد حلی،المهذب البارع،ج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؛آقاجمال خوانساری،حواشی شرح اللمعة،ص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؛محمدحسن موسوی بجنوردی،القواعد الفقهیة،ج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؛شهید اول،غایة المراد،ج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؛سید محمدباقر شفتی،مطالع الانوار،ج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؛سید محسن حکیم،مستمسک العروة،ج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؛سید محمدصادق روحانی،منهاج الفقاهة،ج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؛امام خمینی،الطهارة،ج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رضا استادی،فصلنامه فقه اهل بیت،قلمرو قاعده درأ،ش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عبدالزهراء حسینی خطیب،مصادر نهج البلاغه و أسانیده،ج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؛محمد حسن ربانی،مجله کاوشی نو در فقه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و قضاوت بر اساس قرینه‌ها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کاظم حائری،القضاء فی الفقه الاسلامی،ص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طریحی،مجمع البحرین،ج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مصطفوی،التحقیق فی کلمات القرآن،ج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محمدحسن ربانی،مجله کاوشی نو در فقه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درأ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استادی،فقه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قلمرو قاعده درأ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؛همان،فقه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قلمرو قاعده درأ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 اصفهانی،مفردات فی غریب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 الامام علی علیه السلام،ج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پرویز صانعی،حقوق جزای عمومی،ج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احمد خوانساری،جامع المدارک،ج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تکملة المنهاج،ج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 طباطبایی،ریاض المسائل،ج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احمد خوانساری،جامع المدارک،ج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ثانی،الروضة البهیة،ج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همان،مسالک الافهام،ج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ابن‌نجیم مصری،البحر الرائق،ج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ابن‌عابدین،حاشیة رد المحتار،ج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عاملی،وسائل الشیعة،ج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استادی،فقه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قلمرو قاعده درأ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اردبیلی،مجمع الفائدة و البرهان،ج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آبی،کشف الرموز،ج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سیدعلی،طباطبایی،ریاض المسائل،ج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اردبیلی،مجمع الفائدة و البرهان،ج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ثانی،مسالک الافهام،ج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؛محقق خوانساری،مشارق الشموس،ج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؛سید علی طباطبایی،ریاض المسائل،ج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تکملة المنهاج،ج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ژان پیناتل،کیفرهای جانشین و جرم‌شناسی،ترجمه علی‌حسین نجفی ابرندآبادی،نرم افزار مقالات حقوقی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میرزای قمی،جامع الشتات،ج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قوانین جزا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،شورای اجتماعی و فرهنگی زنان،ش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شیرازی،فقه العولمة،ص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همین اساس سید مرتضی و شیخ طوسی معتقدند حد بر ذمه مرتکب جرم حدی ثابت است و اگر امام ظاهر شود و مرتکبان زنده باشند و اقرار و بینه موجود باشد،حد را بر ایشان جاری می‌سازد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مرتضی،المقتع فی الغیبة،ص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؛همان،تنزیه الانبیاء،ص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؛شیخ طوسی،الغیبة،ص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میرزای قمی،جامع الشتات،ج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بهایی،جامع عباسی،ص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کاشف الغطاء،النور الساطع فی الفقه النافع،ج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نراقی،عوائد الایام،ص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طوسی،مبسوط،ج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همان،خلاف،ج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 الاسلام،ج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حلی،تحریر الاحکام،ج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محمدصادق روحانی،فقه الصادق،ج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مفید،المقنعة،ص</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سیوری،التنقیح الرائح،ج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؛ابن‌فهد حلی،مهذب البارع،ج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؛علامه حلی،تحریر الاحکام،ج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؛تذکرة الفقهاء،ج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طوسی،نهایة،ص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سلار،المراسم العلویة فی الاحکام النبویه،ص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مفلح صیمری بحرانی،غایة المرام فی شرح شرائع الاسلام،ج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شفتی،مقالة فی تحقیق اقامة الحدود فی هذه الاعصار،ص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حلّی،قواعد الاحکام،ج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همان،مختلف الشیعة،ج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همان،تبصرة المتعلمین،ص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اول،اللمعة الدمشقیة،ص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همان،الدروس،ج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ابن‌فهد حلی،مهذب البارع،ج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مقداد،التنقیح الرائع فی مختصر الشرایع،ج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کرکی،رسائل المحقق الکرکی،ج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همان،جامع المقاصد،ج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همان،رسائل المحقق الکرکی،ج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ثانی،مسالک الافهام،ج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همان،روض الجنان،ص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همان،الروضة البهیة،ج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همان،غایة المراد فی شرح نکت الارشاد،ج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مقدس اردبیلی،مجمع الفائدة و البرهان،ج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کاشانی،مفاتیح الشرایع،ج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خوانساری،روضات الجنات،ج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جعفر کاشف‌الغطاء،کشف الغطاء،ج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حائری یزدی،حکمت و حکومت،ص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هادوی تهرانی،کتاب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 تاریخی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نراقی،عوائد الایام،ص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آیت اللهی،ولایت فقیه،زیربنای فکری مشروطه مشروعه،ص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عبدالحسین لاری،مجموعه رسائل سیدلاری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اتحاد ملت و دولت،ص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مظفر،عقاید الامامیة،ص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همان،مصباح الفقاهه،ج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کریمی جهرمی،در المنضود،ج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صابری همدانی،الهدایة الی من له الولایة،تقریر بحث آیت‌الله گلپایگانی،ص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محمدصادق روحانی،فقه الصادق،ج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محمدحسین نائینی،تنبیه الامة،ص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حسینعلی،منتظری،البدر الزاهر،تقریرات درس آیت‌الله بروجردی،ص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جواد تبریزی،صراط النجاة،ج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 خامنه‌ای،اجوبة الاستفتاءات،ج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لوح فشرده گنجینه آرای فقهی قضایی،معاونت آموزش قوه قضائیه،دفتر آموزش روحانیون و تدوین متون فقهی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حلی،مختلف الشیعة،ج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سلیمی و محمد داوری،جامعه شناسی کجروی،ص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؛محمد علی حاجی ده‌آبادی،جزوه درسی جرم شناسی،مدرسه تخصصی فقه و اصول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مقدس اردبیلی،مجمع الفائده،ج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فصل پیش گفتیم گرچه فقها اقامه تعزیرات را جایز می‌دانند،صاحبان دیدگاه عدم جواز اقامه حدود باید قاعدتاً اقامه تعزیر را نیز منع کنند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 طباطبایی،ریاض المسائل،ج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حسن نجفی،جواهر الکلام،ج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بهایی،جامع عباسی،ص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عبدالله جزائری،التحفة السنیة،ص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شفتی،مقالة فی تححقیق اقامة الحدود فی هذه الاعصار،ص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محمدصادق روحانی،فقه الصادق،ج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مکارم شیرازی،بحوث فقهیة هامة،ص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محمدحسین نائینی،تنبیه الامة و تنزیه الملة،ص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جهانگیر صالح پور،مجله کیان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دوران گذار از فقه جواهری تا فقه المصلحة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خمینی،کتاب البیع،ج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 نظام در این معنا خود قابل تفکیک به دو معناست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از اسلام و سرزمین اسلامی و جان و مال مسلمانان؛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و دفاع از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مهوری،مجله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نظام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ملامحسن فیض کاشانی،مفایح الشرائع،ج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محمدحسین نائینی،تنبیه الامة و تنزیه الملة،ص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علی‌اکبر کلانتری،حکم ثانوی در تشریع اولی،ص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حلی،تذکرة الفقها،ج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آملی،کتاب المکاسب و البیع،تقریرات بحث النائینی،ج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انصاری،القضا و الشهادات،ص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همان،رسائل الفقهیه،ص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همان،کتاب المکاسب،ج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روزدری،تقریرات آیت الله المجدد الشیرازی،ج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؛سید بجنوردی،القواعد الفقهیة،ج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آشتیانی،کتاب القضاء،ص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آقارضا همدانی،مصباح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بحرالعلوم،بلغة الفقیه،ج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کاظم یزدی،عروة الوثقی،ج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اسحاق فیاض،منهاج الصالحین،ج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جواد تبریزی،صراط النجاة،ج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؛ناصر مکارم شیرازی،بحوث فقهیة هامة،ص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؛سید محمدصادق روحانی،فقه الصادق،ج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پایان این بحث شایسته است به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نظام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 نظام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 نظام عبارت است از انجام فعلی که موجب سوددهی به نظام گردد یا ترک عملی که موجب ضرر و مفسده شود،در حالی که حفظ نظام در مواردی است که انجام یا ترک آن اعمال سبب حفظ نظام از هرج و مرج و نابسامانی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بنابراین،می‌توان گفت مصلحت نظام،اعم از حفظ نظام بوده،حفظ نظام خود یکی از مصادیق مصلحت نظام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 دیگر،می‌توان گفت حفظ نظام مهم‌ترین مصداق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 نظام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مصلحت نظام مترادف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نظام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میراحمدی،رابطه آزادی و ولایت در اندیشه سیاسی امام خمینی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اکبر کلانتری،مجله کاوشی نو در فقه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و مصلحت نظام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محسن خرازی،مجله فقه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کاوشی در حکم فقهی تجسس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انصاری،کتاب المکاسب،ج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خمینی،البیع،ج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خمینی،صحیفه نور،ج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علامه‌حلّی،کشف المراد فی شرح تجرید الاعتقاد،ص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آخوند خراسانی،کفایة الاصول،ص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غزالی،المستصفی من علم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 در مباحث فقهی در موارد متعدد این مسئله را بیان کرده است؛از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دعوی الجزم بالمناط فی غیر محلّها فی الاحکام التعبدیة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خمینی،الطهارة،ج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وبالجملة الطریق الی العلم بمناطات مثل تلک الاحکام التعبدیة مسدود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مهم‌ترین دلیل بر تعلیل‌پذیر بودن معاملات،استقراء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ابن‌اسحاق شاطبی،الموافقات،ج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محمدابراهیم شمس ناتری،کتاب مجازات اعدام،ص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مشهور فقها احکام فقهی را به دو باب عبادات و معاملات تقسیم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تقسیم معاملات نیز خود شامل عقود و احکام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نیز خود به جنایات و غیرجنایات منقسم می‌شود که حدود نیز از همین قسم اخیر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برخی دیگر از فقها تقسیمات دیگری نیز ارائه داده‌اند که در این تقسیمات،حدود از دایره معاملات خارج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مثال،از درس آیت‌الله نائینی نقل شده است که ایشان ابواب فقهی را به عبادات،معاملات،عادات و احکام تقسیم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خازم،مدخل الی علم الفقه عند المسلمین الشیعة،ص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ابوالقاسم،خویی،مبانی تکملة المنهاج،ج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محمدکاظم مصطفوی،مائة قاعدة فقهیة،ص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 حسینی،کاوشی نو در فقه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مطلقه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ثانی،مسالک الافهام،ج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مکارم شیرازی،بحوث فقهیة هامة،ص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 خوانساری،جامع المدارک،ج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حلی،کشف المراد فی شرح تجرید الاعتقاد،ص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 رضوی،بحوث حول الولایة،ص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انصاری،کتاب المکاسب،ج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محمدصادق روحانی،منهاج الفقاهة،ج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عباسعلی عمید زنجانی،فقه سیاسی،ج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ابن‌اثیر،النهایة فی غریب الحدیث،ج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طریحی،مجمع البحرین،ج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قلعجی،معجم لغة الفقها،ص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علیرضا صدر حسینی،درسنامه فقه الحکومة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نیره قوی،فصلنامه پژوهشی 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دامنه امور حسبیه از دیدگاه امام علی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 در این رابطه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الحسبة فهی وظیفه دینیة من باب‌الامر بالمعروف و النهی عن المنکر الذی‌هو فرض علی القائم بأمور المسلمین یعین لذلک من یراه أهلاً له فیتعین فرضه علیه ویتخذ الاعوان علی ذلک ویبحث عن المنکرات ویعزر و یؤدب علی اقدرها و یحمل الناس علی المصالح العامة فی المدینة؛حسبه یکی از وظایف دینی و از مصادیق امر به معروف ونهی از منکر است که اجرای آن بر متصدی انجام امور مسلمانان واجب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کسی را که برای این سمت مناسب و شایسته تشخیص دهد،منصوب می‌کند و به این ترتیب اجرای این امور بر این متصدی حسبه واجب عینی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متصدی منصوب هم کسانی را به‌عنوان همکاری با خود استخدام کرده،از منکرات تفتیش می‌کند و تعزیر و تنبیه تأدیبی متناسبی با منکر اجرا کرده،مردم را به رعایت مصالح عمومی در شهر وامی‌دارد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ابن‌خلدون،تاریخ ابن‌خلدون،ج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آملی،تقریرات بحث نائینی،ج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نخستین فقیهی که حسبه را به عنوان کتابی مستقل بررسی کرده،شهید اول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در کتاب دروس بحثی را به کتاب الحسبة اختصاص داده،در آن مباحث امر به معروف و نهی از منکر را بررسی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اول،الدروس،ج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انصاری،کتاب المکاسب،ج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خمینی،کتاب البیع،ج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بحرالعلوم در مبحث ششم رساله ولایت بحث نسبتاً مفصلی را 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ولایت‌حسبه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مطرح کرده،می‌فرماید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حسبه هر کار نیکی است که می‌دانیم شرعاً وجود آن در خارج خواسته شده است،بدون این‌که انجام دهنده ویژه‌ای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بحرالعلوم،بلغة الفقیه،ج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میرزا محمدحسین نایینی در تعریف حسبه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از ولایات نوعیه را که عدم‌رضای شارع مقدس به اهمال آن معلوم باشد،وظایف حسبیه نامیده و نیابت فقهای عصر غیبت را در آن متیقّن و ثابت دانستیم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حسین‌نائینی،تنبیه الامة وتنزیه الملة؛به نقل از محمود طالقانی؛به نقل از نیره قوی،فصلنامه پژوهشی 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دامنه امور حسبیه از دیدگاه 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خویی نیز حسبه را چنین تعریف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 قُربی که باید در خارج محقق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اهمال و فروگذاری آن در هر زمان روا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ابوالقاسم خویی،کتاب الاجتهاد و التقلید،ص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در این تعریف شرط عدم اختصاص به شخص معین قید نشده،ولی بعید به نظر می‌رسد این شرط ملحوظ ایشان نباشد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نوشتار امکان بررسی صحت این نظریه نیست و برای تحقیق بیشتر در مورد آن،ر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مصطفی خمینی،ثلاث رسائل،ولایة الفقیه،ص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عباسعلی عمید زنجانی،فقه سیاسی،ج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جرجانی،تفسیر شاهی،ج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کاشانی،الوافی،ج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همان،مفاتیح الشرائع،ج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آملی،تقریرات بحث نائینی کتاب المکاسب و البیع،ج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انصاری،کتاب المکاسب،ج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یقین امامان معصوم بر امور حسبیة ولایت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بنابراین،فقها نیز که نایبان ایشان هستند،ولایت بر این امور در زمان غیبت برایشان ثابت است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اساس مقبوله،تمامی اختیارات قضات و حکام جور به فقها تفویض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قرینه برخی روایات،چون صحیحه اسماعیل بن بزیع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طوسی،تهذیب،ج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 است که رسیدگی به امور حسبیه یکی از وظایف قضات جور بوده است؛پس باید یکی از وظایف فقها نیز باشد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نظیر نبوی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 ولی من لا ولی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حلی،تذکرة الفقها،ج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آملی،ولایت فقیه،ولایت فقاهت و عدالت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ابن‌زهره،غنیة النزوغ،ص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؛شیخ طوسی،المبسوط،ج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؛همان،الخلاف،ج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طوسی،النهایة،ص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؛علامه حلی،تبصرة المتعلمین،ص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؛شهید اول،دروس،ج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؛شهید ثانی،مسالک الافهام،ج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زیرا وجود موارد جواز،ثابت می‌کند که اصل مشروعیت محرز بوده،منوط به نظر امام نیست؛وگرنه،هیچ وجهی ندارد که اقامه حدود در دستگاه ستمگران را جایز بدانیم و در عین حال اقامه حدود را مقید به زمان حضور نماییم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به‌علاوه،بر اساس این نظریه می‌توان به قیاس اولویت برای جواز اجرای حدود از سوی فقیه استناد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اجرای حد برای غیرفقیه مشروعیت داشته باشد،برای فقیه جامع الشرایط به طریق اولی مشروع خواهد بود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لوح فشرده گنجینه آرای فقهی قضایی،معاونت آموزش قوه قضاییه،دفتر آموزش روحانیون و تدوین متون فقهی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محمدجواد 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تئوری عدالت در حکومت اسلامی و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www.j - fazel.org</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وجود اینکه در حدود عمدتاً مقابله به‌مثل مطرح نیست،ولی به هر حال به نوعی تحصیل عدالت ملحوظ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رضا علیه السلام در روایتی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در زنا تمام جسم مجرم لذت برده است،باید تازیانه به شدت بر جسم او زده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صدوق،علل الشرایع،ج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؛علامه مجلسی،بحارالانوار،ج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؛عزیز الله عطاردی،مسند امام رضا علیه السلام،ج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حر عاملی،وسائل الشیعة،ج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شفتی،مقالة فی تحقیق اقامة الحدود فی هذه الاعصار،ص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 خوانساری،جامع المدارک،ج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مصطفی خمینی،ثلاث رسائل،ولایة الفقیه،ص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اساس اطلاقات،اجرای حدود در هر زمان،حتی عصر غیبت جایز است،ولی بر اساس احتمال فوق در عصر غیبت به دلیل عدم ثبوت نصب،اجرای حدود جایز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مشخص است که نتیجه احتمال اختصاص با مفاد اطلاقات تعارض آشکاری دارد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ملاصدرا،تفسیر القرآن الکریم،ج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مکارم شیرازی،الامثل فی تفسیر کتاب الله المنزل،ج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أن إقامة الحدود من فروض الإمام وعباداته وکذلک ما حرم تضییع إقامتها علیه مع الإمکان،ولیس إقامة الإمام واختیاره من فروضنا فیلزمنا إقامته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نحن المخاطبون بإقامة الحدود فیلزمنا الذم بتضییعها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مرتضی،الشافی فی الامامة،ج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طبرسی،مجمع البیان،ج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قطب راوندی،فقه القرآن،ج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دلیل حرمت معاونت ستمگران و حرمت قبول ولایت از طرف ایشان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علیرضا صدر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محدوده اختیارات حاکمان جور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http://www.sadrsite.com/maqalat/hakem.htm</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جرجانی،تفسیر شاهی،ج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گرچه به نظر نگارنده،به نظر می‌رسد امت اسلامی مخاطب آیات است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علیرضا صدر حسینی،درسنامه فقه الحکومة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نراقی،عوائد الایام،ص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آملی،کتاب المکاسب و البیع تقریر بحث نائینی،ج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علیرضا صدر حسینی،درسنامه فقه الحکومة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الزیادات من القضاء و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الحسن الصفار عن علی بن محمد عن القاسم بن محمد عن سلیمان بن داود المنقری عن حفص بن غیاث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أباعبدالله علیه السلام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یقیم الحدود،السلطان او القاضی؟فقال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اقامة الحدود الی من الیه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طوسی،تهذیب الاحکام،ج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دیگری در آخر باب زیادات از کتاب حدود با این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سلیمان بن داود المنقری عن حفص بن غیاث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أباعبدالله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یقیم الحدود،السلطان او القاضی؟قال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اقامة الحدود الی من الیه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عاملی،وسائل الشیعة،ج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حدود،ص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اصحاب امام حسن عسکری علیه السلام،صاحب کتاب ارزشمند بصائر الدرجات که از اصول معتبر و مورد توجه کلینی و صدوق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 درباره او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وجها فی اصحابنا القمیین،ثقة،عظیم القدر،راجحا،قلیل السقط فی الروایة له 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ابن‌داود پنداشته که محمد بن الحسن الصفار غیر از محمد بن الحسن بن فروخ الصفار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دلیل،در کتاب خود دو عنوان زده،اولی را توثیق نکرده؛در حالی که عده‌ای چون میرزا،تفرشی،شیخ بهایی و غیر ایشان به اتحاد این دو تصریح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الحسن الصفار،بصائر الدرجات،ص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مشترک است بین ثقه و غیرثقه،همچون علی بن محمد بن شیرة کاشانی،علی بن محمد بن علی اشعری،علی بن محمد بن منقری،علی بن محمد بن قتیبه نیشابوری،علی بن محمد بن علی بن عمر،علی بن محمد بن ابراهیم،علی بن محمد بن جعفر و</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صدوق،من لایحضره الفقیه،ج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نجاشی،رجال نجاشی،ص</w:t>
      </w:r>
      <w:r>
        <w:rPr>
          <w:rFonts w:eastAsia="IRNazanin" w:cs="IRNazanin"/>
          <w:b w:val="false"/>
          <w:bCs w:val="false"/>
          <w:i w:val="false"/>
          <w:iCs w:val="false"/>
          <w:color w:val="333333"/>
          <w:sz w:val="20"/>
          <w:szCs w:val="20"/>
        </w:rPr>
        <w:t>261</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سعدبن عبدالله ابی‌خلف اشعری قمی است که هیچ شکی در وثاقت او نیست و شیخ او را جلیل القدر،واسع الاخبار،کثیر التصانیف و ثقه خوانده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ابوالقاسم خویی،معجم الرجال،ج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کلباسی،الرسائل الرجالیة،ج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نجاشی،رجال نجاشی،ص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حلی،خلاصة الاقوال،</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ابن‌داود،رجال ابن‌داود،</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محمد استرآبادی،منهج المقال،ص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بهایی،الوجیزة فی الدرایة،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خویی،معجم الرجال،ج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معجم الرجال هم هنگام بررسی قاسم بن محمد اصفهانی،صرفاً به نقل اقوال پرداخته شده،بدون اظهار نظری خاص؛اما مؤلف در بحث از حفص بن غیاث،طریق صدوق را به ایشان صحیح دانسته،در حالی که در یکی از این طرق محمد بن قاسم اصفهانی قرار دارد و مؤلف گرانمایه نیز بدان اشاره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حلی،خلاصة‌الاقوال،ص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ابن‌داود،رجال ابن‌داود،ص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نجاشی،رجال نجاشی،ص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طوسی،الفهرست،ص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باید توجه داشت صرف انتساب کتابی به شخصی،دلیل اعتماد بر آن کتاب و صاحب آن نمی‌شود،مگر اینکه به معتمد بودن کتاب تصریح شده باشد که در این صورت روایات کتاب قابل عمل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خویی معتقد است پس از توثیق نجاشی و علی بن ابراهیم،اشکالی در وثاقت ایشان باقی نمی‌ماند و تضعیف علامه پذیرفته نیست؛چون ایشان طریق صحیحی به کتاب ابن‌غضائری نداشته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تضعیف مجلسی هم یا مبتنی است بر اجتهاد یا تضعیف منقول ازعلامه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ابوالقاسم خویی،معجم الرجال،ج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شفتی،مقالة فی تحقیق اقامة الحدود فی هذه الاعصار،ص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نجاشی،رجال نجاشی،ص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طوسی،الفهرست،ص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؛علامه حلی،خلاصة الاقوال،ص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؛وحید بهبهانی،تعلیقة علی منهج المقال،ص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ابن‌ادریس حلی،السرائر،ج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حلی،المعتبر،ج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اول،ذکری الشیعة،ج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همان،البیان،ص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حلی،منتهی المطلب،ج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کرکی،جامع المقاصد،ج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مقداد،التنقیح الرائح،ج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إبراهیم،عن أبیه عن القاسم بن محمد،عن سلیمان بن داود المنقری،عن حفص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موسی بن جعفر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لرجل أتحب البقاء فی الدنیا؟فقال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لقراءة قل هو الله أحد،فسکت عنه فقال له بعد 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حفص من مات من أولیائنا وشیعتنا ولم یحسن القرآن علم فی قبره لیرفع الله به من درجته فإن درجات الجنة علی قدر آیات القرآن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وارق،فیقرأ ثم یرقی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رأیت أحدا أشد خوفا علی نفسه من موسی بن جعفر علیه السلام،ولا أرجأ الناس منه وکانت قراءته حزنا،فإذا قرأ فکأنه یخاطب إنسانا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فضل حامل قرآن،ص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إبراهیم،عن أبیه،عن القاسم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بن محمد،عن القاسم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سلیمان بن داود المنقری،عن حفص بن غیاث،عن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قدرتم أن لا تعرفوا فافعلوا وما علیک أن لم یثن الناس علیک وما علیک أن تکون مذموما عند الناس إذا کنت محمودا عند الله تبارک وتعالی،إن أمیر المؤمنین علیه السلام کان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خیر فی الدنیا إلا لاحد رجلین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یزداد فیها کل یوم إحسانا ورجل یتدارک منیته بالتوبة وأنی له بالتوبة فوالله أن لو سجد حتی ینقطع عنقه ما قبل الله عز وجل منه عملا إلا بولایتنا أهل البیت،ألا ومن عرف حقنا أو رجا الثواب بنا ورضی بقوته نصف مد کل یوم وما یستر به عورته وما أکن به رأسه وهم مع ذلک و الله خائفون وجلون ودوا أنه حظهم من الدنیا وکذلک وصفهم الله عز وجل حیث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یُؤْتُونَ ما آتَوْا وَ قُلُوبُهُمْ وَجِلَةٌ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أتوا به أتوا و الله بالطاعة مع المحبة و الولایة وهم فی ذلک خائفون أن لا یقبل منهم ولیس و الله خوفهم خوف شک فیما هم فیه من أصابة الدین،ولکنهم خافوا أن یکونوا مقصرین فی محبتنا وطاعتنا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قدرت أن لا تخرج من بیتک فافعل فإن علیک فی خروجک أن لا تغتاب ولا تکذب ولا تحسد ولا ترائی ولا تتصنع ولا تداهن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صومعة المسلم بیته یکف فیه بصره ولسانه ونفسه وفرجه،إن من عرف نعمة الله بقلبه استوجب المزید من الله عز وجل قبل أن یظهر شکرها علی لسانه ومن ذهب یری أن له علی الآخر فضلا فهو من المستکبرین،فقلت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 أن له علیه فضلا بالعافیة إذا رآه مرتکبا للمعاصی؟فقال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هیهات هیهات فلعله أن یکون قد غفر له ما أتی وأنت موقوف محاسب أما تلوت قصة سحرة موسی علیه السلام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من مغرور بما قد أنعم الله علیه وکم من مستدرج بستر الله علیه وکم من مفتون بثناء الناس علیه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لأرجو النجاة لمن عرف حقنا من هذه الأمة إلا لاحد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سلطان جائر وصاحب هوی و الفاسق المعلن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کُنْتُمْ تُحِبُّونَ اللّهَ فَاتَّبِعُونِی یُحْبِبْکُمُ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حفص الحب أفضل من الخوف،ثم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ما أحب الله من أحب الدنیا ووالی غیرنا ومن عرف حقنا وأحبنا فقد أحب الله تبارک وتعالی،فبکی رجل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أتبکی لو أن أهل السماوات و الأرض کلهم اجتمعوا یتضرعون إلی الله عز وجل أن ینجیک من النار ویدخلک الجنة لم یشفعوا فیک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کان لک قلب حی لکنت أخوف الناس لله عز وجل</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خویی،معجم الرجال،ج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محمدرسول کاشانی،النبیه فی وظایف الفقیه،ص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صدوق،من لایحضره الفقیه،ج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طوسی،تهذیب الاحکام،ج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صدوق،من لایحضره الفقیه،ج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شفتی،مقالة فی تحقیق اقامة الحدود فی هذه الاعصار،ص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سیدمحمدرضا گلپایگانی،الهدایة،ص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حسینعلی منتظری،دراسات فی ولایة الفقیه،ص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حلی،تذکرة الفقهاء،ج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همان،منتهی المطلب،ج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اردبیلی،مجمع الفائدة و البرهان،ج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حسن عابدیان،کوثر 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 و اجرای حدود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حلی،مختلف الشیعه،ج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همان،منتهی المطلب،ج</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ثانی،مسالک الافهام،ج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وهمان،روض الجنان،ص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اردبیلی،مجمع الفائدة و البرهان،ج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سبزواری،کفایة الاحکام،ص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محمدصادق روحانی،فقه الصادق،ج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نراقی،عوائدالایام،عائدة فی ولایة الحاکم،ص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انصاری،القضاء و الشهادات،ص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بحرالعلوم،بلغة الفقیه،رسالات فی‌الولایات،ج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محمدحسین نائینی،منیة الطالب،ج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عبدالاعلی سبزواری،مهذب‌الاحکام،ج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خمینی،البیع،ج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محمدرضا گلپایگانی،الهدایة الی من له الولایه،ص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،ترجمه سید جواد مصطفوی،ص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یحیی،عن محمد بن الحسین،عن محمد بن عیسی،عن صفوان بن یحیی،عن داود بن‌الحصین،عن عمر بن حنظلة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سالت اباعبدالله علیه السلام عن رجلین من اصحابنا،بینهما منازعة فی دین او میراث فتحاکما الی‌السلطان او الی القضاة ایحل ذلک؟فقال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تحاکم الیهم فی حق او باطل فانما تحاکم الی‌الطاغوت،و ما یحکم له فانما یاخذ سحتا و ان کان حقا ثابتا له،لانه اخذه بحکم الطاغوت و قد امرالله ان‌یکفر به،قال الله تعالی یریدون ان یتحاکموا الی الطاغوت و قد امروا ان یکفروا به قلت فکیف یصنعان؟قال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منکم ممن قد روی حدیثنا و نظر حلالنا و حرامنا و عرف احکامنا،فلیرضوا به حکما فانی قد جعلته علیکم حاکما فاذا حکم بحکمنا فلم یقبله منه فانما استخف بحکم الله وعلینا رد و الراد علینا الراد علی الله و هو علی حد الشرک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صدوق،من لایحضره الفقیه،ج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طوسی،تهذیب الاحکام،ج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صدوق،من لایحضره الفقیه،ج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این فرد از مشایخ اجازه بوده،بر وثاقت دلالت دارد و در طریق صدوق به داوود رقی،زکریا و غیر این دو قرار گرفته است و صدوق از او زیاد روایت کرده و هر جا نام او را به کار برده،او را دعا نموده،برای او طلب رحمت و رضایت الهی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جدم گفت صدوق بیش از هزار بار تا جایی که من در کتبش دیدم،برای او طلب رحمت کرده است و این بر نهایت جلالت،کثرت و مقبولیة روایت دلالت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 بهبهانی،تعلیقة علی منهاج المقال،ص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 درباره وی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ثقة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نجاشی،رجال نجاشی،ص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نیز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جلیل القدر کثیر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طوسی،فهرست،ص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صدوق،من لایحضره الفقیه،ج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شمون ابتدا واقفی بود و سپس به غلو روی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نجاشی،رجال نجاشی،ص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 درباره او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ثقة،عین،کثیر الحدیث،له 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نجاشی،رجال نجاشی،ص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نیز او را شیخ اصحاب،ثقه،عین و کثیر الروایه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حلی،خلاصة الاقوال،ص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نجاشی،رجال نجاشی،ص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؛شیخ طوسی،الفهرست،ص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؛علامه حلی،خلاصة الاقوال،ص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؛ابن داوود حلی،رجال ابن‌داوود،ص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؛محمدعلی اردبیلی،جامع الرواة،ج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طوسی،رجال طوسی،ص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نجاشی،رجال نجاشی،ص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شفتی،مقالة فی تحقیق اقامة الحدود فی هذه الاعصار،ص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 از وی نقل کرده است و نیز شیخ طوسی در استبصار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طوسی،الفهرست،ص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؛همان،رجال طوسی،ص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؛همان،الاستبصار،ج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ثانی،مسالک الافهام،ج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کشی در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علی بن محمد قتیبی،شاگرد فضل روایت کرده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فضل،عبیدی را دوست می‌داشت و او را ثنا و مدح می‌کرد و یمیل الیه و می‌گفت در اطرافیانش نظیر او نیست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کشی در ترجمه محمد بن سنان کسانی را که از او روایت کرده‌اند،نام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کلام وی این‌گونه استفاده می‌شود که تمامی این افراد مورد وثوق هستند که از جمله ایشان محمد بن عیسی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محقق داماد هم به استناد همین بیان مدعی شده که کشی محمد بن عیسی را توثیق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 وی را از بزرگان کثیر الروایه و حسن التصانیف دانسته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جلیل فی اصحابنا،ثقة،عین،کثیرالراویة،حسن التصانیف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کشی از فضل بن شاذان روایت کرده،در پی آورده و گفته همین ثنا از فضل بن شاذان کافی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نجاشی،رجال نجاشی،ص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طرق صدوق به اسماعیل بن جابر،حنان بن سدیر،داوود صیرفی،علی بن میسره و یاسین ضریر را صحیح دانسته،در همه این موارد اسناد مشتمل بر محمد بن عیسی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حلی،خلاصة الاقوال،ص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السماویه،ص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درباره وی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یثبت عندی وقفه بل الراجح جلالته عن کل غمز و شائبه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ابوالقاسم خویی،معجم رجال‌الحدیث،ج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شفتی،مقالة فی تحقیق اقامة الحدود فی هذه الاعصار،ص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طوسی،تهذیب الاحکام،ج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استبصار،ص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درباره داوود بن حصین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داوود بن حصین الاسدی مولاهم کوفی ثقة روی‌عن ابی عبدالله و ابی‌الحسن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طوسی،رجال طوسی،ص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حلی،خلاصة الاقوال،ص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شفتی،مقالة فی تحقیق اقامة الحدود فی هذه الاعصار،ص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آیت‌الله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 بر توثیق او در کتب رجالی نیست،اما برخی به استناد وجوهی وی را توثیق کرده‌اند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محمد بن یعقوب،عن علی بن إبراهیم،عن محمد بن عیسی،عن یونس بن یزید بن خلیفة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 ع إن عمر بن حنظلة أتانا عنک بوقت،فقال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ع إذا لا یکذب 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وقت الظهر و العصر من کتاب الصلاة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روایت ضعیف است؛زیرا یزید بن خلیفه واقفی است و توثیق نشده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الصفار عن الحسن بن علی بن عبد الله،عن الحسین بن علی بن فضال عن داود بن أبی یزید،عن بعض أصحابنا،عن عمر بن حنظلة،فقال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جعفر ع إنی أظن أن لی عندک منزلة،قال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،نادر من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الأئمة ع أنهم أعطوا اسم الله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این روایت خود عمر بن حنظله است و روایت به دلیل ارسال آن ضعیف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آنکه از این روایت توثیق فهمیده نمی‌شود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محمد بن یعقوب عن محمد بن یحیی،عن أحمد بن محمد عن علی بن الحکم،عن عمر بن حنظلة،عن أبی عبد الله 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عمر لا تحملوا علی شیعتنا و ارفقوا بهم،فإن الناس لا یحتملون ما تحملون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روضة،ح</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این روایت هم شهادتی است از خود عمر بن حنظله و غیرمسموع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محمد بن یعقوب،عن محمد بن الحسن،عن سهل بن زیاد عن ابن سنان،عن محمد بن مروان العجلی،عن علی بن حنظلة،قال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اعرفوا منازل الناس علی قدر روایاتهم 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النوادر من کتاب فضل العلم،ص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این روایت این است که کثرت روایت،خود قرینه‌ای است بر جلالت و مکانت 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حنظله هم ظاهراً کثیر الروایة است،اما این روایت هم ضعیف است؛به دلیل سهل بن زیاد،محمد بن سنان و محمد بن مروان عجلی که مجهول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به‌علاوه،کثرت روایت تنها در صورتی کاشف جلالت راوی است که صدق وی معلوم باشد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 روایات او عمل کرده‌اند و به همین دلیل،همین روایت او را مقبوله نامیده‌اند،در حالی که عمل مشهور به روایات ایشان معلوم نیست و صرف اینکه یک روایت او مقبوله نامیده شده،از قبول همه روایات او کشف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فرض هم که بپذیریم مشهور به روایات او عمل می‌کرده‌اند،عمل مشهور کاشف صدق راوی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چه‌بسا عمل مشهور بر اساس بنا بر اصالة العدالة از سوی برخی باشد که دیگران نیز از ایشان پیروی کرده‌اند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بزرگان اصحاب نظیر زراره،عبدالله بن مسکان و صفوان بن یحیی از ایشان روایت کرده‌اند،ولی صرف روایت این بزرگان نیز بر وثاقت مروی عنه دلالت نمی‌کند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شفتی،مقالة فی تحقیق اقامة الحدود فی هذه الاعصار،ص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مشایخ الثقات عبارت‌اند از ابن ابی‌عمیر،صفوان و بزنطی که شیخ درباره ایشان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عرفوا بانهم لایرووون و لایرسلون الا عمن یوثق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طوسی،عدة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آیت‌الله خویی معتقد است این مبنای شیخ هم به نقل اجماع کشی برمی‌گردد و شیخ این سه بزرگوار را از باب مثال ذکر کرده،قصد انحصار در آنها را نداشته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شیخ گمان کرده منشأ اجماع مدعا از سوی کشی این بوده که ایشان از غیر ثقات نقل روایت نمی‌نموده‌اند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ابوالقاسم خویی،معجم الرجال،ج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بسیاری از بزرگان،از جمله آیت‌الله خویی تصحیح مرویات اصحاب اجماع را بر اساس آنچه کشی نقل کرده،نپذیرفته‌اند و می‌گویند مراد ایشان تنها بیان جلالت و جایگاه ویژه این اصحاب بوده و در واقع کنایه است از اجماع بر عدالت و صدق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 دیگر،مراد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یصح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عبارت کشی،روایت و حکایت ایشان است،نه مرویاتشان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فیض کاشانی،وافی،مقدمه سوم،ص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 از سید شفتی در رساله‌ای 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تصحیح روایت به معنای مصدری است که همان حدثنی،اخبرنی یا سمعت من فلان است که در کلام ایشان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ترتیب،اگر یکی از ایشان مثلاً گفت اخبرنی،اصحاب اجماع دارند که ایشان در این اعتقاد صادق‌اند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سبحانی،کلیات علم الرجال،ص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خمینی،ولایت فقیه،ص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انصاری،کتاب المکاسب،ج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همان،القضاء و الشهادات،ص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شفتی،مقالة فی اقامة الحدود فی هذه الاعصار،ص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احمد،خوانساری،جامع المدارک،ج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محمدهادی معرفت،ولایت فقیه از دیدگاه شیخ انصاری و آیت‌الله خویی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البلاغة،شیخ محمد عبده،ج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محمدهادی معرفت،ولایت فقیه از دیدگاه شیخ انصاری و آیت‌الله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از مفهوم حکم و کاربردهای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حسینعلی منتظری،دراسات فی ولایة الفقیه و فقه الدولة الاسلامیة،ج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کلینی،اصول 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صدوق،من لایحضره الفقیه،ج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طوسی،تهذیب الاحکام،ج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انصاری،قضا و شهادات،ص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کاظم حائری،القضاء فی الفقه الاسلامی،ص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خمینی،الاجتهاد و التقلید،ص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؛الرسائل،ج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همان،کتاب الاجتهاد و التقلید،ص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؛همان،مبانی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مجلسی،روضة المتقین،ج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طوسی،الفهرست،ص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حلی،خلاصة الاقوال،ص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نجاشی،رجال نجاشی،ص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کشی،رجال کشی،ص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حلی،مختلف الشیعة،ج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نراقی،مستند الشیعة،ج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ثانی،مسالک الافهام،ج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محمدصادق روحانی،فقه الصادق،ج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محسن حکیم،مستمسک العروة،ج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آیت‌الله خویی شاگرد آیت‌الله حکیم،این‌گونه استنباط از روایت را نمی‌پسندد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فدعوی انّ الولایة من شئون القضاء عرفاً ممنوعة ثباتاً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الصحیح انهما امران و یتعلق الجعل بکل منهما مستقلاً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ابوالقاسم خویی،کتاب الاجتهاد و التقلید،ص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محمدرضا گلپایگانی،الهدایة،الاول،ص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غیلان ما أظن ابن هبیرة وضع علی قضائه إلا فقیها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غیلان تجمع بین المرء وزوجه؟قال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وتفرق بین المرء وزوجه؟قال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وتقتل؟قال نعم،قلت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وتضرب الحدود؟قال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وتحکم فی أموال الیتامی؟قال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محمدرضا گلپایگانی،الهدایة،ص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در اوایل جزء سوم از فقیه در باب ارش خطای قضات با سندی ناواضح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 جهالت بعضی و وقوع اختلاف در بعضی دیگر و عامی بودن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اصبغ بن نباته با تفاوت اندکی در متن،حدیث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نیز در تهذیب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قتیل الزحام و مجهول القاتل و من لا دیة له و من لیس لقاتله 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با نقل و سند کافی و با اسانیدش به کلینی و در باب زیادات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 و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را از اصبغ بن نباته مانند فقیه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ابی‌مریم،مشترک است میان عبدالغفار بن قاسم که ثقه است و غیر او؛منتها روایت او از احدهما قرینه است بر اینکه او عبدالغفار است،بنا بر آنچه ابن‌طریح و شیخ محمدامین کاظمی در مشترکاتشان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مشترکات کاظمی،ص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هدایة المحدثین،ص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افزون بر اینکه گفته شده غیر عبدالغفار از کسانی که به این کنیه نامیده شده‌اند،اصالت ندارند و دارای کتاب نیز نیستند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اطلاق به سوی ایشان منصرف 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موثق بوده،معتضد است 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آن در کتاب‌های معتبری که مصنفان آنها معمولاً یا آثار صحیح را از صادقین علیهما السلام ذکر می‌کردند یا چیزی را که بین ایشان و خدا حجت بود،می‌گفتند یا روایاتی را که معارضاتی قوی‌تر داشتند،تأویل می‌بردند،در حالی که این حدیث را بدون هیچ تأویلی آورده‌اند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فتوای بسیاری از متقدمین و متأخرین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کاشانی،النبیه فی وظایف الفقیه،ص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سیدمحمدرضا گلپایگانی،الهدایة،ص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محمدرسول کاشانی،النبیه فی وظایف الفقیه،ص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مکارم شیرازی،بحوث فقهیة هامة،ص</w:t>
      </w:r>
      <w:r>
        <w:rPr>
          <w:rFonts w:eastAsia="IRNazanin" w:cs="IRNazanin"/>
          <w:b w:val="false"/>
          <w:bCs w:val="false"/>
          <w:i w:val="false"/>
          <w:iCs w:val="false"/>
          <w:color w:val="333333"/>
          <w:sz w:val="20"/>
          <w:szCs w:val="20"/>
        </w:rPr>
        <w:t>429</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 خوانساری،جامع المدارک،ج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محمدهادی معرفت،ولایت فقیه،ص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محمدرضا گلپایگانی،کتاب القضاء،ج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محمدهادی معرفت،ولایت فقیه،ص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شقیر،فقه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درباره توقیع شریف امام زمان علیه السلام به اسحاق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صدوق،کمال الدین و تمام النعمة،ص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طوسی،الغیبة،ص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؛لطف‌الله صافی گلپایگانی،حکومت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حکومت یا ولایت فقها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جواهری،المفید من معجم رجال الحدیث،ص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نمازی شاهرودی،مستدرکات علم الرجال،ج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وحید بهبهانی،تعلیقة علی منهج المقال،ص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سیدعلی بروجردی،طرائف المقال،ج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 الله صافی گلپایگانی،فصلنامه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حکومت یا ولایت فقها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محمدعلی اردبیلی،جامع الرواة،ج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محمود هاشمی شاهرودی،کتاب الحج،ج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شقیر،مجله فقه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توقیع شریف امام زمان عجّل الله تعالی فرجه الشریف به اسحاق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انصاری،کتاب المکاسب،ج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عبارت در هیچ‌یک از نقل‌های توقیع مشاهده نشد،بعید نیست صاحب جواهر به روایاتی 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ارحم خلفائی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داشته باشند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 خوانساری،جامع المدارک،ج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محمدصادق روحانی،فقه الصادق،ج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ارتباط با امام زمان عجّل الله تعالی فرجه الشریف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،منتشره در سایت </w:t>
      </w:r>
      <w:r>
        <w:rPr>
          <w:rFonts w:eastAsia="IRNazanin" w:cs="IRNazanin"/>
          <w:b w:val="false"/>
          <w:bCs w:val="false"/>
          <w:i w:val="false"/>
          <w:iCs w:val="false"/>
          <w:color w:val="333333"/>
          <w:sz w:val="20"/>
          <w:szCs w:val="20"/>
        </w:rPr>
        <w:t>WWW.MONAJAT.ORG</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 خوانساری،جامع المدارک،ج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سروش،دین و دولت در اندیشه اسلامی</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نجفی ایروانی،حاشیة المکاسب،ج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محمدجعفر مروج جزائری،هدی الطالب الی شرح المکاسب،ج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محمدصادق روحانی،فقه الصادق،ج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شقیر،فقه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درباره توقیع شریف امام زمان علیه السلام به اسحاق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عاملی،وسائل الشیعه،باب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 بیشتر روایات علی بن ابی‌حمزه بطائنی را از ابی‌بصیر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نجاشی،رجال نجاشی،ص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 بارداری که ولادت فرزندش نزدیک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ابن‌اثیر،النهایة فی غریب الحدیث،ج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ابن‌سلام،غریب الحدیث،ج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،شیخ طوسی،تهذیب الاحکام،ج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شفتی،مقالة فی تحقیق اقامة الحدود،ص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علی‌اکبر غفاری روایت خلف بن حماد را از امام صادق علیه السلام بعید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الرجال،ج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طوسی،تهذیب،ج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برقی،محاسن،ج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شفتی،مقالة فی تحقیق اقامة الحدود،ص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خویی،معجم الرجال،ج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سعد بن طریف اقوال متفاوت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علی‌اکبر غفاری در تعلیقه و تحقیق بر فقیه اقوالی را در تضعیف سعد بن طریف از ابن‌حبان،علامه و ابن‌غضائری آورده،ولی آیت‌الله خویی در معجم الرجال سعد بن طریف را توثیق کرده،قول ابن‌غضائری را به دلیل تردید در صحت نسبت این کتاب به غضائری،نپذیرفته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خویی،معجم الرجال،ج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محمدباقر شفتی،مقالة فی تحقیق اقامة الحدود،ص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سادات حسینی و مصطفی محقق داماد،الهیات و 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چشم‌اندازی بر حدود و اجرای علنی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طوسی،التهذیب،ج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ابی‌جمهور احسائی،عوالی اللئالی،ج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محمدمحمدی ری‌شهری،میزان الحکمة،ج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بابویه،فقه الرضا،ص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مفید،اوائل المقالات،ص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؛علی بن یونس عاملی،الصراط المستقیم،ج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؛علامه مجلسی،بحار الانوار،ج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؛علامه امینی،الغدیر،ج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؛احمد الرحمانی الهمدانی،الامام علی بن ابی‌طالب،ص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 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النبیه فی وظایف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فی ولایة الفقیه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صدوق،معانی الاخبار،ص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؛همان،امالی،ص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؛همان،عیون اخبار الرضا،ج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؛همان،من لایحضره الفقیه،ج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؛ابن ابی‌جمهور احسائی،عوالی اللآلی،ج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محمدمحمدی ری‌شهری،میزان الحکمة،ج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؛سعید ایوب،ابتلائات الامم،ص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؛ناصر مکارم شیرازی،الامثل فی تفسیر کتاب الله المنزل،ج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ابن‌شعبه حرانی،تحف العقول،ص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؛محدث نوری،مستدرک الوسائل،ج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؛علامه مجلسی،بحارالانوار،ج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؛سید بروجردی،جامع احادیث الشیعة،ج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محمدهادی معرفت،ولایت فقیه از دیدگاه شیخ انصاری و آیت‌الله خویی،در سایت </w:t>
      </w:r>
      <w:r>
        <w:rPr>
          <w:rFonts w:eastAsia="IRNazanin" w:cs="IRNazanin"/>
          <w:b w:val="false"/>
          <w:bCs w:val="false"/>
          <w:i w:val="false"/>
          <w:iCs w:val="false"/>
          <w:color w:val="333333"/>
          <w:sz w:val="20"/>
          <w:szCs w:val="20"/>
        </w:rPr>
        <w:t>www.al - shia.com/html/far/books/fegh/maghalat_merafat/velayat.htm</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انصاری،کتاب المکاسب،ج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محمدصادق روحانی،فقه الصادق،ج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نراقی،عوائد الایام،ص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انصاری،کتاب المکاسب،ج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 الاسلام،ج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ابن‌زهره،غنیة النزوغ،ص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 بن علی تبریزی،اسس الحدود و التعزیرات،ص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زهره،غنیة النزوغ،ص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 بن علی تبریزی،اسس الحدود و التغزیرات،ص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احمد خوانساری،جامع المدارک،ج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محمدحسن نجفی،جواهر الکلام،ج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لوح فشرده گنجینه استفتائات قضایی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 الاسلام،ج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؛علامه حلی،تحریر الاحکام،ج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؛شهید ثانی،مسالک الافهام،ج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سیدابوالقاسم خویی،مبانی تکملة المنهاج،ج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ثانی،مسالک الافهام،ج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خمینی،تحریر الوسیلة،ج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 صانعی،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 مدعی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www.feqh.org</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ثانی،الروضة البهیة،ج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حسین هاشمی،کتاب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در فراش،ضرورت بازگشت قانون به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اردبیلی،مجمع الفائدة و البرهان،ج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حسین هاشمی،کتاب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در فراش،ضرورت بازگشت قانون به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 الاسلام،ج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هندی،کشف اللثام،ج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طوسی،مبسوط،ج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ابن‌زهره،غنیة النزوغ،ج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سیدمحمدباقر شفتی،مقالة فی تحقیق اقامة الحدود فی هذه الاعصار،ص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محدث نوری،مستدرک الوسائل،باب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الحدود،ح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عاملی،وسائل الشیعة،باب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سلار،المراسم العلویة،ص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حلی،مختلف الشیعة،ج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سبزواری،کفایة الاحکام،ج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طوسی،النهایة،ص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حلی،تبصرة المتعلمین،ص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اول،الدروس،ج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؛همان،اللمعة،ص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سیدمحمدباقر شفتی،مقالة فی اقامة الحدود فی تحقیق هذه الاعصار،ص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شهیدثانی،مسالک الافهام،ج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کرکی،جامع المقاصد،ج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ابن‌براج،المهذب،ج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طوسی،النهایة،ص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ابن‌ادریس حلی،السرائر،ج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ابوالقاسم خویی،مبانی تکملة المنهاج،ج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علیرضا صدر حسینی،درسنامه فقه الحکومة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خلیل بن احمد فراهیدی،کتاب العین،ج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نوری،مستدرک 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علیرضا صدر حسینی،محدوده اختیارات حاکمان جور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عاملی،وسائل الشیعة،ج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درکتاب کافی از حلبی از امام صادق علیه السلام روایت شده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سارق نزد امام به سرقت اقرار کند،دستش قطع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فضیل از امام ششم روایت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نزد امام به جرمی اعتراف کند،بر امام است که بر او حد را جاری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روایت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امام کسی را در حال زنا یا شرب خمر دید،باید بر او حد جاری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روایت کرده است که محمد بن مسلم از امام باقر علیه السلام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جنایتی در حق من روا داشت،آیا از او بگذرم یا او را برای گرفتن حقم به سلطان معرفی کنم؟حضرت پاسخ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مانعی ندارد؛اگر او را به امام معرفی کنی،حقت را مطالبه کرده‌ای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ابوبصیر از امام صادق علیه السلام نقل کرده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زانی هارب در چنگ امام بیفتد،امام بر او حد جاری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طوسی،تهذیب،ج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جعفر از امام موسی بن جعفر علیه السلام روایت کرده که ایشان درباره نصرانی شارب خمر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او را نزد حاکم مسلمانان بردند،باید حدود اسلامی را بر وی جاری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جعفر الامالی،ص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علیرضا صدر حسینی،محدوده اختیارات حاکمان جور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طوسی،تهذیب الاحکام،ج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علیرضا صدر حسینی،محدوده اختیارات حاکمان جور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حلی،مختلف الشیعة،ج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سلطان الجور،فمتی علم الأنسان او غلب علی ظنه انه متی تولّی الأمر من قبله امکنه الی اقامة الحدود و الأمر بالمعروف و النهی عن المنکر و قسم الاخماس و الصدقات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یستحب له ان یتعرض لتولی الأمر من قبلهم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طوسی،نهایة،ص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استخلف السلطان الجائر انساناً من المسلمین و جعل الیه الحدود جاز ان یقیمها بعد ان یعتقد انه قبل الأمام العادل فی ذلک و انه یفعل ذلک باذنه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ابن‌براج،المهذب،ج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محمدحسن نجفی،جواهر الکلام،ج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علیرضا صدر حسینی،درسنامه فقه الحکومة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نمونه،می‌توان به سلطان محمود غزنوی اشاره کرد که ادوارد براون،شرق‌شناس معروف درباره او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شاهی که در راه دین جنگ‌ها کرده،بت‌پرستان را به خاک و خون کشیده،و بت‌های بسیار شکسته بود،در نظر مسلمانان از هر گونه عیب و خطا مبرا می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ادبیات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فردوسی تا سعدی،ترجمه فتح الله مجتبائی،ص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فقیهان سنی،سلطان محمود غزنوی را یمین الدوله و اسلام پناه می‌خوانند،در حالی که رابطه عاشقانه‌اش با پسرکی به‌نام ایاز شهرت تاریخی 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چهارمقاله عروضی،ص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هم‌اکنون در یکی از شهرهای پاکستان بر گور ایاز گنبد و بارگاه ساخته‌اند و مسلمانان آنجا او را مانند قدیس می‌ستایند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باستانی پاریزی،حماسه کویر،زیر نام ایاز</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مصطفی خمینی،ثلاث رسائل فقهیة،ص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البلاغة،محمد عبده،ج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محمدهادی معرفت،حکومت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رهبری و زعامت سیاسی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همان،ولایت فقیه از دیدگاه شیخ انصاری و آیت‌الله خویی،در سایت </w:t>
      </w:r>
      <w:r>
        <w:rPr>
          <w:rFonts w:eastAsia="IRNazanin" w:cs="IRNazanin"/>
          <w:b w:val="false"/>
          <w:bCs w:val="false"/>
          <w:i w:val="false"/>
          <w:iCs w:val="false"/>
          <w:color w:val="333333"/>
          <w:sz w:val="20"/>
          <w:szCs w:val="20"/>
        </w:rPr>
        <w:t>www.al - shia.com/html/far/books/fegh/maghalat_merafat/velayat.htm</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دیدگاه یادشده مستلزم تفکیک مرجعیت و رهبری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تحقیق بیشتر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محمدحسین مهوری،فصلنامه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مرجعیت و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محمدجواد ارسطا،فصلنامه 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و محجوریت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انصاری،کتاب المکاسب،ج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53532</Words>
  <Characters>249341</Characters>
  <CharactersWithSpaces>301180</CharactersWithSpaces>
  <Paragraphs>1694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2026-08-19T03:27:11Z</dcterms:created>
  <dc:creator>ghaemiyeh.com</dc:creator>
  <dc:description/>
  <dc:language>en-US</dc:language>
  <cp:lastModifiedBy/>
  <dcterms:modified xsi:type="dcterms:W3CDTF">2026-08-19T06:57:26Z</dcterms:modified>
  <cp:revision>1</cp:revision>
  <dc:subject/>
  <dc:title>مشروعیت اقامه حدود و تعزیرات در عصر غیبت</dc:title>
</cp:coreProperties>
</file>

<file path=docProps/custom.xml><?xml version="1.0" encoding="utf-8"?>
<Properties xmlns="http://schemas.openxmlformats.org/officeDocument/2006/custom-properties" xmlns:vt="http://schemas.openxmlformats.org/officeDocument/2006/docPropsVTypes"/>
</file>