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النظرة الخاطفة فی الاجتهاد نجف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2112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62114_581953129">
            <w:r>
              <w:rPr>
                <w:webHidden/>
                <w:rStyle w:val="IndexLink"/>
                <w:rtl w:val="true"/>
              </w:rPr>
              <w:t>المدخل</w:t>
            </w:r>
            <w:r>
              <w:rPr>
                <w:rStyle w:val="IndexLink"/>
                <w:rtl w:val="true"/>
              </w:rPr>
              <w:tab/>
            </w:r>
            <w:r>
              <w:rPr>
                <w:rStyle w:val="IndexLink"/>
              </w:rPr>
              <w:t>4</w:t>
            </w:r>
          </w:hyperlink>
        </w:p>
        <w:p>
          <w:pPr>
            <w:pStyle w:val="Contents2"/>
            <w:tabs>
              <w:tab w:val="clear" w:pos="8743"/>
              <w:tab w:val="right" w:pos="9026" w:leader="dot"/>
            </w:tabs>
            <w:rPr/>
          </w:pPr>
          <w:hyperlink w:anchor="__RefHeading___Toc2962116_581953129">
            <w:r>
              <w:rPr>
                <w:webHidden/>
                <w:rStyle w:val="IndexLink"/>
                <w:rtl w:val="true"/>
              </w:rPr>
              <w:t>مواضیع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962118_581953129">
            <w:r>
              <w:rPr>
                <w:webHidden/>
                <w:rStyle w:val="IndexLink"/>
                <w:rtl w:val="true"/>
              </w:rPr>
              <w:t>الفصل الأول</w:t>
            </w:r>
            <w:r>
              <w:rPr>
                <w:rStyle w:val="IndexLink"/>
                <w:rtl w:val="true"/>
              </w:rPr>
              <w:t xml:space="preserve">: </w:t>
            </w:r>
            <w:r>
              <w:rPr>
                <w:rStyle w:val="IndexLink"/>
                <w:rtl w:val="true"/>
              </w:rPr>
              <w:t>أحکام الإجتهاد</w:t>
            </w:r>
            <w:r>
              <w:rPr>
                <w:rStyle w:val="IndexLink"/>
                <w:rtl w:val="true"/>
              </w:rPr>
              <w:tab/>
            </w:r>
            <w:r>
              <w:rPr>
                <w:rStyle w:val="IndexLink"/>
              </w:rPr>
              <w:t>8</w:t>
            </w:r>
          </w:hyperlink>
        </w:p>
        <w:p>
          <w:pPr>
            <w:pStyle w:val="Contents3"/>
            <w:tabs>
              <w:tab w:val="clear" w:pos="8459"/>
              <w:tab w:val="right" w:pos="9026" w:leader="dot"/>
            </w:tabs>
            <w:rPr/>
          </w:pPr>
          <w:hyperlink w:anchor="__RefHeading___Toc2962120_58195312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962122_581953129">
            <w:r>
              <w:rPr>
                <w:webHidden/>
                <w:rStyle w:val="IndexLink"/>
                <w:rtl w:val="true"/>
              </w:rPr>
              <w:t>الأحکام الشرعیة الإسلامیة</w:t>
            </w:r>
            <w:r>
              <w:rPr>
                <w:rStyle w:val="IndexLink"/>
                <w:rtl w:val="true"/>
              </w:rPr>
              <w:tab/>
            </w:r>
            <w:r>
              <w:rPr>
                <w:rStyle w:val="IndexLink"/>
              </w:rPr>
              <w:t>9</w:t>
            </w:r>
          </w:hyperlink>
        </w:p>
        <w:p>
          <w:pPr>
            <w:pStyle w:val="Contents3"/>
            <w:tabs>
              <w:tab w:val="clear" w:pos="8459"/>
              <w:tab w:val="right" w:pos="9026" w:leader="dot"/>
            </w:tabs>
            <w:rPr/>
          </w:pPr>
          <w:hyperlink w:anchor="__RefHeading___Toc2962124_581953129">
            <w:r>
              <w:rPr>
                <w:webHidden/>
                <w:rStyle w:val="IndexLink"/>
                <w:rtl w:val="true"/>
              </w:rPr>
              <w:t>ما هی النقاط؟</w:t>
            </w:r>
            <w:r>
              <w:rPr>
                <w:rStyle w:val="IndexLink"/>
                <w:rtl w:val="true"/>
              </w:rPr>
              <w:tab/>
            </w:r>
            <w:r>
              <w:rPr>
                <w:rStyle w:val="IndexLink"/>
              </w:rPr>
              <w:t>12</w:t>
            </w:r>
          </w:hyperlink>
        </w:p>
        <w:p>
          <w:pPr>
            <w:pStyle w:val="Contents2"/>
            <w:tabs>
              <w:tab w:val="clear" w:pos="8743"/>
              <w:tab w:val="right" w:pos="9026" w:leader="dot"/>
            </w:tabs>
            <w:rPr/>
          </w:pPr>
          <w:hyperlink w:anchor="__RefHeading___Toc2962126_581953129">
            <w:r>
              <w:rPr>
                <w:webHidden/>
                <w:rStyle w:val="IndexLink"/>
                <w:rtl w:val="true"/>
              </w:rPr>
              <w:t>الفصل الثانی</w:t>
            </w:r>
            <w:r>
              <w:rPr>
                <w:rStyle w:val="IndexLink"/>
                <w:rtl w:val="true"/>
              </w:rPr>
              <w:t xml:space="preserve">: </w:t>
            </w:r>
            <w:r>
              <w:rPr>
                <w:rStyle w:val="IndexLink"/>
                <w:rtl w:val="true"/>
              </w:rPr>
              <w:t>الفراغ بین عصر التشریع و عصر الإجتهاد</w:t>
            </w:r>
            <w:r>
              <w:rPr>
                <w:rStyle w:val="IndexLink"/>
                <w:rtl w:val="true"/>
              </w:rPr>
              <w:tab/>
            </w:r>
            <w:r>
              <w:rPr>
                <w:rStyle w:val="IndexLink"/>
              </w:rPr>
              <w:t>17</w:t>
            </w:r>
          </w:hyperlink>
        </w:p>
        <w:p>
          <w:pPr>
            <w:pStyle w:val="Contents2"/>
            <w:tabs>
              <w:tab w:val="clear" w:pos="8743"/>
              <w:tab w:val="right" w:pos="9026" w:leader="dot"/>
            </w:tabs>
            <w:rPr/>
          </w:pPr>
          <w:hyperlink w:anchor="__RefHeading___Toc2962128_581953129">
            <w:r>
              <w:rPr>
                <w:webHidden/>
                <w:rStyle w:val="IndexLink"/>
                <w:rtl w:val="true"/>
              </w:rPr>
              <w:t>الفصل الثالث</w:t>
            </w:r>
            <w:r>
              <w:rPr>
                <w:rStyle w:val="IndexLink"/>
                <w:rtl w:val="true"/>
              </w:rPr>
              <w:t xml:space="preserve">: </w:t>
            </w:r>
            <w:r>
              <w:rPr>
                <w:rStyle w:val="IndexLink"/>
                <w:rtl w:val="true"/>
              </w:rPr>
              <w:t>الإخباریون و مسألة الإجتهاد</w:t>
            </w:r>
            <w:r>
              <w:rPr>
                <w:rStyle w:val="IndexLink"/>
                <w:rtl w:val="true"/>
              </w:rPr>
              <w:tab/>
            </w:r>
            <w:r>
              <w:rPr>
                <w:rStyle w:val="IndexLink"/>
              </w:rPr>
              <w:t>29</w:t>
            </w:r>
          </w:hyperlink>
        </w:p>
        <w:p>
          <w:pPr>
            <w:pStyle w:val="Contents3"/>
            <w:tabs>
              <w:tab w:val="clear" w:pos="8459"/>
              <w:tab w:val="right" w:pos="9026" w:leader="dot"/>
            </w:tabs>
            <w:rPr/>
          </w:pPr>
          <w:hyperlink w:anchor="__RefHeading___Toc2962130_581953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962132_581953129">
            <w:r>
              <w:rPr>
                <w:webHidden/>
                <w:rStyle w:val="IndexLink"/>
                <w:rtl w:val="true"/>
              </w:rPr>
              <w:t>حل هذه المشکلة بطریقتین</w:t>
            </w:r>
            <w:r>
              <w:rPr>
                <w:rStyle w:val="IndexLink"/>
                <w:rtl w:val="true"/>
              </w:rPr>
              <w:tab/>
            </w:r>
            <w:r>
              <w:rPr>
                <w:rStyle w:val="IndexLink"/>
              </w:rPr>
              <w:t>38</w:t>
            </w:r>
          </w:hyperlink>
        </w:p>
        <w:p>
          <w:pPr>
            <w:pStyle w:val="Contents4"/>
            <w:tabs>
              <w:tab w:val="clear" w:pos="8176"/>
              <w:tab w:val="right" w:pos="9026" w:leader="dot"/>
            </w:tabs>
            <w:rPr/>
          </w:pPr>
          <w:hyperlink w:anchor="__RefHeading___Toc2962134_581953129">
            <w:r>
              <w:rPr>
                <w:webHidden/>
                <w:rStyle w:val="IndexLink"/>
                <w:rtl w:val="true"/>
              </w:rPr>
              <w:t>الطریق الأول</w:t>
            </w:r>
            <w:r>
              <w:rPr>
                <w:rStyle w:val="IndexLink"/>
                <w:rtl w:val="true"/>
              </w:rPr>
              <w:tab/>
            </w:r>
            <w:r>
              <w:rPr>
                <w:rStyle w:val="IndexLink"/>
              </w:rPr>
              <w:t>38</w:t>
            </w:r>
          </w:hyperlink>
        </w:p>
        <w:p>
          <w:pPr>
            <w:pStyle w:val="Contents4"/>
            <w:tabs>
              <w:tab w:val="clear" w:pos="8176"/>
              <w:tab w:val="right" w:pos="9026" w:leader="dot"/>
            </w:tabs>
            <w:rPr/>
          </w:pPr>
          <w:hyperlink w:anchor="__RefHeading___Toc2962136_581953129">
            <w:r>
              <w:rPr>
                <w:webHidden/>
                <w:rStyle w:val="IndexLink"/>
                <w:rtl w:val="true"/>
              </w:rPr>
              <w:t>الطریق الثانی</w:t>
            </w:r>
            <w:r>
              <w:rPr>
                <w:rStyle w:val="IndexLink"/>
                <w:rtl w:val="true"/>
              </w:rPr>
              <w:tab/>
            </w:r>
            <w:r>
              <w:rPr>
                <w:rStyle w:val="IndexLink"/>
              </w:rPr>
              <w:t>56</w:t>
            </w:r>
          </w:hyperlink>
        </w:p>
        <w:p>
          <w:pPr>
            <w:pStyle w:val="Contents2"/>
            <w:tabs>
              <w:tab w:val="clear" w:pos="8743"/>
              <w:tab w:val="right" w:pos="9026" w:leader="dot"/>
            </w:tabs>
            <w:rPr/>
          </w:pPr>
          <w:hyperlink w:anchor="__RefHeading___Toc2962138_581953129">
            <w:r>
              <w:rPr>
                <w:webHidden/>
                <w:rStyle w:val="IndexLink"/>
                <w:rtl w:val="true"/>
              </w:rPr>
              <w:t>الفصل الرابع</w:t>
            </w:r>
            <w:r>
              <w:rPr>
                <w:rStyle w:val="IndexLink"/>
                <w:rtl w:val="true"/>
              </w:rPr>
              <w:t xml:space="preserve">: </w:t>
            </w:r>
            <w:r>
              <w:rPr>
                <w:rStyle w:val="IndexLink"/>
                <w:rtl w:val="true"/>
              </w:rPr>
              <w:t>الفقه والأصول مترابطان بترابط متبادل علی طول التاریخ</w:t>
            </w:r>
            <w:r>
              <w:rPr>
                <w:rStyle w:val="IndexLink"/>
                <w:rtl w:val="true"/>
              </w:rPr>
              <w:tab/>
            </w:r>
            <w:r>
              <w:rPr>
                <w:rStyle w:val="IndexLink"/>
              </w:rPr>
              <w:t>60</w:t>
            </w:r>
          </w:hyperlink>
        </w:p>
        <w:p>
          <w:pPr>
            <w:pStyle w:val="Contents2"/>
            <w:tabs>
              <w:tab w:val="clear" w:pos="8743"/>
              <w:tab w:val="right" w:pos="9026" w:leader="dot"/>
            </w:tabs>
            <w:rPr/>
          </w:pPr>
          <w:hyperlink w:anchor="__RefHeading___Toc2962140_581953129">
            <w:r>
              <w:rPr>
                <w:webHidden/>
                <w:rStyle w:val="IndexLink"/>
                <w:rtl w:val="true"/>
              </w:rPr>
              <w:t>الفصل الخامس</w:t>
            </w:r>
            <w:r>
              <w:rPr>
                <w:rStyle w:val="IndexLink"/>
                <w:rtl w:val="true"/>
              </w:rPr>
              <w:t xml:space="preserve">: </w:t>
            </w:r>
            <w:r>
              <w:rPr>
                <w:rStyle w:val="IndexLink"/>
                <w:rtl w:val="true"/>
              </w:rPr>
              <w:t>إختلاف المجتهدین فی الفتاوی</w:t>
            </w:r>
            <w:r>
              <w:rPr>
                <w:rStyle w:val="IndexLink"/>
                <w:rtl w:val="true"/>
              </w:rPr>
              <w:tab/>
            </w:r>
            <w:r>
              <w:rPr>
                <w:rStyle w:val="IndexLink"/>
              </w:rPr>
              <w:t>69</w:t>
            </w:r>
          </w:hyperlink>
        </w:p>
        <w:p>
          <w:pPr>
            <w:pStyle w:val="Contents2"/>
            <w:tabs>
              <w:tab w:val="clear" w:pos="8743"/>
              <w:tab w:val="right" w:pos="9026" w:leader="dot"/>
            </w:tabs>
            <w:rPr/>
          </w:pPr>
          <w:hyperlink w:anchor="__RefHeading___Toc2962142_581953129">
            <w:r>
              <w:rPr>
                <w:webHidden/>
                <w:rStyle w:val="IndexLink"/>
                <w:rtl w:val="true"/>
              </w:rPr>
              <w:t>الفصل السادس</w:t>
            </w:r>
            <w:r>
              <w:rPr>
                <w:rStyle w:val="IndexLink"/>
                <w:rtl w:val="true"/>
              </w:rPr>
              <w:t xml:space="preserve">: </w:t>
            </w:r>
            <w:r>
              <w:rPr>
                <w:rStyle w:val="IndexLink"/>
                <w:rtl w:val="true"/>
              </w:rPr>
              <w:t>الأحکام الإجتهادیة فیها مجموعة من الأخطاء</w:t>
            </w:r>
            <w:r>
              <w:rPr>
                <w:rStyle w:val="IndexLink"/>
                <w:rtl w:val="true"/>
              </w:rPr>
              <w:tab/>
            </w:r>
            <w:r>
              <w:rPr>
                <w:rStyle w:val="IndexLink"/>
              </w:rPr>
              <w:t>76</w:t>
            </w:r>
          </w:hyperlink>
        </w:p>
        <w:p>
          <w:pPr>
            <w:pStyle w:val="Contents2"/>
            <w:tabs>
              <w:tab w:val="clear" w:pos="8743"/>
              <w:tab w:val="right" w:pos="9026" w:leader="dot"/>
            </w:tabs>
            <w:rPr/>
          </w:pPr>
          <w:hyperlink w:anchor="__RefHeading___Toc2962144_581953129">
            <w:r>
              <w:rPr>
                <w:webHidden/>
                <w:rStyle w:val="IndexLink"/>
                <w:rtl w:val="true"/>
              </w:rPr>
              <w:t>الفصل السابع</w:t>
            </w:r>
            <w:r>
              <w:rPr>
                <w:rStyle w:val="IndexLink"/>
                <w:rtl w:val="true"/>
              </w:rPr>
              <w:t xml:space="preserve">: </w:t>
            </w:r>
            <w:r>
              <w:rPr>
                <w:rStyle w:val="IndexLink"/>
                <w:rtl w:val="true"/>
              </w:rPr>
              <w:t>نتائج هذه البحوث عدة نقاط</w:t>
            </w:r>
            <w:r>
              <w:rPr>
                <w:rStyle w:val="IndexLink"/>
                <w:rtl w:val="true"/>
              </w:rPr>
              <w:tab/>
            </w:r>
            <w:r>
              <w:rPr>
                <w:rStyle w:val="IndexLink"/>
              </w:rPr>
              <w:t>87</w:t>
            </w:r>
          </w:hyperlink>
        </w:p>
        <w:p>
          <w:pPr>
            <w:pStyle w:val="Contents2"/>
            <w:tabs>
              <w:tab w:val="clear" w:pos="8743"/>
              <w:tab w:val="right" w:pos="9026" w:leader="dot"/>
            </w:tabs>
            <w:rPr/>
          </w:pPr>
          <w:hyperlink w:anchor="__RefHeading___Toc2962146_581953129">
            <w:r>
              <w:rPr>
                <w:webHidden/>
                <w:rStyle w:val="IndexLink"/>
                <w:rtl w:val="true"/>
              </w:rPr>
              <w:t>الفهرس</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02_70102"/>
      <w:bookmarkStart w:id="1" w:name="pg5602_70102"/>
      <w:bookmarkEnd w:id="1"/>
    </w:p>
    <w:p>
      <w:pPr>
        <w:pStyle w:val="Heading2"/>
        <w:numPr>
          <w:ilvl w:val="1"/>
          <w:numId w:val="1"/>
        </w:numPr>
        <w:rPr/>
      </w:pPr>
      <w:bookmarkStart w:id="2" w:name="pg5602_70102"/>
      <w:bookmarkStart w:id="3" w:name="__RefHeading___Toc296211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الخاطفة فی الإجتهاد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اسحاق فیاض</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زبان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2114_581953129"/>
      <w:bookmarkStart w:id="6" w:name="_Toc2"/>
      <w:bookmarkEnd w:id="5"/>
      <w:r>
        <w:rPr>
          <w:rtl w:val="true"/>
        </w:rPr>
        <w:t>المدخل</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الله رب العالمین و الصلاة والسلام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 وآله الطیبین الطاهرین</w:t>
      </w:r>
      <w:bookmarkStart w:id="7" w:name="pg5602_70106"/>
    </w:p>
    <w:p>
      <w:pPr>
        <w:pStyle w:val="Heading2"/>
        <w:numPr>
          <w:ilvl w:val="1"/>
          <w:numId w:val="1"/>
        </w:numPr>
        <w:rPr/>
      </w:pPr>
      <w:bookmarkStart w:id="8" w:name="__RefHeading___Toc2962116_581953129"/>
      <w:bookmarkStart w:id="9" w:name="_Toc3"/>
      <w:bookmarkEnd w:id="7"/>
      <w:bookmarkEnd w:id="8"/>
      <w:r>
        <w:rPr>
          <w:rtl w:val="true"/>
        </w:rPr>
        <w:t>مواضیع الکتاب</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الأحکام التشریعیة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نظریة واقعیة، اجتهادیة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عملیة الاجتهاد وعملیة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عملیتان ضروریتان فی الاسلام بحکم ضرورة التبعیة للدین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البحوث الأصولیة بحوث نظریة لتحدید النظریات العامة المحددة، البحوث الفقهیة بحوث تطبیقیة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الحرکة الفکریة الاجتهادیة تؤکد فی المسلمین أصالتهم الفکریة وشخصیتهم التشریعیة المستقلة المستمدة من الکتاب والسنة فی طول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والأصول مترابطان بترابط العلم التطبیقی بالعلم النظری فی مختلف المراتب والدرجات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المجتهدین فی الأحکام الاجتهادیة وهی ولیدة أفکارهم وهی ذات طابع إسلامی</w:t>
      </w:r>
      <w:r>
        <w:rPr>
          <w:rFonts w:eastAsia="IRNazanin" w:cs="IRNazanin"/>
          <w:color w:val="111111"/>
          <w:sz w:val="28"/>
          <w:szCs w:val="28"/>
          <w:rtl w:val="true"/>
          <w:lang w:bidi="fa-IR"/>
        </w:rPr>
        <w:t>.</w:t>
      </w:r>
      <w:bookmarkStart w:id="10" w:name="pg5602_70109"/>
    </w:p>
    <w:p>
      <w:pPr>
        <w:pStyle w:val="Heading2"/>
        <w:numPr>
          <w:ilvl w:val="1"/>
          <w:numId w:val="1"/>
        </w:numPr>
        <w:rPr/>
      </w:pPr>
      <w:bookmarkStart w:id="11" w:name="__RefHeading___Toc2962118_581953129"/>
      <w:bookmarkStart w:id="12" w:name="_Toc4"/>
      <w:bookmarkEnd w:id="10"/>
      <w:bookmarkEnd w:id="11"/>
      <w:r>
        <w:rPr>
          <w:rtl w:val="true"/>
        </w:rPr>
        <w:t>الفصل الأول</w:t>
      </w:r>
      <w:r>
        <w:rPr>
          <w:rtl w:val="true"/>
        </w:rPr>
        <w:t xml:space="preserve">: </w:t>
      </w:r>
      <w:r>
        <w:rPr>
          <w:rtl w:val="true"/>
        </w:rPr>
        <w:t>أحکام الإجتهاد</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962120_581953129"/>
      <w:bookmarkStart w:id="14" w:name="_Toc5"/>
      <w:bookmarkEnd w:id="13"/>
      <w:r>
        <w:rPr>
          <w:rtl w:val="true"/>
        </w:rPr>
        <w:t>اشارة</w:t>
      </w:r>
      <w:bookmarkStart w:id="15" w:name="pg5602_70111"/>
      <w:bookmarkEnd w:id="14"/>
    </w:p>
    <w:p>
      <w:pPr>
        <w:pStyle w:val="Heading3"/>
        <w:numPr>
          <w:ilvl w:val="2"/>
          <w:numId w:val="1"/>
        </w:numPr>
        <w:rPr/>
      </w:pPr>
      <w:bookmarkStart w:id="16" w:name="__RefHeading___Toc2962122_581953129"/>
      <w:bookmarkStart w:id="17" w:name="_Toc6"/>
      <w:bookmarkEnd w:id="15"/>
      <w:bookmarkEnd w:id="16"/>
      <w:r>
        <w:rPr>
          <w:rtl w:val="true"/>
        </w:rPr>
        <w:t>الأحکام الشرعیة الإسلامیة</w:t>
      </w:r>
      <w:bookmarkEnd w:id="17"/>
    </w:p>
    <w:p>
      <w:pPr>
        <w:pStyle w:val="BookText"/>
        <w:rPr/>
      </w:pPr>
      <w:r>
        <w:rPr>
          <w:rFonts w:ascii="IRNazanin" w:hAnsi="IRNazanin" w:eastAsia="IRNazanin"/>
          <w:color w:val="111111"/>
          <w:sz w:val="28"/>
          <w:sz w:val="28"/>
          <w:szCs w:val="28"/>
          <w:rtl w:val="true"/>
          <w:lang w:bidi="fa-IR"/>
        </w:rPr>
        <w:t>وهی تصنف إلی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الشرعیة التی لا تزال تحتفظ بضرورتها بین المسلمین عامة رغم فصل هذه الأحکام عن عصر التشریع بقرون کثیرة، وسنین متطاولة متمادیة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یتمتع بطابع ضروری لا تتجاوز نسبته إلی مجموع الأحکام الشرعیة عن ستة فی المائة بنسبة تقریبیة، ولا یوجد فی هذا الصنف خلاف بین الفقهاء والمجتهدین نهائیاً، فأن الخلاف بینهم إنما یبدو فی الأحکام الشرعیة النظریة</w:t>
      </w:r>
    </w:p>
    <w:p>
      <w:pPr>
        <w:pStyle w:val="BookText"/>
        <w:rPr/>
      </w:pPr>
      <w:r>
        <w:rPr>
          <w:rFonts w:ascii="IRNazanin" w:hAnsi="IRNazanin" w:eastAsia="IRNazanin"/>
          <w:color w:val="111111"/>
          <w:sz w:val="28"/>
          <w:sz w:val="28"/>
          <w:szCs w:val="28"/>
          <w:rtl w:val="true"/>
          <w:lang w:bidi="fa-IR"/>
        </w:rPr>
        <w:t>التی یتوقف إثباتها علی أعمال النظر والفکر علی ضوء البحث النظری والتطبیقی فی علمیّ الأصول والفقه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موقف جمیع عناصر المکلفین من المجتهدین والمقلدین تجاه ذلک الصنف من الأحکام علی السواء فلا یرجع غیر المجتهد فیه إلی المجتهد، حیث لا موضوع فیه لعملیه الإجتهاد والإستنباط، لأن الإجتهاد أنما هو استخراج الحکم الشرعی من دلیله وتعیین الموقف العملی تجاه الشریعه بحکم التبعیة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أن الموقف العملی لکل مکلف فیه تجاه الشرع معین بدون حاجة إلی أعمال النظر والتطبیق</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ذلک الصنف من الأحکام شطراً قلیلاً من مجموع الأحکام الشرعیة الإسلامیة لم تعالج به مشاکل</w:t>
      </w:r>
    </w:p>
    <w:p>
      <w:pPr>
        <w:pStyle w:val="BookText"/>
        <w:rPr/>
      </w:pPr>
      <w:r>
        <w:rPr>
          <w:rFonts w:ascii="IRNazanin" w:hAnsi="IRNazanin" w:eastAsia="IRNazanin"/>
          <w:color w:val="111111"/>
          <w:sz w:val="28"/>
          <w:sz w:val="28"/>
          <w:szCs w:val="28"/>
          <w:rtl w:val="true"/>
          <w:lang w:bidi="fa-IR"/>
        </w:rPr>
        <w:t>حیاه الإنسان الکبری فی مختلف جوانبها وعلاقاته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المادیة والمعنویة، ولا یمکن الحفاظ به علی حقوق الإنسان فی تمام مجالاته الفردیة والإجتماعیة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التی تتمتع بطابع نظری وهذا الصنف من الأحکام هو الذی یتوقف إثباته علی عملیة الإجتهاد والإستنباط</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الوصول إلی مرتبة الإجتهاد لا یتیسر لکل أحد، حیث أنه یتوقف علی تقدیم دراسات ودراسات وبذل جهد کثیر فی تکوین مجموعة قواعد مشترکة ونظریات عامة، وممارساتها خلال سنین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عملیة الإجتهاد من النصوص التشریعیة کالکتاب والسنة تتوقف علی دراسة عدة نقاط علی</w:t>
      </w:r>
      <w:bookmarkStart w:id="18" w:name="pg5602_70117"/>
    </w:p>
    <w:p>
      <w:pPr>
        <w:pStyle w:val="BookText"/>
        <w:rPr/>
      </w:pPr>
      <w:bookmarkEnd w:id="18"/>
      <w:r>
        <w:rPr>
          <w:rFonts w:ascii="IRNazanin" w:hAnsi="IRNazanin" w:eastAsia="IRNazanin"/>
          <w:color w:val="111111"/>
          <w:sz w:val="28"/>
          <w:sz w:val="28"/>
          <w:szCs w:val="28"/>
          <w:rtl w:val="true"/>
          <w:lang w:bidi="fa-IR"/>
        </w:rPr>
        <w:t>صعید البحث النظری والتطبیقی بشکل ذات طابع إسلامی علی الرغم من تقدیم دراسة مجموعة علوم بصورة مسبقة کالإعداد لها</w:t>
      </w:r>
      <w:r>
        <w:rPr>
          <w:rFonts w:eastAsia="IRNazanin" w:cs="IRNazanin"/>
          <w:color w:val="111111"/>
          <w:sz w:val="28"/>
          <w:szCs w:val="28"/>
          <w:rtl w:val="true"/>
          <w:lang w:bidi="fa-IR"/>
        </w:rPr>
        <w:t>.</w:t>
      </w:r>
    </w:p>
    <w:p>
      <w:pPr>
        <w:pStyle w:val="Heading3"/>
        <w:numPr>
          <w:ilvl w:val="2"/>
          <w:numId w:val="1"/>
        </w:numPr>
        <w:rPr/>
      </w:pPr>
      <w:bookmarkStart w:id="19" w:name="__RefHeading___Toc2962124_581953129"/>
      <w:bookmarkStart w:id="20" w:name="_Toc7"/>
      <w:bookmarkEnd w:id="19"/>
      <w:r>
        <w:rPr>
          <w:rtl w:val="true"/>
        </w:rPr>
        <w:t>ما هی النقاط؟</w:t>
      </w:r>
      <w:bookmarkEnd w:id="20"/>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مجتهد یعتمد بطبیعة الحال فی صحة کل نص من النصوص التشریعیة ما عدا النصوص القرآنیة والسنة القطعیة علی نقل أحد الرواة وأرباب الکتب فی إطار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الضروری أن المجتهد مهما حاول فی</w:t>
      </w:r>
    </w:p>
    <w:p>
      <w:pPr>
        <w:pStyle w:val="BookText"/>
        <w:rPr/>
      </w:pPr>
      <w:r>
        <w:rPr>
          <w:rFonts w:ascii="IRNazanin" w:hAnsi="IRNazanin" w:eastAsia="IRNazanin"/>
          <w:color w:val="111111"/>
          <w:sz w:val="28"/>
          <w:sz w:val="28"/>
          <w:szCs w:val="28"/>
          <w:rtl w:val="true"/>
          <w:lang w:bidi="fa-IR"/>
        </w:rPr>
        <w:t>تدقیق وثاقة الراوی وامانته فی النقل لن یتأکد بشکل قاطع من صحة النص ومطابقته للواقع الموضوعی فی نهایة المطاف وذلک 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یعرف مدی وثاقة الراوی وأمانته فی النقل بشکل مباشر وأنما وصلت إلیه فی إطار نقل الأحاد تاریخیاً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مهما بلغت وثاقته وأمانته فی النقل مداها إلا أنه لک یکن مصوناً من الخطاء والإشتباه، ونقل مالا واقع له، وبذلک یتغیر وجه عملیة الإجتهاد عن واقعها الموضوعی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وصول النصوص التشریعیة إلیه لم یکن بشکل مباشر بل بعد أن تطوف عدة أشواط وتصل إلیه</w:t>
      </w:r>
    </w:p>
    <w:p>
      <w:pPr>
        <w:pStyle w:val="BookText"/>
        <w:rPr/>
      </w:pPr>
      <w:r>
        <w:rPr>
          <w:rFonts w:ascii="IRNazanin" w:hAnsi="IRNazanin" w:eastAsia="IRNazanin"/>
          <w:color w:val="111111"/>
          <w:sz w:val="28"/>
          <w:sz w:val="28"/>
          <w:szCs w:val="28"/>
          <w:rtl w:val="true"/>
          <w:lang w:bidi="fa-IR"/>
        </w:rPr>
        <w:t>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علی ضوء هذه الجهات الثلاث إن المجتهد فی مقام عملیة الإجتهاد وتعیین الوظائف العملیة تجاه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اهتم وبالغ فی تدقیق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یتمکن إن یتأکد بشکل قاطع بصحة تلک النصوص وصدورها من مصادرها، ومطابقتها للواقع الموضوعی فی کل شوط، فما ظنک فی تمام الأشواط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مجتهد بطبیعة الحال یعتمد فی کشف مدا لیل النصوص التشریعیة وتعیینها فی اطارها الخاص علی الفهم العرفی وطریقتهم المتبعة فی باب الألفاظ التی</w:t>
      </w:r>
    </w:p>
    <w:p>
      <w:pPr>
        <w:pStyle w:val="BookText"/>
        <w:rPr/>
      </w:pPr>
      <w:r>
        <w:rPr>
          <w:rFonts w:ascii="IRNazanin" w:hAnsi="IRNazanin" w:eastAsia="IRNazanin"/>
          <w:color w:val="111111"/>
          <w:sz w:val="28"/>
          <w:sz w:val="28"/>
          <w:szCs w:val="28"/>
          <w:rtl w:val="true"/>
          <w:lang w:bidi="fa-IR"/>
        </w:rPr>
        <w:t>تقوم علی أساس مناسبات الحکم والموضوع الإرتکازیة وتکوین قواعد مشترکة منها وفقاً لشروطها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 مجتهد یعتمد فی کشف مطابقة مدا لیل النصوص التشریعیة المحددة بالفهم العرفی لواقع التشریع الإسلامی علی قاعدة عقلائیة منذ عهد التشریع وهی أن العقلاء یحملون کل کلام صادر من متکلم ملتفت علی بیان الواقع والجد دون التقیه ونحوها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النقاط الثلاث التی لا بد لکل مجتهد للوصول إلی درجة الإجتهاد من دراسة هذه النقاط</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موضوعیة، وبذل الجهد فیها، وتکوین النظریات العامة والقواعد المشترکة، مع دراسة عدة علوم أخری بصورة مسبقة کالإعداد لها</w:t>
      </w:r>
      <w:r>
        <w:rPr>
          <w:rFonts w:eastAsia="IRNazanin" w:cs="IRNazanin"/>
          <w:color w:val="111111"/>
          <w:sz w:val="28"/>
          <w:szCs w:val="28"/>
          <w:rtl w:val="true"/>
          <w:lang w:bidi="fa-IR"/>
        </w:rPr>
        <w:t>.</w:t>
      </w:r>
      <w:bookmarkStart w:id="21" w:name="pg5602_7012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2962126_581953129"/>
      <w:bookmarkStart w:id="23" w:name="_Toc8"/>
      <w:bookmarkEnd w:id="21"/>
      <w:bookmarkEnd w:id="22"/>
      <w:r>
        <w:rPr>
          <w:rtl w:val="true"/>
        </w:rPr>
        <w:t>الفصل الثانی</w:t>
      </w:r>
      <w:r>
        <w:rPr>
          <w:rtl w:val="true"/>
        </w:rPr>
        <w:t xml:space="preserve">: </w:t>
      </w:r>
      <w:r>
        <w:rPr>
          <w:rtl w:val="true"/>
        </w:rPr>
        <w:t>الفراغ بین عصر التشریع و عصر الإجتهاد</w:t>
      </w:r>
      <w:bookmarkEnd w:id="23"/>
    </w:p>
    <w:p>
      <w:pPr>
        <w:pStyle w:val="BookText"/>
        <w:rPr/>
      </w:pPr>
      <w:r>
        <w:rPr>
          <w:rFonts w:ascii="IRNazanin" w:hAnsi="IRNazanin" w:eastAsia="IRNazanin"/>
          <w:color w:val="111111"/>
          <w:sz w:val="28"/>
          <w:sz w:val="28"/>
          <w:szCs w:val="28"/>
          <w:rtl w:val="true"/>
          <w:lang w:bidi="fa-IR"/>
        </w:rPr>
        <w:t>ثم أن الفراغ بین عصر التشریع وعصر الإجتهاد مهما زاد وکثر واجهت النصوص التشریعیة الشکوک والأوهام أکثر فأکثر من مختلف الجوانب والجهات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کانت عملیة الإجتهاد فی الزمن المعاصر عملیة صعبة ومعقدة، ومحفوفة بالشکوک والأوهام والمخاطر، فعلی المجتهد أن یقوم لدفع تلک الشکوک والأوهام والمخاطر، وملء الفراغ فی مقام هذه العملیة، ولا یتمکن من ذلک إلا بما یتبناه فی الأصول من النظریات العامة، والقواعد المشترکة فی الحدود المسموح بها وفقاً لشروطها العامة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تکن تلک القواعد المحددة فی الأصول متمتعة بطابع قطعی لم تدفع الشکوک والأوهام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تواجه</w:t>
      </w:r>
    </w:p>
    <w:p>
      <w:pPr>
        <w:pStyle w:val="BookText"/>
        <w:rPr/>
      </w:pPr>
      <w:r>
        <w:rPr>
          <w:rFonts w:ascii="IRNazanin" w:hAnsi="IRNazanin" w:eastAsia="IRNazanin"/>
          <w:color w:val="111111"/>
          <w:sz w:val="28"/>
          <w:sz w:val="28"/>
          <w:szCs w:val="28"/>
          <w:rtl w:val="true"/>
          <w:lang w:bidi="fa-IR"/>
        </w:rPr>
        <w:t xml:space="preserve">النصوص بشکل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فیواجه المجتهد أمام ذلک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یتخذه فی مقام عملیة الإجتهاد رغم عدم تأکده بصحة تلک العملیة ومطابقتها للواقع الموضوعی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المجتهد لما لم یتمکن من التأکد بصحة النصوص التشریعیة بشکل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الشکوم والأوهام التی تواجهها فی کل شوط شتی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یسمح له أن یعتمد علی هذه النصوص فی مقام عملیة الإجتهاد واستنباط الأحکام الشرعیة منها، رغم أن الإسلام لم یسمح العمل بالظن والإعتماد علیه فی تشریعه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الدین الإسلامی قد</w:t>
      </w:r>
    </w:p>
    <w:p>
      <w:pPr>
        <w:pStyle w:val="BookText"/>
        <w:rPr/>
      </w:pPr>
      <w:r>
        <w:rPr>
          <w:rFonts w:ascii="IRNazanin" w:hAnsi="IRNazanin" w:eastAsia="IRNazanin"/>
          <w:color w:val="111111"/>
          <w:sz w:val="28"/>
          <w:sz w:val="28"/>
          <w:szCs w:val="28"/>
          <w:rtl w:val="true"/>
          <w:lang w:bidi="fa-IR"/>
        </w:rPr>
        <w:t xml:space="preserve">سمح منذ بدایة تشریعة للتصدی لعملیة الإجتهاد، وتحدید الوظیفة العملیة تجاه الشریعة من النصوص التشریعیة، رغم أن هذه العملیة لا تتعدی عن درجة الظن إلی درجة الیقین فی تمام مراحل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البدایة إلی أن تطورت وأصبحت عملیة 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من کان یعیش فی عصر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المسلمین لم یکن یتمکن کل فرد منهم أن یسمع الحکم الشرعی من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أو من إناس لا یشک فی صدقهم، ولا سیما النساء ومن یکون بعیداً عن المدینة المنورة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 بطبیعة الحال کان سماع الأحکام الشرعیة غالباً من النبی الأکرم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أناس ینقلون الأحادیث والأحکام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فهم الحکم الشرعی من الروایات الواصلة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مستنداً إلی القطع بالصدور، والدلالة والجهة ولو کان ذلک من جهة غفلة الشخص عن احتمال خطأ الناقل واشتباهه فی النقل وأخری لا یکون مستنداً إلی القطع بهذه الجهات، لإلتفاته إلی أن الناقل قد یخطأ ویشتبه فی النقل، أو فی السماع وان افترض القطع بعدم تعمده فی الکذب، وفی مثل ذلک لا محالة یکون فهم الحکم الشرعی من النصوص بحاجة إلی قاعدة عامة کحجیة تلک النصوص، وحجیة ظهورها العرفی، أو ما شاکل ذلک، ولا یمکن ذلک الفهم بدون تطبیق هذه القواعد العامة وأن کان ذلک التطبیق بحسب الإرتکاز،</w:t>
      </w:r>
    </w:p>
    <w:p>
      <w:pPr>
        <w:pStyle w:val="BookText"/>
        <w:rPr/>
      </w:pPr>
      <w:r>
        <w:rPr>
          <w:rFonts w:ascii="IRNazanin" w:hAnsi="IRNazanin" w:eastAsia="IRNazanin"/>
          <w:color w:val="111111"/>
          <w:sz w:val="28"/>
          <w:sz w:val="28"/>
          <w:szCs w:val="28"/>
          <w:rtl w:val="true"/>
          <w:lang w:bidi="fa-IR"/>
        </w:rPr>
        <w:t>وبدون الوعی والإلتفات منهم إلی طبیعة هذه القواعد وحدودها، وأهمیة دورها فی عملیة الإستنباط والإجتهاد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بدایة نقطة عملیة الإجتهاد والإستنباط بأبسط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تطورت عصراً بعد عصر تدریجیاً إلی أن تبلورت هذه العملیة فی زمان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جماعة من الرواة، ووجدت بذرة التفکیر الأصولی فی آفاق أذهانهم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یظهر ذلک بوضوح من بعض الأسئلة الموجهة من قبل هؤلاء إلی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أفیونس بن عبدالرحمن ثقة آخذ عنه ما أحتاج إلیه من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فأنه یکشف عن وجود بذرة</w:t>
      </w:r>
    </w:p>
    <w:p>
      <w:pPr>
        <w:pStyle w:val="BookText"/>
        <w:rPr/>
      </w:pPr>
      <w:r>
        <w:rPr>
          <w:rFonts w:ascii="IRNazanin" w:hAnsi="IRNazanin" w:eastAsia="IRNazanin"/>
          <w:color w:val="111111"/>
          <w:sz w:val="28"/>
          <w:sz w:val="28"/>
          <w:szCs w:val="28"/>
          <w:rtl w:val="true"/>
          <w:lang w:bidi="fa-IR"/>
        </w:rPr>
        <w:t xml:space="preserve">التفکیر الأصولی فی مرتکزات ذهنه، وهی حجیة خبر الثقة وهذا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یونس بن عبدالرحمن إذا کان ثقة أمکن استنباط الحکم الشرعی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بتطبیق القاعدة العامة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حجیة خبر الثقة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راجع الروایات ونظر فیها یظهر له من مجموعة الأسئلة فیها وجود بذرة التفکیر الأصولی فی آفاق اذهان هؤلاء الرواة، ومرتکزاتهم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هذه البذرة قد تطورت ونمت فی عصر الغیبة تدریجاً علی ضوء تطور العمل الفقهی، ونموه وتوسعه بتوسع مختلف جوانب الحیاة ونموها إلی أن انفصلت دراسة هذه البذرة عن الدراسة الفقهیة، وأصبحت دراسة علمیة مستقلة، وقائمة بنفسها، وتسمی هذه</w:t>
      </w:r>
    </w:p>
    <w:p>
      <w:pPr>
        <w:pStyle w:val="BookText"/>
        <w:rPr/>
      </w:pPr>
      <w:r>
        <w:rPr>
          <w:rFonts w:ascii="IRNazanin" w:hAnsi="IRNazanin" w:eastAsia="IRNazanin"/>
          <w:color w:val="111111"/>
          <w:sz w:val="28"/>
          <w:sz w:val="28"/>
          <w:szCs w:val="28"/>
          <w:rtl w:val="true"/>
          <w:lang w:bidi="fa-IR"/>
        </w:rPr>
        <w:t xml:space="preserve">الدراسة التی هی علی صعید البحث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انفصالها عن الدراسة الفقهیة التی هی علی صعید البحث التطبیقی واستقلالها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الأصول، فالتسمیة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جودة البذرة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ولد منذ ولادة العمل الفقهی، ولا یمکن انفکاک النظر الفقهی عن النظر الأصولی فی أیة مرحلة من مراحل وجوده، للترابط الوثیق بینهما فی تمام المراحل، حیث أن عملیة الاستنباط عملیة قد نتجت من الترابط بینهما ترابط العلم النظری بالعلم التطبیقی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إن نخرج بهذه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 عملیة الإجتهاد، وتحدید الوظائف العملیة تجاه الشریعة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النصوص التشریعیة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عملیة مستحدثة فی عصر الغیبة، بل أنها موجودة فی عصر التشریع علی طول الخط، غایة الأمر أن وجودها فی ذلک العصر کان وجوداً بدائیاً بسیطا، وغیر متطور ومعقد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عملیة الإجتهاد فی عصر التشریع تمتاز عن عملیة الإجتهاد فی عصر الغیبة بأمرین</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الإجتهاد فی عصر التشریع علی طول الخط کان عملیة سهلة، وغیر معقدة، إذ الإنسان فی ذلک العصر لم یکن بحاجة فی الوصول إلی مرتبة الإجتهاد إلی تقدیم دراسات مجموعة علوم بصورة مسبقة بالصیغ الموجودة حالیاً کالإعداد لها وإلی تقدیم</w:t>
      </w:r>
    </w:p>
    <w:p>
      <w:pPr>
        <w:pStyle w:val="BookText"/>
        <w:rPr/>
      </w:pPr>
      <w:r>
        <w:rPr>
          <w:rFonts w:ascii="IRNazanin" w:hAnsi="IRNazanin" w:eastAsia="IRNazanin"/>
          <w:color w:val="111111"/>
          <w:sz w:val="28"/>
          <w:sz w:val="28"/>
          <w:szCs w:val="28"/>
          <w:rtl w:val="true"/>
          <w:lang w:bidi="fa-IR"/>
        </w:rPr>
        <w:t>دراسات النصوص التشریعیة فی مختلف مجالاتها لملء الثغرات والفجوات التی تنجم عن ابتعاد الفقیه عن عصر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الإجتهاد فی هذا العصر فالوصول إلیه بحاجة إلی تقدیم الدراسات فی مختلف الجهات، وممارستها لملء الفراغ الناجم من ابتعاد الفقیه عن عصر التشریع، ودفع الشکوک والأوهام التی تواجهها النصوص التشریعیة مهما أمکن، وتبریر العمل بها رغم وجود تلک الشکوک والأوهام فی الواقع، وعدم إمکان إزالتها نهائیاً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الإجتهاد فی عصر التشریع أقرب إلی واقع التشریع الإسلامی من الإجتهاد فی العصور المتأخرة،</w:t>
      </w:r>
    </w:p>
    <w:p>
      <w:pPr>
        <w:pStyle w:val="BookText"/>
        <w:rPr/>
      </w:pPr>
      <w:r>
        <w:rPr>
          <w:rFonts w:ascii="IRNazanin" w:hAnsi="IRNazanin" w:eastAsia="IRNazanin"/>
          <w:color w:val="111111"/>
          <w:sz w:val="28"/>
          <w:sz w:val="28"/>
          <w:szCs w:val="28"/>
          <w:rtl w:val="true"/>
          <w:lang w:bidi="fa-IR"/>
        </w:rPr>
        <w:t>حیث إن الإجتهاد فی هذه العصور کما عرفت مکتنف بالشکوک والأوهام حول مدی صحة النصوص التشریعیة الواصلة بطریق الأحاد عبر قرون متطاولة، بینما لم یکن الإجتهاد فی عصر التشریع مکتنفاً بتلک الشکوک والأوهام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یشترکان فی نقطة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سماح الشرع فی کشف واقع التشریع الإسلامی ظاهراً بالعملیة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عملیة ظنیة لا تتعدی عن حدود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علینا أن نفصل ذلک الظن عن الظن الذی لم یسمح الإسلام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والإعتماد علیه فیه التشریع</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الظن الذی قد سمح الإسلام العمل به فی کشف تشریعاته کان ذا طابع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یشرح ذلک</w:t>
      </w:r>
    </w:p>
    <w:p>
      <w:pPr>
        <w:pStyle w:val="BookText"/>
        <w:rPr/>
      </w:pPr>
      <w:r>
        <w:rPr>
          <w:rFonts w:ascii="IRNazanin" w:hAnsi="IRNazanin" w:eastAsia="IRNazanin"/>
          <w:color w:val="111111"/>
          <w:sz w:val="28"/>
          <w:sz w:val="28"/>
          <w:szCs w:val="28"/>
          <w:rtl w:val="true"/>
          <w:lang w:bidi="fa-IR"/>
        </w:rPr>
        <w:t xml:space="preserve">الطابع فی ضمن حدود معینة وفقاً لشروطها العامة فی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الطن الحاصل من النصوص التشریعیة بالأحکام الشرعیة فی ضمن شروطه المبینه المحدودة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جواز العمل بذلک الظن بین عصر التشریع علی طول الخط والعصور المتأخرة إلی نهایة المطاف، فإن الفصل الزمنی بینهما مهما طال لا یؤثر فی ذلک</w:t>
      </w:r>
      <w:r>
        <w:rPr>
          <w:rFonts w:eastAsia="IRNazanin" w:cs="IRNazanin"/>
          <w:color w:val="111111"/>
          <w:sz w:val="28"/>
          <w:szCs w:val="28"/>
          <w:rtl w:val="true"/>
          <w:lang w:bidi="fa-IR"/>
        </w:rPr>
        <w:t>.</w:t>
      </w:r>
      <w:bookmarkStart w:id="24" w:name="pg5602_70148"/>
    </w:p>
    <w:p>
      <w:pPr>
        <w:pStyle w:val="Heading2"/>
        <w:numPr>
          <w:ilvl w:val="1"/>
          <w:numId w:val="1"/>
        </w:numPr>
        <w:rPr/>
      </w:pPr>
      <w:bookmarkStart w:id="25" w:name="__RefHeading___Toc2962128_581953129"/>
      <w:bookmarkStart w:id="26" w:name="_Toc9"/>
      <w:bookmarkEnd w:id="24"/>
      <w:bookmarkEnd w:id="25"/>
      <w:r>
        <w:rPr>
          <w:rtl w:val="true"/>
        </w:rPr>
        <w:t>الفصل الثالث</w:t>
      </w:r>
      <w:r>
        <w:rPr>
          <w:rtl w:val="true"/>
        </w:rPr>
        <w:t xml:space="preserve">: </w:t>
      </w:r>
      <w:r>
        <w:rPr>
          <w:rtl w:val="true"/>
        </w:rPr>
        <w:t>الإخباریون و مسألة الإجتهاد</w:t>
      </w:r>
      <w:bookmarkEnd w:id="2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962130_581953129"/>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قد عارض جماعة کثیرة من الإخباریین عملیة الإجتهاد ومدرسته، وشجبوا هذه المدرسة شجباً عنیفاً، وفی نهایة المطاف علم الأصول، بدون الوعی والالتفات منهم إلی طبیعة علم الأصول، وأهمیة دوره الأساسی فی الفقه، وأنه العمود الفقری للعملیات الفقهیة فی مختلف مجالات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المعارضة الشدیدة من هؤلاء تقوم علی أساس نقطتین</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فسروا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الإجتهاد یعنی التفکیر الشخصی للفقیه فی المسألة إذا لم یوجد فیها نص، وهذا التفکیر الشخصی یقوم علی أثر الإعتبارات العقلیة، والمناسبات</w:t>
      </w:r>
    </w:p>
    <w:p>
      <w:pPr>
        <w:pStyle w:val="BookText"/>
        <w:rPr/>
      </w:pPr>
      <w:r>
        <w:rPr>
          <w:rFonts w:ascii="IRNazanin" w:hAnsi="IRNazanin" w:eastAsia="IRNazanin"/>
          <w:color w:val="111111"/>
          <w:sz w:val="28"/>
          <w:sz w:val="28"/>
          <w:szCs w:val="28"/>
          <w:rtl w:val="true"/>
          <w:lang w:bidi="fa-IR"/>
        </w:rPr>
        <w:t>الظنیة التی تؤدی إلی ترجیحه بصفة کونه حکماً اجتهادیاً ذا طابع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هذا هو المتداول بین أبناء العامة، فأنهم إذا لم یجدوا نصاً فی المسألة عملوا بعقولهم وأفکارهم الشخصیة فیها بملاک المناسبات الظنیة، والاستحسانات العقلیة، والقیاسات الإعتباریة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هذه الأفکار الشخصیة، والآراء التی تبتنی علی تلک الإعتبارات العقلیة الظنیة مصدراً من مصادر الحکم الشرعی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هذا التفسیر الباطل شنَّ هؤلاء الجماعة هجوماً شدیداً علی مدرسة الإجتهاد وأهلها، وأن هذه المدرسة قد اسست فی مقابل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خلافها، ولذا وردت فی ذم هذه المدرسة</w:t>
      </w:r>
    </w:p>
    <w:p>
      <w:pPr>
        <w:pStyle w:val="BookText"/>
        <w:rPr/>
      </w:pPr>
      <w:r>
        <w:rPr>
          <w:rFonts w:ascii="IRNazanin" w:hAnsi="IRNazanin" w:eastAsia="IRNazanin"/>
          <w:color w:val="111111"/>
          <w:sz w:val="28"/>
          <w:sz w:val="28"/>
          <w:szCs w:val="28"/>
          <w:rtl w:val="true"/>
          <w:lang w:bidi="fa-IR"/>
        </w:rPr>
        <w:t xml:space="preserve">روایات کثیرة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الأصول هو العلم الحادث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ومأخوذ من العامة، فأنهم الأصل فیه، ولیس موجوداً علی طول تاریخ الفقه، وفی عصر التشریع وزمان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عملوا علی طبق النصوص التشریعیة حرفیاً وبدون حاجة إلی علم الأصول، وتطبیق القواعد العامة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هذا هو طریق تحدید المواقف العملیة للإنسان تجاه الشریعه فی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التعدی عن هذه الطریقة إلی طریقة أخری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تکن موجودة فی</w:t>
      </w:r>
    </w:p>
    <w:p>
      <w:pPr>
        <w:pStyle w:val="BookText"/>
        <w:rPr/>
      </w:pPr>
      <w:r>
        <w:rPr>
          <w:rFonts w:ascii="IRNazanin" w:hAnsi="IRNazanin" w:eastAsia="IRNazanin"/>
          <w:color w:val="111111"/>
          <w:sz w:val="28"/>
          <w:sz w:val="28"/>
          <w:szCs w:val="28"/>
          <w:rtl w:val="true"/>
          <w:lang w:bidi="fa-IR"/>
        </w:rPr>
        <w:t>ذلک الزمان لکی یستکشف إمضاؤها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یمکن إثبات أن الشارع قد سمح بطریقة الإجتهاد والإستنباط، ومع عدم السماح بها لا حاجة إلی علم الأصول، فأن الحاجة إلیه تنبع عن واقع حاجة عملیة الإجتهاد والإستنباط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بالنقد علی کلتی النقطتین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تفسیر الإجتهاد لدی الأصولیین بالتفسیر المذکور تفسیر خاطئ لا واقع موضوعی له، فإنهم لم یقولوا بالإجتهاد بالتفسیر المزبور فی أی تاریخ من التاریخ المعاصر للإجتهاد بداهة أن الإجتهاد عندهم لیس فی</w:t>
      </w:r>
    </w:p>
    <w:p>
      <w:pPr>
        <w:pStyle w:val="BookText"/>
        <w:rPr/>
      </w:pPr>
      <w:r>
        <w:rPr>
          <w:rFonts w:ascii="IRNazanin" w:hAnsi="IRNazanin" w:eastAsia="IRNazanin"/>
          <w:color w:val="111111"/>
          <w:sz w:val="28"/>
          <w:sz w:val="28"/>
          <w:szCs w:val="28"/>
          <w:rtl w:val="true"/>
          <w:lang w:bidi="fa-IR"/>
        </w:rPr>
        <w:t xml:space="preserve">مقابل النصوص التشریعیة مصدراً من مصادر الحکم الشرعی، کیف حیث أنهم شجبوا الإجتهاد بهذا المعنی، شجباً مریراً علی طول الخط تبعاً للروایات المأثورة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وردت فی شجب الإجتهاد بهذا المعنی، وذم من یقوم بأستنباط الحکم الشرعی بهذه الطریقة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الإجتهاد عندهم بمعنی استنباط الحکم الشرعی من الدلیل، وتعیین الموقف العملی به تجاه الشریعة، ومعنی الإستنباط هو تطبیق القواعد العامة المشترکة المحددة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حجیتها شرعاً فی الأصول بنحو الجزم والقطع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مواردها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الإجتهاد بهذا المعنی قد أصبح فی عصرنا الحاضر من البدیهیات، بل الأمر کذلک فی تمام العصور أی منذ ولادة الفقه، ولا یسع لأی واحد إنکاره وشجبه حتی من الإخباریین، إذ من الضروری أن النصوص التشریعیة لیست قطعیة فی مختلف جهاتها حتی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فبطبیعة الحال کانوا فی فهم الحکم الشرعی من تلک النصوص فی کل مسألة من المسائل الفقهیة بحاجة إلی تطبیق قاعدة عامة علیها کحجیة خبر الثقة، وحجیة الظهور العرفی، أو نحو ذلک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فهم الحکم الشرعی منها فی کل مورد وواقعة بدون الإستعانة بهذه القواعد العامة، وتطبیقها،</w:t>
      </w:r>
    </w:p>
    <w:p>
      <w:pPr>
        <w:pStyle w:val="BookText"/>
        <w:rPr/>
      </w:pPr>
      <w:r>
        <w:rPr>
          <w:rFonts w:ascii="IRNazanin" w:hAnsi="IRNazanin" w:eastAsia="IRNazanin"/>
          <w:color w:val="111111"/>
          <w:sz w:val="28"/>
          <w:sz w:val="28"/>
          <w:szCs w:val="28"/>
          <w:rtl w:val="true"/>
          <w:lang w:bidi="fa-IR"/>
        </w:rPr>
        <w:t>وإن کان ذلک بدون الوعی والالتفات منهم إلی طبیعة تلک القواعد، وحدودها، وأهمیة 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عملیة الإجتهاد والإستنباط، ولا نقصد بالإجتهاد إلا فهم الحکم الشرعی من دلیله بتطبیق القاعدة العامة علیه، ولا یمکن للأخباریین إنکار الإجتهاد بهذا المعنی، حیث أن إنکاره مساوق لإنکار الفقه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شبهة فی أن بذرة التفکیر الأصولی موجودة فی آفاق أذهان الأخبارین فإنکارهم للأصول یرجع إلی إنکارهم له بوصف کونه دراسة علمیة مستقلة ومنفصلة عن البحوث الفقهیة</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العامة لیسوا هم الأصل فی</w:t>
      </w:r>
    </w:p>
    <w:p>
      <w:pPr>
        <w:pStyle w:val="BookText"/>
        <w:rPr/>
      </w:pPr>
      <w:r>
        <w:rPr>
          <w:rFonts w:ascii="IRNazanin" w:hAnsi="IRNazanin" w:eastAsia="IRNazanin"/>
          <w:color w:val="111111"/>
          <w:sz w:val="28"/>
          <w:sz w:val="28"/>
          <w:szCs w:val="28"/>
          <w:rtl w:val="true"/>
          <w:lang w:bidi="fa-IR"/>
        </w:rPr>
        <w:t>التفکیر الأصولی حیث أن هذا التفکیر موجود علی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الأصل فی تألیف الأصول بصورة دراسة علمیة مستقلة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عرفنا أن عملیة الإجتهاد والإستنباط لم تکن متأخرة تاریخیاً عن عصر الحضور بل هی کانت موجودة فی ذلک العصر غایة الأمر أن وجودها فیه کان بدائیاً وغیر معقد أو متطور ثم إننا إذا افترضنا أن عملیة الإجتهاد متأخرة زماناً عن عصر الحضور ولم تکن موجودة فی ذلک العصر وإنما وجدت وبرزت فی مظهر الوجود فی عصر الغیبة</w:t>
      </w:r>
      <w:r>
        <w:rPr>
          <w:rFonts w:eastAsia="IRNazanin" w:cs="IRNazanin"/>
          <w:color w:val="111111"/>
          <w:sz w:val="28"/>
          <w:szCs w:val="28"/>
          <w:rtl w:val="true"/>
          <w:lang w:bidi="fa-IR"/>
        </w:rPr>
        <w:t>.</w:t>
      </w:r>
      <w:bookmarkStart w:id="29" w:name="pg5602_70165"/>
    </w:p>
    <w:p>
      <w:pPr>
        <w:pStyle w:val="BookText"/>
        <w:rPr/>
      </w:pPr>
      <w:bookmarkEnd w:id="29"/>
      <w:r>
        <w:rPr>
          <w:rFonts w:ascii="IRNazanin" w:hAnsi="IRNazanin" w:eastAsia="IRNazanin"/>
          <w:color w:val="111111"/>
          <w:sz w:val="28"/>
          <w:sz w:val="28"/>
          <w:szCs w:val="28"/>
          <w:rtl w:val="true"/>
          <w:lang w:bidi="fa-IR"/>
        </w:rPr>
        <w:t>فحینئذ قد تبدو أمام هذا الإفتراض المشکلة الآتیة وهی أن عملیة الإجتهاد والإستنباط بما أنها حدثت فی عصر الغیبة ولم تکن موجودة فی عصر الحضور من ناحیة، وغیر کاشفة عن واقع التشریع الإسلامی إلا فی حدود الظن فقط من ناحیة أخری فمع ذلک کیف یمکن الإعتماد علی هذه العملیة الظنیة رغم أن الإسلام قد منع عن العمل بالظن والإعتماد علی القول بغیر العلم</w:t>
      </w:r>
      <w:r>
        <w:rPr>
          <w:rFonts w:eastAsia="IRNazanin" w:cs="IRNazanin"/>
          <w:color w:val="111111"/>
          <w:sz w:val="28"/>
          <w:szCs w:val="28"/>
          <w:rtl w:val="true"/>
          <w:lang w:bidi="fa-IR"/>
        </w:rPr>
        <w:t>.</w:t>
      </w:r>
    </w:p>
    <w:p>
      <w:pPr>
        <w:pStyle w:val="Heading3"/>
        <w:numPr>
          <w:ilvl w:val="2"/>
          <w:numId w:val="1"/>
        </w:numPr>
        <w:rPr/>
      </w:pPr>
      <w:bookmarkStart w:id="30" w:name="__RefHeading___Toc2962132_581953129"/>
      <w:bookmarkStart w:id="31" w:name="_Toc11"/>
      <w:bookmarkEnd w:id="30"/>
      <w:r>
        <w:rPr>
          <w:rtl w:val="true"/>
        </w:rPr>
        <w:t>حل هذه المشکلة بطریقتین</w:t>
      </w:r>
      <w:bookmarkEnd w:id="31"/>
    </w:p>
    <w:p>
      <w:pPr>
        <w:pStyle w:val="Heading4"/>
        <w:numPr>
          <w:ilvl w:val="3"/>
          <w:numId w:val="1"/>
        </w:numPr>
        <w:rPr/>
      </w:pPr>
      <w:bookmarkStart w:id="32" w:name="__RefHeading___Toc2962134_581953129"/>
      <w:bookmarkStart w:id="33" w:name="_Toc12"/>
      <w:bookmarkEnd w:id="32"/>
      <w:r>
        <w:rPr>
          <w:rtl w:val="true"/>
        </w:rPr>
        <w:t>الطریق الأول</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موقف الإنسان أمام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کونه عبداً له سبحانه ومسئولاً عن امتثال أحکامه ومدعواً من قبل</w:t>
      </w:r>
    </w:p>
    <w:p>
      <w:pPr>
        <w:pStyle w:val="BookText"/>
        <w:rPr/>
      </w:pPr>
      <w:r>
        <w:rPr>
          <w:rFonts w:ascii="IRNazanin" w:hAnsi="IRNazanin" w:eastAsia="IRNazanin"/>
          <w:color w:val="111111"/>
          <w:sz w:val="28"/>
          <w:sz w:val="28"/>
          <w:szCs w:val="28"/>
          <w:rtl w:val="true"/>
          <w:lang w:bidi="fa-IR"/>
        </w:rPr>
        <w:t>عقله الفطری بالتوفیق بین سلوکه وأفعاله فی مختلف جوانب الحیاة الإجتماعیة، والفردیة، المادیة، والمعنویة، وبین الأحکام الشرعیة الإلهیة یدور بین ثلاث خطوات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یقتصر فی سلوکه أمام الله تعالی، وإطاعته علی خصوص الأحکام الشرعیة التی تتمتع بطابع ضروری أو قطعی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بطریقة الإحتیاط فی مختلف مجالات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بطریقة الإجتهاد، وتعیین الوظائف العملیة بها تجاه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الخطوة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کونه عبداً للّه تعالی، ویری نفسه ملزماً ببناء کل تصرفاته وسلوکه فی شتی جوانب الحیاة علی أساس القوانین الشرعیة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بهذه الخطوة، لما عرفت من أنها لا تکفی إلا فی شطر قلیل من مجالات الحیاة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الإنسان حراً فی تصرفاته وسلوکه الإجتماعیة، والفردیة إلا فی هذا الشطر القلیل</w:t>
      </w:r>
    </w:p>
    <w:p>
      <w:pPr>
        <w:pStyle w:val="BookText"/>
        <w:rPr/>
      </w:pPr>
      <w:r>
        <w:rPr>
          <w:rFonts w:ascii="IRNazanin" w:hAnsi="IRNazanin" w:eastAsia="IRNazanin"/>
          <w:color w:val="111111"/>
          <w:sz w:val="28"/>
          <w:sz w:val="28"/>
          <w:szCs w:val="28"/>
          <w:rtl w:val="true"/>
          <w:lang w:bidi="fa-IR"/>
        </w:rPr>
        <w:t>منها، ومن البدیهی أن هذا لا ینسجم مع اهتمام الشارع وحکم العقل ببناء کل تصرفاته، وسلوکه فی مختلف المجالات علی الشریعة من ناحیة وکون هذه الشریعة شریعة خالدة متکفلة لحل تمام مشاکل الإنسان علی طول الخط من ناحیة أخری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 من أن تلک الفئة من الأحکام الإسلامیة باعتبار قلتها لا تعالج بها مشاکل الإنسان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الإجتماعیة، والفردیة بینما کان الدین الإسلامی هو النظام الوحید لحل المشاکل المعقدة فی مختلف مجالات الحیاة علی أساس أنه یزود الإنسان بطاقات نفسیة، وبملکات فاضلة وأخلاق سامیة لمعالجة تلک المشاکل المعقدة، وهو یربط بین الدوافع الذاتیة</w:t>
      </w:r>
    </w:p>
    <w:p>
      <w:pPr>
        <w:pStyle w:val="BookText"/>
        <w:rPr/>
      </w:pPr>
      <w:r>
        <w:rPr>
          <w:rFonts w:ascii="IRNazanin" w:hAnsi="IRNazanin" w:eastAsia="IRNazanin"/>
          <w:color w:val="111111"/>
          <w:sz w:val="28"/>
          <w:sz w:val="28"/>
          <w:szCs w:val="28"/>
          <w:rtl w:val="true"/>
          <w:lang w:bidi="fa-IR"/>
        </w:rPr>
        <w:t>والمیول الطبیعیة والإتجاهات الشخصیة للإنسان، وبین مصالح الإنسان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العدالة الإجتماعیة التی قد أهتم الإسلام بها، وهو الوسیلة الوحیدة لحل التناقضات بین الدوافع الذاتیة لمصالح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الدوافع النوعیة لمصالح نوعیة، وهو یجهز الإنسان بطاقات غریزة الدین ودوافعه، وبذلک تصبح المصالح العامة للمجتمع الإنسانی علی وفق المیول الطبیعیة، والدوافع الذاتیة، وهذا معنی حل الدین الإسلامی لمشکلة الإنسان الکبری علی وجه الأرض</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هذا المحذور لا یمکن اقتصار المکلف فی مقام أداء الوظیفة علی هذه الخطوة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الخطوة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وإن کانت فی نفسها خطوة جادة إلا أنه لا یمکن الأخذ بها، لأجل أحد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من أفراد المکلفین لا یتمکن من الأخذ بهذه الخطوة فی مختلف مجالات الحیاة، والعلاقات مع الآخرین، فإن الأخذ بها یتوقف علی معرفة مواردها وهی لا تتیسر لکل فرد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الخطوة بما أنها تتطلب انشغال المکلف بالوظائف الدینیة بأکثر من اللازم فلاجل ذلک قد تؤدی إلی نتیجة مضادة لها کما فصلنا الحدیث عن ذلک فی علم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الخطوة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عملیة الإجتهاد والإستنباط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إقامة المجتهد الدلیل فی کل واقعة من الوقائع علی تحدید الموقف العملی للإنسان تجاه الشریعة بحکم التبعیة لها، ویسمی ذلک فی المصطلح باسم عملیة الإجتهاد والإستنباط فعلم الفقه هو العلم الذی وضع لهذه العملیة، وتعیین المواقف للإنسان تجاه الشرع فی تمام الوقائع والأحداث التی تمر علی حیاة الإنسان فکلما تجددت المشاکل للحیاة بتجدد الوقائع والأحداث فعلی الفقیه أن یقوم بتحدید الموقف العملی للإنسان أمام هذه المشاکل</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یتطور علم الفقه ویتسع ویتعمق بتطور</w:t>
      </w:r>
    </w:p>
    <w:p>
      <w:pPr>
        <w:pStyle w:val="BookText"/>
        <w:rPr/>
      </w:pPr>
      <w:r>
        <w:rPr>
          <w:rFonts w:ascii="IRNazanin" w:hAnsi="IRNazanin" w:eastAsia="IRNazanin"/>
          <w:color w:val="111111"/>
          <w:sz w:val="28"/>
          <w:sz w:val="28"/>
          <w:szCs w:val="28"/>
          <w:rtl w:val="true"/>
          <w:lang w:bidi="fa-IR"/>
        </w:rPr>
        <w:t>الأحداث والوقائع، وتجدد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علم الفقه یتولی تحدید الموقف العملی لکل إنسان مکلف تجاه الشریعه بحکم تبعیته لها فی مختلف سلوکه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ناحیة، ومن ناحیة أخری أن طبیعة هذه العملیة فی کل واقعة تتطلب تطبیق القواعد العامة علیها، ولا یمکن الإستنباط والإجتهاد بدون الإستعانه بتطبیقها علیها نهائیاً فإن خبر الثقة فی کل مورد وواقعة إنما یکون دلیلاً علی تعیین الموقف العملی وتحدیده تجاه الشرع إذا ثبتت حجیته کقاعدة عامة وإلا لم یکن الخبر</w:t>
      </w:r>
    </w:p>
    <w:p>
      <w:pPr>
        <w:pStyle w:val="BookText"/>
        <w:rPr/>
      </w:pPr>
      <w:r>
        <w:rPr>
          <w:rFonts w:ascii="IRNazanin" w:hAnsi="IRNazanin" w:eastAsia="IRNazanin"/>
          <w:color w:val="111111"/>
          <w:sz w:val="28"/>
          <w:sz w:val="28"/>
          <w:szCs w:val="28"/>
          <w:rtl w:val="true"/>
          <w:lang w:bidi="fa-IR"/>
        </w:rPr>
        <w:t>المزبور دلیلاً علی الإستنباط وتعیین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الأصول موضوع لطریقة تحدید القواعد العامة فی الحدود المسموح بها علی صعید البحث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الفقه موضوع لتصدی الفقیه إقامة الدلیل فی کل مورد وواقعة علی تعیین الموقف العملی تجاه الشرع علی صعید البحث التطبیقی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تکون البحوث الأصولیة بحوثاً نظریة لتحدید النظریات العامة المحددة، والبحوث الفقهیة بحوثاً تطبیقیة، ولأجل ذلک تکون عملیة الإجتهاد والإستنباط مرتبطة بعلم الأصول ارتباط الصغری بالکبری، والعلم التطبیقی بالعلم النظری فلا یمکن افتراض تجرد علم</w:t>
      </w:r>
    </w:p>
    <w:p>
      <w:pPr>
        <w:pStyle w:val="BookText"/>
        <w:rPr/>
      </w:pPr>
      <w:r>
        <w:rPr>
          <w:rFonts w:ascii="IRNazanin" w:hAnsi="IRNazanin" w:eastAsia="IRNazanin"/>
          <w:color w:val="111111"/>
          <w:sz w:val="28"/>
          <w:sz w:val="28"/>
          <w:szCs w:val="28"/>
          <w:rtl w:val="true"/>
          <w:lang w:bidi="fa-IR"/>
        </w:rPr>
        <w:t>الفقه عن علم الأصول فی تمام مراحل وجوده أی من البدایة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ونستخلص من ذلک کله أن الإجتهاد والإستنباط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إقامة الدلیل علی تحدید الموقف العملی تجاه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 یقبله الشک، ویکون من البدیهیات التی هی غیر قابلة للنظر والتأمل فیها إذ بعد ما عرفنا أن الأحکام الشرعیة لم تبلغ فی الوضوح بدرجة تغنی عن إقامة الدلیل علیها فلا یعقل أن تکون هذه العملیة غیر مشروعة، حیث أن ذلک مساوق لإهمال الشریعة وتجمیدها نهائیاً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ذلک مخالف لضرورة حکم العقل، والشرع، ولا ینسجم مع خلود هذه الشریعة، وکونها</w:t>
      </w:r>
    </w:p>
    <w:p>
      <w:pPr>
        <w:pStyle w:val="BookText"/>
        <w:rPr/>
      </w:pPr>
      <w:r>
        <w:rPr>
          <w:rFonts w:ascii="IRNazanin" w:hAnsi="IRNazanin" w:eastAsia="IRNazanin"/>
          <w:color w:val="111111"/>
          <w:sz w:val="28"/>
          <w:sz w:val="28"/>
          <w:szCs w:val="28"/>
          <w:rtl w:val="true"/>
          <w:lang w:bidi="fa-IR"/>
        </w:rPr>
        <w:t>الوسیلة الوحیدة لحل المشاکل والتناقضات فی مختلف سلوک الإنسان علی طول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العملیة عملیة ضروریة تنبع عن ضرورة تبعیة الإنسان للشریعة، ومسئولیته أمامها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الإخباریین لا یمکن أن یکونوا منکرین للإجتهاد بهذا المعنی، فأن انکاره مساوق لإنکار الفقه نهائیاً، حیث قد عرفت أن الفقه هو نفس هذه العملیة فی کل واقعة ومسألة، والفرض أنهم لا یکونون منکرین لعلم الفقه، وقد عرفنا أن ارتباط الفقه بالقواعد العامة الأصولیة کان ذاتیاً علی أساس أنها النظام العام فی العملیة، ویستحیل افتراض تجرده عن هذا النظام العام علی طول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نقتطان من التساؤل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کما یسمح للشخص باستنباط حکمه الشرعی وتحدید موقفه العملی تجاه الشریعة هل یسمح له باستنباط حکم غیره وتحدید موقفه العملی تجاها والافتاء به؟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هل یسمح بعملیة الاجتهاد والاستنباط فی کل عصر، ولکل فرد، أو لا یسمح إلا لبعض الأفراد، أو فی بعض العصور؟</w:t>
      </w:r>
    </w:p>
    <w:p>
      <w:p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شبهة فی سماح الإسلام باستنباط حکم الغیر، وتحدید وظیفته العملیة تجاه الشریعة، والافتاء به، وحجیة هذا الافتاء علی الغیر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کونه عامیاً وغیر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 من قبل العقل، وملزماً ببناء کل تصرفاته وسلوکه فی مختلف مجالات الحیاة علی فتاوی المجتهد وآرائه، ویسمی ذلک فی المصطلح العلمی بعملیة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العملیة عملیة ضروریة فی الإسلام کعملیة الإجتهاد تنبع من ضرورة واقع جهات ثلاث</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بحکم کونه عبداً للّه تعالی ملزم من قبل العقل بامتثال أحکامه الشرعیة وبتطبیق سلوکه فی</w:t>
      </w:r>
    </w:p>
    <w:p>
      <w:pPr>
        <w:pStyle w:val="BookText"/>
        <w:rPr/>
      </w:pPr>
      <w:r>
        <w:rPr>
          <w:rFonts w:ascii="IRNazanin" w:hAnsi="IRNazanin" w:eastAsia="IRNazanin"/>
          <w:color w:val="111111"/>
          <w:sz w:val="28"/>
          <w:sz w:val="28"/>
          <w:szCs w:val="28"/>
          <w:rtl w:val="true"/>
          <w:lang w:bidi="fa-IR"/>
        </w:rPr>
        <w:t>تمام مجالات الحیاة الإجتماعیة والفردیة علی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من المکلف لا یتمکن من الاجتهاد وعملیة الاستنباط وتعیین موقفه العملی فی کل واقعة تجاه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یتمکن من الاحتیاط فی کل واقعة من الوقائع التی تمر علی حیاة الإنسان حیث أنه یتوقف علی تشخیص موارده، ودفع موانعه، وهو لا یتیسر لکل فرد، ولا سیما فی الشبهات الحکمیة، إلا أن یکون مجتهداً، أو کان بهدایة منه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من ذلک أن عملیة التقلید کعملیة الاجتهاد أمر لا یقبله الشک وتکون من البدیهیات وهذه البداهة تنبع فی النهایة من بداهة تبعیة الإنسان للدین فالمنع عن</w:t>
      </w:r>
    </w:p>
    <w:p>
      <w:pPr>
        <w:pStyle w:val="BookText"/>
        <w:rPr/>
      </w:pPr>
      <w:r>
        <w:rPr>
          <w:rFonts w:ascii="IRNazanin" w:hAnsi="IRNazanin" w:eastAsia="IRNazanin"/>
          <w:color w:val="111111"/>
          <w:sz w:val="28"/>
          <w:sz w:val="28"/>
          <w:szCs w:val="28"/>
          <w:rtl w:val="true"/>
          <w:lang w:bidi="fa-IR"/>
        </w:rPr>
        <w:t>هاتین العملیتین مساوق للمنع عن التبعیة للدین، فاذن لا معنی للنزاع فی أن الشارع قد سمح بهاتین العملیتین أو لم یسمح بهما، فإنه کالنزاع فی البدیهیات، ولا معنی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عنصر ضروری فی الإسلام لتحدید الموقف العملی تجاه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للجبلة والفطرة أیضا وهی رجوع الجاهل إلی العالم فی تعیین مواقفه العملیة وقد جرت علی ذلک السیرة القطعیة من العقلاء، وهذه السیرة موجودة علی امتداد عصر التشریع وبدون أی ردع عنها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انتهینا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الاجتهاد</w:t>
      </w:r>
    </w:p>
    <w:p>
      <w:pPr>
        <w:pStyle w:val="BookText"/>
        <w:rPr/>
      </w:pPr>
      <w:r>
        <w:rPr>
          <w:rFonts w:ascii="IRNazanin" w:hAnsi="IRNazanin" w:eastAsia="IRNazanin"/>
          <w:color w:val="111111"/>
          <w:sz w:val="28"/>
          <w:sz w:val="28"/>
          <w:szCs w:val="28"/>
          <w:rtl w:val="true"/>
          <w:lang w:bidi="fa-IR"/>
        </w:rPr>
        <w:t xml:space="preserve">والتقلید فی الحدود المسموح بهما عنصران اساسیان فی الإسلام، وکل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التبعیة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بالعمل بأحد هذین العنصرین تحدیداً لموقفه العملی من الشرع، وحفاظاً علی ظاهر التشریعات الإسلامیة والآثار الإیجابیة، وضبطاً للآثار السلبیة المترتبة علی عدم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سماح الإسلام بعملیة الإجتهاد فی کل عصر ولکل فرد فهی أیضاً ضروریة وهذه الضرورة تنجم عن ابدیة الشریعة الإسلامیة من ناحیة، وانها الوسیلة الوحیدة لحل تمام مشاکل الحیاة المعقدة فی کل عصر</w:t>
      </w:r>
    </w:p>
    <w:p>
      <w:pPr>
        <w:pStyle w:val="BookText"/>
        <w:rPr/>
      </w:pPr>
      <w:r>
        <w:rPr>
          <w:rFonts w:ascii="IRNazanin" w:hAnsi="IRNazanin" w:eastAsia="IRNazanin"/>
          <w:color w:val="111111"/>
          <w:sz w:val="28"/>
          <w:sz w:val="28"/>
          <w:szCs w:val="28"/>
          <w:rtl w:val="true"/>
          <w:lang w:bidi="fa-IR"/>
        </w:rPr>
        <w:t>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والتبعیة التی تفرض علی الإنسان للدین فی سلوکه بشتی اشکاله من ناحیة ثالثة، والنصوص التشریعیة الواصلة فی هذا العصر لیست من الوضوح بدرجة تغنی عن کلفة اقامة الدلیل، وبذلک الجهد فیها من ناحیة رابعة، وضرورة عدم الفرق بین عصر دون وفرد دون فرد من ناحیة خامسة</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ومجموع هذه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ضرورة حرکة فکریة اجتهادیة ذات طابع إسلامی علی طول الخط لکی تفتح الآفاق الذهنیة، وتحمل مشعل الکتاب والسنة فی کل عصر، ولولا هذه الحرکة الفکریة الاجتهادیة فی الإسلام، التی تطورت وتعمقت عصراً بعد عصر بتطور</w:t>
      </w:r>
    </w:p>
    <w:p>
      <w:pPr>
        <w:pStyle w:val="BookText"/>
        <w:rPr/>
      </w:pPr>
      <w:r>
        <w:rPr>
          <w:rFonts w:ascii="IRNazanin" w:hAnsi="IRNazanin" w:eastAsia="IRNazanin"/>
          <w:color w:val="111111"/>
          <w:sz w:val="28"/>
          <w:sz w:val="28"/>
          <w:szCs w:val="28"/>
          <w:rtl w:val="true"/>
          <w:lang w:bidi="fa-IR"/>
        </w:rPr>
        <w:t xml:space="preserve">الحیاة واتساعها وتعمقها فی مختلف مجالاتها الاجتماعیة والفردیة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تتبلور اصالة المسلمین فی التفکیر والتشریع المتمیز المستمد من الکتاب والسنة علی طول التاریخ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تکن هذه الحرکة الفکریة المسماة فی الاصطلاح العلمی بعملیة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مستمرة فی هذا العصر علی طول الخط لأنطفی مشعل الکتاب والسنة فی نهایة المطاف وظلت المشاکل الحیاتیة المتجددة فی کل عصر بدون حل صارم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یتطور علم الفقه، ویتسع، ویتعمق تدریجیاً تبعاً لتطور الحیاة، واتساعها، وتعمقها فی تمام المجالات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یکون تطور علم الفقه، واتساعه فی تمام</w:t>
      </w:r>
      <w:bookmarkStart w:id="34" w:name="pg5602_70201"/>
    </w:p>
    <w:p>
      <w:pPr>
        <w:pStyle w:val="BookText"/>
        <w:rPr/>
      </w:pPr>
      <w:bookmarkEnd w:id="34"/>
      <w:r>
        <w:rPr>
          <w:rFonts w:ascii="IRNazanin" w:hAnsi="IRNazanin" w:eastAsia="IRNazanin"/>
          <w:color w:val="111111"/>
          <w:sz w:val="28"/>
          <w:sz w:val="28"/>
          <w:szCs w:val="28"/>
          <w:rtl w:val="true"/>
          <w:lang w:bidi="fa-IR"/>
        </w:rPr>
        <w:t>المجالات الحیاتیة علی طول الخط یؤکد فی المسلمین اصالتهم الفکریة، وشخصیتهم التشریعیة المستقلة المتمیزة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 بد من قیام جماعة فی کل عصر لبذل الجهد للوصول إلی هذه المرتبة أی مرتبة الإجتهاد وتحمل مصاعبها، ومشاقها، وإلا لظلت المشاکل المتجددة بدون حلول ملائمة لها فی إطار الشرع</w:t>
      </w:r>
      <w:r>
        <w:rPr>
          <w:rFonts w:eastAsia="IRNazanin" w:cs="IRNazanin"/>
          <w:color w:val="111111"/>
          <w:sz w:val="28"/>
          <w:szCs w:val="28"/>
          <w:rtl w:val="true"/>
          <w:lang w:bidi="fa-IR"/>
        </w:rPr>
        <w:t>.</w:t>
      </w:r>
    </w:p>
    <w:p>
      <w:pPr>
        <w:pStyle w:val="Heading4"/>
        <w:numPr>
          <w:ilvl w:val="3"/>
          <w:numId w:val="1"/>
        </w:numPr>
        <w:rPr/>
      </w:pPr>
      <w:bookmarkStart w:id="35" w:name="__RefHeading___Toc2962136_581953129"/>
      <w:bookmarkStart w:id="36" w:name="_Toc13"/>
      <w:bookmarkEnd w:id="35"/>
      <w:r>
        <w:rPr>
          <w:rtl w:val="true"/>
        </w:rPr>
        <w:t>الطریق الثانی</w:t>
      </w:r>
      <w:bookmarkEnd w:id="3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حقیقة الإجتهاد عبارة عن عملیة تطبیق القواعد المشترکة والنظریات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یبناها المجتهد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صغریاتها، وعناصرها الخاصة فی</w:t>
      </w:r>
    </w:p>
    <w:p>
      <w:pPr>
        <w:pStyle w:val="BookText"/>
        <w:rPr/>
      </w:pPr>
      <w:r>
        <w:rPr>
          <w:rFonts w:ascii="IRNazanin" w:hAnsi="IRNazanin" w:eastAsia="IRNazanin"/>
          <w:color w:val="111111"/>
          <w:sz w:val="28"/>
          <w:sz w:val="28"/>
          <w:szCs w:val="28"/>
          <w:rtl w:val="true"/>
          <w:lang w:bidi="fa-IR"/>
        </w:rPr>
        <w:t>الحدود المسموح بها وفقاً لشروطها، ونتیجة هذه العملیة هی أحکام شرعیة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الأحکام تکون ولیدة أفکار المجتهدین بما للها من الطابع الإسلامی، ولذا قد تکون مطابقة للأحکام الشرعیة الواقعیة، وقد تکون مخالفة لها، وعلی کل التقدیرین یلزم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اثبت حجیة تلک القواعد والنظریات العامة التی تتمتع بطابع أصولی بشکل قطعی من قبل الشرع فی علم الأصول</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نقصد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بطبیعة الحال مطابقة تلک القواعد والنظریات لواقع التشریع الإسلامی، بل نقصد به قطع المجتهد بحجیتها التی تؤدی إلی تنجیز الواقع لدی</w:t>
      </w:r>
    </w:p>
    <w:p>
      <w:pPr>
        <w:pStyle w:val="BookText"/>
        <w:rPr/>
      </w:pPr>
      <w:r>
        <w:rPr>
          <w:rFonts w:ascii="IRNazanin" w:hAnsi="IRNazanin" w:eastAsia="IRNazanin"/>
          <w:color w:val="111111"/>
          <w:sz w:val="28"/>
          <w:sz w:val="28"/>
          <w:szCs w:val="28"/>
          <w:rtl w:val="true"/>
          <w:lang w:bidi="fa-IR"/>
        </w:rPr>
        <w:t>الإصابة، والتعذیر لدی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نقصد بالقطع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المجتهد بها مباشرة فإن المجتهد قد یقطع بها بشکل مباشر، وقد یقطع بها فی نهایة المطاف، بقانون ان کلما یکون بالغیر لا بد أن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غیر القطع الوجدانی من الإمارات والقواعد العامة لا تملک الحجیة الذاتیة، وإنما جاءت حجتیها من قبل الغیر فلا بد أن تنتهی إلی ما یملک الحجیة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القطع الوجدانی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نهایة المطاف وإلا لتسلسل</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عملیة الإجتهاد وإن کانت فی نفسها عملیة ظنیة إلا أنها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مؤمنة علی کل تقدیر جزماً، وعلیه فعمل المتجهد یکون مستنداً إلی القطع بالمؤمن دائماً وکذا الحال فی المقلد، حیث أنه یقطع بحجیة فتاوی المجتهد علیه وبمؤمنیتها علی کل تقدیر فلا یکون المکلف عاملاً بالظن بها ومعتمداً علیه فی حال من الحالات، ولا یجوز ذلک بحکم العقل، لألزامه بتحصیل القطع بالمؤمن، ودفع احتمال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ومدلول نصوص الکتاب والسنة الناعیة عن العمل بالظن ارشاد إلی ذلک، ولا یکون تعبیراً عن حکم شرعی مولوی عام</w:t>
      </w:r>
      <w:r>
        <w:rPr>
          <w:rFonts w:eastAsia="IRNazanin" w:cs="IRNazanin"/>
          <w:color w:val="111111"/>
          <w:sz w:val="28"/>
          <w:szCs w:val="28"/>
          <w:rtl w:val="true"/>
          <w:lang w:bidi="fa-IR"/>
        </w:rPr>
        <w:t>.</w:t>
      </w:r>
      <w:bookmarkStart w:id="37" w:name="pg5602_7020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2962138_581953129"/>
      <w:bookmarkStart w:id="39" w:name="_Toc14"/>
      <w:bookmarkEnd w:id="37"/>
      <w:bookmarkEnd w:id="38"/>
      <w:r>
        <w:rPr>
          <w:rtl w:val="true"/>
        </w:rPr>
        <w:t>الفصل الرابع</w:t>
      </w:r>
      <w:r>
        <w:rPr>
          <w:rtl w:val="true"/>
        </w:rPr>
        <w:t xml:space="preserve">: </w:t>
      </w:r>
      <w:r>
        <w:rPr>
          <w:rtl w:val="true"/>
        </w:rPr>
        <w:t>الفقه والأصول مترابطان بترابط متبادل علی طول التاریخ</w:t>
      </w:r>
      <w:bookmarkEnd w:id="39"/>
    </w:p>
    <w:p>
      <w:pPr>
        <w:pStyle w:val="BookText"/>
        <w:rPr/>
      </w:pPr>
      <w:r>
        <w:rPr>
          <w:rFonts w:ascii="IRNazanin" w:hAnsi="IRNazanin" w:eastAsia="IRNazanin"/>
          <w:color w:val="111111"/>
          <w:sz w:val="28"/>
          <w:sz w:val="28"/>
          <w:szCs w:val="28"/>
          <w:rtl w:val="true"/>
          <w:lang w:bidi="fa-IR"/>
        </w:rPr>
        <w:t>ان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 لممارسة وضع النظریات العامة وتحدید القواعد المشترکة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الحدود المسموح بها وفقاً لشروطها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للتفکیر الفقهی التطبیقی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علم الفقه، فإنه قد وضع لممارسة طریقة تطبیق تلک النظریات العامة والقواعد المشترکة علی المسائل والعناصر الخاصة التی تختلف من مسألة إلی مسألة أخری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بعلم الأصول ارتباطا وثیقاً منذ ولادته إلی أن ینمو، ویتطور، ویتسع تبعاً لتطور البحث الفقهی، واتساعه بوجود مشاکل جدیدة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فهم الحکم الشرعی من النصوص التشریعیة فی کل مسألة ومورد بحاجة إلی عنایة ودقة ما، ومن المعلوم أن هذا الفهم المسمی بالتفکیر الفقهی لا یمکن بدون التفکیر الأصولی یعنی بدون استخدام القواعد العامة الأصولیة وأن کان الممارس غیر ملتفت إلی طبیعة تلک القواعد، وحدودها، وأهمیة دورها فی ذلک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هذا الترابط الوثیق بین الفقه والأصول فکلما اتسع البحث الفقهی، وتعمق باتساع مشاکل الحیاة، ووجود عناصر جدیدة فیها ادی ذلک إلی اتساع البحوث الأصولیة والنظریات العامة وتطورها، وتعمقها، حیث أن اتساع الفقه کماً کیفاً یدفع البحوث الأصولیة</w:t>
      </w:r>
    </w:p>
    <w:p>
      <w:pPr>
        <w:pStyle w:val="BookText"/>
        <w:rPr/>
      </w:pPr>
      <w:r>
        <w:rPr>
          <w:rFonts w:ascii="IRNazanin" w:hAnsi="IRNazanin" w:eastAsia="IRNazanin"/>
          <w:color w:val="111111"/>
          <w:sz w:val="28"/>
          <w:sz w:val="28"/>
          <w:szCs w:val="28"/>
          <w:rtl w:val="true"/>
          <w:lang w:bidi="fa-IR"/>
        </w:rPr>
        <w:t>العامة خطوة إلی الأمام، لحل المشاکل الجدیدة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توسع البحوث الفقهیة التطبیقیة وتطورها، تبعاً لتطور الحیاة، وتوسعها فی مختلف مجالاتها یتطلب توسع البحوث الأصولیة، وتطورها بنسبة واحدة</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 الباحث الأصولی ادق واعمق فی التفکیر الأصولی، وتکوین النظریات العامة، والقواعد المشترکة المحددة کان ادق وأعمق فی طریقة عملیة تطبیقاتها علی المسائل الخاصة وفقاً لشروطها العامة، لوضوح أن الترابط بین العلمین والتفاعل بینهما فی تمام المراحل یستدعی أنه اذا بلغ مستوی التفکیر الأصولی درجة بالغة من الدقة والعمق</w:t>
      </w:r>
    </w:p>
    <w:p>
      <w:pPr>
        <w:pStyle w:val="BookText"/>
        <w:rPr/>
      </w:pPr>
      <w:r>
        <w:rPr>
          <w:rFonts w:ascii="IRNazanin" w:hAnsi="IRNazanin" w:eastAsia="IRNazanin"/>
          <w:color w:val="111111"/>
          <w:sz w:val="28"/>
          <w:sz w:val="28"/>
          <w:szCs w:val="28"/>
          <w:rtl w:val="true"/>
          <w:lang w:bidi="fa-IR"/>
        </w:rPr>
        <w:t>بلغ مستوی التفکیر الفقهی التطبیقی نفس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یعقل أن یکون مستوی التفکیر الأصولی بالغاً درجة کبیرة من الدقة والعمق، ولکن کان مستوی التفکیر الفقهی التطبیقی دون ذلک المستوی والدرجة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النظریات العامة الأصولیة کلما کانت موضوعة فی صیغ أکثر عمقاً وصرامة، وأکبر دقة کانت أکثر غموضاً، وتطلبت فی مجال التطبیق دقة أکبر، والتفاتاً أکثر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معنی الترابط والتفاعل بین الذهنیة الأصولیة والذهنیة الفقهیة، وهاتان الذهنیتان متبادلتان علی مستوی واحد فی ذهنیة کل فرد فی تمام مراحل وجودهما فإن دقة البحث فی النظریات العامة فی</w:t>
      </w:r>
    </w:p>
    <w:p>
      <w:pPr>
        <w:pStyle w:val="BookText"/>
        <w:rPr/>
      </w:pPr>
      <w:r>
        <w:rPr>
          <w:rFonts w:ascii="IRNazanin" w:hAnsi="IRNazanin" w:eastAsia="IRNazanin"/>
          <w:color w:val="111111"/>
          <w:sz w:val="28"/>
          <w:sz w:val="28"/>
          <w:szCs w:val="28"/>
          <w:rtl w:val="true"/>
          <w:lang w:bidi="fa-IR"/>
        </w:rPr>
        <w:t>الأصول تنعکس فی الفقه علی صعید التطبیقات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نقصد بذلک أن عملیة تطبیق النظریات العامة علی المسائل والعناصر الخاصة لا یحتاج إلی إی تفکیر، وبذل جهد علمی، وأن الجهد العلمی المبذول فی دراسة النظریات العامة علی صعید البحث النظری، وتکوین القواعد المشترکة فی الحدود المسموح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یغنی عن بذل جهد جدید فی تطبیق هذه النظریات العامة علی مواردها الخاصة، اذ من الواضح أن المجتهد کما أنه بحاجة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دراسة النظریات العامة فی الأصول، وتکوین القواعد المشترکة المحددة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التفکیر، وبذلک الجهد العلمی المتعب خلال سنین متمادیة، کذلک أنه بحاجة فی تطبیق تلک النظریات</w:t>
      </w:r>
    </w:p>
    <w:p>
      <w:pPr>
        <w:pStyle w:val="BookText"/>
        <w:rPr/>
      </w:pPr>
      <w:r>
        <w:rPr>
          <w:rFonts w:ascii="IRNazanin" w:hAnsi="IRNazanin" w:eastAsia="IRNazanin"/>
          <w:color w:val="111111"/>
          <w:sz w:val="28"/>
          <w:sz w:val="28"/>
          <w:szCs w:val="28"/>
          <w:rtl w:val="true"/>
          <w:lang w:bidi="fa-IR"/>
        </w:rPr>
        <w:t>العامة والقواعد المشترکة علی عناصرها الخاصة إلی دراسة جوانب التطبیق، وممارستها، وما یرتبط به من القرائن والامارات العرفیة، والمناسبات الارتکازیة فی کل مسألة بلحاظ طبیعة تلک المسألة وأرضیة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نقصد بذلک أن الذهنیة الأصولیة النظریة ترتبط بالذهنیة الفقهیة التطبیقیة فی تمام المراتب فإذا بلغت الذهنیة الأصولیة درجة أکبر عمقاً، وأکثر دقة انعکست تماماً فی الذهنیة الفقهیة وتطلبت فی مجال التطبیق دقة أکثر، وعمقاً أکبر</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علم الطب حیث یبحث فیه عن النظریات العامة، وتکوین القواعد المشترکة علی صعید البحث النظری، وفی مجال تطبیق تلک النظریات العامة علی</w:t>
      </w:r>
    </w:p>
    <w:p>
      <w:pPr>
        <w:pStyle w:val="BookText"/>
        <w:rPr/>
      </w:pPr>
      <w:r>
        <w:rPr>
          <w:rFonts w:ascii="IRNazanin" w:hAnsi="IRNazanin" w:eastAsia="IRNazanin"/>
          <w:color w:val="111111"/>
          <w:sz w:val="28"/>
          <w:sz w:val="28"/>
          <w:szCs w:val="28"/>
          <w:rtl w:val="true"/>
          <w:lang w:bidi="fa-IR"/>
        </w:rPr>
        <w:t>المریض یدرس الطبیب حالاته ومشاکله الداخلیة، والخارجیة التی یمکن أن یکون مرضه مرتبطاً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خلال التطبیق یصادف العثور علی مشاکل جدیدة وعوامل أخری بصورة مستمرة ولا یتمکن معالجة المریض الناجم مرضه من المشاکل والعوامل المزبورة الا بدراستها علی أساس أن ما لدیه من النظریات العامة لا ینطبق علی المریض المذکور بلحاظ طبیعة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هذه المشاکل الجدیدة والعوامل الأخری تدفع النظریات الطبیة العامة خطوة إلی الأمام دقة وعمقاً، وأکثر استیعاباً، لحل تلک المشاکل والعوامل الجدیدة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تتطور النظریات الطبیة العامة، وتتوسع وتتعمق</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عصراً بعد عصر بشکل مستمر، ومن البدیهی أنه کلما تطورت تلک النظریات، وتوسعت دراستها وتعمقت بدقة أکبر، وبالتفات أوسع، وباستیعاب أکمل تطلبت فی مجال التطبیق دراسة حالات المرضی أکثر دقة، وأکبر عمقاً، وأوسع التفاتاً وأکمل استیعاباً، ومتی کانت النظریات الطبیة نظریات بسیطة بدائیة تطلبت فی مجال التطبیق دراسة حال المرضی بنفس تلک البساطة والمستوی، ولذا کان الطبیب فی الأزمنة السابقة والقرون المتقدمة یکتفی فی مجال التطبیق برؤیة لسان المریض أو إحصاء نبضه أو ما شاکل ذلک</w:t>
      </w:r>
      <w:r>
        <w:rPr>
          <w:rFonts w:eastAsia="IRNazanin" w:cs="IRNazanin"/>
          <w:color w:val="111111"/>
          <w:sz w:val="28"/>
          <w:szCs w:val="28"/>
          <w:rtl w:val="true"/>
          <w:lang w:bidi="fa-IR"/>
        </w:rPr>
        <w:t>.</w:t>
      </w:r>
      <w:bookmarkStart w:id="40" w:name="pg5602_7022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2962140_581953129"/>
      <w:bookmarkStart w:id="42" w:name="_Toc15"/>
      <w:bookmarkEnd w:id="40"/>
      <w:bookmarkEnd w:id="41"/>
      <w:r>
        <w:rPr>
          <w:rtl w:val="true"/>
        </w:rPr>
        <w:t>الفصل الخامس</w:t>
      </w:r>
      <w:r>
        <w:rPr>
          <w:rtl w:val="true"/>
        </w:rPr>
        <w:t xml:space="preserve">: </w:t>
      </w:r>
      <w:r>
        <w:rPr>
          <w:rtl w:val="true"/>
        </w:rPr>
        <w:t>إختلاف المجتهدین فی الفتاوی</w:t>
      </w:r>
      <w:bookmarkEnd w:id="42"/>
    </w:p>
    <w:p>
      <w:pPr>
        <w:pStyle w:val="BookText"/>
        <w:rPr/>
      </w:pPr>
      <w:r>
        <w:rPr>
          <w:rFonts w:ascii="IRNazanin" w:hAnsi="IRNazanin" w:eastAsia="IRNazanin"/>
          <w:color w:val="111111"/>
          <w:sz w:val="28"/>
          <w:sz w:val="28"/>
          <w:szCs w:val="28"/>
          <w:rtl w:val="true"/>
          <w:lang w:bidi="fa-IR"/>
        </w:rPr>
        <w:t>یقع الخلاف بینهم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تکوین النظریات العامة، والقواعد المشترکة للتفکیر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تطبیق تلک القواعد، والنظریات العامة علی صغریاتها، ومواردها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المرحلة الأولی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فمنشأ الإختلاف فی هذه المرحلة انما هو الاختلاف فی نتائج الأفکار التی تستعمل فی تکوین تلک القواعد، والنظریات العامة وتحدیدها فی الحدود المسموح بها وفقاً لشروطها العامة، فإن نتیجة التفکیر حول حجیة النصوص التشریعیة تختلف بطبیعة الحال سعة وضیقاً،</w:t>
      </w:r>
    </w:p>
    <w:p>
      <w:pPr>
        <w:pStyle w:val="BookText"/>
        <w:rPr/>
      </w:pPr>
      <w:r>
        <w:rPr>
          <w:rFonts w:ascii="IRNazanin" w:hAnsi="IRNazanin" w:eastAsia="IRNazanin"/>
          <w:color w:val="111111"/>
          <w:sz w:val="28"/>
          <w:sz w:val="28"/>
          <w:szCs w:val="28"/>
          <w:rtl w:val="true"/>
          <w:lang w:bidi="fa-IR"/>
        </w:rPr>
        <w:t>کماً کیفاً، تبعاً لاختلاف شروطها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حول استفادة مدالیل تلک النصوص علی أساس المناسبات العرفیة الارتکازیة، ومطابقة تلک المدالیل للواقع الموضوعی، ومستوی تلک القواعد ومداها دقة شمولاً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ذلک الإختلاف الموجود فی نتائج الأفکار بین المجتهدین فی تحدید تلک القواعد، والنظریات العامة فی الأصول علی صعید البحث النظری یرجع فی نهایة المطاف إلی إحدی النقاط التالیة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الشخصی لکل مجتهد ازاء تحدید تلک القواعد، والنظریات العامة، وتکوینها وفقاً</w:t>
      </w:r>
    </w:p>
    <w:p>
      <w:pPr>
        <w:pStyle w:val="BookText"/>
        <w:rPr/>
      </w:pPr>
      <w:r>
        <w:rPr>
          <w:rFonts w:ascii="IRNazanin" w:hAnsi="IRNazanin" w:eastAsia="IRNazanin"/>
          <w:color w:val="111111"/>
          <w:sz w:val="28"/>
          <w:sz w:val="28"/>
          <w:szCs w:val="28"/>
          <w:rtl w:val="true"/>
          <w:lang w:bidi="fa-IR"/>
        </w:rPr>
        <w:t>لشروطها، فأنه قد یؤثر فی موقفه الواقعی أمام هذه القواعد والنظریات، ویغیره عن وجهه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الفکریة الذاتیة، فإن لأختلاف المجتهدین فی تلک المقدرة الفکریة أثراً کبیراً لأختلافهم فی تحدید تلک القواعد والنظریات العامة وتکوینها بصیغة أکثر دقة، وعمقاً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العلمیة بصورة مسبقة، فإن لاختلاف المجتهدین فی تلک المقدرة العلمیة أثراً بارزاً فی کیفیة تکوین تلک القواعد، والنظریات العامة، تبعاً لشروطها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المجتهد خلال دراسة تلک القواعد،</w:t>
      </w:r>
    </w:p>
    <w:p>
      <w:pPr>
        <w:pStyle w:val="BookText"/>
        <w:rPr/>
      </w:pPr>
      <w:r>
        <w:rPr>
          <w:rFonts w:ascii="IRNazanin" w:hAnsi="IRNazanin" w:eastAsia="IRNazanin"/>
          <w:color w:val="111111"/>
          <w:sz w:val="28"/>
          <w:sz w:val="28"/>
          <w:szCs w:val="28"/>
          <w:rtl w:val="true"/>
          <w:lang w:bidi="fa-IR"/>
        </w:rPr>
        <w:t>وممارستها عما یفرض دخله فی تکوینها، أو عدم استیعابه تمام ما یفرض دخله فیه، فإن ذلک یغیر وجه تلک القواعد سعة وضیقاً عن 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الظروف والبیئة التی یعیشه المجتهد فیها مدة من عمره، فإنه قد یؤثر فی سلوکه العملی تجاه تکوین تلک القواعد، وتحدیدها فی اطار 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المجتهد فی الفهم والنظر، حیث أنه یغیر وجه تکوین تلک القواعد، والنظریات العامة عن واقعها الموضوعی 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المرحلة الثانیة</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مرحلة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الخلاف بین المجتهدین فی</w:t>
      </w:r>
    </w:p>
    <w:p>
      <w:pPr>
        <w:pStyle w:val="BookText"/>
        <w:rPr/>
      </w:pPr>
      <w:r>
        <w:rPr>
          <w:rFonts w:ascii="IRNazanin" w:hAnsi="IRNazanin" w:eastAsia="IRNazanin"/>
          <w:color w:val="111111"/>
          <w:sz w:val="28"/>
          <w:sz w:val="28"/>
          <w:szCs w:val="28"/>
          <w:rtl w:val="true"/>
          <w:lang w:bidi="fa-IR"/>
        </w:rPr>
        <w:t>هذه المرحلة مع افتراض اتفاقهم فی المرحلة الأولی، کما إذا افترض انهم متفقون علی حجیة کل نص یرویه ثقة أمین کقاعدة عامة، ولکن قد یقع الخطأ فی مقام التطبیق فیبدو لبعض منهم وثاقة الراوی وأمانته فی النقل فی روایة، وبنی علیها حجیتها، والعمل علی وفقها، رغم أنه فی الواقع لیس بثقة وأمین، وبذلک یتغیر موقفه أمام عملیة الإجتهاد والإستنباط عن موقف من أصاب الواقع، وعلم بعدم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الأمر الوارد فی مسألة مثلاً علی الوجوب غافلاً عن وجود قرینه تعبر عن الاستحباب فیها، وقد یکون الأمر بالعکس</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التعارض بین نصین فیجمع بینها</w:t>
      </w:r>
    </w:p>
    <w:p>
      <w:pPr>
        <w:pStyle w:val="BookText"/>
        <w:rPr/>
      </w:pPr>
      <w:r>
        <w:rPr>
          <w:rFonts w:ascii="IRNazanin" w:hAnsi="IRNazanin" w:eastAsia="IRNazanin"/>
          <w:color w:val="111111"/>
          <w:sz w:val="28"/>
          <w:sz w:val="28"/>
          <w:szCs w:val="28"/>
          <w:rtl w:val="true"/>
          <w:lang w:bidi="fa-IR"/>
        </w:rPr>
        <w:t>بتقدیم أحدهما علی الآخر، لوجود مرجح دلالی رغم أن بینهما تعارضاً، ولا مرجح له فی الواقع</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یبدو له تعارض بینهما، وفی الواقع لا معارضة، وهکذا، فإن هذه الخلافات التی تقع بین المجتهدین علی صعید التطبیقات مع افتراض اتفاقهم علی صعید النظریات فأیضاً تنشأ من الاختلافات بینهم فی النقاط الآنفة الذکر</w:t>
      </w:r>
      <w:r>
        <w:rPr>
          <w:rFonts w:eastAsia="IRNazanin" w:cs="IRNazanin"/>
          <w:color w:val="111111"/>
          <w:sz w:val="28"/>
          <w:szCs w:val="28"/>
          <w:rtl w:val="true"/>
          <w:lang w:bidi="fa-IR"/>
        </w:rPr>
        <w:t>.</w:t>
      </w:r>
      <w:bookmarkStart w:id="43" w:name="pg5602_7024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2962142_581953129"/>
      <w:bookmarkStart w:id="45" w:name="_Toc16"/>
      <w:bookmarkEnd w:id="43"/>
      <w:bookmarkEnd w:id="44"/>
      <w:r>
        <w:rPr>
          <w:rtl w:val="true"/>
        </w:rPr>
        <w:t>الفصل السادس</w:t>
      </w:r>
      <w:r>
        <w:rPr>
          <w:rtl w:val="true"/>
        </w:rPr>
        <w:t xml:space="preserve">: </w:t>
      </w:r>
      <w:r>
        <w:rPr>
          <w:rtl w:val="true"/>
        </w:rPr>
        <w:t>الأحکام الإجتهادیة فیها مجموعة من الأخطاء</w:t>
      </w:r>
      <w:bookmarkEnd w:id="45"/>
    </w:p>
    <w:p>
      <w:pPr>
        <w:pStyle w:val="BookText"/>
        <w:rPr/>
      </w:pPr>
      <w:r>
        <w:rPr>
          <w:rFonts w:ascii="IRNazanin" w:hAnsi="IRNazanin" w:eastAsia="IRNazanin"/>
          <w:color w:val="111111"/>
          <w:sz w:val="28"/>
          <w:sz w:val="28"/>
          <w:szCs w:val="28"/>
          <w:rtl w:val="true"/>
          <w:lang w:bidi="fa-IR"/>
        </w:rPr>
        <w:t>قد أصبح من المعقول أن توجد لدی کل من یمارس عملیة الإجتهاد والإستنباط مجموعة من الأخطاء والمخالفات لواقع التشریع الإسلامی، فإذن علینا أن نفصل الأحکام الإسلامیة فی واقع التشریع الإسلامی عن الأحکام الشرعیة التی هی نتیجة اجتهادات المجتهدین ونظریاتهم، فإن الخلافات بین المجتهدین إنما هی واقعة فی هذه المجموعة من الأحکام الشرعیة التی هی ذات طابع اجتهادی، حیث أنها قد تطابق التشریع الواقعی فی الإسلام، وقد تخالفه، لا فی الأحکام الإسلامیة التی هی ذات طابع واقعی فی تشریعها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الإسلامیة فی</w:t>
      </w:r>
    </w:p>
    <w:p>
      <w:pPr>
        <w:pStyle w:val="BookText"/>
        <w:rPr/>
      </w:pPr>
      <w:r>
        <w:rPr>
          <w:rFonts w:ascii="IRNazanin" w:hAnsi="IRNazanin" w:eastAsia="IRNazanin"/>
          <w:color w:val="111111"/>
          <w:sz w:val="28"/>
          <w:sz w:val="28"/>
          <w:szCs w:val="28"/>
          <w:rtl w:val="true"/>
          <w:lang w:bidi="fa-IR"/>
        </w:rPr>
        <w:t xml:space="preserve">واقعها الموضوعی لیست ولیدة أنظار الإنسان وأفکاره المتخالفة بعضها مع بعضها الآخر، فإنها أحکام إلهیة قد جاء بها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ثابتة علی أسس متینة، وأصول موضوعیة، ومبادئ واقعیة، ولا تتغیر تلک الأحکام بتغیر الأفکار، والآراء والأزمان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الأحکام التی هی ولیدة اجتهادات المجتهدین فهی بطبیعة الحال تختلف باختلاف الاجتهادات والأنظار فقد تکون مطابقة لواقع التشریع الإسلامی، وقد تکون مخالفة له، وحیث أن الأحکام الإسلامیة الواقعیة موزعة فی مجموع اجتهادات المجتهدین هنا وهناک فبطبیعة الحال تتفاوت نسبة التوزیع إلی</w:t>
      </w:r>
    </w:p>
    <w:p>
      <w:pPr>
        <w:pStyle w:val="BookText"/>
        <w:rPr/>
      </w:pPr>
      <w:r>
        <w:rPr>
          <w:rFonts w:ascii="IRNazanin" w:hAnsi="IRNazanin" w:eastAsia="IRNazanin"/>
          <w:color w:val="111111"/>
          <w:sz w:val="28"/>
          <w:sz w:val="28"/>
          <w:szCs w:val="28"/>
          <w:rtl w:val="true"/>
          <w:lang w:bidi="fa-IR"/>
        </w:rPr>
        <w:t>المجموع بتفاوت الأبواب والمسائل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المسائل الموجودة فی الموسوعات الفقهیة، والرسائل العملیة علی ثلاث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المسائل المتوفرة فی أبواب المعاملات وبعض أبواب العبادات، حیث أن نسبة الخلاف الموجود بین المجتهدین فی مسائل تلک الأبواب أصغر حجماً من الخلاف الموجود بینهم فی أکثر مسائل أبواب العبادات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فیها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مسائل هذه الأبواب غالباً مسائل عقلائیة یرجع فی تعیین حدودها سعة وضیقاً، وتحدید المواقف العملیة فیها إلی طریقة العقلاء والعرف العام، إلا فیما اذا قام نص خاص من قبل الشرع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عملیة الإجتهاد فیها إلی أعمال مقدمات نظریة بدقة أکثر، وعمق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الواردة فی جملة من مسائل تلک الأبواب، وبعض أبواب العبادات کانت نصوصاً واضحة فی مختلف جهاتها فلا تقبل الشکوک والأوهام بدرجة تؤدی إلی الخلاف بین المجتهدین کنصوص مسائل الأرث، أو ما شاکلها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نسبة الخطاء فی مجموع آراء</w:t>
      </w:r>
    </w:p>
    <w:p>
      <w:pPr>
        <w:pStyle w:val="BookText"/>
        <w:rPr/>
      </w:pPr>
      <w:r>
        <w:rPr>
          <w:rFonts w:ascii="IRNazanin" w:hAnsi="IRNazanin" w:eastAsia="IRNazanin"/>
          <w:color w:val="111111"/>
          <w:sz w:val="28"/>
          <w:sz w:val="28"/>
          <w:szCs w:val="28"/>
          <w:rtl w:val="true"/>
          <w:lang w:bidi="fa-IR"/>
        </w:rPr>
        <w:t>المجتهدین لواقع التشریع الإسلامی فی مجموع مسائل هذه الأبواب أقل نسبة الخطاء فی مجموع آرائهم لواقع التشریع الإسلامی فی مجموع أبواب العبادات علی حساب نسبة عدد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المشهورة بین المجتهدین التی قلما یوجد الخلاف بینهم فی تلک المسائل، علی أساس وضوح مصادرها التشریعیة وعدم تطرق الشکوک والأوهام فیها غالباً</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توزیع الأحکام الإسلامیة الواقعیة بین اجتهادات المجتهدین فی مجموع تلک</w:t>
      </w:r>
    </w:p>
    <w:p>
      <w:pPr>
        <w:pStyle w:val="BookText"/>
        <w:rPr/>
      </w:pPr>
      <w:r>
        <w:rPr>
          <w:rFonts w:ascii="IRNazanin" w:hAnsi="IRNazanin" w:eastAsia="IRNazanin"/>
          <w:color w:val="111111"/>
          <w:sz w:val="28"/>
          <w:sz w:val="28"/>
          <w:szCs w:val="28"/>
          <w:rtl w:val="true"/>
          <w:lang w:bidi="fa-IR"/>
        </w:rPr>
        <w:t>المسائل التی هی ذات طابع اتفاقی أکبر من نسبته بین اجتهاداتهم فی مجموع المسائل الخلافیة التی هی ذات طابع خلافی مع الحفاظ علی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المسائل الخلافیة، أما بملاک ورود نصوص متضاربة فیها، أو بملاک أنها من المسائل النظریة الغامضة، وعلی کلا التقدیرین تتوقف عملیة الإجتهاد فیها علی أعمال مقدمات نظریة أکثر حدساً، وأکبر دقة، ولأجل ذلک یقع الخلاف فی تلک المسائل بین المجتهدین علی طول الخط</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نسبة توزیع الأحکام الواقعیة بین</w:t>
      </w:r>
    </w:p>
    <w:p>
      <w:pPr>
        <w:pStyle w:val="BookText"/>
        <w:rPr/>
      </w:pPr>
      <w:r>
        <w:rPr>
          <w:rFonts w:ascii="IRNazanin" w:hAnsi="IRNazanin" w:eastAsia="IRNazanin"/>
          <w:color w:val="111111"/>
          <w:sz w:val="28"/>
          <w:sz w:val="28"/>
          <w:szCs w:val="28"/>
          <w:rtl w:val="true"/>
          <w:lang w:bidi="fa-IR"/>
        </w:rPr>
        <w:t>اجتهادات المجتهدین فی مجموع هذه المسائل الخلافیة أصغر حجماً من النسبة بین اجتهاداتهم فی المسائل الاتفاقیة علی حساب عدد الفتاوی والإجتهادات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الأحکام الواقعیة موزعة فی مجموع الاجتهادات والفتاوی للمجتهدین منذ عهد وجود عملیة الإجتهاد لحد الآن غایة الأمر أن نسبة التوزیع تختلف باختلاف الأبواب والمسائل</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نسبة توزیع الأحکام الواقعیة إلی مجموع اجتهادات کل مجتهد فی کل عصر فهی بطبیعة الحال مختلفة، ولا یحتمل أن تکون النسبة فی الجمیع نسبة</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نستخلص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الأساسی لزاویة الفصل بین الأحکام التی تتمتع بطابع اجتهادی والأحکام التی تتمتع بطابع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الفصل بین الفئتین من الأحکام الإسلامیة لن یدع مجالاً، ولا یدع للشکوک والریب حول الخلاف الواقعی بین المجتهدین فی الأحکام الإجتهادی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التشکیک فی هذا الخلاف، وأنه کیف یمکن تبریره رغم أن الدین الإسلامی واحد بتمام تشریعاته الموجودة فی الکتاب والسنة فهو ناجم عن عدم فهم معنی عملیة الإجتهاد والإستنباط أصلاً وعن أن هذا لیس اختلافاً فی الأحکام الواقعیة الإسلامیة،</w:t>
      </w:r>
    </w:p>
    <w:p>
      <w:pPr>
        <w:pStyle w:val="BookText"/>
        <w:rPr/>
      </w:pPr>
      <w:r>
        <w:rPr>
          <w:rFonts w:ascii="IRNazanin" w:hAnsi="IRNazanin" w:eastAsia="IRNazanin"/>
          <w:color w:val="111111"/>
          <w:sz w:val="28"/>
          <w:sz w:val="28"/>
          <w:szCs w:val="28"/>
          <w:rtl w:val="true"/>
          <w:lang w:bidi="fa-IR"/>
        </w:rPr>
        <w:t>وإنما هو اختلاف فی الأحکام الإجتهادیة التی هی، ولیدة أفکار المجتهدین فی اطار اسلامی، وهی قد تطابق الأحکام الواقعیة وقد لا 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الإجتهاد مهما بلغ مداه من الصحة لا یملک مطابقته لواقع التشریع الإسلامی، ولکن مع ذلک طابع إسلامی لما عرفت من أن الإجتهاد من النصوص الترشیعیة للکتاب والسنة فی الحدود المسموح بها شرعاً لا محالة یتمتع بطابع إسلامی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یفترق هذا الطابع الإسلامی عن الطابع الإسلامی لواقع التشریع فی نقطة وهی أنه فی الأول ظاهری، وفی الثانی واقعی، ولأجل ذلک یقع الخلاف فیه،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بوضوح أن الإجتهاد لیس ولید أفکار المجتهد فحسب، ومنعزلاً عن التشریع الإسلامی تمام الانعزال، وفی زاویة أخری مقابل زاویة التشریع، بل له حظ التشریع الإسلامی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عرفنا من أن الإجتهاد عنصر أساسی فی الإسلامی فی کل عصر فهو بذاته یتطلب الإختلاف بین المجتهدین فلا یمکن افتراض الإجتهاد فی المسائل الفقهیة وأعمال النظر والرأی فیها بدون الإختلاف، فإنه خلف</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 کافة العلوم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 الفلسفة وعلم الطب، والهندسة، وما شاکل ذلک</w:t>
      </w:r>
      <w:r>
        <w:rPr>
          <w:rFonts w:eastAsia="IRNazanin" w:cs="IRNazanin"/>
          <w:color w:val="111111"/>
          <w:sz w:val="28"/>
          <w:szCs w:val="28"/>
          <w:rtl w:val="true"/>
          <w:lang w:bidi="fa-IR"/>
        </w:rPr>
        <w:t>.</w:t>
      </w:r>
      <w:bookmarkStart w:id="46" w:name="pg5602_7026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2962144_581953129"/>
      <w:bookmarkStart w:id="48" w:name="_Toc17"/>
      <w:bookmarkEnd w:id="46"/>
      <w:bookmarkEnd w:id="47"/>
      <w:r>
        <w:rPr>
          <w:rtl w:val="true"/>
        </w:rPr>
        <w:t>الفصل السابع</w:t>
      </w:r>
      <w:r>
        <w:rPr>
          <w:rtl w:val="true"/>
        </w:rPr>
        <w:t xml:space="preserve">: </w:t>
      </w:r>
      <w:r>
        <w:rPr>
          <w:rtl w:val="true"/>
        </w:rPr>
        <w:t>نتائج هذه البحوث عدة نقاط</w:t>
      </w:r>
      <w:bookmarkEnd w:id="4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عملیة الإجتهاد والإستنباط موجودة فی عصر التشریع علی طول الخط، غایة الأمر أن هذه العملیة ذلک العصر کانت عملیة بسیطة وغیر معقدة، والممارس لها فی ذلک غیر ملتفت وواع إلی طبیعة القاعدة الأصولیة وحدودها، وأهمیة دورها فی هذه العملیة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عملیة الإجتهاد فی عصر الغیبة قد أصبحت عملیة معقدة وصعبة فتواجهها الشکوک والأوهام من مختلف الجهات التی تنبع من الفصل الموجود بین هذا العصر وعصر التشریع، وقد عرفت أن الوصول إلی مرتبة الإجتهاد لا یمکن إلا بعد تقدیم دراسات ودراسات حول تمام جوانب النصوص التشریعیة</w:t>
      </w:r>
    </w:p>
    <w:p>
      <w:pPr>
        <w:pStyle w:val="BookText"/>
        <w:rPr/>
      </w:pPr>
      <w:r>
        <w:rPr>
          <w:rFonts w:ascii="IRNazanin" w:hAnsi="IRNazanin" w:eastAsia="IRNazanin"/>
          <w:color w:val="111111"/>
          <w:sz w:val="28"/>
          <w:sz w:val="28"/>
          <w:szCs w:val="28"/>
          <w:rtl w:val="true"/>
          <w:lang w:bidi="fa-IR"/>
        </w:rPr>
        <w:t>وممارستها علی طوق السنین علی الرغم من تقدیم دراسات عدة علوم بصورة مسبقة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الإجتهاد والتقلید عنصران أساسیان فی الإسلام، وضروریان لتحدید المواقف العملیة للأنسان تجاه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ضرورة تبعیته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طول التاریخ</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الأصول لیس علماً مستحدثاً فی زمن متأخر من علم الفقه، بل هو موجود منذ ولادته، ومرتبط به ارتباط العلم النظری بالعلم التطبیقی ولا یمکن انفکاک الفقه عن الأصول علی طول التاریخ وفی تمام المراحل، فإن المتاخر إنما هو دراسة بذرة التفکیر الأصولی منفصلة عن دراسة البحث الفقهی</w:t>
      </w:r>
    </w:p>
    <w:p>
      <w:pPr>
        <w:pStyle w:val="BookText"/>
        <w:rPr/>
      </w:pPr>
      <w:r>
        <w:rPr>
          <w:rFonts w:ascii="IRNazanin" w:hAnsi="IRNazanin" w:eastAsia="IRNazanin"/>
          <w:color w:val="111111"/>
          <w:sz w:val="28"/>
          <w:sz w:val="28"/>
          <w:szCs w:val="28"/>
          <w:rtl w:val="true"/>
          <w:lang w:bidi="fa-IR"/>
        </w:rPr>
        <w:t>التطبیقی وتسمیة هذه الدراسة بعلم الأصول، وأما البذرة فهی موجودة منذ تاریخ حدوث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اختلاف المجتهدین فی الفتاوی ینبع من الإختلاف بینهم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النظریات العامة، والقواعد المشترکة فی الأصول، والمرحلة الثانیة فی تطبیق تلک النظریات العامة والقواعد المشترکة علی عناصرها الخاصة فی الفقه، وقد عرفت مناشئ هذا الإختلاف بشکل موسع</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توزیع الأحکام الواقعیة إلی مجموع اجتهادات المجتهدین تختلف باختلاف الأبواب والمسائل کما أنها تختلف باختلاف المجتهدین</w:t>
      </w:r>
    </w:p>
    <w:p>
      <w:pPr>
        <w:pStyle w:val="BookText"/>
        <w:rPr/>
      </w:pPr>
      <w:r>
        <w:rPr>
          <w:rFonts w:ascii="IRNazanin" w:hAnsi="IRNazanin" w:eastAsia="IRNazanin"/>
          <w:color w:val="111111"/>
          <w:sz w:val="28"/>
          <w:sz w:val="28"/>
          <w:szCs w:val="28"/>
          <w:rtl w:val="true"/>
          <w:lang w:bidi="fa-IR"/>
        </w:rPr>
        <w:t>ولیست علی نسبة واحدة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ما أوردناه فی هذه الرسالة بعونه تعالی وتوفیقه وهو الموفق والمعین نحمده سبحانه ونشکره علی ذلک</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فی </w:t>
      </w:r>
      <w:r>
        <w:rPr>
          <w:rFonts w:eastAsia="IRNazanin" w:cs="IRNazanin"/>
          <w:color w:val="111111"/>
          <w:sz w:val="28"/>
          <w:szCs w:val="28"/>
          <w:lang w:bidi="fa-IR"/>
        </w:rPr>
        <w:t>1983/10/10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49" w:name="pg5602_70272"/>
    </w:p>
    <w:p>
      <w:pPr>
        <w:pStyle w:val="Heading2"/>
        <w:numPr>
          <w:ilvl w:val="1"/>
          <w:numId w:val="1"/>
        </w:numPr>
        <w:rPr/>
      </w:pPr>
      <w:bookmarkStart w:id="50" w:name="__RefHeading___Toc2962146_581953129"/>
      <w:bookmarkStart w:id="51" w:name="_Toc18"/>
      <w:bookmarkEnd w:id="49"/>
      <w:bookmarkEnd w:id="50"/>
      <w:r>
        <w:rPr>
          <w:rtl w:val="true"/>
        </w:rPr>
        <w:t>الفهرس</w:t>
      </w:r>
      <w:bookmarkEnd w:id="51"/>
    </w:p>
    <w:p>
      <w:pPr>
        <w:pStyle w:val="BookText"/>
        <w:rPr/>
      </w:pPr>
      <w:r>
        <w:rPr>
          <w:rFonts w:ascii="IRNazanin" w:hAnsi="IRNazanin" w:eastAsia="IRNazanin"/>
          <w:color w:val="111111"/>
          <w:sz w:val="28"/>
          <w:sz w:val="28"/>
          <w:szCs w:val="28"/>
          <w:rtl w:val="true"/>
          <w:lang w:bidi="fa-IR"/>
        </w:rPr>
        <w:t xml:space="preserve">مواضیع الکتاب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الإجتهاد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بین عصر التشریع و عصر الإجتهاد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الاخباریون و مسالة الاجتهاد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والأصول مترابطان علی طول التاریخ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المجتهدین فی الفتاوی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الاجتهادیة فیها مجموعة من الاخطاء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هذه البحوث عدة نقاط </w:t>
      </w:r>
      <w:r>
        <w:rPr>
          <w:rFonts w:eastAsia="Amiri" w:cs="Amiri" w:ascii="Amiri" w:hAnsi="Amiri"/>
          <w:color w:val="111111"/>
          <w:sz w:val="28"/>
          <w:szCs w:val="28"/>
          <w:lang w:bidi="ar-SA"/>
        </w:rPr>
        <w:t>84</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6659</Words>
  <Characters>32113</Characters>
  <CharactersWithSpaces>38403</CharactersWithSpaces>
  <Paragraphs>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2026-08-19T03:04:31Z</dcterms:created>
  <dc:creator>ghaemiyeh.com</dc:creator>
  <dc:description/>
  <dc:language>en-US</dc:language>
  <cp:lastModifiedBy/>
  <dcterms:modified xsi:type="dcterms:W3CDTF">2026-08-19T06:34:33Z</dcterms:modified>
  <cp:revision>1</cp:revision>
  <dc:subject/>
  <dc:title>النظرة الخاطفة فی الاجتهاد نجف</dc:title>
</cp:coreProperties>
</file>

<file path=docProps/custom.xml><?xml version="1.0" encoding="utf-8"?>
<Properties xmlns="http://schemas.openxmlformats.org/officeDocument/2006/custom-properties" xmlns:vt="http://schemas.openxmlformats.org/officeDocument/2006/docPropsVTypes"/>
</file>