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الثقافة والحضارةالاسلامیة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8680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08682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08684_581953129">
            <w:r>
              <w:rPr>
                <w:webHidden/>
                <w:rStyle w:val="IndexLink"/>
                <w:rtl w:val="true"/>
              </w:rPr>
              <w:t>کلمة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2108686_581953129">
            <w:r>
              <w:rPr>
                <w:webHidden/>
                <w:rStyle w:val="IndexLink"/>
                <w:rtl w:val="true"/>
              </w:rPr>
              <w:t>مقدّمة قسم المناهج الدراسیة</w:t>
            </w:r>
            <w:r>
              <w:rPr>
                <w:rStyle w:val="IndexLink"/>
                <w:rtl w:val="true"/>
              </w:rPr>
              <w:tab/>
            </w:r>
            <w:r>
              <w:rPr>
                <w:rStyle w:val="IndexLink"/>
              </w:rPr>
              <w:t>14</w:t>
            </w:r>
          </w:hyperlink>
        </w:p>
        <w:p>
          <w:pPr>
            <w:pStyle w:val="Contents2"/>
            <w:tabs>
              <w:tab w:val="clear" w:pos="8743"/>
              <w:tab w:val="right" w:pos="9026" w:leader="dot"/>
            </w:tabs>
            <w:rPr/>
          </w:pPr>
          <w:hyperlink w:anchor="__RefHeading___Toc2108688_581953129">
            <w:r>
              <w:rPr>
                <w:webHidden/>
                <w:rStyle w:val="IndexLink"/>
                <w:rtl w:val="true"/>
              </w:rPr>
              <w:t>الفهرس</w:t>
            </w:r>
            <w:r>
              <w:rPr>
                <w:rStyle w:val="IndexLink"/>
                <w:rtl w:val="true"/>
              </w:rPr>
              <w:tab/>
            </w:r>
            <w:r>
              <w:rPr>
                <w:rStyle w:val="IndexLink"/>
              </w:rPr>
              <w:t>17</w:t>
            </w:r>
          </w:hyperlink>
        </w:p>
        <w:p>
          <w:pPr>
            <w:pStyle w:val="Contents2"/>
            <w:tabs>
              <w:tab w:val="clear" w:pos="8743"/>
              <w:tab w:val="right" w:pos="9026" w:leader="dot"/>
            </w:tabs>
            <w:rPr/>
          </w:pPr>
          <w:hyperlink w:anchor="__RefHeading___Toc2108690_581953129">
            <w:r>
              <w:rPr>
                <w:webHidden/>
                <w:rStyle w:val="IndexLink"/>
              </w:rPr>
              <w:t>1</w:t>
            </w:r>
            <w:r>
              <w:rPr>
                <w:rStyle w:val="IndexLink"/>
                <w:rtl w:val="true"/>
              </w:rPr>
              <w:t xml:space="preserve">- </w:t>
            </w:r>
            <w:r>
              <w:rPr>
                <w:rStyle w:val="IndexLink"/>
                <w:rtl w:val="true"/>
              </w:rPr>
              <w:t>مفهوم الثقافة</w:t>
            </w:r>
            <w:r>
              <w:rPr>
                <w:rStyle w:val="IndexLink"/>
                <w:rtl w:val="true"/>
              </w:rPr>
              <w:tab/>
            </w:r>
            <w:r>
              <w:rPr>
                <w:rStyle w:val="IndexLink"/>
              </w:rPr>
              <w:t>24</w:t>
            </w:r>
          </w:hyperlink>
        </w:p>
        <w:p>
          <w:pPr>
            <w:pStyle w:val="Contents3"/>
            <w:tabs>
              <w:tab w:val="clear" w:pos="8459"/>
              <w:tab w:val="right" w:pos="9026" w:leader="dot"/>
            </w:tabs>
            <w:rPr/>
          </w:pPr>
          <w:hyperlink w:anchor="__RefHeading___Toc2108692_58195312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108694_581953129">
            <w:r>
              <w:rPr>
                <w:webHidden/>
                <w:rStyle w:val="IndexLink"/>
                <w:rtl w:val="true"/>
              </w:rPr>
              <w:t>ماهیة الثقافة</w:t>
            </w:r>
            <w:r>
              <w:rPr>
                <w:rStyle w:val="IndexLink"/>
                <w:rtl w:val="true"/>
              </w:rPr>
              <w:tab/>
            </w:r>
            <w:r>
              <w:rPr>
                <w:rStyle w:val="IndexLink"/>
              </w:rPr>
              <w:t>25</w:t>
            </w:r>
          </w:hyperlink>
        </w:p>
        <w:p>
          <w:pPr>
            <w:pStyle w:val="Contents3"/>
            <w:tabs>
              <w:tab w:val="clear" w:pos="8459"/>
              <w:tab w:val="right" w:pos="9026" w:leader="dot"/>
            </w:tabs>
            <w:rPr/>
          </w:pPr>
          <w:hyperlink w:anchor="__RefHeading___Toc2108696_581953129">
            <w:r>
              <w:rPr>
                <w:webHidden/>
                <w:rStyle w:val="IndexLink"/>
                <w:rtl w:val="true"/>
              </w:rPr>
              <w:t>تعریف الثقافة لغةً لدی الغرب</w:t>
            </w:r>
            <w:r>
              <w:rPr>
                <w:rStyle w:val="IndexLink"/>
                <w:rtl w:val="true"/>
              </w:rPr>
              <w:tab/>
            </w:r>
            <w:r>
              <w:rPr>
                <w:rStyle w:val="IndexLink"/>
              </w:rPr>
              <w:t>25</w:t>
            </w:r>
          </w:hyperlink>
        </w:p>
        <w:p>
          <w:pPr>
            <w:pStyle w:val="Contents3"/>
            <w:tabs>
              <w:tab w:val="clear" w:pos="8459"/>
              <w:tab w:val="right" w:pos="9026" w:leader="dot"/>
            </w:tabs>
            <w:rPr/>
          </w:pPr>
          <w:hyperlink w:anchor="__RefHeading___Toc2108698_581953129">
            <w:r>
              <w:rPr>
                <w:webHidden/>
                <w:rStyle w:val="IndexLink"/>
                <w:rtl w:val="true"/>
              </w:rPr>
              <w:t>تعریف الثقافة اصطلاحاً لدی الغرب</w:t>
            </w:r>
            <w:r>
              <w:rPr>
                <w:rStyle w:val="IndexLink"/>
                <w:rtl w:val="true"/>
              </w:rPr>
              <w:tab/>
            </w:r>
            <w:r>
              <w:rPr>
                <w:rStyle w:val="IndexLink"/>
              </w:rPr>
              <w:t>26</w:t>
            </w:r>
          </w:hyperlink>
        </w:p>
        <w:p>
          <w:pPr>
            <w:pStyle w:val="Contents3"/>
            <w:tabs>
              <w:tab w:val="clear" w:pos="8459"/>
              <w:tab w:val="right" w:pos="9026" w:leader="dot"/>
            </w:tabs>
            <w:rPr/>
          </w:pPr>
          <w:hyperlink w:anchor="__RefHeading___Toc2108700_581953129">
            <w:r>
              <w:rPr>
                <w:webHidden/>
                <w:rStyle w:val="IndexLink"/>
                <w:rtl w:val="true"/>
              </w:rPr>
              <w:t>التعریف اللغوی للثقافة فی إیران</w:t>
            </w:r>
            <w:r>
              <w:rPr>
                <w:rStyle w:val="IndexLink"/>
                <w:rtl w:val="true"/>
              </w:rPr>
              <w:tab/>
            </w:r>
            <w:r>
              <w:rPr>
                <w:rStyle w:val="IndexLink"/>
              </w:rPr>
              <w:t>27</w:t>
            </w:r>
          </w:hyperlink>
        </w:p>
        <w:p>
          <w:pPr>
            <w:pStyle w:val="Contents3"/>
            <w:tabs>
              <w:tab w:val="clear" w:pos="8459"/>
              <w:tab w:val="right" w:pos="9026" w:leader="dot"/>
            </w:tabs>
            <w:rPr/>
          </w:pPr>
          <w:hyperlink w:anchor="__RefHeading___Toc2108702_581953129">
            <w:r>
              <w:rPr>
                <w:webHidden/>
                <w:rStyle w:val="IndexLink"/>
                <w:rtl w:val="true"/>
              </w:rPr>
              <w:t>التعریف الاصطلاحی للثقافة فی إیران</w:t>
            </w:r>
            <w:r>
              <w:rPr>
                <w:rStyle w:val="IndexLink"/>
                <w:rtl w:val="true"/>
              </w:rPr>
              <w:tab/>
            </w:r>
            <w:r>
              <w:rPr>
                <w:rStyle w:val="IndexLink"/>
              </w:rPr>
              <w:t>28</w:t>
            </w:r>
          </w:hyperlink>
        </w:p>
        <w:p>
          <w:pPr>
            <w:pStyle w:val="Contents3"/>
            <w:tabs>
              <w:tab w:val="clear" w:pos="8459"/>
              <w:tab w:val="right" w:pos="9026" w:leader="dot"/>
            </w:tabs>
            <w:rPr/>
          </w:pPr>
          <w:hyperlink w:anchor="__RefHeading___Toc2108704_581953129">
            <w:r>
              <w:rPr>
                <w:webHidden/>
                <w:rStyle w:val="IndexLink"/>
                <w:rtl w:val="true"/>
              </w:rPr>
              <w:t>التعریف المختار</w:t>
            </w:r>
            <w:r>
              <w:rPr>
                <w:rStyle w:val="IndexLink"/>
                <w:rtl w:val="true"/>
              </w:rPr>
              <w:tab/>
            </w:r>
            <w:r>
              <w:rPr>
                <w:rStyle w:val="IndexLink"/>
              </w:rPr>
              <w:t>30</w:t>
            </w:r>
          </w:hyperlink>
        </w:p>
        <w:p>
          <w:pPr>
            <w:pStyle w:val="Contents3"/>
            <w:tabs>
              <w:tab w:val="clear" w:pos="8459"/>
              <w:tab w:val="right" w:pos="9026" w:leader="dot"/>
            </w:tabs>
            <w:rPr/>
          </w:pPr>
          <w:hyperlink w:anchor="__RefHeading___Toc2108706_581953129">
            <w:r>
              <w:rPr>
                <w:webHidden/>
                <w:rStyle w:val="IndexLink"/>
                <w:rtl w:val="true"/>
              </w:rPr>
              <w:t>أجزاء الثقافة</w:t>
            </w:r>
            <w:r>
              <w:rPr>
                <w:rStyle w:val="IndexLink"/>
                <w:rtl w:val="true"/>
              </w:rPr>
              <w:tab/>
            </w:r>
            <w:r>
              <w:rPr>
                <w:rStyle w:val="IndexLink"/>
              </w:rPr>
              <w:t>32</w:t>
            </w:r>
          </w:hyperlink>
        </w:p>
        <w:p>
          <w:pPr>
            <w:pStyle w:val="Contents4"/>
            <w:tabs>
              <w:tab w:val="clear" w:pos="8176"/>
              <w:tab w:val="right" w:pos="9026" w:leader="dot"/>
            </w:tabs>
            <w:rPr/>
          </w:pPr>
          <w:hyperlink w:anchor="__RefHeading___Toc2108708_581953129">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108710_581953129">
            <w:r>
              <w:rPr>
                <w:webHidden/>
                <w:rStyle w:val="IndexLink"/>
                <w:rtl w:val="true"/>
              </w:rPr>
              <w:t>أ</w:t>
            </w:r>
            <w:r>
              <w:rPr>
                <w:rStyle w:val="IndexLink"/>
                <w:rtl w:val="true"/>
              </w:rPr>
              <w:t>)</w:t>
            </w:r>
            <w:r>
              <w:rPr>
                <w:rStyle w:val="IndexLink"/>
                <w:rtl w:val="true"/>
              </w:rPr>
              <w:t>نظام المعارف و العقائد</w:t>
            </w:r>
            <w:r>
              <w:rPr>
                <w:rStyle w:val="IndexLink"/>
                <w:rtl w:val="true"/>
              </w:rPr>
              <w:tab/>
            </w:r>
            <w:r>
              <w:rPr>
                <w:rStyle w:val="IndexLink"/>
              </w:rPr>
              <w:t>33</w:t>
            </w:r>
          </w:hyperlink>
        </w:p>
        <w:p>
          <w:pPr>
            <w:pStyle w:val="Contents4"/>
            <w:tabs>
              <w:tab w:val="clear" w:pos="8176"/>
              <w:tab w:val="right" w:pos="9026" w:leader="dot"/>
            </w:tabs>
            <w:rPr/>
          </w:pPr>
          <w:hyperlink w:anchor="__RefHeading___Toc2108712_581953129">
            <w:r>
              <w:rPr>
                <w:webHidden/>
                <w:rStyle w:val="IndexLink"/>
                <w:rtl w:val="true"/>
              </w:rPr>
              <w:t>ب</w:t>
            </w:r>
            <w:r>
              <w:rPr>
                <w:rStyle w:val="IndexLink"/>
                <w:rtl w:val="true"/>
              </w:rPr>
              <w:t>)</w:t>
            </w:r>
            <w:r>
              <w:rPr>
                <w:rStyle w:val="IndexLink"/>
                <w:rtl w:val="true"/>
              </w:rPr>
              <w:t>نظام القیم و التوجّهات</w:t>
            </w:r>
            <w:r>
              <w:rPr>
                <w:rStyle w:val="IndexLink"/>
                <w:rtl w:val="true"/>
              </w:rPr>
              <w:tab/>
            </w:r>
            <w:r>
              <w:rPr>
                <w:rStyle w:val="IndexLink"/>
              </w:rPr>
              <w:t>33</w:t>
            </w:r>
          </w:hyperlink>
        </w:p>
        <w:p>
          <w:pPr>
            <w:pStyle w:val="Contents4"/>
            <w:tabs>
              <w:tab w:val="clear" w:pos="8176"/>
              <w:tab w:val="right" w:pos="9026" w:leader="dot"/>
            </w:tabs>
            <w:rPr/>
          </w:pPr>
          <w:hyperlink w:anchor="__RefHeading___Toc2108714_581953129">
            <w:r>
              <w:rPr>
                <w:webHidden/>
                <w:rStyle w:val="IndexLink"/>
                <w:rtl w:val="true"/>
              </w:rPr>
              <w:t>ج</w:t>
            </w:r>
            <w:r>
              <w:rPr>
                <w:rStyle w:val="IndexLink"/>
                <w:rtl w:val="true"/>
              </w:rPr>
              <w:t>)</w:t>
            </w:r>
            <w:r>
              <w:rPr>
                <w:rStyle w:val="IndexLink"/>
                <w:rtl w:val="true"/>
              </w:rPr>
              <w:t>نظام السلوک و التصرّفات</w:t>
            </w:r>
            <w:r>
              <w:rPr>
                <w:rStyle w:val="IndexLink"/>
                <w:rtl w:val="true"/>
              </w:rPr>
              <w:tab/>
            </w:r>
            <w:r>
              <w:rPr>
                <w:rStyle w:val="IndexLink"/>
              </w:rPr>
              <w:t>33</w:t>
            </w:r>
          </w:hyperlink>
        </w:p>
        <w:p>
          <w:pPr>
            <w:pStyle w:val="Contents3"/>
            <w:tabs>
              <w:tab w:val="clear" w:pos="8459"/>
              <w:tab w:val="right" w:pos="9026" w:leader="dot"/>
            </w:tabs>
            <w:rPr/>
          </w:pPr>
          <w:hyperlink w:anchor="__RefHeading___Toc2108716_581953129">
            <w:r>
              <w:rPr>
                <w:webHidden/>
                <w:rStyle w:val="IndexLink"/>
                <w:rtl w:val="true"/>
              </w:rPr>
              <w:t>تنبیه</w:t>
            </w:r>
            <w:r>
              <w:rPr>
                <w:rStyle w:val="IndexLink"/>
                <w:rtl w:val="true"/>
              </w:rPr>
              <w:tab/>
            </w:r>
            <w:r>
              <w:rPr>
                <w:rStyle w:val="IndexLink"/>
              </w:rPr>
              <w:t>34</w:t>
            </w:r>
          </w:hyperlink>
        </w:p>
        <w:p>
          <w:pPr>
            <w:pStyle w:val="Contents4"/>
            <w:tabs>
              <w:tab w:val="clear" w:pos="8176"/>
              <w:tab w:val="right" w:pos="9026" w:leader="dot"/>
            </w:tabs>
            <w:rPr/>
          </w:pPr>
          <w:hyperlink w:anchor="__RefHeading___Toc2108718_581953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108720_581953129">
            <w:r>
              <w:rPr>
                <w:webHidden/>
                <w:rStyle w:val="IndexLink"/>
              </w:rPr>
              <w:t>1</w:t>
            </w:r>
            <w:r>
              <w:rPr>
                <w:rStyle w:val="IndexLink"/>
                <w:rtl w:val="true"/>
              </w:rPr>
              <w:t>-</w:t>
            </w:r>
            <w:r>
              <w:rPr>
                <w:rStyle w:val="IndexLink"/>
                <w:rtl w:val="true"/>
              </w:rPr>
              <w:t>الثقافة الإلهیة و الثقافة الإنسانیة</w:t>
            </w:r>
            <w:r>
              <w:rPr>
                <w:rStyle w:val="IndexLink"/>
                <w:rtl w:val="true"/>
              </w:rPr>
              <w:tab/>
            </w:r>
            <w:r>
              <w:rPr>
                <w:rStyle w:val="IndexLink"/>
              </w:rPr>
              <w:t>35</w:t>
            </w:r>
          </w:hyperlink>
        </w:p>
        <w:p>
          <w:pPr>
            <w:pStyle w:val="Contents4"/>
            <w:tabs>
              <w:tab w:val="clear" w:pos="8176"/>
              <w:tab w:val="right" w:pos="9026" w:leader="dot"/>
            </w:tabs>
            <w:rPr/>
          </w:pPr>
          <w:hyperlink w:anchor="__RefHeading___Toc2108722_581953129">
            <w:r>
              <w:rPr>
                <w:webHidden/>
                <w:rStyle w:val="IndexLink"/>
              </w:rPr>
              <w:t>2</w:t>
            </w:r>
            <w:r>
              <w:rPr>
                <w:rStyle w:val="IndexLink"/>
                <w:rtl w:val="true"/>
              </w:rPr>
              <w:t>-</w:t>
            </w:r>
            <w:r>
              <w:rPr>
                <w:rStyle w:val="IndexLink"/>
                <w:rtl w:val="true"/>
              </w:rPr>
              <w:t>الثقافة الوطنیة و القومیة و القبلیة</w:t>
            </w:r>
            <w:r>
              <w:rPr>
                <w:rStyle w:val="IndexLink"/>
                <w:rtl w:val="true"/>
              </w:rPr>
              <w:tab/>
            </w:r>
            <w:r>
              <w:rPr>
                <w:rStyle w:val="IndexLink"/>
              </w:rPr>
              <w:t>35</w:t>
            </w:r>
          </w:hyperlink>
        </w:p>
        <w:p>
          <w:pPr>
            <w:pStyle w:val="Contents4"/>
            <w:tabs>
              <w:tab w:val="clear" w:pos="8176"/>
              <w:tab w:val="right" w:pos="9026" w:leader="dot"/>
            </w:tabs>
            <w:rPr/>
          </w:pPr>
          <w:hyperlink w:anchor="__RefHeading___Toc2108724_581953129">
            <w:r>
              <w:rPr>
                <w:webHidden/>
                <w:rStyle w:val="IndexLink"/>
              </w:rPr>
              <w:t>3</w:t>
            </w:r>
            <w:r>
              <w:rPr>
                <w:rStyle w:val="IndexLink"/>
                <w:rtl w:val="true"/>
              </w:rPr>
              <w:t>-</w:t>
            </w:r>
            <w:r>
              <w:rPr>
                <w:rStyle w:val="IndexLink"/>
                <w:rtl w:val="true"/>
              </w:rPr>
              <w:t>الثقافة الشرقیة و الغربیة</w:t>
            </w:r>
            <w:r>
              <w:rPr>
                <w:rStyle w:val="IndexLink"/>
                <w:rtl w:val="true"/>
              </w:rPr>
              <w:tab/>
            </w:r>
            <w:r>
              <w:rPr>
                <w:rStyle w:val="IndexLink"/>
              </w:rPr>
              <w:t>36</w:t>
            </w:r>
          </w:hyperlink>
        </w:p>
        <w:p>
          <w:pPr>
            <w:pStyle w:val="Contents3"/>
            <w:tabs>
              <w:tab w:val="clear" w:pos="8459"/>
              <w:tab w:val="right" w:pos="9026" w:leader="dot"/>
            </w:tabs>
            <w:rPr/>
          </w:pPr>
          <w:hyperlink w:anchor="__RefHeading___Toc2108726_581953129">
            <w:r>
              <w:rPr>
                <w:webHidden/>
                <w:rStyle w:val="IndexLink"/>
                <w:rtl w:val="true"/>
              </w:rPr>
              <w:t>الخلاصة</w:t>
            </w:r>
            <w:r>
              <w:rPr>
                <w:rStyle w:val="IndexLink"/>
                <w:rtl w:val="true"/>
              </w:rPr>
              <w:tab/>
            </w:r>
            <w:r>
              <w:rPr>
                <w:rStyle w:val="IndexLink"/>
              </w:rPr>
              <w:t>36</w:t>
            </w:r>
          </w:hyperlink>
        </w:p>
        <w:p>
          <w:pPr>
            <w:pStyle w:val="Contents3"/>
            <w:tabs>
              <w:tab w:val="clear" w:pos="8459"/>
              <w:tab w:val="right" w:pos="9026" w:leader="dot"/>
            </w:tabs>
            <w:rPr/>
          </w:pPr>
          <w:hyperlink w:anchor="__RefHeading___Toc2108728_581953129">
            <w:r>
              <w:rPr>
                <w:webHidden/>
                <w:rStyle w:val="IndexLink"/>
                <w:rtl w:val="true"/>
              </w:rPr>
              <w:t>الأسئلة</w:t>
            </w:r>
            <w:r>
              <w:rPr>
                <w:rStyle w:val="IndexLink"/>
                <w:rtl w:val="true"/>
              </w:rPr>
              <w:tab/>
            </w:r>
            <w:r>
              <w:rPr>
                <w:rStyle w:val="IndexLink"/>
              </w:rPr>
              <w:t>37</w:t>
            </w:r>
          </w:hyperlink>
        </w:p>
        <w:p>
          <w:pPr>
            <w:pStyle w:val="Contents2"/>
            <w:tabs>
              <w:tab w:val="clear" w:pos="8743"/>
              <w:tab w:val="right" w:pos="9026" w:leader="dot"/>
            </w:tabs>
            <w:rPr/>
          </w:pPr>
          <w:hyperlink w:anchor="__RefHeading___Toc2108730_581953129">
            <w:r>
              <w:rPr>
                <w:webHidden/>
                <w:rStyle w:val="IndexLink"/>
              </w:rPr>
              <w:t>2</w:t>
            </w:r>
            <w:r>
              <w:rPr>
                <w:rStyle w:val="IndexLink"/>
                <w:rtl w:val="true"/>
              </w:rPr>
              <w:t xml:space="preserve">- </w:t>
            </w:r>
            <w:r>
              <w:rPr>
                <w:rStyle w:val="IndexLink"/>
                <w:rtl w:val="true"/>
              </w:rPr>
              <w:t>مفهوم الحضارة</w:t>
            </w:r>
            <w:r>
              <w:rPr>
                <w:rStyle w:val="IndexLink"/>
                <w:rtl w:val="true"/>
              </w:rPr>
              <w:tab/>
            </w:r>
            <w:r>
              <w:rPr>
                <w:rStyle w:val="IndexLink"/>
              </w:rPr>
              <w:t>38</w:t>
            </w:r>
          </w:hyperlink>
        </w:p>
        <w:p>
          <w:pPr>
            <w:pStyle w:val="Contents3"/>
            <w:tabs>
              <w:tab w:val="clear" w:pos="8459"/>
              <w:tab w:val="right" w:pos="9026" w:leader="dot"/>
            </w:tabs>
            <w:rPr/>
          </w:pPr>
          <w:hyperlink w:anchor="__RefHeading___Toc2108732_58195312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108734_581953129">
            <w:r>
              <w:rPr>
                <w:webHidden/>
                <w:rStyle w:val="IndexLink"/>
                <w:rtl w:val="true"/>
              </w:rPr>
              <w:t>مزایا الحضارة</w:t>
            </w:r>
            <w:r>
              <w:rPr>
                <w:rStyle w:val="IndexLink"/>
                <w:rtl w:val="true"/>
              </w:rPr>
              <w:tab/>
            </w:r>
            <w:r>
              <w:rPr>
                <w:rStyle w:val="IndexLink"/>
              </w:rPr>
              <w:t>40</w:t>
            </w:r>
          </w:hyperlink>
        </w:p>
        <w:p>
          <w:pPr>
            <w:pStyle w:val="Contents4"/>
            <w:tabs>
              <w:tab w:val="clear" w:pos="8176"/>
              <w:tab w:val="right" w:pos="9026" w:leader="dot"/>
            </w:tabs>
            <w:rPr/>
          </w:pPr>
          <w:hyperlink w:anchor="__RefHeading___Toc2108736_58195312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108738_581953129">
            <w:r>
              <w:rPr>
                <w:webHidden/>
                <w:rStyle w:val="IndexLink"/>
                <w:rtl w:val="true"/>
              </w:rPr>
              <w:t>أ</w:t>
            </w:r>
            <w:r>
              <w:rPr>
                <w:rStyle w:val="IndexLink"/>
                <w:rtl w:val="true"/>
              </w:rPr>
              <w:t>)</w:t>
            </w:r>
            <w:r>
              <w:rPr>
                <w:rStyle w:val="IndexLink"/>
                <w:rtl w:val="true"/>
              </w:rPr>
              <w:t>منهجة الحضارة</w:t>
            </w:r>
            <w:r>
              <w:rPr>
                <w:rStyle w:val="IndexLink"/>
                <w:rtl w:val="true"/>
              </w:rPr>
              <w:tab/>
            </w:r>
            <w:r>
              <w:rPr>
                <w:rStyle w:val="IndexLink"/>
              </w:rPr>
              <w:t>41</w:t>
            </w:r>
          </w:hyperlink>
        </w:p>
        <w:p>
          <w:pPr>
            <w:pStyle w:val="Contents4"/>
            <w:tabs>
              <w:tab w:val="clear" w:pos="8176"/>
              <w:tab w:val="right" w:pos="9026" w:leader="dot"/>
            </w:tabs>
            <w:rPr/>
          </w:pPr>
          <w:hyperlink w:anchor="__RefHeading___Toc2108740_581953129">
            <w:r>
              <w:rPr>
                <w:webHidden/>
                <w:rStyle w:val="IndexLink"/>
                <w:rtl w:val="true"/>
              </w:rPr>
              <w:t>ب</w:t>
            </w:r>
            <w:r>
              <w:rPr>
                <w:rStyle w:val="IndexLink"/>
                <w:rtl w:val="true"/>
              </w:rPr>
              <w:t>)</w:t>
            </w:r>
            <w:r>
              <w:rPr>
                <w:rStyle w:val="IndexLink"/>
                <w:rtl w:val="true"/>
              </w:rPr>
              <w:t>دینامیة الحضارة</w:t>
            </w:r>
            <w:r>
              <w:rPr>
                <w:rStyle w:val="IndexLink"/>
                <w:rtl w:val="true"/>
              </w:rPr>
              <w:tab/>
            </w:r>
            <w:r>
              <w:rPr>
                <w:rStyle w:val="IndexLink"/>
              </w:rPr>
              <w:t>41</w:t>
            </w:r>
          </w:hyperlink>
        </w:p>
        <w:p>
          <w:pPr>
            <w:pStyle w:val="Contents4"/>
            <w:tabs>
              <w:tab w:val="clear" w:pos="8176"/>
              <w:tab w:val="right" w:pos="9026" w:leader="dot"/>
            </w:tabs>
            <w:rPr/>
          </w:pPr>
          <w:hyperlink w:anchor="__RefHeading___Toc2108742_581953129">
            <w:r>
              <w:rPr>
                <w:webHidden/>
                <w:rStyle w:val="IndexLink"/>
                <w:rtl w:val="true"/>
              </w:rPr>
              <w:t>ج</w:t>
            </w:r>
            <w:r>
              <w:rPr>
                <w:rStyle w:val="IndexLink"/>
                <w:rtl w:val="true"/>
              </w:rPr>
              <w:t>)</w:t>
            </w:r>
            <w:r>
              <w:rPr>
                <w:rStyle w:val="IndexLink"/>
                <w:rtl w:val="true"/>
              </w:rPr>
              <w:t>انتشار الحضارة</w:t>
            </w:r>
            <w:r>
              <w:rPr>
                <w:rStyle w:val="IndexLink"/>
                <w:rtl w:val="true"/>
              </w:rPr>
              <w:tab/>
            </w:r>
            <w:r>
              <w:rPr>
                <w:rStyle w:val="IndexLink"/>
              </w:rPr>
              <w:t>41</w:t>
            </w:r>
          </w:hyperlink>
        </w:p>
        <w:p>
          <w:pPr>
            <w:pStyle w:val="Contents4"/>
            <w:tabs>
              <w:tab w:val="clear" w:pos="8176"/>
              <w:tab w:val="right" w:pos="9026" w:leader="dot"/>
            </w:tabs>
            <w:rPr/>
          </w:pPr>
          <w:hyperlink w:anchor="__RefHeading___Toc2108744_581953129">
            <w:r>
              <w:rPr>
                <w:webHidden/>
                <w:rStyle w:val="IndexLink"/>
                <w:rtl w:val="true"/>
              </w:rPr>
              <w:t>د</w:t>
            </w:r>
            <w:r>
              <w:rPr>
                <w:rStyle w:val="IndexLink"/>
                <w:rtl w:val="true"/>
              </w:rPr>
              <w:t>)</w:t>
            </w:r>
            <w:r>
              <w:rPr>
                <w:rStyle w:val="IndexLink"/>
                <w:rtl w:val="true"/>
              </w:rPr>
              <w:t>التلاحم</w:t>
            </w:r>
            <w:r>
              <w:rPr>
                <w:rStyle w:val="IndexLink"/>
                <w:rtl w:val="true"/>
              </w:rPr>
              <w:tab/>
            </w:r>
            <w:r>
              <w:rPr>
                <w:rStyle w:val="IndexLink"/>
              </w:rPr>
              <w:t>42</w:t>
            </w:r>
          </w:hyperlink>
        </w:p>
        <w:p>
          <w:pPr>
            <w:pStyle w:val="Contents3"/>
            <w:tabs>
              <w:tab w:val="clear" w:pos="8459"/>
              <w:tab w:val="right" w:pos="9026" w:leader="dot"/>
            </w:tabs>
            <w:rPr/>
          </w:pPr>
          <w:hyperlink w:anchor="__RefHeading___Toc2108746_581953129">
            <w:r>
              <w:rPr>
                <w:webHidden/>
                <w:rStyle w:val="IndexLink"/>
                <w:rtl w:val="true"/>
              </w:rPr>
              <w:t>الثقافة و الحضارة</w:t>
            </w:r>
            <w:r>
              <w:rPr>
                <w:rStyle w:val="IndexLink"/>
                <w:rtl w:val="true"/>
              </w:rPr>
              <w:tab/>
            </w:r>
            <w:r>
              <w:rPr>
                <w:rStyle w:val="IndexLink"/>
              </w:rPr>
              <w:t>42</w:t>
            </w:r>
          </w:hyperlink>
        </w:p>
        <w:p>
          <w:pPr>
            <w:pStyle w:val="Contents4"/>
            <w:tabs>
              <w:tab w:val="clear" w:pos="8176"/>
              <w:tab w:val="right" w:pos="9026" w:leader="dot"/>
            </w:tabs>
            <w:rPr/>
          </w:pPr>
          <w:hyperlink w:anchor="__RefHeading___Toc2108748_581953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108750_581953129">
            <w:r>
              <w:rPr>
                <w:webHidden/>
                <w:rStyle w:val="IndexLink"/>
                <w:rtl w:val="true"/>
              </w:rPr>
              <w:t>الرأی الأوّل</w:t>
            </w:r>
            <w:r>
              <w:rPr>
                <w:rStyle w:val="IndexLink"/>
                <w:rtl w:val="true"/>
              </w:rPr>
              <w:t>:</w:t>
            </w:r>
            <w:r>
              <w:rPr>
                <w:rStyle w:val="IndexLink"/>
                <w:rtl w:val="true"/>
              </w:rPr>
              <w:t>العموم و الخصوص المطلق</w:t>
            </w:r>
            <w:r>
              <w:rPr>
                <w:rStyle w:val="IndexLink"/>
                <w:rtl w:val="true"/>
              </w:rPr>
              <w:tab/>
            </w:r>
            <w:r>
              <w:rPr>
                <w:rStyle w:val="IndexLink"/>
              </w:rPr>
              <w:t>42</w:t>
            </w:r>
          </w:hyperlink>
        </w:p>
        <w:p>
          <w:pPr>
            <w:pStyle w:val="Contents4"/>
            <w:tabs>
              <w:tab w:val="clear" w:pos="8176"/>
              <w:tab w:val="right" w:pos="9026" w:leader="dot"/>
            </w:tabs>
            <w:rPr/>
          </w:pPr>
          <w:hyperlink w:anchor="__RefHeading___Toc2108752_581953129">
            <w:r>
              <w:rPr>
                <w:webHidden/>
                <w:rStyle w:val="IndexLink"/>
                <w:rtl w:val="true"/>
              </w:rPr>
              <w:t>الرأی الثانی</w:t>
            </w:r>
            <w:r>
              <w:rPr>
                <w:rStyle w:val="IndexLink"/>
                <w:rtl w:val="true"/>
              </w:rPr>
              <w:t>:</w:t>
            </w:r>
            <w:r>
              <w:rPr>
                <w:rStyle w:val="IndexLink"/>
                <w:rtl w:val="true"/>
              </w:rPr>
              <w:t>التباین</w:t>
            </w:r>
            <w:r>
              <w:rPr>
                <w:rStyle w:val="IndexLink"/>
                <w:rtl w:val="true"/>
              </w:rPr>
              <w:tab/>
            </w:r>
            <w:r>
              <w:rPr>
                <w:rStyle w:val="IndexLink"/>
              </w:rPr>
              <w:t>43</w:t>
            </w:r>
          </w:hyperlink>
        </w:p>
        <w:p>
          <w:pPr>
            <w:pStyle w:val="Contents4"/>
            <w:tabs>
              <w:tab w:val="clear" w:pos="8176"/>
              <w:tab w:val="right" w:pos="9026" w:leader="dot"/>
            </w:tabs>
            <w:rPr/>
          </w:pPr>
          <w:hyperlink w:anchor="__RefHeading___Toc2108754_581953129">
            <w:r>
              <w:rPr>
                <w:webHidden/>
                <w:rStyle w:val="IndexLink"/>
                <w:rtl w:val="true"/>
              </w:rPr>
              <w:t>الرأی الثالث</w:t>
            </w:r>
            <w:r>
              <w:rPr>
                <w:rStyle w:val="IndexLink"/>
                <w:rtl w:val="true"/>
              </w:rPr>
              <w:t>:</w:t>
            </w:r>
            <w:r>
              <w:rPr>
                <w:rStyle w:val="IndexLink"/>
                <w:rtl w:val="true"/>
              </w:rPr>
              <w:t>الوفاق</w:t>
            </w:r>
            <w:r>
              <w:rPr>
                <w:rStyle w:val="IndexLink"/>
                <w:rtl w:val="true"/>
              </w:rPr>
              <w:tab/>
            </w:r>
            <w:r>
              <w:rPr>
                <w:rStyle w:val="IndexLink"/>
              </w:rPr>
              <w:t>44</w:t>
            </w:r>
          </w:hyperlink>
        </w:p>
        <w:p>
          <w:pPr>
            <w:pStyle w:val="Contents4"/>
            <w:tabs>
              <w:tab w:val="clear" w:pos="8176"/>
              <w:tab w:val="right" w:pos="9026" w:leader="dot"/>
            </w:tabs>
            <w:rPr/>
          </w:pPr>
          <w:hyperlink w:anchor="__RefHeading___Toc2108756_581953129">
            <w:r>
              <w:rPr>
                <w:webHidden/>
                <w:rStyle w:val="IndexLink"/>
                <w:rtl w:val="true"/>
              </w:rPr>
              <w:t>الرأی الرابع</w:t>
            </w:r>
            <w:r>
              <w:rPr>
                <w:rStyle w:val="IndexLink"/>
                <w:rtl w:val="true"/>
              </w:rPr>
              <w:t>:</w:t>
            </w:r>
            <w:r>
              <w:rPr>
                <w:rStyle w:val="IndexLink"/>
                <w:rtl w:val="true"/>
              </w:rPr>
              <w:t>المظهر و الظهور</w:t>
            </w:r>
            <w:r>
              <w:rPr>
                <w:rStyle w:val="IndexLink"/>
                <w:rtl w:val="true"/>
              </w:rPr>
              <w:tab/>
            </w:r>
            <w:r>
              <w:rPr>
                <w:rStyle w:val="IndexLink"/>
              </w:rPr>
              <w:t>45</w:t>
            </w:r>
          </w:hyperlink>
        </w:p>
        <w:p>
          <w:pPr>
            <w:pStyle w:val="Contents3"/>
            <w:tabs>
              <w:tab w:val="clear" w:pos="8459"/>
              <w:tab w:val="right" w:pos="9026" w:leader="dot"/>
            </w:tabs>
            <w:rPr/>
          </w:pPr>
          <w:hyperlink w:anchor="__RefHeading___Toc2108758_581953129">
            <w:r>
              <w:rPr>
                <w:webHidden/>
                <w:rStyle w:val="IndexLink"/>
                <w:rtl w:val="true"/>
              </w:rPr>
              <w:t>تنبیهان</w:t>
            </w:r>
            <w:r>
              <w:rPr>
                <w:rStyle w:val="IndexLink"/>
                <w:rtl w:val="true"/>
              </w:rPr>
              <w:tab/>
            </w:r>
            <w:r>
              <w:rPr>
                <w:rStyle w:val="IndexLink"/>
              </w:rPr>
              <w:t>45</w:t>
            </w:r>
          </w:hyperlink>
        </w:p>
        <w:p>
          <w:pPr>
            <w:pStyle w:val="Contents3"/>
            <w:tabs>
              <w:tab w:val="clear" w:pos="8459"/>
              <w:tab w:val="right" w:pos="9026" w:leader="dot"/>
            </w:tabs>
            <w:rPr/>
          </w:pPr>
          <w:hyperlink w:anchor="__RefHeading___Toc2108760_581953129">
            <w:r>
              <w:rPr>
                <w:webHidden/>
                <w:rStyle w:val="IndexLink"/>
                <w:rtl w:val="true"/>
              </w:rPr>
              <w:t>عوامل ظهور الحضارة</w:t>
            </w:r>
            <w:r>
              <w:rPr>
                <w:rStyle w:val="IndexLink"/>
                <w:rtl w:val="true"/>
              </w:rPr>
              <w:tab/>
            </w:r>
            <w:r>
              <w:rPr>
                <w:rStyle w:val="IndexLink"/>
              </w:rPr>
              <w:t>47</w:t>
            </w:r>
          </w:hyperlink>
        </w:p>
        <w:p>
          <w:pPr>
            <w:pStyle w:val="Contents4"/>
            <w:tabs>
              <w:tab w:val="clear" w:pos="8176"/>
              <w:tab w:val="right" w:pos="9026" w:leader="dot"/>
            </w:tabs>
            <w:rPr/>
          </w:pPr>
          <w:hyperlink w:anchor="__RefHeading___Toc2108762_581953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108764_581953129">
            <w:r>
              <w:rPr>
                <w:webHidden/>
                <w:rStyle w:val="IndexLink"/>
                <w:rtl w:val="true"/>
              </w:rPr>
              <w:t>أ</w:t>
            </w:r>
            <w:r>
              <w:rPr>
                <w:rStyle w:val="IndexLink"/>
                <w:rtl w:val="true"/>
              </w:rPr>
              <w:t>)</w:t>
            </w:r>
            <w:r>
              <w:rPr>
                <w:rStyle w:val="IndexLink"/>
                <w:rtl w:val="true"/>
              </w:rPr>
              <w:t>العامل الإنسانی</w:t>
            </w:r>
            <w:r>
              <w:rPr>
                <w:rStyle w:val="IndexLink"/>
                <w:rtl w:val="true"/>
              </w:rPr>
              <w:tab/>
            </w:r>
            <w:r>
              <w:rPr>
                <w:rStyle w:val="IndexLink"/>
              </w:rPr>
              <w:t>48</w:t>
            </w:r>
          </w:hyperlink>
        </w:p>
        <w:p>
          <w:pPr>
            <w:pStyle w:val="Contents4"/>
            <w:tabs>
              <w:tab w:val="clear" w:pos="8176"/>
              <w:tab w:val="right" w:pos="9026" w:leader="dot"/>
            </w:tabs>
            <w:rPr/>
          </w:pPr>
          <w:hyperlink w:anchor="__RefHeading___Toc2108766_581953129">
            <w:r>
              <w:rPr>
                <w:webHidden/>
                <w:rStyle w:val="IndexLink"/>
                <w:rtl w:val="true"/>
              </w:rPr>
              <w:t>ب</w:t>
            </w:r>
            <w:r>
              <w:rPr>
                <w:rStyle w:val="IndexLink"/>
                <w:rtl w:val="true"/>
              </w:rPr>
              <w:t>)</w:t>
            </w:r>
            <w:r>
              <w:rPr>
                <w:rStyle w:val="IndexLink"/>
                <w:rtl w:val="true"/>
              </w:rPr>
              <w:t>العامل الثقافة</w:t>
            </w:r>
            <w:r>
              <w:rPr>
                <w:rStyle w:val="IndexLink"/>
                <w:rtl w:val="true"/>
              </w:rPr>
              <w:tab/>
            </w:r>
            <w:r>
              <w:rPr>
                <w:rStyle w:val="IndexLink"/>
              </w:rPr>
              <w:t>48</w:t>
            </w:r>
          </w:hyperlink>
        </w:p>
        <w:p>
          <w:pPr>
            <w:pStyle w:val="Contents4"/>
            <w:tabs>
              <w:tab w:val="clear" w:pos="8176"/>
              <w:tab w:val="right" w:pos="9026" w:leader="dot"/>
            </w:tabs>
            <w:rPr/>
          </w:pPr>
          <w:hyperlink w:anchor="__RefHeading___Toc2108768_581953129">
            <w:r>
              <w:rPr>
                <w:webHidden/>
                <w:rStyle w:val="IndexLink"/>
                <w:rtl w:val="true"/>
              </w:rPr>
              <w:t>ج</w:t>
            </w:r>
            <w:r>
              <w:rPr>
                <w:rStyle w:val="IndexLink"/>
                <w:rtl w:val="true"/>
              </w:rPr>
              <w:t>)</w:t>
            </w:r>
            <w:r>
              <w:rPr>
                <w:rStyle w:val="IndexLink"/>
                <w:rtl w:val="true"/>
              </w:rPr>
              <w:t>العامل الدین</w:t>
            </w:r>
            <w:r>
              <w:rPr>
                <w:rStyle w:val="IndexLink"/>
                <w:rtl w:val="true"/>
              </w:rPr>
              <w:tab/>
            </w:r>
            <w:r>
              <w:rPr>
                <w:rStyle w:val="IndexLink"/>
              </w:rPr>
              <w:t>49</w:t>
            </w:r>
          </w:hyperlink>
        </w:p>
        <w:p>
          <w:pPr>
            <w:pStyle w:val="Contents4"/>
            <w:tabs>
              <w:tab w:val="clear" w:pos="8176"/>
              <w:tab w:val="right" w:pos="9026" w:leader="dot"/>
            </w:tabs>
            <w:rPr/>
          </w:pPr>
          <w:hyperlink w:anchor="__RefHeading___Toc2108770_581953129">
            <w:r>
              <w:rPr>
                <w:webHidden/>
                <w:rStyle w:val="IndexLink"/>
                <w:rtl w:val="true"/>
              </w:rPr>
              <w:t>د</w:t>
            </w:r>
            <w:r>
              <w:rPr>
                <w:rStyle w:val="IndexLink"/>
                <w:rtl w:val="true"/>
              </w:rPr>
              <w:t>)</w:t>
            </w:r>
            <w:r>
              <w:rPr>
                <w:rStyle w:val="IndexLink"/>
                <w:rtl w:val="true"/>
              </w:rPr>
              <w:t>العامل المادّی و الطبیعی</w:t>
            </w:r>
            <w:r>
              <w:rPr>
                <w:rStyle w:val="IndexLink"/>
                <w:rtl w:val="true"/>
              </w:rPr>
              <w:tab/>
            </w:r>
            <w:r>
              <w:rPr>
                <w:rStyle w:val="IndexLink"/>
              </w:rPr>
              <w:t>50</w:t>
            </w:r>
          </w:hyperlink>
        </w:p>
        <w:p>
          <w:pPr>
            <w:pStyle w:val="Contents3"/>
            <w:tabs>
              <w:tab w:val="clear" w:pos="8459"/>
              <w:tab w:val="right" w:pos="9026" w:leader="dot"/>
            </w:tabs>
            <w:rPr/>
          </w:pPr>
          <w:hyperlink w:anchor="__RefHeading___Toc2108772_581953129">
            <w:r>
              <w:rPr>
                <w:webHidden/>
                <w:rStyle w:val="IndexLink"/>
                <w:rtl w:val="true"/>
              </w:rPr>
              <w:t>تنبیهات</w:t>
            </w:r>
            <w:r>
              <w:rPr>
                <w:rStyle w:val="IndexLink"/>
                <w:rtl w:val="true"/>
              </w:rPr>
              <w:tab/>
            </w:r>
            <w:r>
              <w:rPr>
                <w:rStyle w:val="IndexLink"/>
              </w:rPr>
              <w:t>51</w:t>
            </w:r>
          </w:hyperlink>
        </w:p>
        <w:p>
          <w:pPr>
            <w:pStyle w:val="Contents3"/>
            <w:tabs>
              <w:tab w:val="clear" w:pos="8459"/>
              <w:tab w:val="right" w:pos="9026" w:leader="dot"/>
            </w:tabs>
            <w:rPr/>
          </w:pPr>
          <w:hyperlink w:anchor="__RefHeading___Toc2108774_581953129">
            <w:r>
              <w:rPr>
                <w:webHidden/>
                <w:rStyle w:val="IndexLink"/>
                <w:rtl w:val="true"/>
              </w:rPr>
              <w:t>الخلاصة</w:t>
            </w:r>
            <w:r>
              <w:rPr>
                <w:rStyle w:val="IndexLink"/>
                <w:rtl w:val="true"/>
              </w:rPr>
              <w:tab/>
            </w:r>
            <w:r>
              <w:rPr>
                <w:rStyle w:val="IndexLink"/>
              </w:rPr>
              <w:t>53</w:t>
            </w:r>
          </w:hyperlink>
        </w:p>
        <w:p>
          <w:pPr>
            <w:pStyle w:val="Contents3"/>
            <w:tabs>
              <w:tab w:val="clear" w:pos="8459"/>
              <w:tab w:val="right" w:pos="9026" w:leader="dot"/>
            </w:tabs>
            <w:rPr/>
          </w:pPr>
          <w:hyperlink w:anchor="__RefHeading___Toc2108776_581953129">
            <w:r>
              <w:rPr>
                <w:webHidden/>
                <w:rStyle w:val="IndexLink"/>
                <w:rtl w:val="true"/>
              </w:rPr>
              <w:t>الأسئلة</w:t>
            </w:r>
            <w:r>
              <w:rPr>
                <w:rStyle w:val="IndexLink"/>
                <w:rtl w:val="true"/>
              </w:rPr>
              <w:tab/>
            </w:r>
            <w:r>
              <w:rPr>
                <w:rStyle w:val="IndexLink"/>
              </w:rPr>
              <w:t>54</w:t>
            </w:r>
          </w:hyperlink>
        </w:p>
        <w:p>
          <w:pPr>
            <w:pStyle w:val="Contents2"/>
            <w:tabs>
              <w:tab w:val="clear" w:pos="8743"/>
              <w:tab w:val="right" w:pos="9026" w:leader="dot"/>
            </w:tabs>
            <w:rPr/>
          </w:pPr>
          <w:hyperlink w:anchor="__RefHeading___Toc2108778_581953129">
            <w:r>
              <w:rPr>
                <w:webHidden/>
                <w:rStyle w:val="IndexLink"/>
              </w:rPr>
              <w:t>3</w:t>
            </w:r>
            <w:r>
              <w:rPr>
                <w:rStyle w:val="IndexLink"/>
                <w:rtl w:val="true"/>
              </w:rPr>
              <w:t xml:space="preserve">- </w:t>
            </w:r>
            <w:r>
              <w:rPr>
                <w:rStyle w:val="IndexLink"/>
                <w:rtl w:val="true"/>
              </w:rPr>
              <w:t>الثقافة و الحضارة الإسلامیة</w:t>
            </w:r>
            <w:r>
              <w:rPr>
                <w:rStyle w:val="IndexLink"/>
                <w:rtl w:val="true"/>
              </w:rPr>
              <w:tab/>
            </w:r>
            <w:r>
              <w:rPr>
                <w:rStyle w:val="IndexLink"/>
              </w:rPr>
              <w:t>55</w:t>
            </w:r>
          </w:hyperlink>
        </w:p>
        <w:p>
          <w:pPr>
            <w:pStyle w:val="Contents3"/>
            <w:tabs>
              <w:tab w:val="clear" w:pos="8459"/>
              <w:tab w:val="right" w:pos="9026" w:leader="dot"/>
            </w:tabs>
            <w:rPr/>
          </w:pPr>
          <w:hyperlink w:anchor="__RefHeading___Toc2108780_58195312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108782_581953129">
            <w:r>
              <w:rPr>
                <w:webHidden/>
                <w:rStyle w:val="IndexLink"/>
                <w:rtl w:val="true"/>
              </w:rPr>
              <w:t>الثقافة و الحضارة الإسلامیة أو ثقافة وحضارة المسلمین</w:t>
            </w:r>
            <w:r>
              <w:rPr>
                <w:rStyle w:val="IndexLink"/>
                <w:rtl w:val="true"/>
              </w:rPr>
              <w:tab/>
            </w:r>
            <w:r>
              <w:rPr>
                <w:rStyle w:val="IndexLink"/>
              </w:rPr>
              <w:t>55</w:t>
            </w:r>
          </w:hyperlink>
        </w:p>
        <w:p>
          <w:pPr>
            <w:pStyle w:val="Contents3"/>
            <w:tabs>
              <w:tab w:val="clear" w:pos="8459"/>
              <w:tab w:val="right" w:pos="9026" w:leader="dot"/>
            </w:tabs>
            <w:rPr/>
          </w:pPr>
          <w:hyperlink w:anchor="__RefHeading___Toc2108784_581953129">
            <w:r>
              <w:rPr>
                <w:webHidden/>
                <w:rStyle w:val="IndexLink"/>
                <w:rtl w:val="true"/>
              </w:rPr>
              <w:t>خصوصیات الثقافة و الحضارة إلاسلامیة</w:t>
            </w:r>
            <w:r>
              <w:rPr>
                <w:rStyle w:val="IndexLink"/>
                <w:rtl w:val="true"/>
              </w:rPr>
              <w:tab/>
            </w:r>
            <w:r>
              <w:rPr>
                <w:rStyle w:val="IndexLink"/>
              </w:rPr>
              <w:t>57</w:t>
            </w:r>
          </w:hyperlink>
        </w:p>
        <w:p>
          <w:pPr>
            <w:pStyle w:val="Contents3"/>
            <w:tabs>
              <w:tab w:val="clear" w:pos="8459"/>
              <w:tab w:val="right" w:pos="9026" w:leader="dot"/>
            </w:tabs>
            <w:rPr/>
          </w:pPr>
          <w:hyperlink w:anchor="__RefHeading___Toc2108786_581953129">
            <w:r>
              <w:rPr>
                <w:webHidden/>
                <w:rStyle w:val="IndexLink"/>
                <w:rtl w:val="true"/>
              </w:rPr>
              <w:t>أسباب ظهور الثقافة و الحضارة الإسلامیة وازدهارهما</w:t>
            </w:r>
            <w:r>
              <w:rPr>
                <w:rStyle w:val="IndexLink"/>
                <w:rtl w:val="true"/>
              </w:rPr>
              <w:tab/>
            </w:r>
            <w:r>
              <w:rPr>
                <w:rStyle w:val="IndexLink"/>
              </w:rPr>
              <w:t>58</w:t>
            </w:r>
          </w:hyperlink>
        </w:p>
        <w:p>
          <w:pPr>
            <w:pStyle w:val="Contents3"/>
            <w:tabs>
              <w:tab w:val="clear" w:pos="8459"/>
              <w:tab w:val="right" w:pos="9026" w:leader="dot"/>
            </w:tabs>
            <w:rPr/>
          </w:pPr>
          <w:hyperlink w:anchor="__RefHeading___Toc2108788_581953129">
            <w:r>
              <w:rPr>
                <w:webHidden/>
                <w:rStyle w:val="IndexLink"/>
                <w:rtl w:val="true"/>
              </w:rPr>
              <w:t>الأسباب الداخلیة</w:t>
            </w:r>
            <w:r>
              <w:rPr>
                <w:rStyle w:val="IndexLink"/>
                <w:rtl w:val="true"/>
              </w:rPr>
              <w:tab/>
            </w:r>
            <w:r>
              <w:rPr>
                <w:rStyle w:val="IndexLink"/>
              </w:rPr>
              <w:t>58</w:t>
            </w:r>
          </w:hyperlink>
        </w:p>
        <w:p>
          <w:pPr>
            <w:pStyle w:val="Contents4"/>
            <w:tabs>
              <w:tab w:val="clear" w:pos="8176"/>
              <w:tab w:val="right" w:pos="9026" w:leader="dot"/>
            </w:tabs>
            <w:rPr/>
          </w:pPr>
          <w:hyperlink w:anchor="__RefHeading___Toc2108790_58195312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2108792_581953129">
            <w:r>
              <w:rPr>
                <w:webHidden/>
                <w:rStyle w:val="IndexLink"/>
              </w:rPr>
              <w:t>1</w:t>
            </w:r>
            <w:r>
              <w:rPr>
                <w:rStyle w:val="IndexLink"/>
                <w:rtl w:val="true"/>
              </w:rPr>
              <w:t>-</w:t>
            </w:r>
            <w:r>
              <w:rPr>
                <w:rStyle w:val="IndexLink"/>
                <w:rtl w:val="true"/>
              </w:rPr>
              <w:t>محتوی التعالیم الدینیة</w:t>
            </w:r>
            <w:r>
              <w:rPr>
                <w:rStyle w:val="IndexLink"/>
                <w:rtl w:val="true"/>
              </w:rPr>
              <w:tab/>
            </w:r>
            <w:r>
              <w:rPr>
                <w:rStyle w:val="IndexLink"/>
              </w:rPr>
              <w:t>58</w:t>
            </w:r>
          </w:hyperlink>
        </w:p>
        <w:p>
          <w:pPr>
            <w:pStyle w:val="Contents4"/>
            <w:tabs>
              <w:tab w:val="clear" w:pos="8176"/>
              <w:tab w:val="right" w:pos="9026" w:leader="dot"/>
            </w:tabs>
            <w:rPr/>
          </w:pPr>
          <w:hyperlink w:anchor="__RefHeading___Toc2108794_581953129">
            <w:r>
              <w:rPr>
                <w:webHidden/>
                <w:rStyle w:val="IndexLink"/>
              </w:rPr>
              <w:t>2</w:t>
            </w:r>
            <w:r>
              <w:rPr>
                <w:rStyle w:val="IndexLink"/>
                <w:rtl w:val="true"/>
              </w:rPr>
              <w:t>-</w:t>
            </w:r>
            <w:r>
              <w:rPr>
                <w:rStyle w:val="IndexLink"/>
                <w:rtl w:val="true"/>
              </w:rPr>
              <w:t>بساطة التعالیم الدینیة</w:t>
            </w:r>
            <w:r>
              <w:rPr>
                <w:rStyle w:val="IndexLink"/>
                <w:rtl w:val="true"/>
              </w:rPr>
              <w:tab/>
            </w:r>
            <w:r>
              <w:rPr>
                <w:rStyle w:val="IndexLink"/>
              </w:rPr>
              <w:t>63</w:t>
            </w:r>
          </w:hyperlink>
        </w:p>
        <w:p>
          <w:pPr>
            <w:pStyle w:val="Contents4"/>
            <w:tabs>
              <w:tab w:val="clear" w:pos="8176"/>
              <w:tab w:val="right" w:pos="9026" w:leader="dot"/>
            </w:tabs>
            <w:rPr/>
          </w:pPr>
          <w:hyperlink w:anchor="__RefHeading___Toc2108796_581953129">
            <w:r>
              <w:rPr>
                <w:webHidden/>
                <w:rStyle w:val="IndexLink"/>
              </w:rPr>
              <w:t>3</w:t>
            </w:r>
            <w:r>
              <w:rPr>
                <w:rStyle w:val="IndexLink"/>
                <w:rtl w:val="true"/>
              </w:rPr>
              <w:t>-</w:t>
            </w:r>
            <w:r>
              <w:rPr>
                <w:rStyle w:val="IndexLink"/>
                <w:rtl w:val="true"/>
              </w:rPr>
              <w:t>جامعیة التعالیم الدینیة</w:t>
            </w:r>
            <w:r>
              <w:rPr>
                <w:rStyle w:val="IndexLink"/>
                <w:rtl w:val="true"/>
              </w:rPr>
              <w:tab/>
            </w:r>
            <w:r>
              <w:rPr>
                <w:rStyle w:val="IndexLink"/>
              </w:rPr>
              <w:t>64</w:t>
            </w:r>
          </w:hyperlink>
        </w:p>
        <w:p>
          <w:pPr>
            <w:pStyle w:val="Contents4"/>
            <w:tabs>
              <w:tab w:val="clear" w:pos="8176"/>
              <w:tab w:val="right" w:pos="9026" w:leader="dot"/>
            </w:tabs>
            <w:rPr/>
          </w:pPr>
          <w:hyperlink w:anchor="__RefHeading___Toc2108798_581953129">
            <w:r>
              <w:rPr>
                <w:webHidden/>
                <w:rStyle w:val="IndexLink"/>
              </w:rPr>
              <w:t>4</w:t>
            </w:r>
            <w:r>
              <w:rPr>
                <w:rStyle w:val="IndexLink"/>
                <w:rtl w:val="true"/>
              </w:rPr>
              <w:t>-</w:t>
            </w:r>
            <w:r>
              <w:rPr>
                <w:rStyle w:val="IndexLink"/>
                <w:rtl w:val="true"/>
              </w:rPr>
              <w:t>خلود التعالیم الدینیة</w:t>
            </w:r>
            <w:r>
              <w:rPr>
                <w:rStyle w:val="IndexLink"/>
                <w:rtl w:val="true"/>
              </w:rPr>
              <w:tab/>
            </w:r>
            <w:r>
              <w:rPr>
                <w:rStyle w:val="IndexLink"/>
              </w:rPr>
              <w:t>64</w:t>
            </w:r>
          </w:hyperlink>
        </w:p>
        <w:p>
          <w:pPr>
            <w:pStyle w:val="Contents4"/>
            <w:tabs>
              <w:tab w:val="clear" w:pos="8176"/>
              <w:tab w:val="right" w:pos="9026" w:leader="dot"/>
            </w:tabs>
            <w:rPr/>
          </w:pPr>
          <w:hyperlink w:anchor="__RefHeading___Toc2108800_581953129">
            <w:r>
              <w:rPr>
                <w:webHidden/>
                <w:rStyle w:val="IndexLink"/>
              </w:rPr>
              <w:t>5</w:t>
            </w:r>
            <w:r>
              <w:rPr>
                <w:rStyle w:val="IndexLink"/>
                <w:rtl w:val="true"/>
              </w:rPr>
              <w:t>-</w:t>
            </w:r>
            <w:r>
              <w:rPr>
                <w:rStyle w:val="IndexLink"/>
                <w:rtl w:val="true"/>
              </w:rPr>
              <w:t>طبیعیة التعالیم الإسلامیة وفطریتها</w:t>
            </w:r>
            <w:r>
              <w:rPr>
                <w:rStyle w:val="IndexLink"/>
                <w:rtl w:val="true"/>
              </w:rPr>
              <w:tab/>
            </w:r>
            <w:r>
              <w:rPr>
                <w:rStyle w:val="IndexLink"/>
              </w:rPr>
              <w:t>65</w:t>
            </w:r>
          </w:hyperlink>
        </w:p>
        <w:p>
          <w:pPr>
            <w:pStyle w:val="Contents4"/>
            <w:tabs>
              <w:tab w:val="clear" w:pos="8176"/>
              <w:tab w:val="right" w:pos="9026" w:leader="dot"/>
            </w:tabs>
            <w:rPr/>
          </w:pPr>
          <w:hyperlink w:anchor="__RefHeading___Toc2108802_581953129">
            <w:r>
              <w:rPr>
                <w:webHidden/>
                <w:rStyle w:val="IndexLink"/>
              </w:rPr>
              <w:t>6</w:t>
            </w:r>
            <w:r>
              <w:rPr>
                <w:rStyle w:val="IndexLink"/>
                <w:rtl w:val="true"/>
              </w:rPr>
              <w:t>-</w:t>
            </w:r>
            <w:r>
              <w:rPr>
                <w:rStyle w:val="IndexLink"/>
                <w:rtl w:val="true"/>
              </w:rPr>
              <w:t>السیرة العملیة</w:t>
            </w:r>
            <w:r>
              <w:rPr>
                <w:rStyle w:val="IndexLink"/>
                <w:rtl w:val="true"/>
              </w:rPr>
              <w:tab/>
            </w:r>
            <w:r>
              <w:rPr>
                <w:rStyle w:val="IndexLink"/>
              </w:rPr>
              <w:t>65</w:t>
            </w:r>
          </w:hyperlink>
        </w:p>
        <w:p>
          <w:pPr>
            <w:pStyle w:val="Contents3"/>
            <w:tabs>
              <w:tab w:val="clear" w:pos="8459"/>
              <w:tab w:val="right" w:pos="9026" w:leader="dot"/>
            </w:tabs>
            <w:rPr/>
          </w:pPr>
          <w:hyperlink w:anchor="__RefHeading___Toc2108804_581953129">
            <w:r>
              <w:rPr>
                <w:webHidden/>
                <w:rStyle w:val="IndexLink"/>
                <w:rtl w:val="true"/>
              </w:rPr>
              <w:t>الأسباب الخارجیة</w:t>
            </w:r>
            <w:r>
              <w:rPr>
                <w:rStyle w:val="IndexLink"/>
                <w:rtl w:val="true"/>
              </w:rPr>
              <w:tab/>
            </w:r>
            <w:r>
              <w:rPr>
                <w:rStyle w:val="IndexLink"/>
              </w:rPr>
              <w:t>66</w:t>
            </w:r>
          </w:hyperlink>
        </w:p>
        <w:p>
          <w:pPr>
            <w:pStyle w:val="Contents4"/>
            <w:tabs>
              <w:tab w:val="clear" w:pos="8176"/>
              <w:tab w:val="right" w:pos="9026" w:leader="dot"/>
            </w:tabs>
            <w:rPr/>
          </w:pPr>
          <w:hyperlink w:anchor="__RefHeading___Toc2108806_581953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108808_581953129">
            <w:r>
              <w:rPr>
                <w:webHidden/>
                <w:rStyle w:val="IndexLink"/>
              </w:rPr>
              <w:t>1</w:t>
            </w:r>
            <w:r>
              <w:rPr>
                <w:rStyle w:val="IndexLink"/>
                <w:rtl w:val="true"/>
              </w:rPr>
              <w:t>-</w:t>
            </w:r>
            <w:r>
              <w:rPr>
                <w:rStyle w:val="IndexLink"/>
                <w:rtl w:val="true"/>
              </w:rPr>
              <w:t>رفع نقاط ضعف بقیة الحضارات</w:t>
            </w:r>
            <w:r>
              <w:rPr>
                <w:rStyle w:val="IndexLink"/>
                <w:rtl w:val="true"/>
              </w:rPr>
              <w:tab/>
            </w:r>
            <w:r>
              <w:rPr>
                <w:rStyle w:val="IndexLink"/>
              </w:rPr>
              <w:t>66</w:t>
            </w:r>
          </w:hyperlink>
        </w:p>
        <w:p>
          <w:pPr>
            <w:pStyle w:val="Contents4"/>
            <w:tabs>
              <w:tab w:val="clear" w:pos="8176"/>
              <w:tab w:val="right" w:pos="9026" w:leader="dot"/>
            </w:tabs>
            <w:rPr/>
          </w:pPr>
          <w:hyperlink w:anchor="__RefHeading___Toc2108810_581953129">
            <w:r>
              <w:rPr>
                <w:webHidden/>
                <w:rStyle w:val="IndexLink"/>
              </w:rPr>
              <w:t>2</w:t>
            </w:r>
            <w:r>
              <w:rPr>
                <w:rStyle w:val="IndexLink"/>
                <w:rtl w:val="true"/>
              </w:rPr>
              <w:t>-</w:t>
            </w:r>
            <w:r>
              <w:rPr>
                <w:rStyle w:val="IndexLink"/>
                <w:rtl w:val="true"/>
              </w:rPr>
              <w:t>جذب النقاط الإیجابیة لبقیة الحضارات</w:t>
            </w:r>
            <w:r>
              <w:rPr>
                <w:rStyle w:val="IndexLink"/>
                <w:rtl w:val="true"/>
              </w:rPr>
              <w:tab/>
            </w:r>
            <w:r>
              <w:rPr>
                <w:rStyle w:val="IndexLink"/>
              </w:rPr>
              <w:t>68</w:t>
            </w:r>
          </w:hyperlink>
        </w:p>
        <w:p>
          <w:pPr>
            <w:pStyle w:val="Contents5"/>
            <w:tabs>
              <w:tab w:val="clear" w:pos="7892"/>
              <w:tab w:val="right" w:pos="9026" w:leader="dot"/>
            </w:tabs>
            <w:rPr/>
          </w:pPr>
          <w:hyperlink w:anchor="__RefHeading___Toc2108812_581953129">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2108814_581953129">
            <w:r>
              <w:rPr>
                <w:webHidden/>
                <w:rStyle w:val="IndexLink"/>
                <w:rtl w:val="true"/>
              </w:rPr>
              <w:t>أ</w:t>
            </w:r>
            <w:r>
              <w:rPr>
                <w:rStyle w:val="IndexLink"/>
                <w:rtl w:val="true"/>
              </w:rPr>
              <w:t>)</w:t>
            </w:r>
            <w:r>
              <w:rPr>
                <w:rStyle w:val="IndexLink"/>
                <w:rtl w:val="true"/>
              </w:rPr>
              <w:t>حضارة الیونان</w:t>
            </w:r>
            <w:r>
              <w:rPr>
                <w:rStyle w:val="IndexLink"/>
                <w:rtl w:val="true"/>
              </w:rPr>
              <w:tab/>
            </w:r>
            <w:r>
              <w:rPr>
                <w:rStyle w:val="IndexLink"/>
              </w:rPr>
              <w:t>69</w:t>
            </w:r>
          </w:hyperlink>
        </w:p>
        <w:p>
          <w:pPr>
            <w:pStyle w:val="Contents5"/>
            <w:tabs>
              <w:tab w:val="clear" w:pos="7892"/>
              <w:tab w:val="right" w:pos="9026" w:leader="dot"/>
            </w:tabs>
            <w:rPr/>
          </w:pPr>
          <w:hyperlink w:anchor="__RefHeading___Toc2108816_581953129">
            <w:r>
              <w:rPr>
                <w:webHidden/>
                <w:rStyle w:val="IndexLink"/>
                <w:rtl w:val="true"/>
              </w:rPr>
              <w:t>ب</w:t>
            </w:r>
            <w:r>
              <w:rPr>
                <w:rStyle w:val="IndexLink"/>
                <w:rtl w:val="true"/>
              </w:rPr>
              <w:t>)</w:t>
            </w:r>
            <w:r>
              <w:rPr>
                <w:rStyle w:val="IndexLink"/>
                <w:rtl w:val="true"/>
              </w:rPr>
              <w:t>حضارة إیران</w:t>
            </w:r>
            <w:r>
              <w:rPr>
                <w:rStyle w:val="IndexLink"/>
                <w:rtl w:val="true"/>
              </w:rPr>
              <w:tab/>
            </w:r>
            <w:r>
              <w:rPr>
                <w:rStyle w:val="IndexLink"/>
              </w:rPr>
              <w:t>69</w:t>
            </w:r>
          </w:hyperlink>
        </w:p>
        <w:p>
          <w:pPr>
            <w:pStyle w:val="Contents5"/>
            <w:tabs>
              <w:tab w:val="clear" w:pos="7892"/>
              <w:tab w:val="right" w:pos="9026" w:leader="dot"/>
            </w:tabs>
            <w:rPr/>
          </w:pPr>
          <w:hyperlink w:anchor="__RefHeading___Toc2108818_581953129">
            <w:r>
              <w:rPr>
                <w:webHidden/>
                <w:rStyle w:val="IndexLink"/>
                <w:rtl w:val="true"/>
              </w:rPr>
              <w:t>ج</w:t>
            </w:r>
            <w:r>
              <w:rPr>
                <w:rStyle w:val="IndexLink"/>
                <w:rtl w:val="true"/>
              </w:rPr>
              <w:t>)</w:t>
            </w:r>
            <w:r>
              <w:rPr>
                <w:rStyle w:val="IndexLink"/>
                <w:rtl w:val="true"/>
              </w:rPr>
              <w:t>حضارة الهند</w:t>
            </w:r>
            <w:r>
              <w:rPr>
                <w:rStyle w:val="IndexLink"/>
                <w:rtl w:val="true"/>
              </w:rPr>
              <w:tab/>
            </w:r>
            <w:r>
              <w:rPr>
                <w:rStyle w:val="IndexLink"/>
              </w:rPr>
              <w:t>70</w:t>
            </w:r>
          </w:hyperlink>
        </w:p>
        <w:p>
          <w:pPr>
            <w:pStyle w:val="Contents3"/>
            <w:tabs>
              <w:tab w:val="clear" w:pos="8459"/>
              <w:tab w:val="right" w:pos="9026" w:leader="dot"/>
            </w:tabs>
            <w:rPr/>
          </w:pPr>
          <w:hyperlink w:anchor="__RefHeading___Toc2108820_581953129">
            <w:r>
              <w:rPr>
                <w:webHidden/>
                <w:rStyle w:val="IndexLink"/>
                <w:rtl w:val="true"/>
              </w:rPr>
              <w:t>حرکة الترجمة</w:t>
            </w:r>
            <w:r>
              <w:rPr>
                <w:rStyle w:val="IndexLink"/>
                <w:rtl w:val="true"/>
              </w:rPr>
              <w:tab/>
            </w:r>
            <w:r>
              <w:rPr>
                <w:rStyle w:val="IndexLink"/>
              </w:rPr>
              <w:t>72</w:t>
            </w:r>
          </w:hyperlink>
        </w:p>
        <w:p>
          <w:pPr>
            <w:pStyle w:val="Contents3"/>
            <w:tabs>
              <w:tab w:val="clear" w:pos="8459"/>
              <w:tab w:val="right" w:pos="9026" w:leader="dot"/>
            </w:tabs>
            <w:rPr/>
          </w:pPr>
          <w:hyperlink w:anchor="__RefHeading___Toc2108822_581953129">
            <w:r>
              <w:rPr>
                <w:webHidden/>
                <w:rStyle w:val="IndexLink"/>
                <w:rtl w:val="true"/>
              </w:rPr>
              <w:t>تنبیهان</w:t>
            </w:r>
            <w:r>
              <w:rPr>
                <w:rStyle w:val="IndexLink"/>
                <w:rtl w:val="true"/>
              </w:rPr>
              <w:tab/>
            </w:r>
            <w:r>
              <w:rPr>
                <w:rStyle w:val="IndexLink"/>
              </w:rPr>
              <w:t>73</w:t>
            </w:r>
          </w:hyperlink>
        </w:p>
        <w:p>
          <w:pPr>
            <w:pStyle w:val="Contents3"/>
            <w:tabs>
              <w:tab w:val="clear" w:pos="8459"/>
              <w:tab w:val="right" w:pos="9026" w:leader="dot"/>
            </w:tabs>
            <w:rPr/>
          </w:pPr>
          <w:hyperlink w:anchor="__RefHeading___Toc2108824_581953129">
            <w:r>
              <w:rPr>
                <w:webHidden/>
                <w:rStyle w:val="IndexLink"/>
                <w:rtl w:val="true"/>
              </w:rPr>
              <w:t>دور أمیرالمؤمنین</w:t>
            </w:r>
            <w:r>
              <w:rPr>
                <w:rStyle w:val="IndexLink"/>
                <w:rtl w:val="true"/>
              </w:rPr>
              <w:t>*</w:t>
            </w:r>
            <w:r>
              <w:rPr>
                <w:rStyle w:val="IndexLink"/>
                <w:rtl w:val="true"/>
              </w:rPr>
              <w:t>وأهل بیته فی ظهور وتطوّر الثقافة و الحضارة الاسلإمیة</w:t>
            </w:r>
            <w:r>
              <w:rPr>
                <w:rStyle w:val="IndexLink"/>
                <w:rtl w:val="true"/>
              </w:rPr>
              <w:tab/>
            </w:r>
            <w:r>
              <w:rPr>
                <w:rStyle w:val="IndexLink"/>
              </w:rPr>
              <w:t>74</w:t>
            </w:r>
          </w:hyperlink>
        </w:p>
        <w:p>
          <w:pPr>
            <w:pStyle w:val="Contents3"/>
            <w:tabs>
              <w:tab w:val="clear" w:pos="8459"/>
              <w:tab w:val="right" w:pos="9026" w:leader="dot"/>
            </w:tabs>
            <w:rPr/>
          </w:pPr>
          <w:hyperlink w:anchor="__RefHeading___Toc2108826_581953129">
            <w:r>
              <w:rPr>
                <w:webHidden/>
                <w:rStyle w:val="IndexLink"/>
                <w:rtl w:val="true"/>
              </w:rPr>
              <w:t>الخلاصة</w:t>
            </w:r>
            <w:r>
              <w:rPr>
                <w:rStyle w:val="IndexLink"/>
                <w:rtl w:val="true"/>
              </w:rPr>
              <w:tab/>
            </w:r>
            <w:r>
              <w:rPr>
                <w:rStyle w:val="IndexLink"/>
              </w:rPr>
              <w:t>77</w:t>
            </w:r>
          </w:hyperlink>
        </w:p>
        <w:p>
          <w:pPr>
            <w:pStyle w:val="Contents3"/>
            <w:tabs>
              <w:tab w:val="clear" w:pos="8459"/>
              <w:tab w:val="right" w:pos="9026" w:leader="dot"/>
            </w:tabs>
            <w:rPr/>
          </w:pPr>
          <w:hyperlink w:anchor="__RefHeading___Toc2108828_581953129">
            <w:r>
              <w:rPr>
                <w:webHidden/>
                <w:rStyle w:val="IndexLink"/>
                <w:rtl w:val="true"/>
              </w:rPr>
              <w:t>الأسئلة</w:t>
            </w:r>
            <w:r>
              <w:rPr>
                <w:rStyle w:val="IndexLink"/>
                <w:rtl w:val="true"/>
              </w:rPr>
              <w:tab/>
            </w:r>
            <w:r>
              <w:rPr>
                <w:rStyle w:val="IndexLink"/>
              </w:rPr>
              <w:t>78</w:t>
            </w:r>
          </w:hyperlink>
        </w:p>
        <w:p>
          <w:pPr>
            <w:pStyle w:val="Contents2"/>
            <w:tabs>
              <w:tab w:val="clear" w:pos="8743"/>
              <w:tab w:val="right" w:pos="9026" w:leader="dot"/>
            </w:tabs>
            <w:rPr/>
          </w:pPr>
          <w:hyperlink w:anchor="__RefHeading___Toc2108830_581953129">
            <w:r>
              <w:rPr>
                <w:webHidden/>
                <w:rStyle w:val="IndexLink"/>
              </w:rPr>
              <w:t>4</w:t>
            </w:r>
            <w:r>
              <w:rPr>
                <w:rStyle w:val="IndexLink"/>
                <w:rtl w:val="true"/>
              </w:rPr>
              <w:t xml:space="preserve">- </w:t>
            </w:r>
            <w:r>
              <w:rPr>
                <w:rStyle w:val="IndexLink"/>
                <w:rtl w:val="true"/>
              </w:rPr>
              <w:t>ازدهار العلوم الإسلامیة</w:t>
            </w:r>
            <w:r>
              <w:rPr>
                <w:rStyle w:val="IndexLink"/>
                <w:rtl w:val="true"/>
              </w:rPr>
              <w:tab/>
            </w:r>
            <w:r>
              <w:rPr>
                <w:rStyle w:val="IndexLink"/>
              </w:rPr>
              <w:t>80</w:t>
            </w:r>
          </w:hyperlink>
        </w:p>
        <w:p>
          <w:pPr>
            <w:pStyle w:val="Contents3"/>
            <w:tabs>
              <w:tab w:val="clear" w:pos="8459"/>
              <w:tab w:val="right" w:pos="9026" w:leader="dot"/>
            </w:tabs>
            <w:rPr/>
          </w:pPr>
          <w:hyperlink w:anchor="__RefHeading___Toc2108832_581953129">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2108834_581953129">
            <w:r>
              <w:rPr>
                <w:webHidden/>
                <w:rStyle w:val="IndexLink"/>
                <w:rtl w:val="true"/>
              </w:rPr>
              <w:t>تصنیف العلوم</w:t>
            </w:r>
            <w:r>
              <w:rPr>
                <w:rStyle w:val="IndexLink"/>
                <w:rtl w:val="true"/>
              </w:rPr>
              <w:tab/>
            </w:r>
            <w:r>
              <w:rPr>
                <w:rStyle w:val="IndexLink"/>
              </w:rPr>
              <w:t>80</w:t>
            </w:r>
          </w:hyperlink>
        </w:p>
        <w:p>
          <w:pPr>
            <w:pStyle w:val="Contents3"/>
            <w:tabs>
              <w:tab w:val="clear" w:pos="8459"/>
              <w:tab w:val="right" w:pos="9026" w:leader="dot"/>
            </w:tabs>
            <w:rPr/>
          </w:pPr>
          <w:hyperlink w:anchor="__RefHeading___Toc2108836_581953129">
            <w:r>
              <w:rPr>
                <w:webHidden/>
                <w:rStyle w:val="IndexLink"/>
                <w:rtl w:val="true"/>
              </w:rPr>
              <w:t>العلوم الإسلامیة</w:t>
            </w:r>
            <w:r>
              <w:rPr>
                <w:rStyle w:val="IndexLink"/>
                <w:rtl w:val="true"/>
              </w:rPr>
              <w:tab/>
            </w:r>
            <w:r>
              <w:rPr>
                <w:rStyle w:val="IndexLink"/>
              </w:rPr>
              <w:t>81</w:t>
            </w:r>
          </w:hyperlink>
        </w:p>
        <w:p>
          <w:pPr>
            <w:pStyle w:val="Contents4"/>
            <w:tabs>
              <w:tab w:val="clear" w:pos="8176"/>
              <w:tab w:val="right" w:pos="9026" w:leader="dot"/>
            </w:tabs>
            <w:rPr/>
          </w:pPr>
          <w:hyperlink w:anchor="__RefHeading___Toc2108838_58195312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2108840_581953129">
            <w:r>
              <w:rPr>
                <w:webHidden/>
                <w:rStyle w:val="IndexLink"/>
                <w:rtl w:val="true"/>
              </w:rPr>
              <w:t>أ</w:t>
            </w:r>
            <w:r>
              <w:rPr>
                <w:rStyle w:val="IndexLink"/>
                <w:rtl w:val="true"/>
              </w:rPr>
              <w:t>)</w:t>
            </w:r>
            <w:r>
              <w:rPr>
                <w:rStyle w:val="IndexLink"/>
                <w:rtl w:val="true"/>
              </w:rPr>
              <w:t>التفسیر</w:t>
            </w:r>
            <w:r>
              <w:rPr>
                <w:rStyle w:val="IndexLink"/>
                <w:rtl w:val="true"/>
              </w:rPr>
              <w:tab/>
            </w:r>
            <w:r>
              <w:rPr>
                <w:rStyle w:val="IndexLink"/>
              </w:rPr>
              <w:t>82</w:t>
            </w:r>
          </w:hyperlink>
        </w:p>
        <w:p>
          <w:pPr>
            <w:pStyle w:val="Contents5"/>
            <w:tabs>
              <w:tab w:val="clear" w:pos="7892"/>
              <w:tab w:val="right" w:pos="9026" w:leader="dot"/>
            </w:tabs>
            <w:rPr/>
          </w:pPr>
          <w:hyperlink w:anchor="__RefHeading___Toc2108842_581953129">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108844_581953129">
            <w:r>
              <w:rPr>
                <w:webHidden/>
                <w:rStyle w:val="IndexLink"/>
              </w:rPr>
              <w:t>1</w:t>
            </w:r>
            <w:r>
              <w:rPr>
                <w:rStyle w:val="IndexLink"/>
                <w:rtl w:val="true"/>
              </w:rPr>
              <w:t>-</w:t>
            </w:r>
            <w:r>
              <w:rPr>
                <w:rStyle w:val="IndexLink"/>
                <w:rtl w:val="true"/>
              </w:rPr>
              <w:t>تفسیر العیاشی</w:t>
            </w:r>
            <w:r>
              <w:rPr>
                <w:rStyle w:val="IndexLink"/>
                <w:rtl w:val="true"/>
              </w:rPr>
              <w:tab/>
            </w:r>
            <w:r>
              <w:rPr>
                <w:rStyle w:val="IndexLink"/>
              </w:rPr>
              <w:t>84</w:t>
            </w:r>
          </w:hyperlink>
        </w:p>
        <w:p>
          <w:pPr>
            <w:pStyle w:val="Contents5"/>
            <w:tabs>
              <w:tab w:val="clear" w:pos="7892"/>
              <w:tab w:val="right" w:pos="9026" w:leader="dot"/>
            </w:tabs>
            <w:rPr/>
          </w:pPr>
          <w:hyperlink w:anchor="__RefHeading___Toc2108846_581953129">
            <w:r>
              <w:rPr>
                <w:webHidden/>
                <w:rStyle w:val="IndexLink"/>
              </w:rPr>
              <w:t>2</w:t>
            </w:r>
            <w:r>
              <w:rPr>
                <w:rStyle w:val="IndexLink"/>
                <w:rtl w:val="true"/>
              </w:rPr>
              <w:t>-</w:t>
            </w:r>
            <w:r>
              <w:rPr>
                <w:rStyle w:val="IndexLink"/>
                <w:rtl w:val="true"/>
              </w:rPr>
              <w:t>تفسیر القمّی</w:t>
            </w:r>
            <w:r>
              <w:rPr>
                <w:rStyle w:val="IndexLink"/>
                <w:rtl w:val="true"/>
              </w:rPr>
              <w:tab/>
            </w:r>
            <w:r>
              <w:rPr>
                <w:rStyle w:val="IndexLink"/>
              </w:rPr>
              <w:t>85</w:t>
            </w:r>
          </w:hyperlink>
        </w:p>
        <w:p>
          <w:pPr>
            <w:pStyle w:val="Contents5"/>
            <w:tabs>
              <w:tab w:val="clear" w:pos="7892"/>
              <w:tab w:val="right" w:pos="9026" w:leader="dot"/>
            </w:tabs>
            <w:rPr/>
          </w:pPr>
          <w:hyperlink w:anchor="__RefHeading___Toc2108848_581953129">
            <w:r>
              <w:rPr>
                <w:webHidden/>
                <w:rStyle w:val="IndexLink"/>
              </w:rPr>
              <w:t>3</w:t>
            </w:r>
            <w:r>
              <w:rPr>
                <w:rStyle w:val="IndexLink"/>
                <w:rtl w:val="true"/>
              </w:rPr>
              <w:t>-</w:t>
            </w:r>
            <w:r>
              <w:rPr>
                <w:rStyle w:val="IndexLink"/>
                <w:rtl w:val="true"/>
              </w:rPr>
              <w:t>جامع البیان فی تفسیر القرآن</w:t>
            </w:r>
            <w:r>
              <w:rPr>
                <w:rStyle w:val="IndexLink"/>
                <w:rtl w:val="true"/>
              </w:rPr>
              <w:tab/>
            </w:r>
            <w:r>
              <w:rPr>
                <w:rStyle w:val="IndexLink"/>
              </w:rPr>
              <w:t>85</w:t>
            </w:r>
          </w:hyperlink>
        </w:p>
        <w:p>
          <w:pPr>
            <w:pStyle w:val="Contents5"/>
            <w:tabs>
              <w:tab w:val="clear" w:pos="7892"/>
              <w:tab w:val="right" w:pos="9026" w:leader="dot"/>
            </w:tabs>
            <w:rPr/>
          </w:pPr>
          <w:hyperlink w:anchor="__RefHeading___Toc2108850_581953129">
            <w:r>
              <w:rPr>
                <w:webHidden/>
                <w:rStyle w:val="IndexLink"/>
              </w:rPr>
              <w:t>4</w:t>
            </w:r>
            <w:r>
              <w:rPr>
                <w:rStyle w:val="IndexLink"/>
                <w:rtl w:val="true"/>
              </w:rPr>
              <w:t>-</w:t>
            </w:r>
            <w:r>
              <w:rPr>
                <w:rStyle w:val="IndexLink"/>
                <w:rtl w:val="true"/>
              </w:rPr>
              <w:t>التبیان فی تفسیر القرآن</w:t>
            </w:r>
            <w:r>
              <w:rPr>
                <w:rStyle w:val="IndexLink"/>
                <w:rtl w:val="true"/>
              </w:rPr>
              <w:tab/>
            </w:r>
            <w:r>
              <w:rPr>
                <w:rStyle w:val="IndexLink"/>
              </w:rPr>
              <w:t>85</w:t>
            </w:r>
          </w:hyperlink>
        </w:p>
        <w:p>
          <w:pPr>
            <w:pStyle w:val="Contents5"/>
            <w:tabs>
              <w:tab w:val="clear" w:pos="7892"/>
              <w:tab w:val="right" w:pos="9026" w:leader="dot"/>
            </w:tabs>
            <w:rPr/>
          </w:pPr>
          <w:hyperlink w:anchor="__RefHeading___Toc2108852_581953129">
            <w:r>
              <w:rPr>
                <w:webHidden/>
                <w:rStyle w:val="IndexLink"/>
              </w:rPr>
              <w:t>5</w:t>
            </w:r>
            <w:r>
              <w:rPr>
                <w:rStyle w:val="IndexLink"/>
                <w:rtl w:val="true"/>
              </w:rPr>
              <w:t>-</w:t>
            </w:r>
            <w:r>
              <w:rPr>
                <w:rStyle w:val="IndexLink"/>
                <w:rtl w:val="true"/>
              </w:rPr>
              <w:t>معالم التنزیل</w:t>
            </w:r>
            <w:r>
              <w:rPr>
                <w:rStyle w:val="IndexLink"/>
                <w:rtl w:val="true"/>
              </w:rPr>
              <w:tab/>
            </w:r>
            <w:r>
              <w:rPr>
                <w:rStyle w:val="IndexLink"/>
              </w:rPr>
              <w:t>86</w:t>
            </w:r>
          </w:hyperlink>
        </w:p>
        <w:p>
          <w:pPr>
            <w:pStyle w:val="Contents5"/>
            <w:tabs>
              <w:tab w:val="clear" w:pos="7892"/>
              <w:tab w:val="right" w:pos="9026" w:leader="dot"/>
            </w:tabs>
            <w:rPr/>
          </w:pPr>
          <w:hyperlink w:anchor="__RefHeading___Toc2108854_581953129">
            <w:r>
              <w:rPr>
                <w:webHidden/>
                <w:rStyle w:val="IndexLink"/>
              </w:rPr>
              <w:t>6</w:t>
            </w:r>
            <w:r>
              <w:rPr>
                <w:rStyle w:val="IndexLink"/>
                <w:rtl w:val="true"/>
              </w:rPr>
              <w:t>-</w:t>
            </w:r>
            <w:r>
              <w:rPr>
                <w:rStyle w:val="IndexLink"/>
                <w:rtl w:val="true"/>
              </w:rPr>
              <w:t>مجمع البیان فی تفسیر القرآن</w:t>
            </w:r>
            <w:r>
              <w:rPr>
                <w:rStyle w:val="IndexLink"/>
                <w:rtl w:val="true"/>
              </w:rPr>
              <w:tab/>
            </w:r>
            <w:r>
              <w:rPr>
                <w:rStyle w:val="IndexLink"/>
              </w:rPr>
              <w:t>86</w:t>
            </w:r>
          </w:hyperlink>
        </w:p>
        <w:p>
          <w:pPr>
            <w:pStyle w:val="Contents5"/>
            <w:tabs>
              <w:tab w:val="clear" w:pos="7892"/>
              <w:tab w:val="right" w:pos="9026" w:leader="dot"/>
            </w:tabs>
            <w:rPr/>
          </w:pPr>
          <w:hyperlink w:anchor="__RefHeading___Toc2108856_581953129">
            <w:r>
              <w:rPr>
                <w:webHidden/>
                <w:rStyle w:val="IndexLink"/>
              </w:rPr>
              <w:t>7</w:t>
            </w:r>
            <w:r>
              <w:rPr>
                <w:rStyle w:val="IndexLink"/>
                <w:rtl w:val="true"/>
              </w:rPr>
              <w:t>-</w:t>
            </w:r>
            <w:r>
              <w:rPr>
                <w:rStyle w:val="IndexLink"/>
                <w:rtl w:val="true"/>
              </w:rPr>
              <w:t>الکشّاف عن حقائق التنزیل وعیون الأقاویل فی وجوه التأویل</w:t>
            </w:r>
            <w:r>
              <w:rPr>
                <w:rStyle w:val="IndexLink"/>
                <w:rtl w:val="true"/>
              </w:rPr>
              <w:tab/>
            </w:r>
            <w:r>
              <w:rPr>
                <w:rStyle w:val="IndexLink"/>
              </w:rPr>
              <w:t>87</w:t>
            </w:r>
          </w:hyperlink>
        </w:p>
        <w:p>
          <w:pPr>
            <w:pStyle w:val="Contents5"/>
            <w:tabs>
              <w:tab w:val="clear" w:pos="7892"/>
              <w:tab w:val="right" w:pos="9026" w:leader="dot"/>
            </w:tabs>
            <w:rPr/>
          </w:pPr>
          <w:hyperlink w:anchor="__RefHeading___Toc2108858_581953129">
            <w:r>
              <w:rPr>
                <w:webHidden/>
                <w:rStyle w:val="IndexLink"/>
              </w:rPr>
              <w:t>8</w:t>
            </w:r>
            <w:r>
              <w:rPr>
                <w:rStyle w:val="IndexLink"/>
                <w:rtl w:val="true"/>
              </w:rPr>
              <w:t>-</w:t>
            </w:r>
            <w:r>
              <w:rPr>
                <w:rStyle w:val="IndexLink"/>
                <w:rtl w:val="true"/>
              </w:rPr>
              <w:t>مفاتیح الغیب</w:t>
            </w:r>
            <w:r>
              <w:rPr>
                <w:rStyle w:val="IndexLink"/>
                <w:rtl w:val="true"/>
              </w:rPr>
              <w:tab/>
            </w:r>
            <w:r>
              <w:rPr>
                <w:rStyle w:val="IndexLink"/>
              </w:rPr>
              <w:t>87</w:t>
            </w:r>
          </w:hyperlink>
        </w:p>
        <w:p>
          <w:pPr>
            <w:pStyle w:val="Contents4"/>
            <w:tabs>
              <w:tab w:val="clear" w:pos="8176"/>
              <w:tab w:val="right" w:pos="9026" w:leader="dot"/>
            </w:tabs>
            <w:rPr/>
          </w:pPr>
          <w:hyperlink w:anchor="__RefHeading___Toc2108860_581953129">
            <w:r>
              <w:rPr>
                <w:webHidden/>
                <w:rStyle w:val="IndexLink"/>
                <w:rtl w:val="true"/>
              </w:rPr>
              <w:t>ب</w:t>
            </w:r>
            <w:r>
              <w:rPr>
                <w:rStyle w:val="IndexLink"/>
                <w:rtl w:val="true"/>
              </w:rPr>
              <w:t>)</w:t>
            </w:r>
            <w:r>
              <w:rPr>
                <w:rStyle w:val="IndexLink"/>
                <w:rtl w:val="true"/>
              </w:rPr>
              <w:t>الحدیث</w:t>
            </w:r>
            <w:r>
              <w:rPr>
                <w:rStyle w:val="IndexLink"/>
                <w:rtl w:val="true"/>
              </w:rPr>
              <w:tab/>
            </w:r>
            <w:r>
              <w:rPr>
                <w:rStyle w:val="IndexLink"/>
              </w:rPr>
              <w:t>88</w:t>
            </w:r>
          </w:hyperlink>
        </w:p>
        <w:p>
          <w:pPr>
            <w:pStyle w:val="Contents5"/>
            <w:tabs>
              <w:tab w:val="clear" w:pos="7892"/>
              <w:tab w:val="right" w:pos="9026" w:leader="dot"/>
            </w:tabs>
            <w:rPr/>
          </w:pPr>
          <w:hyperlink w:anchor="__RefHeading___Toc2108862_581953129">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108864_581953129">
            <w:r>
              <w:rPr>
                <w:webHidden/>
                <w:rStyle w:val="IndexLink"/>
                <w:rtl w:val="true"/>
              </w:rPr>
              <w:t>علم الحدیث لدی الشیعة</w:t>
            </w:r>
            <w:r>
              <w:rPr>
                <w:rStyle w:val="IndexLink"/>
                <w:rtl w:val="true"/>
              </w:rPr>
              <w:tab/>
            </w:r>
            <w:r>
              <w:rPr>
                <w:rStyle w:val="IndexLink"/>
              </w:rPr>
              <w:t>88</w:t>
            </w:r>
          </w:hyperlink>
        </w:p>
        <w:p>
          <w:pPr>
            <w:pStyle w:val="Contents5"/>
            <w:tabs>
              <w:tab w:val="clear" w:pos="7892"/>
              <w:tab w:val="right" w:pos="9026" w:leader="dot"/>
            </w:tabs>
            <w:rPr/>
          </w:pPr>
          <w:hyperlink w:anchor="__RefHeading___Toc2108866_581953129">
            <w:r>
              <w:rPr>
                <w:webHidden/>
                <w:rStyle w:val="IndexLink"/>
              </w:rPr>
              <w:t>1</w:t>
            </w:r>
            <w:r>
              <w:rPr>
                <w:rStyle w:val="IndexLink"/>
                <w:rtl w:val="true"/>
              </w:rPr>
              <w:t>-</w:t>
            </w:r>
            <w:r>
              <w:rPr>
                <w:rStyle w:val="IndexLink"/>
                <w:rtl w:val="true"/>
              </w:rPr>
              <w:t>مرحلة المعصومین</w:t>
            </w:r>
            <w:r>
              <w:rPr>
                <w:rStyle w:val="IndexLink"/>
                <w:rtl w:val="true"/>
              </w:rPr>
              <w:tab/>
            </w:r>
            <w:r>
              <w:rPr>
                <w:rStyle w:val="IndexLink"/>
              </w:rPr>
              <w:t>89</w:t>
            </w:r>
          </w:hyperlink>
        </w:p>
        <w:p>
          <w:pPr>
            <w:pStyle w:val="Contents5"/>
            <w:tabs>
              <w:tab w:val="clear" w:pos="7892"/>
              <w:tab w:val="right" w:pos="9026" w:leader="dot"/>
            </w:tabs>
            <w:rPr/>
          </w:pPr>
          <w:hyperlink w:anchor="__RefHeading___Toc2108868_581953129">
            <w:r>
              <w:rPr>
                <w:webHidden/>
                <w:rStyle w:val="IndexLink"/>
              </w:rPr>
              <w:t>2</w:t>
            </w:r>
            <w:r>
              <w:rPr>
                <w:rStyle w:val="IndexLink"/>
                <w:rtl w:val="true"/>
              </w:rPr>
              <w:t>-</w:t>
            </w:r>
            <w:r>
              <w:rPr>
                <w:rStyle w:val="IndexLink"/>
                <w:rtl w:val="true"/>
              </w:rPr>
              <w:t>مرحلة الجمع</w:t>
            </w:r>
            <w:r>
              <w:rPr>
                <w:rStyle w:val="IndexLink"/>
                <w:rtl w:val="true"/>
              </w:rPr>
              <w:t xml:space="preserve">, </w:t>
            </w:r>
            <w:r>
              <w:rPr>
                <w:rStyle w:val="IndexLink"/>
                <w:rtl w:val="true"/>
              </w:rPr>
              <w:t>التنسیق و التنظیم</w:t>
            </w:r>
            <w:r>
              <w:rPr>
                <w:rStyle w:val="IndexLink"/>
                <w:rtl w:val="true"/>
              </w:rPr>
              <w:tab/>
            </w:r>
            <w:r>
              <w:rPr>
                <w:rStyle w:val="IndexLink"/>
              </w:rPr>
              <w:t>91</w:t>
            </w:r>
          </w:hyperlink>
        </w:p>
        <w:p>
          <w:pPr>
            <w:pStyle w:val="Contents5"/>
            <w:tabs>
              <w:tab w:val="clear" w:pos="7892"/>
              <w:tab w:val="right" w:pos="9026" w:leader="dot"/>
            </w:tabs>
            <w:rPr/>
          </w:pPr>
          <w:hyperlink w:anchor="__RefHeading___Toc2108870_581953129">
            <w:r>
              <w:rPr>
                <w:webHidden/>
                <w:rStyle w:val="IndexLink"/>
                <w:rtl w:val="true"/>
              </w:rPr>
              <w:t>علم الحدیث عند أهل السنّة</w:t>
            </w:r>
            <w:r>
              <w:rPr>
                <w:rStyle w:val="IndexLink"/>
                <w:rtl w:val="true"/>
              </w:rPr>
              <w:tab/>
            </w:r>
            <w:r>
              <w:rPr>
                <w:rStyle w:val="IndexLink"/>
              </w:rPr>
              <w:t>94</w:t>
            </w:r>
          </w:hyperlink>
        </w:p>
        <w:p>
          <w:pPr>
            <w:pStyle w:val="Contents4"/>
            <w:tabs>
              <w:tab w:val="clear" w:pos="8176"/>
              <w:tab w:val="right" w:pos="9026" w:leader="dot"/>
            </w:tabs>
            <w:rPr/>
          </w:pPr>
          <w:hyperlink w:anchor="__RefHeading___Toc2108872_581953129">
            <w:r>
              <w:rPr>
                <w:webHidden/>
                <w:rStyle w:val="IndexLink"/>
                <w:rtl w:val="true"/>
              </w:rPr>
              <w:t>ج</w:t>
            </w:r>
            <w:r>
              <w:rPr>
                <w:rStyle w:val="IndexLink"/>
                <w:rtl w:val="true"/>
              </w:rPr>
              <w:t>)</w:t>
            </w:r>
            <w:r>
              <w:rPr>
                <w:rStyle w:val="IndexLink"/>
                <w:rtl w:val="true"/>
              </w:rPr>
              <w:t>الفلسفة</w:t>
            </w:r>
            <w:r>
              <w:rPr>
                <w:rStyle w:val="IndexLink"/>
                <w:rtl w:val="true"/>
              </w:rPr>
              <w:tab/>
            </w:r>
            <w:r>
              <w:rPr>
                <w:rStyle w:val="IndexLink"/>
              </w:rPr>
              <w:t>94</w:t>
            </w:r>
          </w:hyperlink>
        </w:p>
        <w:p>
          <w:pPr>
            <w:pStyle w:val="Contents5"/>
            <w:tabs>
              <w:tab w:val="clear" w:pos="7892"/>
              <w:tab w:val="right" w:pos="9026" w:leader="dot"/>
            </w:tabs>
            <w:rPr/>
          </w:pPr>
          <w:hyperlink w:anchor="__RefHeading___Toc2108874_58195312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2108876_581953129">
            <w:r>
              <w:rPr>
                <w:webHidden/>
                <w:rStyle w:val="IndexLink"/>
              </w:rPr>
              <w:t>1</w:t>
            </w:r>
            <w:r>
              <w:rPr>
                <w:rStyle w:val="IndexLink"/>
                <w:rtl w:val="true"/>
              </w:rPr>
              <w:t>-</w:t>
            </w:r>
            <w:r>
              <w:rPr>
                <w:rStyle w:val="IndexLink"/>
                <w:rtl w:val="true"/>
              </w:rPr>
              <w:t>الکندی أبو یوسف یعقوب ابن إسحاق</w:t>
            </w:r>
            <w:r>
              <w:rPr>
                <w:rStyle w:val="IndexLink"/>
                <w:rtl w:val="true"/>
              </w:rPr>
              <w:t>(</w:t>
            </w:r>
            <w:r>
              <w:rPr>
                <w:rStyle w:val="IndexLink"/>
                <w:rtl w:val="true"/>
              </w:rPr>
              <w:t>ت</w:t>
            </w:r>
            <w:r>
              <w:rPr>
                <w:rStyle w:val="IndexLink"/>
              </w:rPr>
              <w:t>258</w:t>
            </w:r>
            <w:r>
              <w:rPr>
                <w:rStyle w:val="IndexLink"/>
                <w:rtl w:val="true"/>
              </w:rPr>
              <w:t xml:space="preserve"> </w:t>
            </w:r>
            <w:r>
              <w:rPr>
                <w:rStyle w:val="IndexLink"/>
                <w:rtl w:val="true"/>
              </w:rPr>
              <w:t>ه</w:t>
            </w:r>
            <w:r>
              <w:rPr>
                <w:rStyle w:val="IndexLink"/>
                <w:rtl w:val="true"/>
              </w:rPr>
              <w:t>)</w:t>
              <w:tab/>
            </w:r>
            <w:r>
              <w:rPr>
                <w:rStyle w:val="IndexLink"/>
              </w:rPr>
              <w:t>97</w:t>
            </w:r>
          </w:hyperlink>
        </w:p>
        <w:p>
          <w:pPr>
            <w:pStyle w:val="Contents5"/>
            <w:tabs>
              <w:tab w:val="clear" w:pos="7892"/>
              <w:tab w:val="right" w:pos="9026" w:leader="dot"/>
            </w:tabs>
            <w:rPr/>
          </w:pPr>
          <w:hyperlink w:anchor="__RefHeading___Toc2108878_581953129">
            <w:r>
              <w:rPr>
                <w:webHidden/>
                <w:rStyle w:val="IndexLink"/>
              </w:rPr>
              <w:t>2</w:t>
            </w:r>
            <w:r>
              <w:rPr>
                <w:rStyle w:val="IndexLink"/>
                <w:rtl w:val="true"/>
              </w:rPr>
              <w:t>-</w:t>
            </w:r>
            <w:r>
              <w:rPr>
                <w:rStyle w:val="IndexLink"/>
                <w:rtl w:val="true"/>
              </w:rPr>
              <w:t>أبو نصر محمّد بن طرخان بن أوزلغ الفارابی</w:t>
            </w:r>
            <w:r>
              <w:rPr>
                <w:rStyle w:val="IndexLink"/>
                <w:rtl w:val="true"/>
              </w:rPr>
              <w:t>(</w:t>
            </w:r>
            <w:r>
              <w:rPr>
                <w:rStyle w:val="IndexLink"/>
                <w:rtl w:val="true"/>
              </w:rPr>
              <w:t>ت</w:t>
            </w:r>
            <w:r>
              <w:rPr>
                <w:rStyle w:val="IndexLink"/>
              </w:rPr>
              <w:t>339</w:t>
            </w:r>
            <w:r>
              <w:rPr>
                <w:rStyle w:val="IndexLink"/>
                <w:rtl w:val="true"/>
              </w:rPr>
              <w:t>ه</w:t>
            </w:r>
            <w:r>
              <w:rPr>
                <w:rStyle w:val="IndexLink"/>
                <w:rtl w:val="true"/>
              </w:rPr>
              <w:t>)</w:t>
              <w:tab/>
            </w:r>
            <w:r>
              <w:rPr>
                <w:rStyle w:val="IndexLink"/>
              </w:rPr>
              <w:t>99</w:t>
            </w:r>
          </w:hyperlink>
        </w:p>
        <w:p>
          <w:pPr>
            <w:pStyle w:val="Contents5"/>
            <w:tabs>
              <w:tab w:val="clear" w:pos="7892"/>
              <w:tab w:val="right" w:pos="9026" w:leader="dot"/>
            </w:tabs>
            <w:rPr/>
          </w:pPr>
          <w:hyperlink w:anchor="__RefHeading___Toc2108880_581953129">
            <w:r>
              <w:rPr>
                <w:webHidden/>
                <w:rStyle w:val="IndexLink"/>
              </w:rPr>
              <w:t>3</w:t>
            </w:r>
            <w:r>
              <w:rPr>
                <w:rStyle w:val="IndexLink"/>
                <w:rtl w:val="true"/>
              </w:rPr>
              <w:t>-</w:t>
            </w:r>
            <w:r>
              <w:rPr>
                <w:rStyle w:val="IndexLink"/>
                <w:rtl w:val="true"/>
              </w:rPr>
              <w:t>أبو علی الحسین بن عبد الله بن سینا</w:t>
            </w:r>
            <w:r>
              <w:rPr>
                <w:rStyle w:val="IndexLink"/>
                <w:rtl w:val="true"/>
              </w:rPr>
              <w:t>(</w:t>
            </w:r>
            <w:r>
              <w:rPr>
                <w:rStyle w:val="IndexLink"/>
                <w:rtl w:val="true"/>
              </w:rPr>
              <w:t>ت</w:t>
            </w:r>
            <w:r>
              <w:rPr>
                <w:rStyle w:val="IndexLink"/>
              </w:rPr>
              <w:t>428</w:t>
            </w:r>
            <w:r>
              <w:rPr>
                <w:rStyle w:val="IndexLink"/>
                <w:rtl w:val="true"/>
              </w:rPr>
              <w:t>ه</w:t>
            </w:r>
            <w:r>
              <w:rPr>
                <w:rStyle w:val="IndexLink"/>
                <w:rtl w:val="true"/>
              </w:rPr>
              <w:t>)</w:t>
              <w:tab/>
            </w:r>
            <w:r>
              <w:rPr>
                <w:rStyle w:val="IndexLink"/>
              </w:rPr>
              <w:t>101</w:t>
            </w:r>
          </w:hyperlink>
        </w:p>
        <w:p>
          <w:pPr>
            <w:pStyle w:val="Contents5"/>
            <w:tabs>
              <w:tab w:val="clear" w:pos="7892"/>
              <w:tab w:val="right" w:pos="9026" w:leader="dot"/>
            </w:tabs>
            <w:rPr/>
          </w:pPr>
          <w:hyperlink w:anchor="__RefHeading___Toc2108882_581953129">
            <w:r>
              <w:rPr>
                <w:webHidden/>
                <w:rStyle w:val="IndexLink"/>
              </w:rPr>
              <w:t>4</w:t>
            </w:r>
            <w:r>
              <w:rPr>
                <w:rStyle w:val="IndexLink"/>
                <w:rtl w:val="true"/>
              </w:rPr>
              <w:t>-</w:t>
            </w:r>
            <w:r>
              <w:rPr>
                <w:rStyle w:val="IndexLink"/>
                <w:rtl w:val="true"/>
              </w:rPr>
              <w:t>أبو الولید محمد بن أحمد بن محمّد بن رشد</w:t>
            </w:r>
            <w:r>
              <w:rPr>
                <w:rStyle w:val="IndexLink"/>
                <w:rtl w:val="true"/>
              </w:rPr>
              <w:t>(</w:t>
            </w:r>
            <w:r>
              <w:rPr>
                <w:rStyle w:val="IndexLink"/>
                <w:rtl w:val="true"/>
              </w:rPr>
              <w:t>ت</w:t>
            </w:r>
            <w:r>
              <w:rPr>
                <w:rStyle w:val="IndexLink"/>
              </w:rPr>
              <w:t>595</w:t>
            </w:r>
            <w:r>
              <w:rPr>
                <w:rStyle w:val="IndexLink"/>
                <w:rtl w:val="true"/>
              </w:rPr>
              <w:t>ه</w:t>
            </w:r>
            <w:r>
              <w:rPr>
                <w:rStyle w:val="IndexLink"/>
                <w:rtl w:val="true"/>
              </w:rPr>
              <w:t>)</w:t>
              <w:tab/>
            </w:r>
            <w:r>
              <w:rPr>
                <w:rStyle w:val="IndexLink"/>
              </w:rPr>
              <w:t>104</w:t>
            </w:r>
          </w:hyperlink>
        </w:p>
        <w:p>
          <w:pPr>
            <w:pStyle w:val="Contents5"/>
            <w:tabs>
              <w:tab w:val="clear" w:pos="7892"/>
              <w:tab w:val="right" w:pos="9026" w:leader="dot"/>
            </w:tabs>
            <w:rPr/>
          </w:pPr>
          <w:hyperlink w:anchor="__RefHeading___Toc2108884_581953129">
            <w:r>
              <w:rPr>
                <w:webHidden/>
                <w:rStyle w:val="IndexLink"/>
              </w:rPr>
              <w:t>5</w:t>
            </w:r>
            <w:r>
              <w:rPr>
                <w:rStyle w:val="IndexLink"/>
                <w:rtl w:val="true"/>
              </w:rPr>
              <w:t>-</w:t>
            </w:r>
            <w:r>
              <w:rPr>
                <w:rStyle w:val="IndexLink"/>
                <w:rtl w:val="true"/>
              </w:rPr>
              <w:t>شهاب الدین السهرودی</w:t>
            </w:r>
            <w:r>
              <w:rPr>
                <w:rStyle w:val="IndexLink"/>
                <w:rtl w:val="true"/>
              </w:rPr>
              <w:t>(</w:t>
            </w:r>
            <w:r>
              <w:rPr>
                <w:rStyle w:val="IndexLink"/>
                <w:rtl w:val="true"/>
              </w:rPr>
              <w:t xml:space="preserve">ت </w:t>
            </w:r>
            <w:r>
              <w:rPr>
                <w:rStyle w:val="IndexLink"/>
              </w:rPr>
              <w:t>587</w:t>
            </w:r>
            <w:r>
              <w:rPr>
                <w:rStyle w:val="IndexLink"/>
                <w:rtl w:val="true"/>
              </w:rPr>
              <w:t xml:space="preserve"> </w:t>
            </w:r>
            <w:r>
              <w:rPr>
                <w:rStyle w:val="IndexLink"/>
                <w:rtl w:val="true"/>
              </w:rPr>
              <w:t>ه</w:t>
            </w:r>
            <w:r>
              <w:rPr>
                <w:rStyle w:val="IndexLink"/>
                <w:rtl w:val="true"/>
              </w:rPr>
              <w:t>)</w:t>
              <w:tab/>
            </w:r>
            <w:r>
              <w:rPr>
                <w:rStyle w:val="IndexLink"/>
              </w:rPr>
              <w:t>105</w:t>
            </w:r>
          </w:hyperlink>
        </w:p>
        <w:p>
          <w:pPr>
            <w:pStyle w:val="Contents5"/>
            <w:tabs>
              <w:tab w:val="clear" w:pos="7892"/>
              <w:tab w:val="right" w:pos="9026" w:leader="dot"/>
            </w:tabs>
            <w:rPr/>
          </w:pPr>
          <w:hyperlink w:anchor="__RefHeading___Toc2108886_581953129">
            <w:r>
              <w:rPr>
                <w:webHidden/>
                <w:rStyle w:val="IndexLink"/>
              </w:rPr>
              <w:t>6</w:t>
            </w:r>
            <w:r>
              <w:rPr>
                <w:rStyle w:val="IndexLink"/>
                <w:rtl w:val="true"/>
              </w:rPr>
              <w:t>-</w:t>
            </w:r>
            <w:r>
              <w:rPr>
                <w:rStyle w:val="IndexLink"/>
                <w:rtl w:val="true"/>
              </w:rPr>
              <w:t>فخر الدین الرازی</w:t>
            </w:r>
            <w:r>
              <w:rPr>
                <w:rStyle w:val="IndexLink"/>
                <w:rtl w:val="true"/>
              </w:rPr>
              <w:t>(</w:t>
            </w:r>
            <w:r>
              <w:rPr>
                <w:rStyle w:val="IndexLink"/>
                <w:rtl w:val="true"/>
              </w:rPr>
              <w:t xml:space="preserve">ت </w:t>
            </w:r>
            <w:r>
              <w:rPr>
                <w:rStyle w:val="IndexLink"/>
              </w:rPr>
              <w:t>606</w:t>
            </w:r>
            <w:r>
              <w:rPr>
                <w:rStyle w:val="IndexLink"/>
                <w:rtl w:val="true"/>
              </w:rPr>
              <w:t xml:space="preserve"> </w:t>
            </w:r>
            <w:r>
              <w:rPr>
                <w:rStyle w:val="IndexLink"/>
                <w:rtl w:val="true"/>
              </w:rPr>
              <w:t>ه</w:t>
            </w:r>
            <w:r>
              <w:rPr>
                <w:rStyle w:val="IndexLink"/>
                <w:rtl w:val="true"/>
              </w:rPr>
              <w:t>)</w:t>
              <w:tab/>
            </w:r>
            <w:r>
              <w:rPr>
                <w:rStyle w:val="IndexLink"/>
              </w:rPr>
              <w:t>106</w:t>
            </w:r>
          </w:hyperlink>
        </w:p>
        <w:p>
          <w:pPr>
            <w:pStyle w:val="Contents4"/>
            <w:tabs>
              <w:tab w:val="clear" w:pos="8176"/>
              <w:tab w:val="right" w:pos="9026" w:leader="dot"/>
            </w:tabs>
            <w:rPr/>
          </w:pPr>
          <w:hyperlink w:anchor="__RefHeading___Toc2108888_581953129">
            <w:r>
              <w:rPr>
                <w:webHidden/>
                <w:rStyle w:val="IndexLink"/>
                <w:rtl w:val="true"/>
              </w:rPr>
              <w:t>د</w:t>
            </w:r>
            <w:r>
              <w:rPr>
                <w:rStyle w:val="IndexLink"/>
                <w:rtl w:val="true"/>
              </w:rPr>
              <w:t>)</w:t>
            </w:r>
            <w:r>
              <w:rPr>
                <w:rStyle w:val="IndexLink"/>
                <w:rtl w:val="true"/>
              </w:rPr>
              <w:t>الکلام</w:t>
            </w:r>
            <w:r>
              <w:rPr>
                <w:rStyle w:val="IndexLink"/>
                <w:rtl w:val="true"/>
              </w:rPr>
              <w:tab/>
            </w:r>
            <w:r>
              <w:rPr>
                <w:rStyle w:val="IndexLink"/>
              </w:rPr>
              <w:t>107</w:t>
            </w:r>
          </w:hyperlink>
        </w:p>
        <w:p>
          <w:pPr>
            <w:pStyle w:val="Contents5"/>
            <w:tabs>
              <w:tab w:val="clear" w:pos="7892"/>
              <w:tab w:val="right" w:pos="9026" w:leader="dot"/>
            </w:tabs>
            <w:rPr/>
          </w:pPr>
          <w:hyperlink w:anchor="__RefHeading___Toc2108890_581953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108892_581953129">
            <w:r>
              <w:rPr>
                <w:webHidden/>
                <w:rStyle w:val="IndexLink"/>
              </w:rPr>
              <w:t>1</w:t>
            </w:r>
            <w:r>
              <w:rPr>
                <w:rStyle w:val="IndexLink"/>
                <w:rtl w:val="true"/>
              </w:rPr>
              <w:t>-</w:t>
            </w:r>
            <w:r>
              <w:rPr>
                <w:rStyle w:val="IndexLink"/>
                <w:rtl w:val="true"/>
              </w:rPr>
              <w:t>هشام بن الحکم</w:t>
            </w:r>
            <w:r>
              <w:rPr>
                <w:rStyle w:val="IndexLink"/>
                <w:rtl w:val="true"/>
              </w:rPr>
              <w:t>(</w:t>
            </w:r>
            <w:r>
              <w:rPr>
                <w:rStyle w:val="IndexLink"/>
                <w:rtl w:val="true"/>
              </w:rPr>
              <w:t xml:space="preserve">ت حدود </w:t>
            </w:r>
            <w:r>
              <w:rPr>
                <w:rStyle w:val="IndexLink"/>
              </w:rPr>
              <w:t>200</w:t>
            </w:r>
            <w:r>
              <w:rPr>
                <w:rStyle w:val="IndexLink"/>
                <w:rtl w:val="true"/>
              </w:rPr>
              <w:t>ه</w:t>
            </w:r>
            <w:r>
              <w:rPr>
                <w:rStyle w:val="IndexLink"/>
                <w:rtl w:val="true"/>
              </w:rPr>
              <w:t>)</w:t>
              <w:tab/>
            </w:r>
            <w:r>
              <w:rPr>
                <w:rStyle w:val="IndexLink"/>
              </w:rPr>
              <w:t>112</w:t>
            </w:r>
          </w:hyperlink>
        </w:p>
        <w:p>
          <w:pPr>
            <w:pStyle w:val="Contents5"/>
            <w:tabs>
              <w:tab w:val="clear" w:pos="7892"/>
              <w:tab w:val="right" w:pos="9026" w:leader="dot"/>
            </w:tabs>
            <w:rPr/>
          </w:pPr>
          <w:hyperlink w:anchor="__RefHeading___Toc2108894_581953129">
            <w:r>
              <w:rPr>
                <w:webHidden/>
                <w:rStyle w:val="IndexLink"/>
              </w:rPr>
              <w:t>2</w:t>
            </w:r>
            <w:r>
              <w:rPr>
                <w:rStyle w:val="IndexLink"/>
                <w:rtl w:val="true"/>
              </w:rPr>
              <w:t>-</w:t>
            </w:r>
            <w:r>
              <w:rPr>
                <w:rStyle w:val="IndexLink"/>
                <w:rtl w:val="true"/>
              </w:rPr>
              <w:t>الفضل بن شاذان النیشابوری</w:t>
            </w:r>
            <w:r>
              <w:rPr>
                <w:rStyle w:val="IndexLink"/>
                <w:rtl w:val="true"/>
              </w:rPr>
              <w:t>(</w:t>
            </w:r>
            <w:r>
              <w:rPr>
                <w:rStyle w:val="IndexLink"/>
                <w:rtl w:val="true"/>
              </w:rPr>
              <w:t>ت</w:t>
            </w:r>
            <w:r>
              <w:rPr>
                <w:rStyle w:val="IndexLink"/>
              </w:rPr>
              <w:t>260</w:t>
            </w:r>
            <w:r>
              <w:rPr>
                <w:rStyle w:val="IndexLink"/>
                <w:rtl w:val="true"/>
              </w:rPr>
              <w:t>ه</w:t>
            </w:r>
            <w:r>
              <w:rPr>
                <w:rStyle w:val="IndexLink"/>
                <w:rtl w:val="true"/>
              </w:rPr>
              <w:t>)</w:t>
              <w:tab/>
            </w:r>
            <w:r>
              <w:rPr>
                <w:rStyle w:val="IndexLink"/>
              </w:rPr>
              <w:t>113</w:t>
            </w:r>
          </w:hyperlink>
        </w:p>
        <w:p>
          <w:pPr>
            <w:pStyle w:val="Contents5"/>
            <w:tabs>
              <w:tab w:val="clear" w:pos="7892"/>
              <w:tab w:val="right" w:pos="9026" w:leader="dot"/>
            </w:tabs>
            <w:rPr/>
          </w:pPr>
          <w:hyperlink w:anchor="__RefHeading___Toc2108896_581953129">
            <w:r>
              <w:rPr>
                <w:webHidden/>
                <w:rStyle w:val="IndexLink"/>
              </w:rPr>
              <w:t>3</w:t>
            </w:r>
            <w:r>
              <w:rPr>
                <w:rStyle w:val="IndexLink"/>
                <w:rtl w:val="true"/>
              </w:rPr>
              <w:t>-</w:t>
            </w:r>
            <w:r>
              <w:rPr>
                <w:rStyle w:val="IndexLink"/>
                <w:rtl w:val="true"/>
              </w:rPr>
              <w:t>أبو عبد الله محمد بن محمد بن النعمان الحارثی العسکری البغدادی</w:t>
            </w:r>
            <w:r>
              <w:rPr>
                <w:rStyle w:val="IndexLink"/>
                <w:rtl w:val="true"/>
              </w:rPr>
              <w:t>(</w:t>
            </w:r>
            <w:r>
              <w:rPr>
                <w:rStyle w:val="IndexLink"/>
                <w:rtl w:val="true"/>
              </w:rPr>
              <w:t>ت</w:t>
            </w:r>
            <w:r>
              <w:rPr>
                <w:rStyle w:val="IndexLink"/>
              </w:rPr>
              <w:t>413</w:t>
            </w:r>
            <w:r>
              <w:rPr>
                <w:rStyle w:val="IndexLink"/>
                <w:rtl w:val="true"/>
              </w:rPr>
              <w:t>ه</w:t>
            </w:r>
            <w:r>
              <w:rPr>
                <w:rStyle w:val="IndexLink"/>
                <w:rtl w:val="true"/>
              </w:rPr>
              <w:t>)</w:t>
              <w:tab/>
            </w:r>
            <w:r>
              <w:rPr>
                <w:rStyle w:val="IndexLink"/>
              </w:rPr>
              <w:t>114</w:t>
            </w:r>
          </w:hyperlink>
        </w:p>
        <w:p>
          <w:pPr>
            <w:pStyle w:val="Contents5"/>
            <w:tabs>
              <w:tab w:val="clear" w:pos="7892"/>
              <w:tab w:val="right" w:pos="9026" w:leader="dot"/>
            </w:tabs>
            <w:rPr/>
          </w:pPr>
          <w:hyperlink w:anchor="__RefHeading___Toc2108898_581953129">
            <w:r>
              <w:rPr>
                <w:webHidden/>
                <w:rStyle w:val="IndexLink"/>
              </w:rPr>
              <w:t>4</w:t>
            </w:r>
            <w:r>
              <w:rPr>
                <w:rStyle w:val="IndexLink"/>
                <w:rtl w:val="true"/>
              </w:rPr>
              <w:t>-</w:t>
            </w:r>
            <w:r>
              <w:rPr>
                <w:rStyle w:val="IndexLink"/>
                <w:rtl w:val="true"/>
              </w:rPr>
              <w:t>أبو حامد محمّد الغزالی</w:t>
            </w:r>
            <w:r>
              <w:rPr>
                <w:rStyle w:val="IndexLink"/>
                <w:rtl w:val="true"/>
              </w:rPr>
              <w:t>(</w:t>
            </w:r>
            <w:r>
              <w:rPr>
                <w:rStyle w:val="IndexLink"/>
                <w:rtl w:val="true"/>
              </w:rPr>
              <w:t xml:space="preserve">ت </w:t>
            </w:r>
            <w:r>
              <w:rPr>
                <w:rStyle w:val="IndexLink"/>
              </w:rPr>
              <w:t>505</w:t>
            </w:r>
            <w:r>
              <w:rPr>
                <w:rStyle w:val="IndexLink"/>
                <w:rtl w:val="true"/>
              </w:rPr>
              <w:t xml:space="preserve"> </w:t>
            </w:r>
            <w:r>
              <w:rPr>
                <w:rStyle w:val="IndexLink"/>
                <w:rtl w:val="true"/>
              </w:rPr>
              <w:t>ه</w:t>
            </w:r>
            <w:r>
              <w:rPr>
                <w:rStyle w:val="IndexLink"/>
                <w:rtl w:val="true"/>
              </w:rPr>
              <w:t>)</w:t>
              <w:tab/>
            </w:r>
            <w:r>
              <w:rPr>
                <w:rStyle w:val="IndexLink"/>
              </w:rPr>
              <w:t>115</w:t>
            </w:r>
          </w:hyperlink>
        </w:p>
        <w:p>
          <w:pPr>
            <w:pStyle w:val="Contents5"/>
            <w:tabs>
              <w:tab w:val="clear" w:pos="7892"/>
              <w:tab w:val="right" w:pos="9026" w:leader="dot"/>
            </w:tabs>
            <w:rPr/>
          </w:pPr>
          <w:hyperlink w:anchor="__RefHeading___Toc2108900_581953129">
            <w:r>
              <w:rPr>
                <w:webHidden/>
                <w:rStyle w:val="IndexLink"/>
              </w:rPr>
              <w:t>5</w:t>
            </w:r>
            <w:r>
              <w:rPr>
                <w:rStyle w:val="IndexLink"/>
                <w:rtl w:val="true"/>
              </w:rPr>
              <w:t>-</w:t>
            </w:r>
            <w:r>
              <w:rPr>
                <w:rStyle w:val="IndexLink"/>
                <w:rtl w:val="true"/>
              </w:rPr>
              <w:t>فخر الدین الرازی</w:t>
            </w:r>
            <w:r>
              <w:rPr>
                <w:rStyle w:val="IndexLink"/>
                <w:rtl w:val="true"/>
              </w:rPr>
              <w:t>(</w:t>
            </w:r>
            <w:r>
              <w:rPr>
                <w:rStyle w:val="IndexLink"/>
                <w:rtl w:val="true"/>
              </w:rPr>
              <w:t xml:space="preserve">ت </w:t>
            </w:r>
            <w:r>
              <w:rPr>
                <w:rStyle w:val="IndexLink"/>
              </w:rPr>
              <w:t>606</w:t>
            </w:r>
            <w:r>
              <w:rPr>
                <w:rStyle w:val="IndexLink"/>
                <w:rtl w:val="true"/>
              </w:rPr>
              <w:t xml:space="preserve"> </w:t>
            </w:r>
            <w:r>
              <w:rPr>
                <w:rStyle w:val="IndexLink"/>
                <w:rtl w:val="true"/>
              </w:rPr>
              <w:t>ه</w:t>
            </w:r>
            <w:r>
              <w:rPr>
                <w:rStyle w:val="IndexLink"/>
                <w:rtl w:val="true"/>
              </w:rPr>
              <w:t>)</w:t>
              <w:tab/>
            </w:r>
            <w:r>
              <w:rPr>
                <w:rStyle w:val="IndexLink"/>
              </w:rPr>
              <w:t>116</w:t>
            </w:r>
          </w:hyperlink>
        </w:p>
        <w:p>
          <w:pPr>
            <w:pStyle w:val="Contents4"/>
            <w:tabs>
              <w:tab w:val="clear" w:pos="8176"/>
              <w:tab w:val="right" w:pos="9026" w:leader="dot"/>
            </w:tabs>
            <w:rPr/>
          </w:pPr>
          <w:hyperlink w:anchor="__RefHeading___Toc2108902_581953129">
            <w:r>
              <w:rPr>
                <w:webHidden/>
                <w:rStyle w:val="IndexLink"/>
                <w:rtl w:val="true"/>
              </w:rPr>
              <w:t>ه</w:t>
            </w:r>
            <w:r>
              <w:rPr>
                <w:rStyle w:val="IndexLink"/>
                <w:rtl w:val="true"/>
              </w:rPr>
              <w:t>)</w:t>
            </w:r>
            <w:r>
              <w:rPr>
                <w:rStyle w:val="IndexLink"/>
                <w:rtl w:val="true"/>
              </w:rPr>
              <w:t>الفقه</w:t>
            </w:r>
            <w:r>
              <w:rPr>
                <w:rStyle w:val="IndexLink"/>
                <w:rtl w:val="true"/>
              </w:rPr>
              <w:tab/>
            </w:r>
            <w:r>
              <w:rPr>
                <w:rStyle w:val="IndexLink"/>
              </w:rPr>
              <w:t>117</w:t>
            </w:r>
          </w:hyperlink>
        </w:p>
        <w:p>
          <w:pPr>
            <w:pStyle w:val="Contents5"/>
            <w:tabs>
              <w:tab w:val="clear" w:pos="7892"/>
              <w:tab w:val="right" w:pos="9026" w:leader="dot"/>
            </w:tabs>
            <w:rPr/>
          </w:pPr>
          <w:hyperlink w:anchor="__RefHeading___Toc2108904_581953129">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2108906_581953129">
            <w:r>
              <w:rPr>
                <w:webHidden/>
                <w:rStyle w:val="IndexLink"/>
                <w:rtl w:val="true"/>
              </w:rPr>
              <w:t>الفقه الشیعی</w:t>
            </w:r>
            <w:r>
              <w:rPr>
                <w:rStyle w:val="IndexLink"/>
                <w:rtl w:val="true"/>
              </w:rPr>
              <w:tab/>
            </w:r>
            <w:r>
              <w:rPr>
                <w:rStyle w:val="IndexLink"/>
              </w:rPr>
              <w:t>120</w:t>
            </w:r>
          </w:hyperlink>
        </w:p>
        <w:p>
          <w:pPr>
            <w:pStyle w:val="Contents6"/>
            <w:tabs>
              <w:tab w:val="clear" w:pos="7609"/>
              <w:tab w:val="right" w:pos="9026" w:leader="dot"/>
            </w:tabs>
            <w:rPr/>
          </w:pPr>
          <w:hyperlink w:anchor="__RefHeading___Toc2108908_58195312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108910_581953129">
            <w:r>
              <w:rPr>
                <w:webHidden/>
                <w:rStyle w:val="IndexLink"/>
              </w:rPr>
              <w:t>1</w:t>
            </w:r>
            <w:r>
              <w:rPr>
                <w:rStyle w:val="IndexLink"/>
                <w:rtl w:val="true"/>
              </w:rPr>
              <w:t>-</w:t>
            </w:r>
            <w:r>
              <w:rPr>
                <w:rStyle w:val="IndexLink"/>
                <w:rtl w:val="true"/>
              </w:rPr>
              <w:t>الشریف المرتضی،علی بن الحسین الموسوی</w:t>
            </w:r>
            <w:r>
              <w:rPr>
                <w:rStyle w:val="IndexLink"/>
                <w:rtl w:val="true"/>
              </w:rPr>
              <w:t>(</w:t>
            </w:r>
            <w:r>
              <w:rPr>
                <w:rStyle w:val="IndexLink"/>
                <w:rtl w:val="true"/>
              </w:rPr>
              <w:t>ت</w:t>
            </w:r>
            <w:r>
              <w:rPr>
                <w:rStyle w:val="IndexLink"/>
              </w:rPr>
              <w:t>436</w:t>
            </w:r>
            <w:r>
              <w:rPr>
                <w:rStyle w:val="IndexLink"/>
                <w:rtl w:val="true"/>
              </w:rPr>
              <w:t>ه</w:t>
            </w:r>
            <w:r>
              <w:rPr>
                <w:rStyle w:val="IndexLink"/>
                <w:rtl w:val="true"/>
              </w:rPr>
              <w:t>)</w:t>
              <w:tab/>
            </w:r>
            <w:r>
              <w:rPr>
                <w:rStyle w:val="IndexLink"/>
              </w:rPr>
              <w:t>120</w:t>
            </w:r>
          </w:hyperlink>
        </w:p>
        <w:p>
          <w:pPr>
            <w:pStyle w:val="Contents6"/>
            <w:tabs>
              <w:tab w:val="clear" w:pos="7609"/>
              <w:tab w:val="right" w:pos="9026" w:leader="dot"/>
            </w:tabs>
            <w:rPr/>
          </w:pPr>
          <w:hyperlink w:anchor="__RefHeading___Toc2108912_581953129">
            <w:r>
              <w:rPr>
                <w:webHidden/>
                <w:rStyle w:val="IndexLink"/>
              </w:rPr>
              <w:t>2</w:t>
            </w:r>
            <w:r>
              <w:rPr>
                <w:rStyle w:val="IndexLink"/>
                <w:rtl w:val="true"/>
              </w:rPr>
              <w:t>-</w:t>
            </w:r>
            <w:r>
              <w:rPr>
                <w:rStyle w:val="IndexLink"/>
                <w:rtl w:val="true"/>
              </w:rPr>
              <w:t>الشیخ الطوسی محمّد بن الحسن المعروف بشیخ الطائفة</w:t>
            </w:r>
            <w:r>
              <w:rPr>
                <w:rStyle w:val="IndexLink"/>
                <w:rtl w:val="true"/>
              </w:rPr>
              <w:t>(</w:t>
            </w:r>
            <w:r>
              <w:rPr>
                <w:rStyle w:val="IndexLink"/>
                <w:rtl w:val="true"/>
              </w:rPr>
              <w:t>ت</w:t>
            </w:r>
            <w:r>
              <w:rPr>
                <w:rStyle w:val="IndexLink"/>
              </w:rPr>
              <w:t>460</w:t>
            </w:r>
            <w:r>
              <w:rPr>
                <w:rStyle w:val="IndexLink"/>
                <w:rtl w:val="true"/>
              </w:rPr>
              <w:t>ه</w:t>
            </w:r>
            <w:r>
              <w:rPr>
                <w:rStyle w:val="IndexLink"/>
                <w:rtl w:val="true"/>
              </w:rPr>
              <w:t>)</w:t>
              <w:tab/>
            </w:r>
            <w:r>
              <w:rPr>
                <w:rStyle w:val="IndexLink"/>
              </w:rPr>
              <w:t>121</w:t>
            </w:r>
          </w:hyperlink>
        </w:p>
        <w:p>
          <w:pPr>
            <w:pStyle w:val="Contents6"/>
            <w:tabs>
              <w:tab w:val="clear" w:pos="7609"/>
              <w:tab w:val="right" w:pos="9026" w:leader="dot"/>
            </w:tabs>
            <w:rPr/>
          </w:pPr>
          <w:hyperlink w:anchor="__RefHeading___Toc2108914_581953129">
            <w:r>
              <w:rPr>
                <w:webHidden/>
                <w:rStyle w:val="IndexLink"/>
              </w:rPr>
              <w:t>3</w:t>
            </w:r>
            <w:r>
              <w:rPr>
                <w:rStyle w:val="IndexLink"/>
                <w:rtl w:val="true"/>
              </w:rPr>
              <w:t>-</w:t>
            </w:r>
            <w:r>
              <w:rPr>
                <w:rStyle w:val="IndexLink"/>
                <w:rtl w:val="true"/>
              </w:rPr>
              <w:t>ابن أدریس محمّد بن أحمد</w:t>
            </w:r>
            <w:r>
              <w:rPr>
                <w:rStyle w:val="IndexLink"/>
                <w:rtl w:val="true"/>
              </w:rPr>
              <w:t>(</w:t>
            </w:r>
            <w:r>
              <w:rPr>
                <w:rStyle w:val="IndexLink"/>
                <w:rtl w:val="true"/>
              </w:rPr>
              <w:t xml:space="preserve">ت </w:t>
            </w:r>
            <w:r>
              <w:rPr>
                <w:rStyle w:val="IndexLink"/>
              </w:rPr>
              <w:t>598</w:t>
            </w:r>
            <w:r>
              <w:rPr>
                <w:rStyle w:val="IndexLink"/>
                <w:rtl w:val="true"/>
              </w:rPr>
              <w:t xml:space="preserve"> </w:t>
            </w:r>
            <w:r>
              <w:rPr>
                <w:rStyle w:val="IndexLink"/>
                <w:rtl w:val="true"/>
              </w:rPr>
              <w:t>ه</w:t>
            </w:r>
            <w:r>
              <w:rPr>
                <w:rStyle w:val="IndexLink"/>
                <w:rtl w:val="true"/>
              </w:rPr>
              <w:t>)</w:t>
              <w:tab/>
            </w:r>
            <w:r>
              <w:rPr>
                <w:rStyle w:val="IndexLink"/>
              </w:rPr>
              <w:t>122</w:t>
            </w:r>
          </w:hyperlink>
        </w:p>
        <w:p>
          <w:pPr>
            <w:pStyle w:val="Contents5"/>
            <w:tabs>
              <w:tab w:val="clear" w:pos="7892"/>
              <w:tab w:val="right" w:pos="9026" w:leader="dot"/>
            </w:tabs>
            <w:rPr/>
          </w:pPr>
          <w:hyperlink w:anchor="__RefHeading___Toc2108916_581953129">
            <w:r>
              <w:rPr>
                <w:webHidden/>
                <w:rStyle w:val="IndexLink"/>
                <w:rtl w:val="true"/>
              </w:rPr>
              <w:t>فقه أهل السنّة</w:t>
            </w:r>
            <w:r>
              <w:rPr>
                <w:rStyle w:val="IndexLink"/>
                <w:rtl w:val="true"/>
              </w:rPr>
              <w:tab/>
            </w:r>
            <w:r>
              <w:rPr>
                <w:rStyle w:val="IndexLink"/>
              </w:rPr>
              <w:t>123</w:t>
            </w:r>
          </w:hyperlink>
        </w:p>
        <w:p>
          <w:pPr>
            <w:pStyle w:val="Contents6"/>
            <w:tabs>
              <w:tab w:val="clear" w:pos="7609"/>
              <w:tab w:val="right" w:pos="9026" w:leader="dot"/>
            </w:tabs>
            <w:rPr/>
          </w:pPr>
          <w:hyperlink w:anchor="__RefHeading___Toc2108918_58195312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2108920_581953129">
            <w:r>
              <w:rPr>
                <w:webHidden/>
                <w:rStyle w:val="IndexLink"/>
              </w:rPr>
              <w:t>1</w:t>
            </w:r>
            <w:r>
              <w:rPr>
                <w:rStyle w:val="IndexLink"/>
                <w:rtl w:val="true"/>
              </w:rPr>
              <w:t>-</w:t>
            </w:r>
            <w:r>
              <w:rPr>
                <w:rStyle w:val="IndexLink"/>
                <w:rtl w:val="true"/>
              </w:rPr>
              <w:t>الفقه الحنفی</w:t>
            </w:r>
            <w:r>
              <w:rPr>
                <w:rStyle w:val="IndexLink"/>
                <w:rtl w:val="true"/>
              </w:rPr>
              <w:tab/>
            </w:r>
            <w:r>
              <w:rPr>
                <w:rStyle w:val="IndexLink"/>
              </w:rPr>
              <w:t>124</w:t>
            </w:r>
          </w:hyperlink>
        </w:p>
        <w:p>
          <w:pPr>
            <w:pStyle w:val="Contents6"/>
            <w:tabs>
              <w:tab w:val="clear" w:pos="7609"/>
              <w:tab w:val="right" w:pos="9026" w:leader="dot"/>
            </w:tabs>
            <w:rPr/>
          </w:pPr>
          <w:hyperlink w:anchor="__RefHeading___Toc2108922_581953129">
            <w:r>
              <w:rPr>
                <w:webHidden/>
                <w:rStyle w:val="IndexLink"/>
              </w:rPr>
              <w:t>2</w:t>
            </w:r>
            <w:r>
              <w:rPr>
                <w:rStyle w:val="IndexLink"/>
                <w:rtl w:val="true"/>
              </w:rPr>
              <w:t>-</w:t>
            </w:r>
            <w:r>
              <w:rPr>
                <w:rStyle w:val="IndexLink"/>
                <w:rtl w:val="true"/>
              </w:rPr>
              <w:t>الفقه المالکی</w:t>
            </w:r>
            <w:r>
              <w:rPr>
                <w:rStyle w:val="IndexLink"/>
                <w:rtl w:val="true"/>
              </w:rPr>
              <w:tab/>
            </w:r>
            <w:r>
              <w:rPr>
                <w:rStyle w:val="IndexLink"/>
              </w:rPr>
              <w:t>124</w:t>
            </w:r>
          </w:hyperlink>
        </w:p>
        <w:p>
          <w:pPr>
            <w:pStyle w:val="Contents6"/>
            <w:tabs>
              <w:tab w:val="clear" w:pos="7609"/>
              <w:tab w:val="right" w:pos="9026" w:leader="dot"/>
            </w:tabs>
            <w:rPr/>
          </w:pPr>
          <w:hyperlink w:anchor="__RefHeading___Toc2108924_581953129">
            <w:r>
              <w:rPr>
                <w:webHidden/>
                <w:rStyle w:val="IndexLink"/>
              </w:rPr>
              <w:t>3</w:t>
            </w:r>
            <w:r>
              <w:rPr>
                <w:rStyle w:val="IndexLink"/>
                <w:rtl w:val="true"/>
              </w:rPr>
              <w:t>-</w:t>
            </w:r>
            <w:r>
              <w:rPr>
                <w:rStyle w:val="IndexLink"/>
                <w:rtl w:val="true"/>
              </w:rPr>
              <w:t>الفقه الشافعی</w:t>
            </w:r>
            <w:r>
              <w:rPr>
                <w:rStyle w:val="IndexLink"/>
                <w:rtl w:val="true"/>
              </w:rPr>
              <w:tab/>
            </w:r>
            <w:r>
              <w:rPr>
                <w:rStyle w:val="IndexLink"/>
              </w:rPr>
              <w:t>124</w:t>
            </w:r>
          </w:hyperlink>
        </w:p>
        <w:p>
          <w:pPr>
            <w:pStyle w:val="Contents6"/>
            <w:tabs>
              <w:tab w:val="clear" w:pos="7609"/>
              <w:tab w:val="right" w:pos="9026" w:leader="dot"/>
            </w:tabs>
            <w:rPr/>
          </w:pPr>
          <w:hyperlink w:anchor="__RefHeading___Toc2108926_581953129">
            <w:r>
              <w:rPr>
                <w:webHidden/>
                <w:rStyle w:val="IndexLink"/>
              </w:rPr>
              <w:t>4</w:t>
            </w:r>
            <w:r>
              <w:rPr>
                <w:rStyle w:val="IndexLink"/>
                <w:rtl w:val="true"/>
              </w:rPr>
              <w:t>-</w:t>
            </w:r>
            <w:r>
              <w:rPr>
                <w:rStyle w:val="IndexLink"/>
                <w:rtl w:val="true"/>
              </w:rPr>
              <w:t>الفقه الحنبلی</w:t>
            </w:r>
            <w:r>
              <w:rPr>
                <w:rStyle w:val="IndexLink"/>
                <w:rtl w:val="true"/>
              </w:rPr>
              <w:tab/>
            </w:r>
            <w:r>
              <w:rPr>
                <w:rStyle w:val="IndexLink"/>
              </w:rPr>
              <w:t>125</w:t>
            </w:r>
          </w:hyperlink>
        </w:p>
        <w:p>
          <w:pPr>
            <w:pStyle w:val="Contents4"/>
            <w:tabs>
              <w:tab w:val="clear" w:pos="8176"/>
              <w:tab w:val="right" w:pos="9026" w:leader="dot"/>
            </w:tabs>
            <w:rPr/>
          </w:pPr>
          <w:hyperlink w:anchor="__RefHeading___Toc2108928_581953129">
            <w:r>
              <w:rPr>
                <w:webHidden/>
                <w:rStyle w:val="IndexLink"/>
                <w:rtl w:val="true"/>
              </w:rPr>
              <w:t>و</w:t>
            </w:r>
            <w:r>
              <w:rPr>
                <w:rStyle w:val="IndexLink"/>
                <w:rtl w:val="true"/>
              </w:rPr>
              <w:t>)</w:t>
            </w:r>
            <w:r>
              <w:rPr>
                <w:rStyle w:val="IndexLink"/>
                <w:rtl w:val="true"/>
              </w:rPr>
              <w:t>التاریخ</w:t>
            </w:r>
            <w:r>
              <w:rPr>
                <w:rStyle w:val="IndexLink"/>
                <w:rtl w:val="true"/>
              </w:rPr>
              <w:tab/>
            </w:r>
            <w:r>
              <w:rPr>
                <w:rStyle w:val="IndexLink"/>
              </w:rPr>
              <w:t>125</w:t>
            </w:r>
          </w:hyperlink>
        </w:p>
        <w:p>
          <w:pPr>
            <w:pStyle w:val="Contents5"/>
            <w:tabs>
              <w:tab w:val="clear" w:pos="7892"/>
              <w:tab w:val="right" w:pos="9026" w:leader="dot"/>
            </w:tabs>
            <w:rPr/>
          </w:pPr>
          <w:hyperlink w:anchor="__RefHeading___Toc2108930_581953129">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2108932_581953129">
            <w:r>
              <w:rPr>
                <w:webHidden/>
                <w:rStyle w:val="IndexLink"/>
              </w:rPr>
              <w:t>1</w:t>
            </w:r>
            <w:r>
              <w:rPr>
                <w:rStyle w:val="IndexLink"/>
                <w:rtl w:val="true"/>
              </w:rPr>
              <w:t>-</w:t>
            </w:r>
            <w:r>
              <w:rPr>
                <w:rStyle w:val="IndexLink"/>
                <w:rtl w:val="true"/>
              </w:rPr>
              <w:t>جابر بن یزید الجعفی</w:t>
            </w:r>
            <w:r>
              <w:rPr>
                <w:rStyle w:val="IndexLink"/>
                <w:rtl w:val="true"/>
              </w:rPr>
              <w:t>(</w:t>
            </w:r>
            <w:r>
              <w:rPr>
                <w:rStyle w:val="IndexLink"/>
                <w:rtl w:val="true"/>
              </w:rPr>
              <w:t>ت</w:t>
            </w:r>
            <w:r>
              <w:rPr>
                <w:rStyle w:val="IndexLink"/>
              </w:rPr>
              <w:t>128</w:t>
            </w:r>
            <w:r>
              <w:rPr>
                <w:rStyle w:val="IndexLink"/>
                <w:rtl w:val="true"/>
              </w:rPr>
              <w:t xml:space="preserve"> </w:t>
            </w:r>
            <w:r>
              <w:rPr>
                <w:rStyle w:val="IndexLink"/>
                <w:rtl w:val="true"/>
              </w:rPr>
              <w:t xml:space="preserve">أو </w:t>
            </w:r>
            <w:r>
              <w:rPr>
                <w:rStyle w:val="IndexLink"/>
              </w:rPr>
              <w:t>129</w:t>
            </w:r>
            <w:r>
              <w:rPr>
                <w:rStyle w:val="IndexLink"/>
                <w:rtl w:val="true"/>
              </w:rPr>
              <w:t>ه</w:t>
            </w:r>
            <w:r>
              <w:rPr>
                <w:rStyle w:val="IndexLink"/>
                <w:rtl w:val="true"/>
              </w:rPr>
              <w:t>)</w:t>
              <w:tab/>
            </w:r>
            <w:r>
              <w:rPr>
                <w:rStyle w:val="IndexLink"/>
              </w:rPr>
              <w:t>126</w:t>
            </w:r>
          </w:hyperlink>
        </w:p>
        <w:p>
          <w:pPr>
            <w:pStyle w:val="Contents5"/>
            <w:tabs>
              <w:tab w:val="clear" w:pos="7892"/>
              <w:tab w:val="right" w:pos="9026" w:leader="dot"/>
            </w:tabs>
            <w:rPr/>
          </w:pPr>
          <w:hyperlink w:anchor="__RefHeading___Toc2108934_581953129">
            <w:r>
              <w:rPr>
                <w:webHidden/>
                <w:rStyle w:val="IndexLink"/>
              </w:rPr>
              <w:t>2</w:t>
            </w:r>
            <w:r>
              <w:rPr>
                <w:rStyle w:val="IndexLink"/>
                <w:rtl w:val="true"/>
              </w:rPr>
              <w:t>-</w:t>
            </w:r>
            <w:r>
              <w:rPr>
                <w:rStyle w:val="IndexLink"/>
                <w:rtl w:val="true"/>
              </w:rPr>
              <w:t>الأصبغ بن نباته</w:t>
            </w:r>
            <w:r>
              <w:rPr>
                <w:rStyle w:val="IndexLink"/>
                <w:rtl w:val="true"/>
              </w:rPr>
              <w:tab/>
            </w:r>
            <w:r>
              <w:rPr>
                <w:rStyle w:val="IndexLink"/>
              </w:rPr>
              <w:t>126</w:t>
            </w:r>
          </w:hyperlink>
        </w:p>
        <w:p>
          <w:pPr>
            <w:pStyle w:val="Contents5"/>
            <w:tabs>
              <w:tab w:val="clear" w:pos="7892"/>
              <w:tab w:val="right" w:pos="9026" w:leader="dot"/>
            </w:tabs>
            <w:rPr/>
          </w:pPr>
          <w:hyperlink w:anchor="__RefHeading___Toc2108936_581953129">
            <w:r>
              <w:rPr>
                <w:webHidden/>
                <w:rStyle w:val="IndexLink"/>
              </w:rPr>
              <w:t>3</w:t>
            </w:r>
            <w:r>
              <w:rPr>
                <w:rStyle w:val="IndexLink"/>
                <w:rtl w:val="true"/>
              </w:rPr>
              <w:t>-</w:t>
            </w:r>
            <w:r>
              <w:rPr>
                <w:rStyle w:val="IndexLink"/>
                <w:rtl w:val="true"/>
              </w:rPr>
              <w:t>أبان بن عثمان الأحمر</w:t>
            </w:r>
            <w:r>
              <w:rPr>
                <w:rStyle w:val="IndexLink"/>
                <w:rtl w:val="true"/>
              </w:rPr>
              <w:t>(</w:t>
            </w:r>
            <w:r>
              <w:rPr>
                <w:rStyle w:val="IndexLink"/>
                <w:rtl w:val="true"/>
              </w:rPr>
              <w:t xml:space="preserve">ت بعد </w:t>
            </w:r>
            <w:r>
              <w:rPr>
                <w:rStyle w:val="IndexLink"/>
              </w:rPr>
              <w:t>140</w:t>
            </w:r>
            <w:r>
              <w:rPr>
                <w:rStyle w:val="IndexLink"/>
                <w:rtl w:val="true"/>
              </w:rPr>
              <w:t>ه</w:t>
            </w:r>
            <w:r>
              <w:rPr>
                <w:rStyle w:val="IndexLink"/>
                <w:rtl w:val="true"/>
              </w:rPr>
              <w:t>)</w:t>
              <w:tab/>
            </w:r>
            <w:r>
              <w:rPr>
                <w:rStyle w:val="IndexLink"/>
              </w:rPr>
              <w:t>126</w:t>
            </w:r>
          </w:hyperlink>
        </w:p>
        <w:p>
          <w:pPr>
            <w:pStyle w:val="Contents5"/>
            <w:tabs>
              <w:tab w:val="clear" w:pos="7892"/>
              <w:tab w:val="right" w:pos="9026" w:leader="dot"/>
            </w:tabs>
            <w:rPr/>
          </w:pPr>
          <w:hyperlink w:anchor="__RefHeading___Toc2108938_581953129">
            <w:r>
              <w:rPr>
                <w:webHidden/>
                <w:rStyle w:val="IndexLink"/>
              </w:rPr>
              <w:t>4</w:t>
            </w:r>
            <w:r>
              <w:rPr>
                <w:rStyle w:val="IndexLink"/>
                <w:rtl w:val="true"/>
              </w:rPr>
              <w:t>-</w:t>
            </w:r>
            <w:r>
              <w:rPr>
                <w:rStyle w:val="IndexLink"/>
                <w:rtl w:val="true"/>
              </w:rPr>
              <w:t>محمّد بن إسحاق</w:t>
            </w:r>
            <w:r>
              <w:rPr>
                <w:rStyle w:val="IndexLink"/>
                <w:rtl w:val="true"/>
              </w:rPr>
              <w:t>(</w:t>
            </w:r>
            <w:r>
              <w:rPr>
                <w:rStyle w:val="IndexLink"/>
                <w:rtl w:val="true"/>
              </w:rPr>
              <w:t>ت</w:t>
            </w:r>
            <w:r>
              <w:rPr>
                <w:rStyle w:val="IndexLink"/>
              </w:rPr>
              <w:t>150</w:t>
            </w:r>
            <w:r>
              <w:rPr>
                <w:rStyle w:val="IndexLink"/>
                <w:rtl w:val="true"/>
              </w:rPr>
              <w:t xml:space="preserve"> </w:t>
            </w:r>
            <w:r>
              <w:rPr>
                <w:rStyle w:val="IndexLink"/>
                <w:rtl w:val="true"/>
              </w:rPr>
              <w:t xml:space="preserve">أو </w:t>
            </w:r>
            <w:r>
              <w:rPr>
                <w:rStyle w:val="IndexLink"/>
              </w:rPr>
              <w:t>151</w:t>
            </w:r>
            <w:r>
              <w:rPr>
                <w:rStyle w:val="IndexLink"/>
                <w:rtl w:val="true"/>
              </w:rPr>
              <w:t>ه</w:t>
            </w:r>
            <w:r>
              <w:rPr>
                <w:rStyle w:val="IndexLink"/>
                <w:rtl w:val="true"/>
              </w:rPr>
              <w:t>)</w:t>
              <w:tab/>
            </w:r>
            <w:r>
              <w:rPr>
                <w:rStyle w:val="IndexLink"/>
              </w:rPr>
              <w:t>127</w:t>
            </w:r>
          </w:hyperlink>
        </w:p>
        <w:p>
          <w:pPr>
            <w:pStyle w:val="Contents5"/>
            <w:tabs>
              <w:tab w:val="clear" w:pos="7892"/>
              <w:tab w:val="right" w:pos="9026" w:leader="dot"/>
            </w:tabs>
            <w:rPr/>
          </w:pPr>
          <w:hyperlink w:anchor="__RefHeading___Toc2108940_581953129">
            <w:r>
              <w:rPr>
                <w:webHidden/>
                <w:rStyle w:val="IndexLink"/>
              </w:rPr>
              <w:t>5</w:t>
            </w:r>
            <w:r>
              <w:rPr>
                <w:rStyle w:val="IndexLink"/>
                <w:rtl w:val="true"/>
              </w:rPr>
              <w:t>-</w:t>
            </w:r>
            <w:r>
              <w:rPr>
                <w:rStyle w:val="IndexLink"/>
                <w:rtl w:val="true"/>
              </w:rPr>
              <w:t>أبو مِخنف</w:t>
            </w:r>
            <w:r>
              <w:rPr>
                <w:rStyle w:val="IndexLink"/>
                <w:rtl w:val="true"/>
              </w:rPr>
              <w:t>(</w:t>
            </w:r>
            <w:r>
              <w:rPr>
                <w:rStyle w:val="IndexLink"/>
                <w:rtl w:val="true"/>
              </w:rPr>
              <w:t>ت</w:t>
            </w:r>
            <w:r>
              <w:rPr>
                <w:rStyle w:val="IndexLink"/>
              </w:rPr>
              <w:t>157</w:t>
            </w:r>
            <w:r>
              <w:rPr>
                <w:rStyle w:val="IndexLink"/>
                <w:rtl w:val="true"/>
              </w:rPr>
              <w:t>ه</w:t>
            </w:r>
            <w:r>
              <w:rPr>
                <w:rStyle w:val="IndexLink"/>
                <w:rtl w:val="true"/>
              </w:rPr>
              <w:t>)</w:t>
              <w:tab/>
            </w:r>
            <w:r>
              <w:rPr>
                <w:rStyle w:val="IndexLink"/>
              </w:rPr>
              <w:t>127</w:t>
            </w:r>
          </w:hyperlink>
        </w:p>
        <w:p>
          <w:pPr>
            <w:pStyle w:val="Contents5"/>
            <w:tabs>
              <w:tab w:val="clear" w:pos="7892"/>
              <w:tab w:val="right" w:pos="9026" w:leader="dot"/>
            </w:tabs>
            <w:rPr/>
          </w:pPr>
          <w:hyperlink w:anchor="__RefHeading___Toc2108942_581953129">
            <w:r>
              <w:rPr>
                <w:webHidden/>
                <w:rStyle w:val="IndexLink"/>
              </w:rPr>
              <w:t>6</w:t>
            </w:r>
            <w:r>
              <w:rPr>
                <w:rStyle w:val="IndexLink"/>
                <w:rtl w:val="true"/>
              </w:rPr>
              <w:t>-</w:t>
            </w:r>
            <w:r>
              <w:rPr>
                <w:rStyle w:val="IndexLink"/>
                <w:rtl w:val="true"/>
              </w:rPr>
              <w:t>هشام بن محمّد بن سائب الکلبی</w:t>
            </w:r>
            <w:r>
              <w:rPr>
                <w:rStyle w:val="IndexLink"/>
                <w:rtl w:val="true"/>
              </w:rPr>
              <w:t>(</w:t>
            </w:r>
            <w:r>
              <w:rPr>
                <w:rStyle w:val="IndexLink"/>
                <w:rtl w:val="true"/>
              </w:rPr>
              <w:t>ت</w:t>
            </w:r>
            <w:r>
              <w:rPr>
                <w:rStyle w:val="IndexLink"/>
              </w:rPr>
              <w:t>204</w:t>
            </w:r>
            <w:r>
              <w:rPr>
                <w:rStyle w:val="IndexLink"/>
                <w:rtl w:val="true"/>
              </w:rPr>
              <w:t>ه</w:t>
            </w:r>
            <w:r>
              <w:rPr>
                <w:rStyle w:val="IndexLink"/>
                <w:rtl w:val="true"/>
              </w:rPr>
              <w:t>)</w:t>
              <w:tab/>
            </w:r>
            <w:r>
              <w:rPr>
                <w:rStyle w:val="IndexLink"/>
              </w:rPr>
              <w:t>127</w:t>
            </w:r>
          </w:hyperlink>
        </w:p>
        <w:p>
          <w:pPr>
            <w:pStyle w:val="Contents5"/>
            <w:tabs>
              <w:tab w:val="clear" w:pos="7892"/>
              <w:tab w:val="right" w:pos="9026" w:leader="dot"/>
            </w:tabs>
            <w:rPr/>
          </w:pPr>
          <w:hyperlink w:anchor="__RefHeading___Toc2108944_581953129">
            <w:r>
              <w:rPr>
                <w:webHidden/>
                <w:rStyle w:val="IndexLink"/>
              </w:rPr>
              <w:t>7</w:t>
            </w:r>
            <w:r>
              <w:rPr>
                <w:rStyle w:val="IndexLink"/>
                <w:rtl w:val="true"/>
              </w:rPr>
              <w:t>-</w:t>
            </w:r>
            <w:r>
              <w:rPr>
                <w:rStyle w:val="IndexLink"/>
                <w:rtl w:val="true"/>
              </w:rPr>
              <w:t>محمّد بن عمر الواقدی</w:t>
            </w:r>
            <w:r>
              <w:rPr>
                <w:rStyle w:val="IndexLink"/>
                <w:rtl w:val="true"/>
              </w:rPr>
              <w:t>(</w:t>
            </w:r>
            <w:r>
              <w:rPr>
                <w:rStyle w:val="IndexLink"/>
                <w:rtl w:val="true"/>
              </w:rPr>
              <w:t>ت</w:t>
            </w:r>
            <w:r>
              <w:rPr>
                <w:rStyle w:val="IndexLink"/>
              </w:rPr>
              <w:t>209</w:t>
            </w:r>
            <w:r>
              <w:rPr>
                <w:rStyle w:val="IndexLink"/>
                <w:rtl w:val="true"/>
              </w:rPr>
              <w:t xml:space="preserve"> </w:t>
            </w:r>
            <w:r>
              <w:rPr>
                <w:rStyle w:val="IndexLink"/>
                <w:rtl w:val="true"/>
              </w:rPr>
              <w:t xml:space="preserve">أو </w:t>
            </w:r>
            <w:r>
              <w:rPr>
                <w:rStyle w:val="IndexLink"/>
              </w:rPr>
              <w:t>207</w:t>
            </w:r>
            <w:r>
              <w:rPr>
                <w:rStyle w:val="IndexLink"/>
                <w:rtl w:val="true"/>
              </w:rPr>
              <w:t>ه</w:t>
            </w:r>
            <w:r>
              <w:rPr>
                <w:rStyle w:val="IndexLink"/>
                <w:rtl w:val="true"/>
              </w:rPr>
              <w:t>)</w:t>
              <w:tab/>
            </w:r>
            <w:r>
              <w:rPr>
                <w:rStyle w:val="IndexLink"/>
              </w:rPr>
              <w:t>128</w:t>
            </w:r>
          </w:hyperlink>
        </w:p>
        <w:p>
          <w:pPr>
            <w:pStyle w:val="Contents5"/>
            <w:tabs>
              <w:tab w:val="clear" w:pos="7892"/>
              <w:tab w:val="right" w:pos="9026" w:leader="dot"/>
            </w:tabs>
            <w:rPr/>
          </w:pPr>
          <w:hyperlink w:anchor="__RefHeading___Toc2108946_581953129">
            <w:r>
              <w:rPr>
                <w:webHidden/>
                <w:rStyle w:val="IndexLink"/>
              </w:rPr>
              <w:t>8</w:t>
            </w:r>
            <w:r>
              <w:rPr>
                <w:rStyle w:val="IndexLink"/>
                <w:rtl w:val="true"/>
              </w:rPr>
              <w:t>-</w:t>
            </w:r>
            <w:r>
              <w:rPr>
                <w:rStyle w:val="IndexLink"/>
                <w:rtl w:val="true"/>
              </w:rPr>
              <w:t>ابن سعد</w:t>
            </w:r>
            <w:r>
              <w:rPr>
                <w:rStyle w:val="IndexLink"/>
                <w:rtl w:val="true"/>
              </w:rPr>
              <w:t>(</w:t>
            </w:r>
            <w:r>
              <w:rPr>
                <w:rStyle w:val="IndexLink"/>
                <w:rtl w:val="true"/>
              </w:rPr>
              <w:t>ت</w:t>
            </w:r>
            <w:r>
              <w:rPr>
                <w:rStyle w:val="IndexLink"/>
              </w:rPr>
              <w:t>231</w:t>
            </w:r>
            <w:r>
              <w:rPr>
                <w:rStyle w:val="IndexLink"/>
                <w:rtl w:val="true"/>
              </w:rPr>
              <w:t>ه</w:t>
            </w:r>
            <w:r>
              <w:rPr>
                <w:rStyle w:val="IndexLink"/>
                <w:rtl w:val="true"/>
              </w:rPr>
              <w:t>)</w:t>
              <w:tab/>
            </w:r>
            <w:r>
              <w:rPr>
                <w:rStyle w:val="IndexLink"/>
              </w:rPr>
              <w:t>128</w:t>
            </w:r>
          </w:hyperlink>
        </w:p>
        <w:p>
          <w:pPr>
            <w:pStyle w:val="Contents5"/>
            <w:tabs>
              <w:tab w:val="clear" w:pos="7892"/>
              <w:tab w:val="right" w:pos="9026" w:leader="dot"/>
            </w:tabs>
            <w:rPr/>
          </w:pPr>
          <w:hyperlink w:anchor="__RefHeading___Toc2108948_581953129">
            <w:r>
              <w:rPr>
                <w:webHidden/>
                <w:rStyle w:val="IndexLink"/>
              </w:rPr>
              <w:t>9</w:t>
            </w:r>
            <w:r>
              <w:rPr>
                <w:rStyle w:val="IndexLink"/>
                <w:rtl w:val="true"/>
              </w:rPr>
              <w:t>-</w:t>
            </w:r>
            <w:r>
              <w:rPr>
                <w:rStyle w:val="IndexLink"/>
                <w:rtl w:val="true"/>
              </w:rPr>
              <w:t>إبراهیم الثقفی الکوفی</w:t>
            </w:r>
            <w:r>
              <w:rPr>
                <w:rStyle w:val="IndexLink"/>
                <w:rtl w:val="true"/>
              </w:rPr>
              <w:t>(</w:t>
            </w:r>
            <w:r>
              <w:rPr>
                <w:rStyle w:val="IndexLink"/>
                <w:rtl w:val="true"/>
              </w:rPr>
              <w:t>ت</w:t>
            </w:r>
            <w:r>
              <w:rPr>
                <w:rStyle w:val="IndexLink"/>
              </w:rPr>
              <w:t>283</w:t>
            </w:r>
            <w:r>
              <w:rPr>
                <w:rStyle w:val="IndexLink"/>
                <w:rtl w:val="true"/>
              </w:rPr>
              <w:t>ه</w:t>
            </w:r>
            <w:r>
              <w:rPr>
                <w:rStyle w:val="IndexLink"/>
                <w:rtl w:val="true"/>
              </w:rPr>
              <w:t>)</w:t>
              <w:tab/>
            </w:r>
            <w:r>
              <w:rPr>
                <w:rStyle w:val="IndexLink"/>
              </w:rPr>
              <w:t>129</w:t>
            </w:r>
          </w:hyperlink>
        </w:p>
        <w:p>
          <w:pPr>
            <w:pStyle w:val="Contents5"/>
            <w:tabs>
              <w:tab w:val="clear" w:pos="7892"/>
              <w:tab w:val="right" w:pos="9026" w:leader="dot"/>
            </w:tabs>
            <w:rPr/>
          </w:pPr>
          <w:hyperlink w:anchor="__RefHeading___Toc2108950_581953129">
            <w:r>
              <w:rPr>
                <w:webHidden/>
                <w:rStyle w:val="IndexLink"/>
              </w:rPr>
              <w:t>10</w:t>
            </w:r>
            <w:r>
              <w:rPr>
                <w:rStyle w:val="IndexLink"/>
                <w:rtl w:val="true"/>
              </w:rPr>
              <w:t>-</w:t>
            </w:r>
            <w:r>
              <w:rPr>
                <w:rStyle w:val="IndexLink"/>
                <w:rtl w:val="true"/>
              </w:rPr>
              <w:t>أحمد بن أُبی الیعقوبی</w:t>
            </w:r>
            <w:r>
              <w:rPr>
                <w:rStyle w:val="IndexLink"/>
                <w:rtl w:val="true"/>
              </w:rPr>
              <w:t>(</w:t>
            </w:r>
            <w:r>
              <w:rPr>
                <w:rStyle w:val="IndexLink"/>
                <w:rtl w:val="true"/>
              </w:rPr>
              <w:t>ت</w:t>
            </w:r>
            <w:r>
              <w:rPr>
                <w:rStyle w:val="IndexLink"/>
              </w:rPr>
              <w:t>284</w:t>
            </w:r>
            <w:r>
              <w:rPr>
                <w:rStyle w:val="IndexLink"/>
                <w:rtl w:val="true"/>
              </w:rPr>
              <w:t>ه</w:t>
            </w:r>
            <w:r>
              <w:rPr>
                <w:rStyle w:val="IndexLink"/>
                <w:rtl w:val="true"/>
              </w:rPr>
              <w:t>)</w:t>
              <w:tab/>
            </w:r>
            <w:r>
              <w:rPr>
                <w:rStyle w:val="IndexLink"/>
              </w:rPr>
              <w:t>129</w:t>
            </w:r>
          </w:hyperlink>
        </w:p>
        <w:p>
          <w:pPr>
            <w:pStyle w:val="Contents5"/>
            <w:tabs>
              <w:tab w:val="clear" w:pos="7892"/>
              <w:tab w:val="right" w:pos="9026" w:leader="dot"/>
            </w:tabs>
            <w:rPr/>
          </w:pPr>
          <w:hyperlink w:anchor="__RefHeading___Toc2108952_581953129">
            <w:r>
              <w:rPr>
                <w:webHidden/>
                <w:rStyle w:val="IndexLink"/>
              </w:rPr>
              <w:t>11</w:t>
            </w:r>
            <w:r>
              <w:rPr>
                <w:rStyle w:val="IndexLink"/>
                <w:rtl w:val="true"/>
              </w:rPr>
              <w:t>-</w:t>
            </w:r>
            <w:r>
              <w:rPr>
                <w:rStyle w:val="IndexLink"/>
                <w:rtl w:val="true"/>
              </w:rPr>
              <w:t>الطبری،محمد بن جریر</w:t>
            </w:r>
            <w:r>
              <w:rPr>
                <w:rStyle w:val="IndexLink"/>
                <w:rtl w:val="true"/>
              </w:rPr>
              <w:t>(</w:t>
            </w:r>
            <w:r>
              <w:rPr>
                <w:rStyle w:val="IndexLink"/>
                <w:rtl w:val="true"/>
              </w:rPr>
              <w:t>ت</w:t>
            </w:r>
            <w:r>
              <w:rPr>
                <w:rStyle w:val="IndexLink"/>
              </w:rPr>
              <w:t>310</w:t>
            </w:r>
            <w:r>
              <w:rPr>
                <w:rStyle w:val="IndexLink"/>
                <w:rtl w:val="true"/>
              </w:rPr>
              <w:t>ه</w:t>
            </w:r>
            <w:r>
              <w:rPr>
                <w:rStyle w:val="IndexLink"/>
                <w:rtl w:val="true"/>
              </w:rPr>
              <w:t>)</w:t>
              <w:tab/>
            </w:r>
            <w:r>
              <w:rPr>
                <w:rStyle w:val="IndexLink"/>
              </w:rPr>
              <w:t>129</w:t>
            </w:r>
          </w:hyperlink>
        </w:p>
        <w:p>
          <w:pPr>
            <w:pStyle w:val="Contents5"/>
            <w:tabs>
              <w:tab w:val="clear" w:pos="7892"/>
              <w:tab w:val="right" w:pos="9026" w:leader="dot"/>
            </w:tabs>
            <w:rPr/>
          </w:pPr>
          <w:hyperlink w:anchor="__RefHeading___Toc2108954_581953129">
            <w:r>
              <w:rPr>
                <w:webHidden/>
                <w:rStyle w:val="IndexLink"/>
              </w:rPr>
              <w:t>12</w:t>
            </w:r>
            <w:r>
              <w:rPr>
                <w:rStyle w:val="IndexLink"/>
                <w:rtl w:val="true"/>
              </w:rPr>
              <w:t>-</w:t>
            </w:r>
            <w:r>
              <w:rPr>
                <w:rStyle w:val="IndexLink"/>
                <w:rtl w:val="true"/>
              </w:rPr>
              <w:t>علی بن الحسین المسعودی</w:t>
            </w:r>
            <w:r>
              <w:rPr>
                <w:rStyle w:val="IndexLink"/>
                <w:rtl w:val="true"/>
              </w:rPr>
              <w:t>(</w:t>
            </w:r>
            <w:r>
              <w:rPr>
                <w:rStyle w:val="IndexLink"/>
                <w:rtl w:val="true"/>
              </w:rPr>
              <w:t>ت</w:t>
            </w:r>
            <w:r>
              <w:rPr>
                <w:rStyle w:val="IndexLink"/>
              </w:rPr>
              <w:t>346</w:t>
            </w:r>
            <w:r>
              <w:rPr>
                <w:rStyle w:val="IndexLink"/>
                <w:rtl w:val="true"/>
              </w:rPr>
              <w:t>ه</w:t>
            </w:r>
            <w:r>
              <w:rPr>
                <w:rStyle w:val="IndexLink"/>
                <w:rtl w:val="true"/>
              </w:rPr>
              <w:t>)</w:t>
              <w:tab/>
            </w:r>
            <w:r>
              <w:rPr>
                <w:rStyle w:val="IndexLink"/>
              </w:rPr>
              <w:t>129</w:t>
            </w:r>
          </w:hyperlink>
        </w:p>
        <w:p>
          <w:pPr>
            <w:pStyle w:val="Contents5"/>
            <w:tabs>
              <w:tab w:val="clear" w:pos="7892"/>
              <w:tab w:val="right" w:pos="9026" w:leader="dot"/>
            </w:tabs>
            <w:rPr/>
          </w:pPr>
          <w:hyperlink w:anchor="__RefHeading___Toc2108956_581953129">
            <w:r>
              <w:rPr>
                <w:webHidden/>
                <w:rStyle w:val="IndexLink"/>
              </w:rPr>
              <w:t>13</w:t>
            </w:r>
            <w:r>
              <w:rPr>
                <w:rStyle w:val="IndexLink"/>
                <w:rtl w:val="true"/>
              </w:rPr>
              <w:t>-</w:t>
            </w:r>
            <w:r>
              <w:rPr>
                <w:rStyle w:val="IndexLink"/>
                <w:rtl w:val="true"/>
              </w:rPr>
              <w:t>مسکویه احمد بن محمد بن یعقوب الرازی</w:t>
            </w:r>
            <w:r>
              <w:rPr>
                <w:rStyle w:val="IndexLink"/>
                <w:rtl w:val="true"/>
              </w:rPr>
              <w:t>(</w:t>
            </w:r>
            <w:r>
              <w:rPr>
                <w:rStyle w:val="IndexLink"/>
                <w:rtl w:val="true"/>
              </w:rPr>
              <w:t>ت</w:t>
            </w:r>
            <w:r>
              <w:rPr>
                <w:rStyle w:val="IndexLink"/>
              </w:rPr>
              <w:t>421</w:t>
            </w:r>
            <w:r>
              <w:rPr>
                <w:rStyle w:val="IndexLink"/>
                <w:rtl w:val="true"/>
              </w:rPr>
              <w:t>ه</w:t>
            </w:r>
            <w:r>
              <w:rPr>
                <w:rStyle w:val="IndexLink"/>
                <w:rtl w:val="true"/>
              </w:rPr>
              <w:t>)</w:t>
              <w:tab/>
            </w:r>
            <w:r>
              <w:rPr>
                <w:rStyle w:val="IndexLink"/>
              </w:rPr>
              <w:t>130</w:t>
            </w:r>
          </w:hyperlink>
        </w:p>
        <w:p>
          <w:pPr>
            <w:pStyle w:val="Contents5"/>
            <w:tabs>
              <w:tab w:val="clear" w:pos="7892"/>
              <w:tab w:val="right" w:pos="9026" w:leader="dot"/>
            </w:tabs>
            <w:rPr/>
          </w:pPr>
          <w:hyperlink w:anchor="__RefHeading___Toc2108958_581953129">
            <w:r>
              <w:rPr>
                <w:webHidden/>
                <w:rStyle w:val="IndexLink"/>
              </w:rPr>
              <w:t>14</w:t>
            </w:r>
            <w:r>
              <w:rPr>
                <w:rStyle w:val="IndexLink"/>
                <w:rtl w:val="true"/>
              </w:rPr>
              <w:t>-</w:t>
            </w:r>
            <w:r>
              <w:rPr>
                <w:rStyle w:val="IndexLink"/>
                <w:rtl w:val="true"/>
              </w:rPr>
              <w:t>الخطیب البغدادی</w:t>
            </w:r>
            <w:r>
              <w:rPr>
                <w:rStyle w:val="IndexLink"/>
                <w:rtl w:val="true"/>
              </w:rPr>
              <w:t>(</w:t>
            </w:r>
            <w:r>
              <w:rPr>
                <w:rStyle w:val="IndexLink"/>
                <w:rtl w:val="true"/>
              </w:rPr>
              <w:t>ت</w:t>
            </w:r>
            <w:r>
              <w:rPr>
                <w:rStyle w:val="IndexLink"/>
              </w:rPr>
              <w:t>463</w:t>
            </w:r>
            <w:r>
              <w:rPr>
                <w:rStyle w:val="IndexLink"/>
                <w:rtl w:val="true"/>
              </w:rPr>
              <w:t>ه</w:t>
            </w:r>
            <w:r>
              <w:rPr>
                <w:rStyle w:val="IndexLink"/>
                <w:rtl w:val="true"/>
              </w:rPr>
              <w:t>)</w:t>
              <w:tab/>
            </w:r>
            <w:r>
              <w:rPr>
                <w:rStyle w:val="IndexLink"/>
              </w:rPr>
              <w:t>130</w:t>
            </w:r>
          </w:hyperlink>
        </w:p>
        <w:p>
          <w:pPr>
            <w:pStyle w:val="Contents3"/>
            <w:tabs>
              <w:tab w:val="clear" w:pos="8459"/>
              <w:tab w:val="right" w:pos="9026" w:leader="dot"/>
            </w:tabs>
            <w:rPr/>
          </w:pPr>
          <w:hyperlink w:anchor="__RefHeading___Toc2108960_581953129">
            <w:r>
              <w:rPr>
                <w:webHidden/>
                <w:rStyle w:val="IndexLink"/>
                <w:rtl w:val="true"/>
              </w:rPr>
              <w:t>الخلاصة</w:t>
            </w:r>
            <w:r>
              <w:rPr>
                <w:rStyle w:val="IndexLink"/>
                <w:rtl w:val="true"/>
              </w:rPr>
              <w:tab/>
            </w:r>
            <w:r>
              <w:rPr>
                <w:rStyle w:val="IndexLink"/>
              </w:rPr>
              <w:t>130</w:t>
            </w:r>
          </w:hyperlink>
        </w:p>
        <w:p>
          <w:pPr>
            <w:pStyle w:val="Contents3"/>
            <w:tabs>
              <w:tab w:val="clear" w:pos="8459"/>
              <w:tab w:val="right" w:pos="9026" w:leader="dot"/>
            </w:tabs>
            <w:rPr/>
          </w:pPr>
          <w:hyperlink w:anchor="__RefHeading___Toc2108962_581953129">
            <w:r>
              <w:rPr>
                <w:webHidden/>
                <w:rStyle w:val="IndexLink"/>
                <w:rtl w:val="true"/>
              </w:rPr>
              <w:t>الأسئلة</w:t>
            </w:r>
            <w:r>
              <w:rPr>
                <w:rStyle w:val="IndexLink"/>
                <w:rtl w:val="true"/>
              </w:rPr>
              <w:tab/>
            </w:r>
            <w:r>
              <w:rPr>
                <w:rStyle w:val="IndexLink"/>
              </w:rPr>
              <w:t>132</w:t>
            </w:r>
          </w:hyperlink>
        </w:p>
        <w:p>
          <w:pPr>
            <w:pStyle w:val="Contents2"/>
            <w:tabs>
              <w:tab w:val="clear" w:pos="8743"/>
              <w:tab w:val="right" w:pos="9026" w:leader="dot"/>
            </w:tabs>
            <w:rPr/>
          </w:pPr>
          <w:hyperlink w:anchor="__RefHeading___Toc2108964_581953129">
            <w:r>
              <w:rPr>
                <w:webHidden/>
                <w:rStyle w:val="IndexLink"/>
              </w:rPr>
              <w:t>5</w:t>
            </w:r>
            <w:r>
              <w:rPr>
                <w:rStyle w:val="IndexLink"/>
                <w:rtl w:val="true"/>
              </w:rPr>
              <w:t xml:space="preserve">- </w:t>
            </w:r>
            <w:r>
              <w:rPr>
                <w:rStyle w:val="IndexLink"/>
                <w:rtl w:val="true"/>
              </w:rPr>
              <w:t>العلوم غیر الإسلامیة و المراکز العلمیة</w:t>
            </w:r>
            <w:r>
              <w:rPr>
                <w:rStyle w:val="IndexLink"/>
                <w:rtl w:val="true"/>
              </w:rPr>
              <w:t>-</w:t>
            </w:r>
            <w:r>
              <w:rPr>
                <w:rStyle w:val="IndexLink"/>
                <w:rtl w:val="true"/>
              </w:rPr>
              <w:t>الثقافیة</w:t>
            </w:r>
            <w:r>
              <w:rPr>
                <w:rStyle w:val="IndexLink"/>
                <w:rtl w:val="true"/>
              </w:rPr>
              <w:tab/>
            </w:r>
            <w:r>
              <w:rPr>
                <w:rStyle w:val="IndexLink"/>
              </w:rPr>
              <w:t>134</w:t>
            </w:r>
          </w:hyperlink>
        </w:p>
        <w:p>
          <w:pPr>
            <w:pStyle w:val="Contents3"/>
            <w:tabs>
              <w:tab w:val="clear" w:pos="8459"/>
              <w:tab w:val="right" w:pos="9026" w:leader="dot"/>
            </w:tabs>
            <w:rPr/>
          </w:pPr>
          <w:hyperlink w:anchor="__RefHeading___Toc2108966_581953129">
            <w:r>
              <w:rPr>
                <w:webHidden/>
                <w:rStyle w:val="IndexLink"/>
                <w:rtl w:val="true"/>
              </w:rPr>
              <w:t>أ</w:t>
            </w:r>
            <w:r>
              <w:rPr>
                <w:rStyle w:val="IndexLink"/>
                <w:rtl w:val="true"/>
              </w:rPr>
              <w:t>)</w:t>
            </w:r>
            <w:r>
              <w:rPr>
                <w:rStyle w:val="IndexLink"/>
                <w:rtl w:val="true"/>
              </w:rPr>
              <w:t>العلوم غیر الإسلامیة</w:t>
            </w:r>
            <w:r>
              <w:rPr>
                <w:rStyle w:val="IndexLink"/>
                <w:rtl w:val="true"/>
              </w:rPr>
              <w:tab/>
            </w:r>
            <w:r>
              <w:rPr>
                <w:rStyle w:val="IndexLink"/>
              </w:rPr>
              <w:t>134</w:t>
            </w:r>
          </w:hyperlink>
        </w:p>
        <w:p>
          <w:pPr>
            <w:pStyle w:val="Contents4"/>
            <w:tabs>
              <w:tab w:val="clear" w:pos="8176"/>
              <w:tab w:val="right" w:pos="9026" w:leader="dot"/>
            </w:tabs>
            <w:rPr/>
          </w:pPr>
          <w:hyperlink w:anchor="__RefHeading___Toc2108968_58195312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108970_581953129">
            <w:r>
              <w:rPr>
                <w:webHidden/>
                <w:rStyle w:val="IndexLink"/>
              </w:rPr>
              <w:t>1</w:t>
            </w:r>
            <w:r>
              <w:rPr>
                <w:rStyle w:val="IndexLink"/>
                <w:rtl w:val="true"/>
              </w:rPr>
              <w:t>-</w:t>
            </w:r>
            <w:r>
              <w:rPr>
                <w:rStyle w:val="IndexLink"/>
                <w:rtl w:val="true"/>
              </w:rPr>
              <w:t>الکیمیاء</w:t>
            </w:r>
            <w:r>
              <w:rPr>
                <w:rStyle w:val="IndexLink"/>
                <w:rtl w:val="true"/>
              </w:rPr>
              <w:tab/>
            </w:r>
            <w:r>
              <w:rPr>
                <w:rStyle w:val="IndexLink"/>
              </w:rPr>
              <w:t>135</w:t>
            </w:r>
          </w:hyperlink>
        </w:p>
        <w:p>
          <w:pPr>
            <w:pStyle w:val="Contents4"/>
            <w:tabs>
              <w:tab w:val="clear" w:pos="8176"/>
              <w:tab w:val="right" w:pos="9026" w:leader="dot"/>
            </w:tabs>
            <w:rPr/>
          </w:pPr>
          <w:hyperlink w:anchor="__RefHeading___Toc2108972_581953129">
            <w:r>
              <w:rPr>
                <w:webHidden/>
                <w:rStyle w:val="IndexLink"/>
              </w:rPr>
              <w:t>2</w:t>
            </w:r>
            <w:r>
              <w:rPr>
                <w:rStyle w:val="IndexLink"/>
                <w:rtl w:val="true"/>
              </w:rPr>
              <w:t>-</w:t>
            </w:r>
            <w:r>
              <w:rPr>
                <w:rStyle w:val="IndexLink"/>
                <w:rtl w:val="true"/>
              </w:rPr>
              <w:t>النجوم</w:t>
            </w:r>
            <w:r>
              <w:rPr>
                <w:rStyle w:val="IndexLink"/>
                <w:rtl w:val="true"/>
              </w:rPr>
              <w:tab/>
            </w:r>
            <w:r>
              <w:rPr>
                <w:rStyle w:val="IndexLink"/>
              </w:rPr>
              <w:t>137</w:t>
            </w:r>
          </w:hyperlink>
        </w:p>
        <w:p>
          <w:pPr>
            <w:pStyle w:val="Contents4"/>
            <w:tabs>
              <w:tab w:val="clear" w:pos="8176"/>
              <w:tab w:val="right" w:pos="9026" w:leader="dot"/>
            </w:tabs>
            <w:rPr/>
          </w:pPr>
          <w:hyperlink w:anchor="__RefHeading___Toc2108974_581953129">
            <w:r>
              <w:rPr>
                <w:webHidden/>
                <w:rStyle w:val="IndexLink"/>
              </w:rPr>
              <w:t>3</w:t>
            </w:r>
            <w:r>
              <w:rPr>
                <w:rStyle w:val="IndexLink"/>
                <w:rtl w:val="true"/>
              </w:rPr>
              <w:t>-</w:t>
            </w:r>
            <w:r>
              <w:rPr>
                <w:rStyle w:val="IndexLink"/>
                <w:rtl w:val="true"/>
              </w:rPr>
              <w:t>الطب</w:t>
            </w:r>
            <w:r>
              <w:rPr>
                <w:rStyle w:val="IndexLink"/>
                <w:rtl w:val="true"/>
              </w:rPr>
              <w:tab/>
            </w:r>
            <w:r>
              <w:rPr>
                <w:rStyle w:val="IndexLink"/>
              </w:rPr>
              <w:t>140</w:t>
            </w:r>
          </w:hyperlink>
        </w:p>
        <w:p>
          <w:pPr>
            <w:pStyle w:val="Contents4"/>
            <w:tabs>
              <w:tab w:val="clear" w:pos="8176"/>
              <w:tab w:val="right" w:pos="9026" w:leader="dot"/>
            </w:tabs>
            <w:rPr/>
          </w:pPr>
          <w:hyperlink w:anchor="__RefHeading___Toc2108976_581953129">
            <w:r>
              <w:rPr>
                <w:webHidden/>
                <w:rStyle w:val="IndexLink"/>
              </w:rPr>
              <w:t>4</w:t>
            </w:r>
            <w:r>
              <w:rPr>
                <w:rStyle w:val="IndexLink"/>
                <w:rtl w:val="true"/>
              </w:rPr>
              <w:t>-</w:t>
            </w:r>
            <w:r>
              <w:rPr>
                <w:rStyle w:val="IndexLink"/>
                <w:rtl w:val="true"/>
              </w:rPr>
              <w:t>الریاضیات</w:t>
            </w:r>
            <w:r>
              <w:rPr>
                <w:rStyle w:val="IndexLink"/>
                <w:rtl w:val="true"/>
              </w:rPr>
              <w:tab/>
            </w:r>
            <w:r>
              <w:rPr>
                <w:rStyle w:val="IndexLink"/>
              </w:rPr>
              <w:t>143</w:t>
            </w:r>
          </w:hyperlink>
        </w:p>
        <w:p>
          <w:pPr>
            <w:pStyle w:val="Contents3"/>
            <w:tabs>
              <w:tab w:val="clear" w:pos="8459"/>
              <w:tab w:val="right" w:pos="9026" w:leader="dot"/>
            </w:tabs>
            <w:rPr/>
          </w:pPr>
          <w:hyperlink w:anchor="__RefHeading___Toc2108978_581953129">
            <w:r>
              <w:rPr>
                <w:webHidden/>
                <w:rStyle w:val="IndexLink"/>
                <w:rtl w:val="true"/>
              </w:rPr>
              <w:t>ب</w:t>
            </w:r>
            <w:r>
              <w:rPr>
                <w:rStyle w:val="IndexLink"/>
                <w:rtl w:val="true"/>
              </w:rPr>
              <w:t>)</w:t>
            </w:r>
            <w:r>
              <w:rPr>
                <w:rStyle w:val="IndexLink"/>
                <w:rtl w:val="true"/>
              </w:rPr>
              <w:t>المراکز العلمیة</w:t>
            </w:r>
            <w:r>
              <w:rPr>
                <w:rStyle w:val="IndexLink"/>
                <w:rtl w:val="true"/>
              </w:rPr>
              <w:t>-</w:t>
            </w:r>
            <w:r>
              <w:rPr>
                <w:rStyle w:val="IndexLink"/>
                <w:rtl w:val="true"/>
              </w:rPr>
              <w:t>الثقافیة</w:t>
            </w:r>
            <w:r>
              <w:rPr>
                <w:rStyle w:val="IndexLink"/>
                <w:rtl w:val="true"/>
              </w:rPr>
              <w:tab/>
            </w:r>
            <w:r>
              <w:rPr>
                <w:rStyle w:val="IndexLink"/>
              </w:rPr>
              <w:t>145</w:t>
            </w:r>
          </w:hyperlink>
        </w:p>
        <w:p>
          <w:pPr>
            <w:pStyle w:val="Contents4"/>
            <w:tabs>
              <w:tab w:val="clear" w:pos="8176"/>
              <w:tab w:val="right" w:pos="9026" w:leader="dot"/>
            </w:tabs>
            <w:rPr/>
          </w:pPr>
          <w:hyperlink w:anchor="__RefHeading___Toc2108980_581953129">
            <w:r>
              <w:rPr>
                <w:webHidden/>
                <w:rStyle w:val="IndexLink"/>
              </w:rPr>
              <w:t>1</w:t>
            </w:r>
            <w:r>
              <w:rPr>
                <w:rStyle w:val="IndexLink"/>
                <w:rtl w:val="true"/>
              </w:rPr>
              <w:t>-</w:t>
            </w:r>
            <w:r>
              <w:rPr>
                <w:rStyle w:val="IndexLink"/>
                <w:rtl w:val="true"/>
              </w:rPr>
              <w:t>المساجد</w:t>
            </w:r>
            <w:r>
              <w:rPr>
                <w:rStyle w:val="IndexLink"/>
                <w:rtl w:val="true"/>
              </w:rPr>
              <w:tab/>
            </w:r>
            <w:r>
              <w:rPr>
                <w:rStyle w:val="IndexLink"/>
              </w:rPr>
              <w:t>145</w:t>
            </w:r>
          </w:hyperlink>
        </w:p>
        <w:p>
          <w:pPr>
            <w:pStyle w:val="Contents4"/>
            <w:tabs>
              <w:tab w:val="clear" w:pos="8176"/>
              <w:tab w:val="right" w:pos="9026" w:leader="dot"/>
            </w:tabs>
            <w:rPr/>
          </w:pPr>
          <w:hyperlink w:anchor="__RefHeading___Toc2108982_581953129">
            <w:r>
              <w:rPr>
                <w:webHidden/>
                <w:rStyle w:val="IndexLink"/>
              </w:rPr>
              <w:t>2</w:t>
            </w:r>
            <w:r>
              <w:rPr>
                <w:rStyle w:val="IndexLink"/>
                <w:rtl w:val="true"/>
              </w:rPr>
              <w:t>-</w:t>
            </w:r>
            <w:r>
              <w:rPr>
                <w:rStyle w:val="IndexLink"/>
                <w:rtl w:val="true"/>
              </w:rPr>
              <w:t>بیت الحکمة</w:t>
            </w:r>
            <w:r>
              <w:rPr>
                <w:rStyle w:val="IndexLink"/>
                <w:rtl w:val="true"/>
              </w:rPr>
              <w:tab/>
            </w:r>
            <w:r>
              <w:rPr>
                <w:rStyle w:val="IndexLink"/>
              </w:rPr>
              <w:t>147</w:t>
            </w:r>
          </w:hyperlink>
        </w:p>
        <w:p>
          <w:pPr>
            <w:pStyle w:val="Contents4"/>
            <w:tabs>
              <w:tab w:val="clear" w:pos="8176"/>
              <w:tab w:val="right" w:pos="9026" w:leader="dot"/>
            </w:tabs>
            <w:rPr/>
          </w:pPr>
          <w:hyperlink w:anchor="__RefHeading___Toc2108984_581953129">
            <w:r>
              <w:rPr>
                <w:webHidden/>
                <w:rStyle w:val="IndexLink"/>
              </w:rPr>
              <w:t>3</w:t>
            </w:r>
            <w:r>
              <w:rPr>
                <w:rStyle w:val="IndexLink"/>
                <w:rtl w:val="true"/>
              </w:rPr>
              <w:t>-</w:t>
            </w:r>
            <w:r>
              <w:rPr>
                <w:rStyle w:val="IndexLink"/>
                <w:rtl w:val="true"/>
              </w:rPr>
              <w:t>جامع الأزهر</w:t>
            </w:r>
            <w:r>
              <w:rPr>
                <w:rStyle w:val="IndexLink"/>
                <w:rtl w:val="true"/>
              </w:rPr>
              <w:tab/>
            </w:r>
            <w:r>
              <w:rPr>
                <w:rStyle w:val="IndexLink"/>
              </w:rPr>
              <w:t>149</w:t>
            </w:r>
          </w:hyperlink>
        </w:p>
        <w:p>
          <w:pPr>
            <w:pStyle w:val="Contents4"/>
            <w:tabs>
              <w:tab w:val="clear" w:pos="8176"/>
              <w:tab w:val="right" w:pos="9026" w:leader="dot"/>
            </w:tabs>
            <w:rPr/>
          </w:pPr>
          <w:hyperlink w:anchor="__RefHeading___Toc2108986_581953129">
            <w:r>
              <w:rPr>
                <w:webHidden/>
                <w:rStyle w:val="IndexLink"/>
              </w:rPr>
              <w:t>4</w:t>
            </w:r>
            <w:r>
              <w:rPr>
                <w:rStyle w:val="IndexLink"/>
                <w:rtl w:val="true"/>
              </w:rPr>
              <w:t>-</w:t>
            </w:r>
            <w:r>
              <w:rPr>
                <w:rStyle w:val="IndexLink"/>
                <w:rtl w:val="true"/>
              </w:rPr>
              <w:t>دار العلم</w:t>
            </w:r>
            <w:r>
              <w:rPr>
                <w:rStyle w:val="IndexLink"/>
                <w:rtl w:val="true"/>
              </w:rPr>
              <w:tab/>
            </w:r>
            <w:r>
              <w:rPr>
                <w:rStyle w:val="IndexLink"/>
              </w:rPr>
              <w:t>151</w:t>
            </w:r>
          </w:hyperlink>
        </w:p>
        <w:p>
          <w:pPr>
            <w:pStyle w:val="Contents4"/>
            <w:tabs>
              <w:tab w:val="clear" w:pos="8176"/>
              <w:tab w:val="right" w:pos="9026" w:leader="dot"/>
            </w:tabs>
            <w:rPr/>
          </w:pPr>
          <w:hyperlink w:anchor="__RefHeading___Toc2108988_581953129">
            <w:r>
              <w:rPr>
                <w:webHidden/>
                <w:rStyle w:val="IndexLink"/>
              </w:rPr>
              <w:t>5</w:t>
            </w:r>
            <w:r>
              <w:rPr>
                <w:rStyle w:val="IndexLink"/>
                <w:rtl w:val="true"/>
              </w:rPr>
              <w:t>-</w:t>
            </w:r>
            <w:r>
              <w:rPr>
                <w:rStyle w:val="IndexLink"/>
                <w:rtl w:val="true"/>
              </w:rPr>
              <w:t>حوزة النجف العلمیة</w:t>
            </w:r>
            <w:r>
              <w:rPr>
                <w:rStyle w:val="IndexLink"/>
                <w:rtl w:val="true"/>
              </w:rPr>
              <w:tab/>
            </w:r>
            <w:r>
              <w:rPr>
                <w:rStyle w:val="IndexLink"/>
              </w:rPr>
              <w:t>152</w:t>
            </w:r>
          </w:hyperlink>
        </w:p>
        <w:p>
          <w:pPr>
            <w:pStyle w:val="Contents4"/>
            <w:tabs>
              <w:tab w:val="clear" w:pos="8176"/>
              <w:tab w:val="right" w:pos="9026" w:leader="dot"/>
            </w:tabs>
            <w:rPr/>
          </w:pPr>
          <w:hyperlink w:anchor="__RefHeading___Toc2108990_581953129">
            <w:r>
              <w:rPr>
                <w:webHidden/>
                <w:rStyle w:val="IndexLink"/>
              </w:rPr>
              <w:t>6</w:t>
            </w:r>
            <w:r>
              <w:rPr>
                <w:rStyle w:val="IndexLink"/>
                <w:rtl w:val="true"/>
              </w:rPr>
              <w:t>-</w:t>
            </w:r>
            <w:r>
              <w:rPr>
                <w:rStyle w:val="IndexLink"/>
                <w:rtl w:val="true"/>
              </w:rPr>
              <w:t>النظامیة</w:t>
            </w:r>
            <w:r>
              <w:rPr>
                <w:rStyle w:val="IndexLink"/>
                <w:rtl w:val="true"/>
              </w:rPr>
              <w:tab/>
            </w:r>
            <w:r>
              <w:rPr>
                <w:rStyle w:val="IndexLink"/>
              </w:rPr>
              <w:t>152</w:t>
            </w:r>
          </w:hyperlink>
        </w:p>
        <w:p>
          <w:pPr>
            <w:pStyle w:val="Contents4"/>
            <w:tabs>
              <w:tab w:val="clear" w:pos="8176"/>
              <w:tab w:val="right" w:pos="9026" w:leader="dot"/>
            </w:tabs>
            <w:rPr/>
          </w:pPr>
          <w:hyperlink w:anchor="__RefHeading___Toc2108992_581953129">
            <w:r>
              <w:rPr>
                <w:webHidden/>
                <w:rStyle w:val="IndexLink"/>
              </w:rPr>
              <w:t>7</w:t>
            </w:r>
            <w:r>
              <w:rPr>
                <w:rStyle w:val="IndexLink"/>
                <w:rtl w:val="true"/>
              </w:rPr>
              <w:t>-</w:t>
            </w:r>
            <w:r>
              <w:rPr>
                <w:rStyle w:val="IndexLink"/>
                <w:rtl w:val="true"/>
              </w:rPr>
              <w:t>المکتبات</w:t>
            </w:r>
            <w:r>
              <w:rPr>
                <w:rStyle w:val="IndexLink"/>
                <w:rtl w:val="true"/>
              </w:rPr>
              <w:tab/>
            </w:r>
            <w:r>
              <w:rPr>
                <w:rStyle w:val="IndexLink"/>
              </w:rPr>
              <w:t>153</w:t>
            </w:r>
          </w:hyperlink>
        </w:p>
        <w:p>
          <w:pPr>
            <w:pStyle w:val="Contents3"/>
            <w:tabs>
              <w:tab w:val="clear" w:pos="8459"/>
              <w:tab w:val="right" w:pos="9026" w:leader="dot"/>
            </w:tabs>
            <w:rPr/>
          </w:pPr>
          <w:hyperlink w:anchor="__RefHeading___Toc2108994_581953129">
            <w:r>
              <w:rPr>
                <w:webHidden/>
                <w:rStyle w:val="IndexLink"/>
                <w:rtl w:val="true"/>
              </w:rPr>
              <w:t>الخلاصة</w:t>
            </w:r>
            <w:r>
              <w:rPr>
                <w:rStyle w:val="IndexLink"/>
                <w:rtl w:val="true"/>
              </w:rPr>
              <w:tab/>
            </w:r>
            <w:r>
              <w:rPr>
                <w:rStyle w:val="IndexLink"/>
              </w:rPr>
              <w:t>155</w:t>
            </w:r>
          </w:hyperlink>
        </w:p>
        <w:p>
          <w:pPr>
            <w:pStyle w:val="Contents3"/>
            <w:tabs>
              <w:tab w:val="clear" w:pos="8459"/>
              <w:tab w:val="right" w:pos="9026" w:leader="dot"/>
            </w:tabs>
            <w:rPr/>
          </w:pPr>
          <w:hyperlink w:anchor="__RefHeading___Toc2108996_581953129">
            <w:r>
              <w:rPr>
                <w:webHidden/>
                <w:rStyle w:val="IndexLink"/>
                <w:rtl w:val="true"/>
              </w:rPr>
              <w:t>الأسئلة</w:t>
            </w:r>
            <w:r>
              <w:rPr>
                <w:rStyle w:val="IndexLink"/>
                <w:rtl w:val="true"/>
              </w:rPr>
              <w:tab/>
            </w:r>
            <w:r>
              <w:rPr>
                <w:rStyle w:val="IndexLink"/>
              </w:rPr>
              <w:t>156</w:t>
            </w:r>
          </w:hyperlink>
        </w:p>
        <w:p>
          <w:pPr>
            <w:pStyle w:val="Contents2"/>
            <w:tabs>
              <w:tab w:val="clear" w:pos="8743"/>
              <w:tab w:val="right" w:pos="9026" w:leader="dot"/>
            </w:tabs>
            <w:rPr/>
          </w:pPr>
          <w:hyperlink w:anchor="__RefHeading___Toc2108998_581953129">
            <w:r>
              <w:rPr>
                <w:webHidden/>
                <w:rStyle w:val="IndexLink"/>
              </w:rPr>
              <w:t>6</w:t>
            </w:r>
            <w:r>
              <w:rPr>
                <w:rStyle w:val="IndexLink"/>
                <w:rtl w:val="true"/>
              </w:rPr>
              <w:t xml:space="preserve">- </w:t>
            </w:r>
            <w:r>
              <w:rPr>
                <w:rStyle w:val="IndexLink"/>
                <w:rtl w:val="true"/>
              </w:rPr>
              <w:t>المؤسّسات و الفنّ</w:t>
            </w:r>
            <w:r>
              <w:rPr>
                <w:rStyle w:val="IndexLink"/>
                <w:rtl w:val="true"/>
              </w:rPr>
              <w:tab/>
            </w:r>
            <w:r>
              <w:rPr>
                <w:rStyle w:val="IndexLink"/>
              </w:rPr>
              <w:t>157</w:t>
            </w:r>
          </w:hyperlink>
        </w:p>
        <w:p>
          <w:pPr>
            <w:pStyle w:val="Contents3"/>
            <w:tabs>
              <w:tab w:val="clear" w:pos="8459"/>
              <w:tab w:val="right" w:pos="9026" w:leader="dot"/>
            </w:tabs>
            <w:rPr/>
          </w:pPr>
          <w:hyperlink w:anchor="__RefHeading___Toc2109000_581953129">
            <w:r>
              <w:rPr>
                <w:webHidden/>
                <w:rStyle w:val="IndexLink"/>
                <w:rtl w:val="true"/>
              </w:rPr>
              <w:t>أ</w:t>
            </w:r>
            <w:r>
              <w:rPr>
                <w:rStyle w:val="IndexLink"/>
                <w:rtl w:val="true"/>
              </w:rPr>
              <w:t>)</w:t>
            </w:r>
            <w:r>
              <w:rPr>
                <w:rStyle w:val="IndexLink"/>
                <w:rtl w:val="true"/>
              </w:rPr>
              <w:t>المؤسّسات</w:t>
            </w:r>
            <w:r>
              <w:rPr>
                <w:rStyle w:val="IndexLink"/>
                <w:rtl w:val="true"/>
              </w:rPr>
              <w:tab/>
            </w:r>
            <w:r>
              <w:rPr>
                <w:rStyle w:val="IndexLink"/>
              </w:rPr>
              <w:t>157</w:t>
            </w:r>
          </w:hyperlink>
        </w:p>
        <w:p>
          <w:pPr>
            <w:pStyle w:val="Contents4"/>
            <w:tabs>
              <w:tab w:val="clear" w:pos="8176"/>
              <w:tab w:val="right" w:pos="9026" w:leader="dot"/>
            </w:tabs>
            <w:rPr/>
          </w:pPr>
          <w:hyperlink w:anchor="__RefHeading___Toc2109002_58195312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2109004_581953129">
            <w:r>
              <w:rPr>
                <w:webHidden/>
                <w:rStyle w:val="IndexLink"/>
              </w:rPr>
              <w:t>1</w:t>
            </w:r>
            <w:r>
              <w:rPr>
                <w:rStyle w:val="IndexLink"/>
                <w:rtl w:val="true"/>
              </w:rPr>
              <w:t>-</w:t>
            </w:r>
            <w:r>
              <w:rPr>
                <w:rStyle w:val="IndexLink"/>
                <w:rtl w:val="true"/>
              </w:rPr>
              <w:t>المؤسسة السیاسیة</w:t>
            </w:r>
            <w:r>
              <w:rPr>
                <w:rStyle w:val="IndexLink"/>
                <w:rtl w:val="true"/>
              </w:rPr>
              <w:tab/>
            </w:r>
            <w:r>
              <w:rPr>
                <w:rStyle w:val="IndexLink"/>
              </w:rPr>
              <w:t>157</w:t>
            </w:r>
          </w:hyperlink>
        </w:p>
        <w:p>
          <w:pPr>
            <w:pStyle w:val="Contents5"/>
            <w:tabs>
              <w:tab w:val="clear" w:pos="7892"/>
              <w:tab w:val="right" w:pos="9026" w:leader="dot"/>
            </w:tabs>
            <w:rPr/>
          </w:pPr>
          <w:hyperlink w:anchor="__RefHeading___Toc2109006_581953129">
            <w:r>
              <w:rPr>
                <w:webHidden/>
                <w:rStyle w:val="IndexLink"/>
                <w:rtl w:val="true"/>
              </w:rPr>
              <w:t>أ</w:t>
            </w:r>
            <w:r>
              <w:rPr>
                <w:rStyle w:val="IndexLink"/>
                <w:rtl w:val="true"/>
              </w:rPr>
              <w:t>)</w:t>
            </w:r>
            <w:r>
              <w:rPr>
                <w:rStyle w:val="IndexLink"/>
                <w:rtl w:val="true"/>
              </w:rPr>
              <w:t>الخلافة و السلطنة</w:t>
            </w:r>
            <w:r>
              <w:rPr>
                <w:rStyle w:val="IndexLink"/>
                <w:rtl w:val="true"/>
              </w:rPr>
              <w:tab/>
            </w:r>
            <w:r>
              <w:rPr>
                <w:rStyle w:val="IndexLink"/>
              </w:rPr>
              <w:t>157</w:t>
            </w:r>
          </w:hyperlink>
        </w:p>
        <w:p>
          <w:pPr>
            <w:pStyle w:val="Contents6"/>
            <w:tabs>
              <w:tab w:val="clear" w:pos="7609"/>
              <w:tab w:val="right" w:pos="9026" w:leader="dot"/>
            </w:tabs>
            <w:rPr/>
          </w:pPr>
          <w:hyperlink w:anchor="__RefHeading___Toc2109008_581953129">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2109010_581953129">
            <w:r>
              <w:rPr>
                <w:webHidden/>
                <w:rStyle w:val="IndexLink"/>
                <w:rtl w:val="true"/>
              </w:rPr>
              <w:t>تحوّل الخلافة إلی سلطنة</w:t>
            </w:r>
            <w:r>
              <w:rPr>
                <w:rStyle w:val="IndexLink"/>
                <w:rtl w:val="true"/>
              </w:rPr>
              <w:tab/>
            </w:r>
            <w:r>
              <w:rPr>
                <w:rStyle w:val="IndexLink"/>
              </w:rPr>
              <w:t>160</w:t>
            </w:r>
          </w:hyperlink>
        </w:p>
        <w:p>
          <w:pPr>
            <w:pStyle w:val="Contents6"/>
            <w:tabs>
              <w:tab w:val="clear" w:pos="7609"/>
              <w:tab w:val="right" w:pos="9026" w:leader="dot"/>
            </w:tabs>
            <w:rPr/>
          </w:pPr>
          <w:hyperlink w:anchor="__RefHeading___Toc2109012_581953129">
            <w:r>
              <w:rPr>
                <w:webHidden/>
                <w:rStyle w:val="IndexLink"/>
                <w:rtl w:val="true"/>
              </w:rPr>
              <w:t>علامات الخلافة</w:t>
            </w:r>
            <w:r>
              <w:rPr>
                <w:rStyle w:val="IndexLink"/>
                <w:rtl w:val="true"/>
              </w:rPr>
              <w:tab/>
            </w:r>
            <w:r>
              <w:rPr>
                <w:rStyle w:val="IndexLink"/>
              </w:rPr>
              <w:t>163</w:t>
            </w:r>
          </w:hyperlink>
        </w:p>
        <w:p>
          <w:pPr>
            <w:pStyle w:val="Contents5"/>
            <w:tabs>
              <w:tab w:val="clear" w:pos="7892"/>
              <w:tab w:val="right" w:pos="9026" w:leader="dot"/>
            </w:tabs>
            <w:rPr/>
          </w:pPr>
          <w:hyperlink w:anchor="__RefHeading___Toc2109014_581953129">
            <w:r>
              <w:rPr>
                <w:webHidden/>
                <w:rStyle w:val="IndexLink"/>
                <w:rtl w:val="true"/>
              </w:rPr>
              <w:t>ب</w:t>
            </w:r>
            <w:r>
              <w:rPr>
                <w:rStyle w:val="IndexLink"/>
                <w:rtl w:val="true"/>
              </w:rPr>
              <w:t>)</w:t>
            </w:r>
            <w:r>
              <w:rPr>
                <w:rStyle w:val="IndexLink"/>
                <w:rtl w:val="true"/>
              </w:rPr>
              <w:t>النظام الإداری</w:t>
            </w:r>
            <w:r>
              <w:rPr>
                <w:rStyle w:val="IndexLink"/>
                <w:rtl w:val="true"/>
              </w:rPr>
              <w:tab/>
            </w:r>
            <w:r>
              <w:rPr>
                <w:rStyle w:val="IndexLink"/>
              </w:rPr>
              <w:t>165</w:t>
            </w:r>
          </w:hyperlink>
        </w:p>
        <w:p>
          <w:pPr>
            <w:pStyle w:val="Contents5"/>
            <w:tabs>
              <w:tab w:val="clear" w:pos="7892"/>
              <w:tab w:val="right" w:pos="9026" w:leader="dot"/>
            </w:tabs>
            <w:rPr/>
          </w:pPr>
          <w:hyperlink w:anchor="__RefHeading___Toc2109016_581953129">
            <w:r>
              <w:rPr>
                <w:webHidden/>
                <w:rStyle w:val="IndexLink"/>
                <w:rtl w:val="true"/>
              </w:rPr>
              <w:t>ج</w:t>
            </w:r>
            <w:r>
              <w:rPr>
                <w:rStyle w:val="IndexLink"/>
                <w:rtl w:val="true"/>
              </w:rPr>
              <w:t>)</w:t>
            </w:r>
            <w:r>
              <w:rPr>
                <w:rStyle w:val="IndexLink"/>
                <w:rtl w:val="true"/>
              </w:rPr>
              <w:t>الوزارات</w:t>
            </w:r>
            <w:r>
              <w:rPr>
                <w:rStyle w:val="IndexLink"/>
                <w:rtl w:val="true"/>
              </w:rPr>
              <w:tab/>
            </w:r>
            <w:r>
              <w:rPr>
                <w:rStyle w:val="IndexLink"/>
              </w:rPr>
              <w:t>166</w:t>
            </w:r>
          </w:hyperlink>
        </w:p>
        <w:p>
          <w:pPr>
            <w:pStyle w:val="Contents5"/>
            <w:tabs>
              <w:tab w:val="clear" w:pos="7892"/>
              <w:tab w:val="right" w:pos="9026" w:leader="dot"/>
            </w:tabs>
            <w:rPr/>
          </w:pPr>
          <w:hyperlink w:anchor="__RefHeading___Toc2109018_581953129">
            <w:r>
              <w:rPr>
                <w:webHidden/>
                <w:rStyle w:val="IndexLink"/>
                <w:rtl w:val="true"/>
              </w:rPr>
              <w:t>د</w:t>
            </w:r>
            <w:r>
              <w:rPr>
                <w:rStyle w:val="IndexLink"/>
                <w:rtl w:val="true"/>
              </w:rPr>
              <w:t>)</w:t>
            </w:r>
            <w:r>
              <w:rPr>
                <w:rStyle w:val="IndexLink"/>
                <w:rtl w:val="true"/>
              </w:rPr>
              <w:t>الدیوان</w:t>
            </w:r>
            <w:r>
              <w:rPr>
                <w:rStyle w:val="IndexLink"/>
                <w:rtl w:val="true"/>
              </w:rPr>
              <w:tab/>
            </w:r>
            <w:r>
              <w:rPr>
                <w:rStyle w:val="IndexLink"/>
              </w:rPr>
              <w:t>168</w:t>
            </w:r>
          </w:hyperlink>
        </w:p>
        <w:p>
          <w:pPr>
            <w:pStyle w:val="Contents4"/>
            <w:tabs>
              <w:tab w:val="clear" w:pos="8176"/>
              <w:tab w:val="right" w:pos="9026" w:leader="dot"/>
            </w:tabs>
            <w:rPr/>
          </w:pPr>
          <w:hyperlink w:anchor="__RefHeading___Toc2109020_581953129">
            <w:r>
              <w:rPr>
                <w:webHidden/>
                <w:rStyle w:val="IndexLink"/>
              </w:rPr>
              <w:t>2</w:t>
            </w:r>
            <w:r>
              <w:rPr>
                <w:rStyle w:val="IndexLink"/>
                <w:rtl w:val="true"/>
              </w:rPr>
              <w:t>-</w:t>
            </w:r>
            <w:r>
              <w:rPr>
                <w:rStyle w:val="IndexLink"/>
                <w:rtl w:val="true"/>
              </w:rPr>
              <w:t>المؤسسة الاقتصادیة</w:t>
            </w:r>
            <w:r>
              <w:rPr>
                <w:rStyle w:val="IndexLink"/>
                <w:rtl w:val="true"/>
              </w:rPr>
              <w:tab/>
            </w:r>
            <w:r>
              <w:rPr>
                <w:rStyle w:val="IndexLink"/>
              </w:rPr>
              <w:t>169</w:t>
            </w:r>
          </w:hyperlink>
        </w:p>
        <w:p>
          <w:pPr>
            <w:pStyle w:val="Contents4"/>
            <w:tabs>
              <w:tab w:val="clear" w:pos="8176"/>
              <w:tab w:val="right" w:pos="9026" w:leader="dot"/>
            </w:tabs>
            <w:rPr/>
          </w:pPr>
          <w:hyperlink w:anchor="__RefHeading___Toc2109022_581953129">
            <w:r>
              <w:rPr>
                <w:webHidden/>
                <w:rStyle w:val="IndexLink"/>
              </w:rPr>
              <w:t>3</w:t>
            </w:r>
            <w:r>
              <w:rPr>
                <w:rStyle w:val="IndexLink"/>
                <w:rtl w:val="true"/>
              </w:rPr>
              <w:t>-</w:t>
            </w:r>
            <w:r>
              <w:rPr>
                <w:rStyle w:val="IndexLink"/>
                <w:rtl w:val="true"/>
              </w:rPr>
              <w:t>المؤسّسة القضائیة</w:t>
            </w:r>
            <w:r>
              <w:rPr>
                <w:rStyle w:val="IndexLink"/>
                <w:rtl w:val="true"/>
              </w:rPr>
              <w:tab/>
            </w:r>
            <w:r>
              <w:rPr>
                <w:rStyle w:val="IndexLink"/>
              </w:rPr>
              <w:t>172</w:t>
            </w:r>
          </w:hyperlink>
        </w:p>
        <w:p>
          <w:pPr>
            <w:pStyle w:val="Contents3"/>
            <w:tabs>
              <w:tab w:val="clear" w:pos="8459"/>
              <w:tab w:val="right" w:pos="9026" w:leader="dot"/>
            </w:tabs>
            <w:rPr/>
          </w:pPr>
          <w:hyperlink w:anchor="__RefHeading___Toc2109024_581953129">
            <w:r>
              <w:rPr>
                <w:webHidden/>
                <w:rStyle w:val="IndexLink"/>
                <w:rtl w:val="true"/>
              </w:rPr>
              <w:t>ب</w:t>
            </w:r>
            <w:r>
              <w:rPr>
                <w:rStyle w:val="IndexLink"/>
                <w:rtl w:val="true"/>
              </w:rPr>
              <w:t>)</w:t>
            </w:r>
            <w:r>
              <w:rPr>
                <w:rStyle w:val="IndexLink"/>
                <w:rtl w:val="true"/>
              </w:rPr>
              <w:t>الفن</w:t>
            </w:r>
            <w:r>
              <w:rPr>
                <w:rStyle w:val="IndexLink"/>
                <w:rtl w:val="true"/>
              </w:rPr>
              <w:tab/>
            </w:r>
            <w:r>
              <w:rPr>
                <w:rStyle w:val="IndexLink"/>
              </w:rPr>
              <w:t>175</w:t>
            </w:r>
          </w:hyperlink>
        </w:p>
        <w:p>
          <w:pPr>
            <w:pStyle w:val="Contents4"/>
            <w:tabs>
              <w:tab w:val="clear" w:pos="8176"/>
              <w:tab w:val="right" w:pos="9026" w:leader="dot"/>
            </w:tabs>
            <w:rPr/>
          </w:pPr>
          <w:hyperlink w:anchor="__RefHeading___Toc2109026_58195312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109028_581953129">
            <w:r>
              <w:rPr>
                <w:webHidden/>
                <w:rStyle w:val="IndexLink"/>
              </w:rPr>
              <w:t>1</w:t>
            </w:r>
            <w:r>
              <w:rPr>
                <w:rStyle w:val="IndexLink"/>
                <w:rtl w:val="true"/>
              </w:rPr>
              <w:t>-</w:t>
            </w:r>
            <w:r>
              <w:rPr>
                <w:rStyle w:val="IndexLink"/>
                <w:rtl w:val="true"/>
              </w:rPr>
              <w:t>العمارة</w:t>
            </w:r>
            <w:r>
              <w:rPr>
                <w:rStyle w:val="IndexLink"/>
                <w:rtl w:val="true"/>
              </w:rPr>
              <w:tab/>
            </w:r>
            <w:r>
              <w:rPr>
                <w:rStyle w:val="IndexLink"/>
              </w:rPr>
              <w:t>176</w:t>
            </w:r>
          </w:hyperlink>
        </w:p>
        <w:p>
          <w:pPr>
            <w:pStyle w:val="Contents5"/>
            <w:tabs>
              <w:tab w:val="clear" w:pos="7892"/>
              <w:tab w:val="right" w:pos="9026" w:leader="dot"/>
            </w:tabs>
            <w:rPr/>
          </w:pPr>
          <w:hyperlink w:anchor="__RefHeading___Toc2109030_581953129">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2109032_581953129">
            <w:r>
              <w:rPr>
                <w:webHidden/>
                <w:rStyle w:val="IndexLink"/>
                <w:rtl w:val="true"/>
              </w:rPr>
              <w:t>تنبیهات</w:t>
            </w:r>
            <w:r>
              <w:rPr>
                <w:rStyle w:val="IndexLink"/>
                <w:rtl w:val="true"/>
              </w:rPr>
              <w:tab/>
            </w:r>
            <w:r>
              <w:rPr>
                <w:rStyle w:val="IndexLink"/>
              </w:rPr>
              <w:t>178</w:t>
            </w:r>
          </w:hyperlink>
        </w:p>
        <w:p>
          <w:pPr>
            <w:pStyle w:val="Contents4"/>
            <w:tabs>
              <w:tab w:val="clear" w:pos="8176"/>
              <w:tab w:val="right" w:pos="9026" w:leader="dot"/>
            </w:tabs>
            <w:rPr/>
          </w:pPr>
          <w:hyperlink w:anchor="__RefHeading___Toc2109034_581953129">
            <w:r>
              <w:rPr>
                <w:webHidden/>
                <w:rStyle w:val="IndexLink"/>
              </w:rPr>
              <w:t>2</w:t>
            </w:r>
            <w:r>
              <w:rPr>
                <w:rStyle w:val="IndexLink"/>
                <w:rtl w:val="true"/>
              </w:rPr>
              <w:t>-</w:t>
            </w:r>
            <w:r>
              <w:rPr>
                <w:rStyle w:val="IndexLink"/>
                <w:rtl w:val="true"/>
              </w:rPr>
              <w:t>الشعر</w:t>
            </w:r>
            <w:r>
              <w:rPr>
                <w:rStyle w:val="IndexLink"/>
                <w:rtl w:val="true"/>
              </w:rPr>
              <w:tab/>
            </w:r>
            <w:r>
              <w:rPr>
                <w:rStyle w:val="IndexLink"/>
              </w:rPr>
              <w:t>180</w:t>
            </w:r>
          </w:hyperlink>
        </w:p>
        <w:p>
          <w:pPr>
            <w:pStyle w:val="Contents3"/>
            <w:tabs>
              <w:tab w:val="clear" w:pos="8459"/>
              <w:tab w:val="right" w:pos="9026" w:leader="dot"/>
            </w:tabs>
            <w:rPr/>
          </w:pPr>
          <w:hyperlink w:anchor="__RefHeading___Toc2109036_581953129">
            <w:r>
              <w:rPr>
                <w:webHidden/>
                <w:rStyle w:val="IndexLink"/>
                <w:rtl w:val="true"/>
              </w:rPr>
              <w:t>الخلاصة</w:t>
            </w:r>
            <w:r>
              <w:rPr>
                <w:rStyle w:val="IndexLink"/>
                <w:rtl w:val="true"/>
              </w:rPr>
              <w:tab/>
            </w:r>
            <w:r>
              <w:rPr>
                <w:rStyle w:val="IndexLink"/>
              </w:rPr>
              <w:t>182</w:t>
            </w:r>
          </w:hyperlink>
        </w:p>
        <w:p>
          <w:pPr>
            <w:pStyle w:val="Contents3"/>
            <w:tabs>
              <w:tab w:val="clear" w:pos="8459"/>
              <w:tab w:val="right" w:pos="9026" w:leader="dot"/>
            </w:tabs>
            <w:rPr/>
          </w:pPr>
          <w:hyperlink w:anchor="__RefHeading___Toc2109038_581953129">
            <w:r>
              <w:rPr>
                <w:webHidden/>
                <w:rStyle w:val="IndexLink"/>
                <w:rtl w:val="true"/>
              </w:rPr>
              <w:t>الأسئلة</w:t>
            </w:r>
            <w:r>
              <w:rPr>
                <w:rStyle w:val="IndexLink"/>
                <w:rtl w:val="true"/>
              </w:rPr>
              <w:tab/>
            </w:r>
            <w:r>
              <w:rPr>
                <w:rStyle w:val="IndexLink"/>
              </w:rPr>
              <w:t>184</w:t>
            </w:r>
          </w:hyperlink>
        </w:p>
        <w:p>
          <w:pPr>
            <w:pStyle w:val="Contents2"/>
            <w:tabs>
              <w:tab w:val="clear" w:pos="8743"/>
              <w:tab w:val="right" w:pos="9026" w:leader="dot"/>
            </w:tabs>
            <w:rPr/>
          </w:pPr>
          <w:hyperlink w:anchor="__RefHeading___Toc2109040_581953129">
            <w:r>
              <w:rPr>
                <w:webHidden/>
                <w:rStyle w:val="IndexLink"/>
              </w:rPr>
              <w:t>7</w:t>
            </w:r>
            <w:r>
              <w:rPr>
                <w:rStyle w:val="IndexLink"/>
                <w:rtl w:val="true"/>
              </w:rPr>
              <w:t xml:space="preserve">- </w:t>
            </w:r>
            <w:r>
              <w:rPr>
                <w:rStyle w:val="IndexLink"/>
                <w:rtl w:val="true"/>
              </w:rPr>
              <w:t>تأثیر الحضارة الإسلامیة علی الحضارة الغربیة</w:t>
            </w:r>
            <w:r>
              <w:rPr>
                <w:rStyle w:val="IndexLink"/>
                <w:rtl w:val="true"/>
              </w:rPr>
              <w:tab/>
            </w:r>
            <w:r>
              <w:rPr>
                <w:rStyle w:val="IndexLink"/>
              </w:rPr>
              <w:t>185</w:t>
            </w:r>
          </w:hyperlink>
        </w:p>
        <w:p>
          <w:pPr>
            <w:pStyle w:val="Contents3"/>
            <w:tabs>
              <w:tab w:val="clear" w:pos="8459"/>
              <w:tab w:val="right" w:pos="9026" w:leader="dot"/>
            </w:tabs>
            <w:rPr/>
          </w:pPr>
          <w:hyperlink w:anchor="__RefHeading___Toc2109042_581953129">
            <w:r>
              <w:rPr>
                <w:webHidden/>
                <w:rStyle w:val="IndexLink"/>
                <w:rtl w:val="true"/>
              </w:rPr>
              <w:t>العلاقة بین الحضارات</w:t>
            </w:r>
            <w:r>
              <w:rPr>
                <w:rStyle w:val="IndexLink"/>
                <w:rtl w:val="true"/>
              </w:rPr>
              <w:tab/>
            </w:r>
            <w:r>
              <w:rPr>
                <w:rStyle w:val="IndexLink"/>
              </w:rPr>
              <w:t>185</w:t>
            </w:r>
          </w:hyperlink>
        </w:p>
        <w:p>
          <w:pPr>
            <w:pStyle w:val="Contents3"/>
            <w:tabs>
              <w:tab w:val="clear" w:pos="8459"/>
              <w:tab w:val="right" w:pos="9026" w:leader="dot"/>
            </w:tabs>
            <w:rPr/>
          </w:pPr>
          <w:hyperlink w:anchor="__RefHeading___Toc2109044_581953129">
            <w:r>
              <w:rPr>
                <w:webHidden/>
                <w:rStyle w:val="IndexLink"/>
                <w:rtl w:val="true"/>
              </w:rPr>
              <w:t>أصالة التأثیر</w:t>
            </w:r>
            <w:r>
              <w:rPr>
                <w:rStyle w:val="IndexLink"/>
                <w:rtl w:val="true"/>
              </w:rPr>
              <w:tab/>
            </w:r>
            <w:r>
              <w:rPr>
                <w:rStyle w:val="IndexLink"/>
              </w:rPr>
              <w:t>186</w:t>
            </w:r>
          </w:hyperlink>
        </w:p>
        <w:p>
          <w:pPr>
            <w:pStyle w:val="Contents3"/>
            <w:tabs>
              <w:tab w:val="clear" w:pos="8459"/>
              <w:tab w:val="right" w:pos="9026" w:leader="dot"/>
            </w:tabs>
            <w:rPr/>
          </w:pPr>
          <w:hyperlink w:anchor="__RefHeading___Toc2109046_581953129">
            <w:r>
              <w:rPr>
                <w:webHidden/>
                <w:rStyle w:val="IndexLink"/>
                <w:rtl w:val="true"/>
              </w:rPr>
              <w:t>طرق الانتقال</w:t>
            </w:r>
            <w:r>
              <w:rPr>
                <w:rStyle w:val="IndexLink"/>
                <w:rtl w:val="true"/>
              </w:rPr>
              <w:tab/>
            </w:r>
            <w:r>
              <w:rPr>
                <w:rStyle w:val="IndexLink"/>
              </w:rPr>
              <w:t>188</w:t>
            </w:r>
          </w:hyperlink>
        </w:p>
        <w:p>
          <w:pPr>
            <w:pStyle w:val="Contents4"/>
            <w:tabs>
              <w:tab w:val="clear" w:pos="8176"/>
              <w:tab w:val="right" w:pos="9026" w:leader="dot"/>
            </w:tabs>
            <w:rPr/>
          </w:pPr>
          <w:hyperlink w:anchor="__RefHeading___Toc2109048_58195312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109050_581953129">
            <w:r>
              <w:rPr>
                <w:webHidden/>
                <w:rStyle w:val="IndexLink"/>
                <w:rtl w:val="true"/>
              </w:rPr>
              <w:t>أ</w:t>
            </w:r>
            <w:r>
              <w:rPr>
                <w:rStyle w:val="IndexLink"/>
                <w:rtl w:val="true"/>
              </w:rPr>
              <w:t>)</w:t>
            </w:r>
            <w:r>
              <w:rPr>
                <w:rStyle w:val="IndexLink"/>
                <w:rtl w:val="true"/>
              </w:rPr>
              <w:t>الترجمة</w:t>
            </w:r>
            <w:r>
              <w:rPr>
                <w:rStyle w:val="IndexLink"/>
                <w:rtl w:val="true"/>
              </w:rPr>
              <w:tab/>
            </w:r>
            <w:r>
              <w:rPr>
                <w:rStyle w:val="IndexLink"/>
              </w:rPr>
              <w:t>188</w:t>
            </w:r>
          </w:hyperlink>
        </w:p>
        <w:p>
          <w:pPr>
            <w:pStyle w:val="Contents4"/>
            <w:tabs>
              <w:tab w:val="clear" w:pos="8176"/>
              <w:tab w:val="right" w:pos="9026" w:leader="dot"/>
            </w:tabs>
            <w:rPr/>
          </w:pPr>
          <w:hyperlink w:anchor="__RefHeading___Toc2109052_581953129">
            <w:r>
              <w:rPr>
                <w:webHidden/>
                <w:rStyle w:val="IndexLink"/>
                <w:rtl w:val="true"/>
              </w:rPr>
              <w:t>ب</w:t>
            </w:r>
            <w:r>
              <w:rPr>
                <w:rStyle w:val="IndexLink"/>
                <w:rtl w:val="true"/>
              </w:rPr>
              <w:t>)</w:t>
            </w:r>
            <w:r>
              <w:rPr>
                <w:rStyle w:val="IndexLink"/>
                <w:rtl w:val="true"/>
              </w:rPr>
              <w:t>الحروب الصلیبیة</w:t>
            </w:r>
            <w:r>
              <w:rPr>
                <w:rStyle w:val="IndexLink"/>
                <w:rtl w:val="true"/>
              </w:rPr>
              <w:tab/>
            </w:r>
            <w:r>
              <w:rPr>
                <w:rStyle w:val="IndexLink"/>
              </w:rPr>
              <w:t>191</w:t>
            </w:r>
          </w:hyperlink>
        </w:p>
        <w:p>
          <w:pPr>
            <w:pStyle w:val="Contents4"/>
            <w:tabs>
              <w:tab w:val="clear" w:pos="8176"/>
              <w:tab w:val="right" w:pos="9026" w:leader="dot"/>
            </w:tabs>
            <w:rPr/>
          </w:pPr>
          <w:hyperlink w:anchor="__RefHeading___Toc2109054_581953129">
            <w:r>
              <w:rPr>
                <w:webHidden/>
                <w:rStyle w:val="IndexLink"/>
                <w:rtl w:val="true"/>
              </w:rPr>
              <w:t>ج</w:t>
            </w:r>
            <w:r>
              <w:rPr>
                <w:rStyle w:val="IndexLink"/>
                <w:rtl w:val="true"/>
              </w:rPr>
              <w:t>)</w:t>
            </w:r>
            <w:r>
              <w:rPr>
                <w:rStyle w:val="IndexLink"/>
                <w:rtl w:val="true"/>
              </w:rPr>
              <w:t>الطرق الاُخری</w:t>
            </w:r>
            <w:r>
              <w:rPr>
                <w:rStyle w:val="IndexLink"/>
                <w:rtl w:val="true"/>
              </w:rPr>
              <w:tab/>
            </w:r>
            <w:r>
              <w:rPr>
                <w:rStyle w:val="IndexLink"/>
              </w:rPr>
              <w:t>192</w:t>
            </w:r>
          </w:hyperlink>
        </w:p>
        <w:p>
          <w:pPr>
            <w:pStyle w:val="Contents3"/>
            <w:tabs>
              <w:tab w:val="clear" w:pos="8459"/>
              <w:tab w:val="right" w:pos="9026" w:leader="dot"/>
            </w:tabs>
            <w:rPr/>
          </w:pPr>
          <w:hyperlink w:anchor="__RefHeading___Toc2109056_581953129">
            <w:r>
              <w:rPr>
                <w:webHidden/>
                <w:rStyle w:val="IndexLink"/>
                <w:rtl w:val="true"/>
              </w:rPr>
              <w:t>دائرة التأثیر</w:t>
            </w:r>
            <w:r>
              <w:rPr>
                <w:rStyle w:val="IndexLink"/>
                <w:rtl w:val="true"/>
              </w:rPr>
              <w:tab/>
            </w:r>
            <w:r>
              <w:rPr>
                <w:rStyle w:val="IndexLink"/>
              </w:rPr>
              <w:t>193</w:t>
            </w:r>
          </w:hyperlink>
        </w:p>
        <w:p>
          <w:pPr>
            <w:pStyle w:val="Contents4"/>
            <w:tabs>
              <w:tab w:val="clear" w:pos="8176"/>
              <w:tab w:val="right" w:pos="9026" w:leader="dot"/>
            </w:tabs>
            <w:rPr/>
          </w:pPr>
          <w:hyperlink w:anchor="__RefHeading___Toc2109058_58195312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109060_581953129">
            <w:r>
              <w:rPr>
                <w:webHidden/>
                <w:rStyle w:val="IndexLink"/>
                <w:rtl w:val="true"/>
              </w:rPr>
              <w:t>أ</w:t>
            </w:r>
            <w:r>
              <w:rPr>
                <w:rStyle w:val="IndexLink"/>
                <w:rtl w:val="true"/>
              </w:rPr>
              <w:t>)</w:t>
            </w:r>
            <w:r>
              <w:rPr>
                <w:rStyle w:val="IndexLink"/>
                <w:rtl w:val="true"/>
              </w:rPr>
              <w:t>الفلسفة</w:t>
            </w:r>
            <w:r>
              <w:rPr>
                <w:rStyle w:val="IndexLink"/>
                <w:rtl w:val="true"/>
              </w:rPr>
              <w:tab/>
            </w:r>
            <w:r>
              <w:rPr>
                <w:rStyle w:val="IndexLink"/>
              </w:rPr>
              <w:t>195</w:t>
            </w:r>
          </w:hyperlink>
        </w:p>
        <w:p>
          <w:pPr>
            <w:pStyle w:val="Contents4"/>
            <w:tabs>
              <w:tab w:val="clear" w:pos="8176"/>
              <w:tab w:val="right" w:pos="9026" w:leader="dot"/>
            </w:tabs>
            <w:rPr/>
          </w:pPr>
          <w:hyperlink w:anchor="__RefHeading___Toc2109062_581953129">
            <w:r>
              <w:rPr>
                <w:webHidden/>
                <w:rStyle w:val="IndexLink"/>
                <w:rtl w:val="true"/>
              </w:rPr>
              <w:t>ب</w:t>
            </w:r>
            <w:r>
              <w:rPr>
                <w:rStyle w:val="IndexLink"/>
                <w:rtl w:val="true"/>
              </w:rPr>
              <w:t>)</w:t>
            </w:r>
            <w:r>
              <w:rPr>
                <w:rStyle w:val="IndexLink"/>
                <w:rtl w:val="true"/>
              </w:rPr>
              <w:t>الطب</w:t>
            </w:r>
            <w:r>
              <w:rPr>
                <w:rStyle w:val="IndexLink"/>
                <w:rtl w:val="true"/>
              </w:rPr>
              <w:tab/>
            </w:r>
            <w:r>
              <w:rPr>
                <w:rStyle w:val="IndexLink"/>
              </w:rPr>
              <w:t>195</w:t>
            </w:r>
          </w:hyperlink>
        </w:p>
        <w:p>
          <w:pPr>
            <w:pStyle w:val="Contents4"/>
            <w:tabs>
              <w:tab w:val="clear" w:pos="8176"/>
              <w:tab w:val="right" w:pos="9026" w:leader="dot"/>
            </w:tabs>
            <w:rPr/>
          </w:pPr>
          <w:hyperlink w:anchor="__RefHeading___Toc2109064_581953129">
            <w:r>
              <w:rPr>
                <w:webHidden/>
                <w:rStyle w:val="IndexLink"/>
                <w:rtl w:val="true"/>
              </w:rPr>
              <w:t>ج</w:t>
            </w:r>
            <w:r>
              <w:rPr>
                <w:rStyle w:val="IndexLink"/>
                <w:rtl w:val="true"/>
              </w:rPr>
              <w:t>)</w:t>
            </w:r>
            <w:r>
              <w:rPr>
                <w:rStyle w:val="IndexLink"/>
                <w:rtl w:val="true"/>
              </w:rPr>
              <w:t>الریاضیات</w:t>
            </w:r>
            <w:r>
              <w:rPr>
                <w:rStyle w:val="IndexLink"/>
                <w:rtl w:val="true"/>
              </w:rPr>
              <w:tab/>
            </w:r>
            <w:r>
              <w:rPr>
                <w:rStyle w:val="IndexLink"/>
              </w:rPr>
              <w:t>195</w:t>
            </w:r>
          </w:hyperlink>
        </w:p>
        <w:p>
          <w:pPr>
            <w:pStyle w:val="Contents4"/>
            <w:tabs>
              <w:tab w:val="clear" w:pos="8176"/>
              <w:tab w:val="right" w:pos="9026" w:leader="dot"/>
            </w:tabs>
            <w:rPr/>
          </w:pPr>
          <w:hyperlink w:anchor="__RefHeading___Toc2109066_581953129">
            <w:r>
              <w:rPr>
                <w:webHidden/>
                <w:rStyle w:val="IndexLink"/>
                <w:rtl w:val="true"/>
              </w:rPr>
              <w:t>د</w:t>
            </w:r>
            <w:r>
              <w:rPr>
                <w:rStyle w:val="IndexLink"/>
                <w:rtl w:val="true"/>
              </w:rPr>
              <w:t>)</w:t>
            </w:r>
            <w:r>
              <w:rPr>
                <w:rStyle w:val="IndexLink"/>
                <w:rtl w:val="true"/>
              </w:rPr>
              <w:t>علم النجوم</w:t>
            </w:r>
            <w:r>
              <w:rPr>
                <w:rStyle w:val="IndexLink"/>
                <w:rtl w:val="true"/>
              </w:rPr>
              <w:tab/>
            </w:r>
            <w:r>
              <w:rPr>
                <w:rStyle w:val="IndexLink"/>
              </w:rPr>
              <w:t>195</w:t>
            </w:r>
          </w:hyperlink>
        </w:p>
        <w:p>
          <w:pPr>
            <w:pStyle w:val="Contents4"/>
            <w:tabs>
              <w:tab w:val="clear" w:pos="8176"/>
              <w:tab w:val="right" w:pos="9026" w:leader="dot"/>
            </w:tabs>
            <w:rPr/>
          </w:pPr>
          <w:hyperlink w:anchor="__RefHeading___Toc2109068_581953129">
            <w:r>
              <w:rPr>
                <w:webHidden/>
                <w:rStyle w:val="IndexLink"/>
                <w:rtl w:val="true"/>
              </w:rPr>
              <w:t>ه</w:t>
            </w:r>
            <w:r>
              <w:rPr>
                <w:rStyle w:val="IndexLink"/>
                <w:rtl w:val="true"/>
              </w:rPr>
              <w:t>-)</w:t>
            </w:r>
            <w:r>
              <w:rPr>
                <w:rStyle w:val="IndexLink"/>
                <w:rtl w:val="true"/>
              </w:rPr>
              <w:t>العمارة</w:t>
            </w:r>
            <w:r>
              <w:rPr>
                <w:rStyle w:val="IndexLink"/>
                <w:rtl w:val="true"/>
              </w:rPr>
              <w:tab/>
            </w:r>
            <w:r>
              <w:rPr>
                <w:rStyle w:val="IndexLink"/>
              </w:rPr>
              <w:t>196</w:t>
            </w:r>
          </w:hyperlink>
        </w:p>
        <w:p>
          <w:pPr>
            <w:pStyle w:val="Contents3"/>
            <w:tabs>
              <w:tab w:val="clear" w:pos="8459"/>
              <w:tab w:val="right" w:pos="9026" w:leader="dot"/>
            </w:tabs>
            <w:rPr/>
          </w:pPr>
          <w:hyperlink w:anchor="__RefHeading___Toc2109070_581953129">
            <w:r>
              <w:rPr>
                <w:webHidden/>
                <w:rStyle w:val="IndexLink"/>
                <w:rtl w:val="true"/>
              </w:rPr>
              <w:t>الخلاصة</w:t>
            </w:r>
            <w:r>
              <w:rPr>
                <w:rStyle w:val="IndexLink"/>
                <w:rtl w:val="true"/>
              </w:rPr>
              <w:tab/>
            </w:r>
            <w:r>
              <w:rPr>
                <w:rStyle w:val="IndexLink"/>
              </w:rPr>
              <w:t>196</w:t>
            </w:r>
          </w:hyperlink>
        </w:p>
        <w:p>
          <w:pPr>
            <w:pStyle w:val="Contents3"/>
            <w:tabs>
              <w:tab w:val="clear" w:pos="8459"/>
              <w:tab w:val="right" w:pos="9026" w:leader="dot"/>
            </w:tabs>
            <w:rPr/>
          </w:pPr>
          <w:hyperlink w:anchor="__RefHeading___Toc2109072_581953129">
            <w:r>
              <w:rPr>
                <w:webHidden/>
                <w:rStyle w:val="IndexLink"/>
                <w:rtl w:val="true"/>
              </w:rPr>
              <w:t>الأسئلة</w:t>
            </w:r>
            <w:r>
              <w:rPr>
                <w:rStyle w:val="IndexLink"/>
                <w:rtl w:val="true"/>
              </w:rPr>
              <w:tab/>
            </w:r>
            <w:r>
              <w:rPr>
                <w:rStyle w:val="IndexLink"/>
              </w:rPr>
              <w:t>197</w:t>
            </w:r>
          </w:hyperlink>
        </w:p>
        <w:p>
          <w:pPr>
            <w:pStyle w:val="Contents2"/>
            <w:tabs>
              <w:tab w:val="clear" w:pos="8743"/>
              <w:tab w:val="right" w:pos="9026" w:leader="dot"/>
            </w:tabs>
            <w:rPr/>
          </w:pPr>
          <w:hyperlink w:anchor="__RefHeading___Toc2109074_581953129">
            <w:r>
              <w:rPr>
                <w:webHidden/>
                <w:rStyle w:val="IndexLink"/>
              </w:rPr>
              <w:t>8</w:t>
            </w:r>
            <w:r>
              <w:rPr>
                <w:rStyle w:val="IndexLink"/>
                <w:rtl w:val="true"/>
              </w:rPr>
              <w:t xml:space="preserve">- </w:t>
            </w:r>
            <w:r>
              <w:rPr>
                <w:rStyle w:val="IndexLink"/>
                <w:rtl w:val="true"/>
              </w:rPr>
              <w:t>عوامل افول الحضارة الإسلامیة</w:t>
            </w:r>
            <w:r>
              <w:rPr>
                <w:rStyle w:val="IndexLink"/>
                <w:rtl w:val="true"/>
              </w:rPr>
              <w:tab/>
            </w:r>
            <w:r>
              <w:rPr>
                <w:rStyle w:val="IndexLink"/>
              </w:rPr>
              <w:t>198</w:t>
            </w:r>
          </w:hyperlink>
        </w:p>
        <w:p>
          <w:pPr>
            <w:pStyle w:val="Contents3"/>
            <w:tabs>
              <w:tab w:val="clear" w:pos="8459"/>
              <w:tab w:val="right" w:pos="9026" w:leader="dot"/>
            </w:tabs>
            <w:rPr/>
          </w:pPr>
          <w:hyperlink w:anchor="__RefHeading___Toc2109076_581953129">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2109078_581953129">
            <w:r>
              <w:rPr>
                <w:webHidden/>
                <w:rStyle w:val="IndexLink"/>
                <w:rtl w:val="true"/>
              </w:rPr>
              <w:t>عوامل ضعف أو انهیار الحضارات</w:t>
            </w:r>
            <w:r>
              <w:rPr>
                <w:rStyle w:val="IndexLink"/>
                <w:rtl w:val="true"/>
              </w:rPr>
              <w:tab/>
            </w:r>
            <w:r>
              <w:rPr>
                <w:rStyle w:val="IndexLink"/>
              </w:rPr>
              <w:t>198</w:t>
            </w:r>
          </w:hyperlink>
        </w:p>
        <w:p>
          <w:pPr>
            <w:pStyle w:val="Contents4"/>
            <w:tabs>
              <w:tab w:val="clear" w:pos="8176"/>
              <w:tab w:val="right" w:pos="9026" w:leader="dot"/>
            </w:tabs>
            <w:rPr/>
          </w:pPr>
          <w:hyperlink w:anchor="__RefHeading___Toc2109080_58195312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2109082_581953129">
            <w:r>
              <w:rPr>
                <w:webHidden/>
                <w:rStyle w:val="IndexLink"/>
                <w:rtl w:val="true"/>
              </w:rPr>
              <w:t>أ</w:t>
            </w:r>
            <w:r>
              <w:rPr>
                <w:rStyle w:val="IndexLink"/>
                <w:rtl w:val="true"/>
              </w:rPr>
              <w:t>)</w:t>
            </w:r>
            <w:r>
              <w:rPr>
                <w:rStyle w:val="IndexLink"/>
                <w:rtl w:val="true"/>
              </w:rPr>
              <w:t>العوامل الداخلیة</w:t>
            </w:r>
            <w:r>
              <w:rPr>
                <w:rStyle w:val="IndexLink"/>
                <w:rtl w:val="true"/>
              </w:rPr>
              <w:tab/>
            </w:r>
            <w:r>
              <w:rPr>
                <w:rStyle w:val="IndexLink"/>
              </w:rPr>
              <w:t>199</w:t>
            </w:r>
          </w:hyperlink>
        </w:p>
        <w:p>
          <w:pPr>
            <w:pStyle w:val="Contents5"/>
            <w:tabs>
              <w:tab w:val="clear" w:pos="7892"/>
              <w:tab w:val="right" w:pos="9026" w:leader="dot"/>
            </w:tabs>
            <w:rPr/>
          </w:pPr>
          <w:hyperlink w:anchor="__RefHeading___Toc2109084_581953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109086_581953129">
            <w:r>
              <w:rPr>
                <w:webHidden/>
                <w:rStyle w:val="IndexLink"/>
              </w:rPr>
              <w:t>1</w:t>
            </w:r>
            <w:r>
              <w:rPr>
                <w:rStyle w:val="IndexLink"/>
                <w:rtl w:val="true"/>
              </w:rPr>
              <w:t>-</w:t>
            </w:r>
            <w:r>
              <w:rPr>
                <w:rStyle w:val="IndexLink"/>
                <w:rtl w:val="true"/>
              </w:rPr>
              <w:t>الثقافة</w:t>
            </w:r>
            <w:r>
              <w:rPr>
                <w:rStyle w:val="IndexLink"/>
                <w:rtl w:val="true"/>
              </w:rPr>
              <w:tab/>
            </w:r>
            <w:r>
              <w:rPr>
                <w:rStyle w:val="IndexLink"/>
              </w:rPr>
              <w:t>199</w:t>
            </w:r>
          </w:hyperlink>
        </w:p>
        <w:p>
          <w:pPr>
            <w:pStyle w:val="Contents5"/>
            <w:tabs>
              <w:tab w:val="clear" w:pos="7892"/>
              <w:tab w:val="right" w:pos="9026" w:leader="dot"/>
            </w:tabs>
            <w:rPr/>
          </w:pPr>
          <w:hyperlink w:anchor="__RefHeading___Toc2109088_581953129">
            <w:r>
              <w:rPr>
                <w:webHidden/>
                <w:rStyle w:val="IndexLink"/>
              </w:rPr>
              <w:t>2</w:t>
            </w:r>
            <w:r>
              <w:rPr>
                <w:rStyle w:val="IndexLink"/>
                <w:rtl w:val="true"/>
              </w:rPr>
              <w:t>-</w:t>
            </w:r>
            <w:r>
              <w:rPr>
                <w:rStyle w:val="IndexLink"/>
                <w:rtl w:val="true"/>
              </w:rPr>
              <w:t>العامل الإنسانی</w:t>
            </w:r>
            <w:r>
              <w:rPr>
                <w:rStyle w:val="IndexLink"/>
                <w:rtl w:val="true"/>
              </w:rPr>
              <w:tab/>
            </w:r>
            <w:r>
              <w:rPr>
                <w:rStyle w:val="IndexLink"/>
              </w:rPr>
              <w:t>199</w:t>
            </w:r>
          </w:hyperlink>
        </w:p>
        <w:p>
          <w:pPr>
            <w:pStyle w:val="Contents5"/>
            <w:tabs>
              <w:tab w:val="clear" w:pos="7892"/>
              <w:tab w:val="right" w:pos="9026" w:leader="dot"/>
            </w:tabs>
            <w:rPr/>
          </w:pPr>
          <w:hyperlink w:anchor="__RefHeading___Toc2109090_581953129">
            <w:r>
              <w:rPr>
                <w:webHidden/>
                <w:rStyle w:val="IndexLink"/>
              </w:rPr>
              <w:t>3</w:t>
            </w:r>
            <w:r>
              <w:rPr>
                <w:rStyle w:val="IndexLink"/>
                <w:rtl w:val="true"/>
              </w:rPr>
              <w:t>-</w:t>
            </w:r>
            <w:r>
              <w:rPr>
                <w:rStyle w:val="IndexLink"/>
                <w:rtl w:val="true"/>
              </w:rPr>
              <w:t>الظلم</w:t>
            </w:r>
            <w:r>
              <w:rPr>
                <w:rStyle w:val="IndexLink"/>
                <w:rtl w:val="true"/>
              </w:rPr>
              <w:tab/>
            </w:r>
            <w:r>
              <w:rPr>
                <w:rStyle w:val="IndexLink"/>
              </w:rPr>
              <w:t>200</w:t>
            </w:r>
          </w:hyperlink>
        </w:p>
        <w:p>
          <w:pPr>
            <w:pStyle w:val="Contents4"/>
            <w:tabs>
              <w:tab w:val="clear" w:pos="8176"/>
              <w:tab w:val="right" w:pos="9026" w:leader="dot"/>
            </w:tabs>
            <w:rPr/>
          </w:pPr>
          <w:hyperlink w:anchor="__RefHeading___Toc2109092_581953129">
            <w:r>
              <w:rPr>
                <w:webHidden/>
                <w:rStyle w:val="IndexLink"/>
                <w:rtl w:val="true"/>
              </w:rPr>
              <w:t>ب</w:t>
            </w:r>
            <w:r>
              <w:rPr>
                <w:rStyle w:val="IndexLink"/>
                <w:rtl w:val="true"/>
              </w:rPr>
              <w:t>)</w:t>
            </w:r>
            <w:r>
              <w:rPr>
                <w:rStyle w:val="IndexLink"/>
                <w:rtl w:val="true"/>
              </w:rPr>
              <w:t>العوامل الخارجیة</w:t>
            </w:r>
            <w:r>
              <w:rPr>
                <w:rStyle w:val="IndexLink"/>
                <w:rtl w:val="true"/>
              </w:rPr>
              <w:tab/>
            </w:r>
            <w:r>
              <w:rPr>
                <w:rStyle w:val="IndexLink"/>
              </w:rPr>
              <w:t>201</w:t>
            </w:r>
          </w:hyperlink>
        </w:p>
        <w:p>
          <w:pPr>
            <w:pStyle w:val="Contents5"/>
            <w:tabs>
              <w:tab w:val="clear" w:pos="7892"/>
              <w:tab w:val="right" w:pos="9026" w:leader="dot"/>
            </w:tabs>
            <w:rPr/>
          </w:pPr>
          <w:hyperlink w:anchor="__RefHeading___Toc2109094_581953129">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109096_581953129">
            <w:r>
              <w:rPr>
                <w:webHidden/>
                <w:rStyle w:val="IndexLink"/>
              </w:rPr>
              <w:t>1</w:t>
            </w:r>
            <w:r>
              <w:rPr>
                <w:rStyle w:val="IndexLink"/>
                <w:rtl w:val="true"/>
              </w:rPr>
              <w:t>-</w:t>
            </w:r>
            <w:r>
              <w:rPr>
                <w:rStyle w:val="IndexLink"/>
                <w:rtl w:val="true"/>
              </w:rPr>
              <w:t>الغزو العسکری</w:t>
            </w:r>
            <w:r>
              <w:rPr>
                <w:rStyle w:val="IndexLink"/>
                <w:rtl w:val="true"/>
              </w:rPr>
              <w:tab/>
            </w:r>
            <w:r>
              <w:rPr>
                <w:rStyle w:val="IndexLink"/>
              </w:rPr>
              <w:t>202</w:t>
            </w:r>
          </w:hyperlink>
        </w:p>
        <w:p>
          <w:pPr>
            <w:pStyle w:val="Contents5"/>
            <w:tabs>
              <w:tab w:val="clear" w:pos="7892"/>
              <w:tab w:val="right" w:pos="9026" w:leader="dot"/>
            </w:tabs>
            <w:rPr/>
          </w:pPr>
          <w:hyperlink w:anchor="__RefHeading___Toc2109098_581953129">
            <w:r>
              <w:rPr>
                <w:webHidden/>
                <w:rStyle w:val="IndexLink"/>
              </w:rPr>
              <w:t>2</w:t>
            </w:r>
            <w:r>
              <w:rPr>
                <w:rStyle w:val="IndexLink"/>
                <w:rtl w:val="true"/>
              </w:rPr>
              <w:t>-</w:t>
            </w:r>
            <w:r>
              <w:rPr>
                <w:rStyle w:val="IndexLink"/>
                <w:rtl w:val="true"/>
              </w:rPr>
              <w:t>الغزو الاقتصادی</w:t>
            </w:r>
            <w:r>
              <w:rPr>
                <w:rStyle w:val="IndexLink"/>
                <w:rtl w:val="true"/>
              </w:rPr>
              <w:tab/>
            </w:r>
            <w:r>
              <w:rPr>
                <w:rStyle w:val="IndexLink"/>
              </w:rPr>
              <w:t>202</w:t>
            </w:r>
          </w:hyperlink>
        </w:p>
        <w:p>
          <w:pPr>
            <w:pStyle w:val="Contents5"/>
            <w:tabs>
              <w:tab w:val="clear" w:pos="7892"/>
              <w:tab w:val="right" w:pos="9026" w:leader="dot"/>
            </w:tabs>
            <w:rPr/>
          </w:pPr>
          <w:hyperlink w:anchor="__RefHeading___Toc2109100_581953129">
            <w:r>
              <w:rPr>
                <w:webHidden/>
                <w:rStyle w:val="IndexLink"/>
              </w:rPr>
              <w:t>3</w:t>
            </w:r>
            <w:r>
              <w:rPr>
                <w:rStyle w:val="IndexLink"/>
                <w:rtl w:val="true"/>
              </w:rPr>
              <w:t>-</w:t>
            </w:r>
            <w:r>
              <w:rPr>
                <w:rStyle w:val="IndexLink"/>
                <w:rtl w:val="true"/>
              </w:rPr>
              <w:t>الغزو الثقافی</w:t>
            </w:r>
            <w:r>
              <w:rPr>
                <w:rStyle w:val="IndexLink"/>
                <w:rtl w:val="true"/>
              </w:rPr>
              <w:tab/>
            </w:r>
            <w:r>
              <w:rPr>
                <w:rStyle w:val="IndexLink"/>
              </w:rPr>
              <w:t>202</w:t>
            </w:r>
          </w:hyperlink>
        </w:p>
        <w:p>
          <w:pPr>
            <w:pStyle w:val="Contents3"/>
            <w:tabs>
              <w:tab w:val="clear" w:pos="8459"/>
              <w:tab w:val="right" w:pos="9026" w:leader="dot"/>
            </w:tabs>
            <w:rPr/>
          </w:pPr>
          <w:hyperlink w:anchor="__RefHeading___Toc2109102_581953129">
            <w:r>
              <w:rPr>
                <w:webHidden/>
                <w:rStyle w:val="IndexLink"/>
                <w:rtl w:val="true"/>
              </w:rPr>
              <w:t>عوامل افول الحضارة الإسلامیة</w:t>
            </w:r>
            <w:r>
              <w:rPr>
                <w:rStyle w:val="IndexLink"/>
                <w:rtl w:val="true"/>
              </w:rPr>
              <w:tab/>
            </w:r>
            <w:r>
              <w:rPr>
                <w:rStyle w:val="IndexLink"/>
              </w:rPr>
              <w:t>203</w:t>
            </w:r>
          </w:hyperlink>
        </w:p>
        <w:p>
          <w:pPr>
            <w:pStyle w:val="Contents4"/>
            <w:tabs>
              <w:tab w:val="clear" w:pos="8176"/>
              <w:tab w:val="right" w:pos="9026" w:leader="dot"/>
            </w:tabs>
            <w:rPr/>
          </w:pPr>
          <w:hyperlink w:anchor="__RefHeading___Toc2109104_58195312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2109106_581953129">
            <w:r>
              <w:rPr>
                <w:webHidden/>
                <w:rStyle w:val="IndexLink"/>
                <w:rtl w:val="true"/>
              </w:rPr>
              <w:t>أ</w:t>
            </w:r>
            <w:r>
              <w:rPr>
                <w:rStyle w:val="IndexLink"/>
                <w:rtl w:val="true"/>
              </w:rPr>
              <w:t>)</w:t>
            </w:r>
            <w:r>
              <w:rPr>
                <w:rStyle w:val="IndexLink"/>
                <w:rtl w:val="true"/>
              </w:rPr>
              <w:t>العوامل الداخلیة لأفول الحضارة الإسلامیة</w:t>
            </w:r>
            <w:r>
              <w:rPr>
                <w:rStyle w:val="IndexLink"/>
                <w:rtl w:val="true"/>
              </w:rPr>
              <w:tab/>
            </w:r>
            <w:r>
              <w:rPr>
                <w:rStyle w:val="IndexLink"/>
              </w:rPr>
              <w:t>204</w:t>
            </w:r>
          </w:hyperlink>
        </w:p>
        <w:p>
          <w:pPr>
            <w:pStyle w:val="Contents5"/>
            <w:tabs>
              <w:tab w:val="clear" w:pos="7892"/>
              <w:tab w:val="right" w:pos="9026" w:leader="dot"/>
            </w:tabs>
            <w:rPr/>
          </w:pPr>
          <w:hyperlink w:anchor="__RefHeading___Toc2109108_581953129">
            <w:r>
              <w:rPr>
                <w:webHidden/>
                <w:rStyle w:val="IndexLink"/>
              </w:rPr>
              <w:t>1</w:t>
            </w:r>
            <w:r>
              <w:rPr>
                <w:rStyle w:val="IndexLink"/>
                <w:rtl w:val="true"/>
              </w:rPr>
              <w:t>-</w:t>
            </w:r>
            <w:r>
              <w:rPr>
                <w:rStyle w:val="IndexLink"/>
                <w:rtl w:val="true"/>
              </w:rPr>
              <w:t>الانحراف عن التعالیم الإسلامیة الأصیلة</w:t>
            </w:r>
            <w:r>
              <w:rPr>
                <w:rStyle w:val="IndexLink"/>
                <w:rtl w:val="true"/>
              </w:rPr>
              <w:tab/>
            </w:r>
            <w:r>
              <w:rPr>
                <w:rStyle w:val="IndexLink"/>
              </w:rPr>
              <w:t>204</w:t>
            </w:r>
          </w:hyperlink>
        </w:p>
        <w:p>
          <w:pPr>
            <w:pStyle w:val="Contents5"/>
            <w:tabs>
              <w:tab w:val="clear" w:pos="7892"/>
              <w:tab w:val="right" w:pos="9026" w:leader="dot"/>
            </w:tabs>
            <w:rPr/>
          </w:pPr>
          <w:hyperlink w:anchor="__RefHeading___Toc2109110_581953129">
            <w:r>
              <w:rPr>
                <w:webHidden/>
                <w:rStyle w:val="IndexLink"/>
              </w:rPr>
              <w:t>2</w:t>
            </w:r>
            <w:r>
              <w:rPr>
                <w:rStyle w:val="IndexLink"/>
                <w:rtl w:val="true"/>
              </w:rPr>
              <w:t>-</w:t>
            </w:r>
            <w:r>
              <w:rPr>
                <w:rStyle w:val="IndexLink"/>
                <w:rtl w:val="true"/>
              </w:rPr>
              <w:t>الطائفیة</w:t>
            </w:r>
            <w:r>
              <w:rPr>
                <w:rStyle w:val="IndexLink"/>
                <w:rtl w:val="true"/>
              </w:rPr>
              <w:tab/>
            </w:r>
            <w:r>
              <w:rPr>
                <w:rStyle w:val="IndexLink"/>
              </w:rPr>
              <w:t>205</w:t>
            </w:r>
          </w:hyperlink>
        </w:p>
        <w:p>
          <w:pPr>
            <w:pStyle w:val="Contents5"/>
            <w:tabs>
              <w:tab w:val="clear" w:pos="7892"/>
              <w:tab w:val="right" w:pos="9026" w:leader="dot"/>
            </w:tabs>
            <w:rPr/>
          </w:pPr>
          <w:hyperlink w:anchor="__RefHeading___Toc2109112_581953129">
            <w:r>
              <w:rPr>
                <w:webHidden/>
                <w:rStyle w:val="IndexLink"/>
              </w:rPr>
              <w:t>3</w:t>
            </w:r>
            <w:r>
              <w:rPr>
                <w:rStyle w:val="IndexLink"/>
                <w:rtl w:val="true"/>
              </w:rPr>
              <w:t>-</w:t>
            </w:r>
            <w:r>
              <w:rPr>
                <w:rStyle w:val="IndexLink"/>
                <w:rtl w:val="true"/>
              </w:rPr>
              <w:t>تغیر الفکر السیاسی</w:t>
            </w:r>
            <w:r>
              <w:rPr>
                <w:rStyle w:val="IndexLink"/>
                <w:rtl w:val="true"/>
              </w:rPr>
              <w:tab/>
            </w:r>
            <w:r>
              <w:rPr>
                <w:rStyle w:val="IndexLink"/>
              </w:rPr>
              <w:t>206</w:t>
            </w:r>
          </w:hyperlink>
        </w:p>
        <w:p>
          <w:pPr>
            <w:pStyle w:val="Contents5"/>
            <w:tabs>
              <w:tab w:val="clear" w:pos="7892"/>
              <w:tab w:val="right" w:pos="9026" w:leader="dot"/>
            </w:tabs>
            <w:rPr/>
          </w:pPr>
          <w:hyperlink w:anchor="__RefHeading___Toc2109114_581953129">
            <w:r>
              <w:rPr>
                <w:webHidden/>
                <w:rStyle w:val="IndexLink"/>
              </w:rPr>
              <w:t>4</w:t>
            </w:r>
            <w:r>
              <w:rPr>
                <w:rStyle w:val="IndexLink"/>
                <w:rtl w:val="true"/>
              </w:rPr>
              <w:t>-</w:t>
            </w:r>
            <w:r>
              <w:rPr>
                <w:rStyle w:val="IndexLink"/>
                <w:rtl w:val="true"/>
              </w:rPr>
              <w:t>الترف</w:t>
            </w:r>
            <w:r>
              <w:rPr>
                <w:rStyle w:val="IndexLink"/>
                <w:rtl w:val="true"/>
              </w:rPr>
              <w:tab/>
            </w:r>
            <w:r>
              <w:rPr>
                <w:rStyle w:val="IndexLink"/>
              </w:rPr>
              <w:t>208</w:t>
            </w:r>
          </w:hyperlink>
        </w:p>
        <w:p>
          <w:pPr>
            <w:pStyle w:val="Contents4"/>
            <w:tabs>
              <w:tab w:val="clear" w:pos="8176"/>
              <w:tab w:val="right" w:pos="9026" w:leader="dot"/>
            </w:tabs>
            <w:rPr/>
          </w:pPr>
          <w:hyperlink w:anchor="__RefHeading___Toc2109116_581953129">
            <w:r>
              <w:rPr>
                <w:webHidden/>
                <w:rStyle w:val="IndexLink"/>
                <w:rtl w:val="true"/>
              </w:rPr>
              <w:t>ب</w:t>
            </w:r>
            <w:r>
              <w:rPr>
                <w:rStyle w:val="IndexLink"/>
                <w:rtl w:val="true"/>
              </w:rPr>
              <w:t>)</w:t>
            </w:r>
            <w:r>
              <w:rPr>
                <w:rStyle w:val="IndexLink"/>
                <w:rtl w:val="true"/>
              </w:rPr>
              <w:t>العوامل الخارجیة لاُفول الحضارة الإسلامیة</w:t>
            </w:r>
            <w:r>
              <w:rPr>
                <w:rStyle w:val="IndexLink"/>
                <w:rtl w:val="true"/>
              </w:rPr>
              <w:tab/>
            </w:r>
            <w:r>
              <w:rPr>
                <w:rStyle w:val="IndexLink"/>
              </w:rPr>
              <w:t>210</w:t>
            </w:r>
          </w:hyperlink>
        </w:p>
        <w:p>
          <w:pPr>
            <w:pStyle w:val="Contents5"/>
            <w:tabs>
              <w:tab w:val="clear" w:pos="7892"/>
              <w:tab w:val="right" w:pos="9026" w:leader="dot"/>
            </w:tabs>
            <w:rPr/>
          </w:pPr>
          <w:hyperlink w:anchor="__RefHeading___Toc2109118_581953129">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2109120_581953129">
            <w:r>
              <w:rPr>
                <w:webHidden/>
                <w:rStyle w:val="IndexLink"/>
              </w:rPr>
              <w:t>1</w:t>
            </w:r>
            <w:r>
              <w:rPr>
                <w:rStyle w:val="IndexLink"/>
                <w:rtl w:val="true"/>
              </w:rPr>
              <w:t>-</w:t>
            </w:r>
            <w:r>
              <w:rPr>
                <w:rStyle w:val="IndexLink"/>
                <w:rtl w:val="true"/>
              </w:rPr>
              <w:t>الحروب الصلیبیة</w:t>
            </w:r>
            <w:r>
              <w:rPr>
                <w:rStyle w:val="IndexLink"/>
                <w:rtl w:val="true"/>
              </w:rPr>
              <w:tab/>
            </w:r>
            <w:r>
              <w:rPr>
                <w:rStyle w:val="IndexLink"/>
              </w:rPr>
              <w:t>210</w:t>
            </w:r>
          </w:hyperlink>
        </w:p>
        <w:p>
          <w:pPr>
            <w:pStyle w:val="Contents5"/>
            <w:tabs>
              <w:tab w:val="clear" w:pos="7892"/>
              <w:tab w:val="right" w:pos="9026" w:leader="dot"/>
            </w:tabs>
            <w:rPr/>
          </w:pPr>
          <w:hyperlink w:anchor="__RefHeading___Toc2109122_581953129">
            <w:r>
              <w:rPr>
                <w:webHidden/>
                <w:rStyle w:val="IndexLink"/>
              </w:rPr>
              <w:t>2</w:t>
            </w:r>
            <w:r>
              <w:rPr>
                <w:rStyle w:val="IndexLink"/>
                <w:rtl w:val="true"/>
              </w:rPr>
              <w:t>-</w:t>
            </w:r>
            <w:r>
              <w:rPr>
                <w:rStyle w:val="IndexLink"/>
                <w:rtl w:val="true"/>
              </w:rPr>
              <w:t>هجوم المغول</w:t>
            </w:r>
            <w:r>
              <w:rPr>
                <w:rStyle w:val="IndexLink"/>
                <w:rtl w:val="true"/>
              </w:rPr>
              <w:tab/>
            </w:r>
            <w:r>
              <w:rPr>
                <w:rStyle w:val="IndexLink"/>
              </w:rPr>
              <w:t>211</w:t>
            </w:r>
          </w:hyperlink>
        </w:p>
        <w:p>
          <w:pPr>
            <w:pStyle w:val="Contents3"/>
            <w:tabs>
              <w:tab w:val="clear" w:pos="8459"/>
              <w:tab w:val="right" w:pos="9026" w:leader="dot"/>
            </w:tabs>
            <w:rPr/>
          </w:pPr>
          <w:hyperlink w:anchor="__RefHeading___Toc2109124_581953129">
            <w:r>
              <w:rPr>
                <w:webHidden/>
                <w:rStyle w:val="IndexLink"/>
                <w:rtl w:val="true"/>
              </w:rPr>
              <w:t>الخلاصة</w:t>
            </w:r>
            <w:r>
              <w:rPr>
                <w:rStyle w:val="IndexLink"/>
                <w:rtl w:val="true"/>
              </w:rPr>
              <w:tab/>
            </w:r>
            <w:r>
              <w:rPr>
                <w:rStyle w:val="IndexLink"/>
              </w:rPr>
              <w:t>212</w:t>
            </w:r>
          </w:hyperlink>
        </w:p>
        <w:p>
          <w:pPr>
            <w:pStyle w:val="Contents3"/>
            <w:tabs>
              <w:tab w:val="clear" w:pos="8459"/>
              <w:tab w:val="right" w:pos="9026" w:leader="dot"/>
            </w:tabs>
            <w:rPr/>
          </w:pPr>
          <w:hyperlink w:anchor="__RefHeading___Toc2109126_581953129">
            <w:r>
              <w:rPr>
                <w:webHidden/>
                <w:rStyle w:val="IndexLink"/>
                <w:rtl w:val="true"/>
              </w:rPr>
              <w:t>الأسئلة</w:t>
            </w:r>
            <w:r>
              <w:rPr>
                <w:rStyle w:val="IndexLink"/>
                <w:rtl w:val="true"/>
              </w:rPr>
              <w:tab/>
            </w:r>
            <w:r>
              <w:rPr>
                <w:rStyle w:val="IndexLink"/>
              </w:rPr>
              <w:t>213</w:t>
            </w:r>
          </w:hyperlink>
        </w:p>
        <w:p>
          <w:pPr>
            <w:pStyle w:val="Contents2"/>
            <w:tabs>
              <w:tab w:val="clear" w:pos="8743"/>
              <w:tab w:val="right" w:pos="9026" w:leader="dot"/>
            </w:tabs>
            <w:rPr/>
          </w:pPr>
          <w:hyperlink w:anchor="__RefHeading___Toc2109128_581953129">
            <w:r>
              <w:rPr>
                <w:webHidden/>
                <w:rStyle w:val="IndexLink"/>
              </w:rPr>
              <w:t>9</w:t>
            </w:r>
            <w:r>
              <w:rPr>
                <w:rStyle w:val="IndexLink"/>
                <w:rtl w:val="true"/>
              </w:rPr>
              <w:t xml:space="preserve">- </w:t>
            </w:r>
            <w:r>
              <w:rPr>
                <w:rStyle w:val="IndexLink"/>
                <w:rtl w:val="true"/>
              </w:rPr>
              <w:t>إحیاء الحضارة الإسلامیة</w:t>
            </w:r>
            <w:r>
              <w:rPr>
                <w:rStyle w:val="IndexLink"/>
                <w:rtl w:val="true"/>
              </w:rPr>
              <w:tab/>
            </w:r>
            <w:r>
              <w:rPr>
                <w:rStyle w:val="IndexLink"/>
              </w:rPr>
              <w:t>214</w:t>
            </w:r>
          </w:hyperlink>
        </w:p>
        <w:p>
          <w:pPr>
            <w:pStyle w:val="Contents3"/>
            <w:tabs>
              <w:tab w:val="clear" w:pos="8459"/>
              <w:tab w:val="right" w:pos="9026" w:leader="dot"/>
            </w:tabs>
            <w:rPr/>
          </w:pPr>
          <w:hyperlink w:anchor="__RefHeading___Toc2109130_581953129">
            <w:r>
              <w:rPr>
                <w:webHidden/>
                <w:rStyle w:val="IndexLink"/>
                <w:rtl w:val="true"/>
              </w:rPr>
              <w:t>مفهوم الحیاة</w:t>
            </w:r>
            <w:r>
              <w:rPr>
                <w:rStyle w:val="IndexLink"/>
                <w:rtl w:val="true"/>
              </w:rPr>
              <w:tab/>
            </w:r>
            <w:r>
              <w:rPr>
                <w:rStyle w:val="IndexLink"/>
              </w:rPr>
              <w:t>214</w:t>
            </w:r>
          </w:hyperlink>
        </w:p>
        <w:p>
          <w:pPr>
            <w:pStyle w:val="Contents3"/>
            <w:tabs>
              <w:tab w:val="clear" w:pos="8459"/>
              <w:tab w:val="right" w:pos="9026" w:leader="dot"/>
            </w:tabs>
            <w:rPr/>
          </w:pPr>
          <w:hyperlink w:anchor="__RefHeading___Toc2109132_581953129">
            <w:r>
              <w:rPr>
                <w:webHidden/>
                <w:rStyle w:val="IndexLink"/>
                <w:rtl w:val="true"/>
              </w:rPr>
              <w:t>لینذر من کان حیا</w:t>
            </w:r>
            <w:r>
              <w:rPr>
                <w:rStyle w:val="IndexLink"/>
                <w:rtl w:val="true"/>
              </w:rPr>
              <w:t>...</w:t>
              <w:tab/>
            </w:r>
            <w:r>
              <w:rPr>
                <w:rStyle w:val="IndexLink"/>
              </w:rPr>
              <w:t>214</w:t>
            </w:r>
          </w:hyperlink>
        </w:p>
        <w:p>
          <w:pPr>
            <w:pStyle w:val="Contents3"/>
            <w:tabs>
              <w:tab w:val="clear" w:pos="8459"/>
              <w:tab w:val="right" w:pos="9026" w:leader="dot"/>
            </w:tabs>
            <w:rPr/>
          </w:pPr>
          <w:hyperlink w:anchor="__RefHeading___Toc2109134_581953129">
            <w:r>
              <w:rPr>
                <w:webHidden/>
                <w:rStyle w:val="IndexLink"/>
                <w:rtl w:val="true"/>
              </w:rPr>
              <w:t>عوامل إحیاء الحضارة الإسلامیة</w:t>
            </w:r>
            <w:r>
              <w:rPr>
                <w:rStyle w:val="IndexLink"/>
                <w:rtl w:val="true"/>
              </w:rPr>
              <w:tab/>
            </w:r>
            <w:r>
              <w:rPr>
                <w:rStyle w:val="IndexLink"/>
              </w:rPr>
              <w:t>215</w:t>
            </w:r>
          </w:hyperlink>
        </w:p>
        <w:p>
          <w:pPr>
            <w:pStyle w:val="Contents4"/>
            <w:tabs>
              <w:tab w:val="clear" w:pos="8176"/>
              <w:tab w:val="right" w:pos="9026" w:leader="dot"/>
            </w:tabs>
            <w:rPr/>
          </w:pPr>
          <w:hyperlink w:anchor="__RefHeading___Toc2109136_581953129">
            <w:r>
              <w:rPr>
                <w:webHidden/>
                <w:rStyle w:val="IndexLink"/>
                <w:rtl w:val="true"/>
              </w:rPr>
              <w:t>أ</w:t>
            </w:r>
            <w:r>
              <w:rPr>
                <w:rStyle w:val="IndexLink"/>
                <w:rtl w:val="true"/>
              </w:rPr>
              <w:t>)</w:t>
            </w:r>
            <w:r>
              <w:rPr>
                <w:rStyle w:val="IndexLink"/>
                <w:rtl w:val="true"/>
              </w:rPr>
              <w:t>الوعی</w:t>
            </w:r>
            <w:r>
              <w:rPr>
                <w:rStyle w:val="IndexLink"/>
                <w:rtl w:val="true"/>
              </w:rPr>
              <w:tab/>
            </w:r>
            <w:r>
              <w:rPr>
                <w:rStyle w:val="IndexLink"/>
              </w:rPr>
              <w:t>215</w:t>
            </w:r>
          </w:hyperlink>
        </w:p>
        <w:p>
          <w:pPr>
            <w:pStyle w:val="Contents4"/>
            <w:tabs>
              <w:tab w:val="clear" w:pos="8176"/>
              <w:tab w:val="right" w:pos="9026" w:leader="dot"/>
            </w:tabs>
            <w:rPr/>
          </w:pPr>
          <w:hyperlink w:anchor="__RefHeading___Toc2109138_581953129">
            <w:r>
              <w:rPr>
                <w:webHidden/>
                <w:rStyle w:val="IndexLink"/>
                <w:rtl w:val="true"/>
              </w:rPr>
              <w:t>ب</w:t>
            </w:r>
            <w:r>
              <w:rPr>
                <w:rStyle w:val="IndexLink"/>
                <w:rtl w:val="true"/>
              </w:rPr>
              <w:t>)</w:t>
            </w:r>
            <w:r>
              <w:rPr>
                <w:rStyle w:val="IndexLink"/>
                <w:rtl w:val="true"/>
              </w:rPr>
              <w:t>العامل الثقافی</w:t>
            </w:r>
            <w:r>
              <w:rPr>
                <w:rStyle w:val="IndexLink"/>
                <w:rtl w:val="true"/>
              </w:rPr>
              <w:tab/>
            </w:r>
            <w:r>
              <w:rPr>
                <w:rStyle w:val="IndexLink"/>
              </w:rPr>
              <w:t>216</w:t>
            </w:r>
          </w:hyperlink>
        </w:p>
        <w:p>
          <w:pPr>
            <w:pStyle w:val="Contents5"/>
            <w:tabs>
              <w:tab w:val="clear" w:pos="7892"/>
              <w:tab w:val="right" w:pos="9026" w:leader="dot"/>
            </w:tabs>
            <w:rPr/>
          </w:pPr>
          <w:hyperlink w:anchor="__RefHeading___Toc2109140_581953129">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2109142_581953129">
            <w:r>
              <w:rPr>
                <w:webHidden/>
                <w:rStyle w:val="IndexLink"/>
              </w:rPr>
              <w:t>1</w:t>
            </w:r>
            <w:r>
              <w:rPr>
                <w:rStyle w:val="IndexLink"/>
                <w:rtl w:val="true"/>
              </w:rPr>
              <w:t>-</w:t>
            </w:r>
            <w:r>
              <w:rPr>
                <w:rStyle w:val="IndexLink"/>
                <w:rtl w:val="true"/>
              </w:rPr>
              <w:t>إعادة قراءة التعالیم الدینیة</w:t>
            </w:r>
            <w:r>
              <w:rPr>
                <w:rStyle w:val="IndexLink"/>
                <w:rtl w:val="true"/>
              </w:rPr>
              <w:tab/>
            </w:r>
            <w:r>
              <w:rPr>
                <w:rStyle w:val="IndexLink"/>
              </w:rPr>
              <w:t>216</w:t>
            </w:r>
          </w:hyperlink>
        </w:p>
        <w:p>
          <w:pPr>
            <w:pStyle w:val="Contents5"/>
            <w:tabs>
              <w:tab w:val="clear" w:pos="7892"/>
              <w:tab w:val="right" w:pos="9026" w:leader="dot"/>
            </w:tabs>
            <w:rPr/>
          </w:pPr>
          <w:hyperlink w:anchor="__RefHeading___Toc2109144_581953129">
            <w:r>
              <w:rPr>
                <w:webHidden/>
                <w:rStyle w:val="IndexLink"/>
              </w:rPr>
              <w:t>2</w:t>
            </w:r>
            <w:r>
              <w:rPr>
                <w:rStyle w:val="IndexLink"/>
                <w:rtl w:val="true"/>
              </w:rPr>
              <w:t>-</w:t>
            </w:r>
            <w:r>
              <w:rPr>
                <w:rStyle w:val="IndexLink"/>
                <w:rtl w:val="true"/>
              </w:rPr>
              <w:t>استثمار آلیة الاجتهاد</w:t>
            </w:r>
            <w:r>
              <w:rPr>
                <w:rStyle w:val="IndexLink"/>
                <w:rtl w:val="true"/>
              </w:rPr>
              <w:tab/>
            </w:r>
            <w:r>
              <w:rPr>
                <w:rStyle w:val="IndexLink"/>
              </w:rPr>
              <w:t>217</w:t>
            </w:r>
          </w:hyperlink>
        </w:p>
        <w:p>
          <w:pPr>
            <w:pStyle w:val="Contents5"/>
            <w:tabs>
              <w:tab w:val="clear" w:pos="7892"/>
              <w:tab w:val="right" w:pos="9026" w:leader="dot"/>
            </w:tabs>
            <w:rPr/>
          </w:pPr>
          <w:hyperlink w:anchor="__RefHeading___Toc2109146_581953129">
            <w:r>
              <w:rPr>
                <w:webHidden/>
                <w:rStyle w:val="IndexLink"/>
              </w:rPr>
              <w:t>3</w:t>
            </w:r>
            <w:r>
              <w:rPr>
                <w:rStyle w:val="IndexLink"/>
                <w:rtl w:val="true"/>
              </w:rPr>
              <w:t>-</w:t>
            </w:r>
            <w:r>
              <w:rPr>
                <w:rStyle w:val="IndexLink"/>
                <w:rtl w:val="true"/>
              </w:rPr>
              <w:t>الاهتمام بالجانب الاجتماعی للثقافة الإسلامیة</w:t>
            </w:r>
            <w:r>
              <w:rPr>
                <w:rStyle w:val="IndexLink"/>
                <w:rtl w:val="true"/>
              </w:rPr>
              <w:tab/>
            </w:r>
            <w:r>
              <w:rPr>
                <w:rStyle w:val="IndexLink"/>
              </w:rPr>
              <w:t>217</w:t>
            </w:r>
          </w:hyperlink>
        </w:p>
        <w:p>
          <w:pPr>
            <w:pStyle w:val="Contents5"/>
            <w:tabs>
              <w:tab w:val="clear" w:pos="7892"/>
              <w:tab w:val="right" w:pos="9026" w:leader="dot"/>
            </w:tabs>
            <w:rPr/>
          </w:pPr>
          <w:hyperlink w:anchor="__RefHeading___Toc2109148_581953129">
            <w:r>
              <w:rPr>
                <w:webHidden/>
                <w:rStyle w:val="IndexLink"/>
              </w:rPr>
              <w:t>4</w:t>
            </w:r>
            <w:r>
              <w:rPr>
                <w:rStyle w:val="IndexLink"/>
                <w:rtl w:val="true"/>
              </w:rPr>
              <w:t>-</w:t>
            </w:r>
            <w:r>
              <w:rPr>
                <w:rStyle w:val="IndexLink"/>
                <w:rtl w:val="true"/>
              </w:rPr>
              <w:t>الاهتمام بالتنظیر وإنتاج العلم</w:t>
            </w:r>
            <w:r>
              <w:rPr>
                <w:rStyle w:val="IndexLink"/>
                <w:rtl w:val="true"/>
              </w:rPr>
              <w:tab/>
            </w:r>
            <w:r>
              <w:rPr>
                <w:rStyle w:val="IndexLink"/>
              </w:rPr>
              <w:t>218</w:t>
            </w:r>
          </w:hyperlink>
        </w:p>
        <w:p>
          <w:pPr>
            <w:pStyle w:val="Contents5"/>
            <w:tabs>
              <w:tab w:val="clear" w:pos="7892"/>
              <w:tab w:val="right" w:pos="9026" w:leader="dot"/>
            </w:tabs>
            <w:rPr/>
          </w:pPr>
          <w:hyperlink w:anchor="__RefHeading___Toc2109150_581953129">
            <w:r>
              <w:rPr>
                <w:webHidden/>
                <w:rStyle w:val="IndexLink"/>
              </w:rPr>
              <w:t>5</w:t>
            </w:r>
            <w:r>
              <w:rPr>
                <w:rStyle w:val="IndexLink"/>
                <w:rtl w:val="true"/>
              </w:rPr>
              <w:t>-</w:t>
            </w:r>
            <w:r>
              <w:rPr>
                <w:rStyle w:val="IndexLink"/>
                <w:rtl w:val="true"/>
              </w:rPr>
              <w:t>إشاعة أجواء الحوار وتبادل الأفکار</w:t>
            </w:r>
            <w:r>
              <w:rPr>
                <w:rStyle w:val="IndexLink"/>
                <w:rtl w:val="true"/>
              </w:rPr>
              <w:tab/>
            </w:r>
            <w:r>
              <w:rPr>
                <w:rStyle w:val="IndexLink"/>
              </w:rPr>
              <w:t>218</w:t>
            </w:r>
          </w:hyperlink>
        </w:p>
        <w:p>
          <w:pPr>
            <w:pStyle w:val="Contents5"/>
            <w:tabs>
              <w:tab w:val="clear" w:pos="7892"/>
              <w:tab w:val="right" w:pos="9026" w:leader="dot"/>
            </w:tabs>
            <w:rPr/>
          </w:pPr>
          <w:hyperlink w:anchor="__RefHeading___Toc2109152_581953129">
            <w:r>
              <w:rPr>
                <w:webHidden/>
                <w:rStyle w:val="IndexLink"/>
              </w:rPr>
              <w:t>6</w:t>
            </w:r>
            <w:r>
              <w:rPr>
                <w:rStyle w:val="IndexLink"/>
                <w:rtl w:val="true"/>
              </w:rPr>
              <w:t>-</w:t>
            </w:r>
            <w:r>
              <w:rPr>
                <w:rStyle w:val="IndexLink"/>
                <w:rtl w:val="true"/>
              </w:rPr>
              <w:t>التسامح المذهبی</w:t>
            </w:r>
            <w:r>
              <w:rPr>
                <w:rStyle w:val="IndexLink"/>
                <w:rtl w:val="true"/>
              </w:rPr>
              <w:tab/>
            </w:r>
            <w:r>
              <w:rPr>
                <w:rStyle w:val="IndexLink"/>
              </w:rPr>
              <w:t>220</w:t>
            </w:r>
          </w:hyperlink>
        </w:p>
        <w:p>
          <w:pPr>
            <w:pStyle w:val="Contents4"/>
            <w:tabs>
              <w:tab w:val="clear" w:pos="8176"/>
              <w:tab w:val="right" w:pos="9026" w:leader="dot"/>
            </w:tabs>
            <w:rPr/>
          </w:pPr>
          <w:hyperlink w:anchor="__RefHeading___Toc2109154_581953129">
            <w:r>
              <w:rPr>
                <w:webHidden/>
                <w:rStyle w:val="IndexLink"/>
                <w:rtl w:val="true"/>
              </w:rPr>
              <w:t>ج</w:t>
            </w:r>
            <w:r>
              <w:rPr>
                <w:rStyle w:val="IndexLink"/>
                <w:rtl w:val="true"/>
              </w:rPr>
              <w:t>)</w:t>
            </w:r>
            <w:r>
              <w:rPr>
                <w:rStyle w:val="IndexLink"/>
                <w:rtl w:val="true"/>
              </w:rPr>
              <w:t>العامل الإنسانی</w:t>
            </w:r>
            <w:r>
              <w:rPr>
                <w:rStyle w:val="IndexLink"/>
                <w:rtl w:val="true"/>
              </w:rPr>
              <w:tab/>
            </w:r>
            <w:r>
              <w:rPr>
                <w:rStyle w:val="IndexLink"/>
              </w:rPr>
              <w:t>221</w:t>
            </w:r>
          </w:hyperlink>
        </w:p>
        <w:p>
          <w:pPr>
            <w:pStyle w:val="Contents4"/>
            <w:tabs>
              <w:tab w:val="clear" w:pos="8176"/>
              <w:tab w:val="right" w:pos="9026" w:leader="dot"/>
            </w:tabs>
            <w:rPr/>
          </w:pPr>
          <w:hyperlink w:anchor="__RefHeading___Toc2109156_581953129">
            <w:r>
              <w:rPr>
                <w:webHidden/>
                <w:rStyle w:val="IndexLink"/>
                <w:rtl w:val="true"/>
              </w:rPr>
              <w:t>د</w:t>
            </w:r>
            <w:r>
              <w:rPr>
                <w:rStyle w:val="IndexLink"/>
                <w:rtl w:val="true"/>
              </w:rPr>
              <w:t>)</w:t>
            </w:r>
            <w:r>
              <w:rPr>
                <w:rStyle w:val="IndexLink"/>
                <w:rtl w:val="true"/>
              </w:rPr>
              <w:t>العامل السیاسی</w:t>
            </w:r>
            <w:r>
              <w:rPr>
                <w:rStyle w:val="IndexLink"/>
                <w:rtl w:val="true"/>
              </w:rPr>
              <w:tab/>
            </w:r>
            <w:r>
              <w:rPr>
                <w:rStyle w:val="IndexLink"/>
              </w:rPr>
              <w:t>222</w:t>
            </w:r>
          </w:hyperlink>
        </w:p>
        <w:p>
          <w:pPr>
            <w:pStyle w:val="Contents4"/>
            <w:tabs>
              <w:tab w:val="clear" w:pos="8176"/>
              <w:tab w:val="right" w:pos="9026" w:leader="dot"/>
            </w:tabs>
            <w:rPr/>
          </w:pPr>
          <w:hyperlink w:anchor="__RefHeading___Toc2109158_581953129">
            <w:r>
              <w:rPr>
                <w:webHidden/>
                <w:rStyle w:val="IndexLink"/>
                <w:rtl w:val="true"/>
              </w:rPr>
              <w:t>ه</w:t>
            </w:r>
            <w:r>
              <w:rPr>
                <w:rStyle w:val="IndexLink"/>
                <w:rtl w:val="true"/>
              </w:rPr>
              <w:t>)</w:t>
            </w:r>
            <w:r>
              <w:rPr>
                <w:rStyle w:val="IndexLink"/>
                <w:rtl w:val="true"/>
              </w:rPr>
              <w:t>العامل الاقتصادی</w:t>
            </w:r>
            <w:r>
              <w:rPr>
                <w:rStyle w:val="IndexLink"/>
                <w:rtl w:val="true"/>
              </w:rPr>
              <w:tab/>
            </w:r>
            <w:r>
              <w:rPr>
                <w:rStyle w:val="IndexLink"/>
              </w:rPr>
              <w:t>224</w:t>
            </w:r>
          </w:hyperlink>
        </w:p>
        <w:p>
          <w:pPr>
            <w:pStyle w:val="Contents3"/>
            <w:tabs>
              <w:tab w:val="clear" w:pos="8459"/>
              <w:tab w:val="right" w:pos="9026" w:leader="dot"/>
            </w:tabs>
            <w:rPr/>
          </w:pPr>
          <w:hyperlink w:anchor="__RefHeading___Toc2109160_581953129">
            <w:r>
              <w:rPr>
                <w:webHidden/>
                <w:rStyle w:val="IndexLink"/>
                <w:rtl w:val="true"/>
              </w:rPr>
              <w:t>الإمام الخمینی المجدّد المعاصر</w:t>
            </w:r>
            <w:r>
              <w:rPr>
                <w:rStyle w:val="IndexLink"/>
                <w:rtl w:val="true"/>
              </w:rPr>
              <w:tab/>
            </w:r>
            <w:r>
              <w:rPr>
                <w:rStyle w:val="IndexLink"/>
              </w:rPr>
              <w:t>226</w:t>
            </w:r>
          </w:hyperlink>
        </w:p>
        <w:p>
          <w:pPr>
            <w:pStyle w:val="Contents3"/>
            <w:tabs>
              <w:tab w:val="clear" w:pos="8459"/>
              <w:tab w:val="right" w:pos="9026" w:leader="dot"/>
            </w:tabs>
            <w:rPr/>
          </w:pPr>
          <w:hyperlink w:anchor="__RefHeading___Toc2109162_581953129">
            <w:r>
              <w:rPr>
                <w:webHidden/>
                <w:rStyle w:val="IndexLink"/>
                <w:rtl w:val="true"/>
              </w:rPr>
              <w:t>الخلاصة</w:t>
            </w:r>
            <w:r>
              <w:rPr>
                <w:rStyle w:val="IndexLink"/>
                <w:rtl w:val="true"/>
              </w:rPr>
              <w:tab/>
            </w:r>
            <w:r>
              <w:rPr>
                <w:rStyle w:val="IndexLink"/>
              </w:rPr>
              <w:t>228</w:t>
            </w:r>
          </w:hyperlink>
        </w:p>
        <w:p>
          <w:pPr>
            <w:pStyle w:val="Contents3"/>
            <w:tabs>
              <w:tab w:val="clear" w:pos="8459"/>
              <w:tab w:val="right" w:pos="9026" w:leader="dot"/>
            </w:tabs>
            <w:rPr/>
          </w:pPr>
          <w:hyperlink w:anchor="__RefHeading___Toc2109164_581953129">
            <w:r>
              <w:rPr>
                <w:webHidden/>
                <w:rStyle w:val="IndexLink"/>
                <w:rtl w:val="true"/>
              </w:rPr>
              <w:t>الأسئلة</w:t>
            </w:r>
            <w:r>
              <w:rPr>
                <w:rStyle w:val="IndexLink"/>
                <w:rtl w:val="true"/>
              </w:rPr>
              <w:tab/>
            </w:r>
            <w:r>
              <w:rPr>
                <w:rStyle w:val="IndexLink"/>
              </w:rPr>
              <w:t>229</w:t>
            </w:r>
          </w:hyperlink>
        </w:p>
        <w:p>
          <w:pPr>
            <w:pStyle w:val="Contents2"/>
            <w:tabs>
              <w:tab w:val="clear" w:pos="8743"/>
              <w:tab w:val="right" w:pos="9026" w:leader="dot"/>
            </w:tabs>
            <w:rPr/>
          </w:pPr>
          <w:hyperlink w:anchor="__RefHeading___Toc2109166_581953129">
            <w:r>
              <w:rPr>
                <w:webHidden/>
                <w:rStyle w:val="IndexLink"/>
                <w:rtl w:val="true"/>
              </w:rPr>
              <w:t>المصادر و المراجع</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9_34607"/>
      <w:bookmarkStart w:id="1" w:name="pg5469_34607"/>
      <w:bookmarkEnd w:id="1"/>
    </w:p>
    <w:p>
      <w:pPr>
        <w:pStyle w:val="Heading2"/>
        <w:numPr>
          <w:ilvl w:val="1"/>
          <w:numId w:val="1"/>
        </w:numPr>
        <w:rPr/>
      </w:pPr>
      <w:bookmarkStart w:id="2" w:name="pg5469_34607"/>
      <w:bookmarkStart w:id="3" w:name="__RefHeading___Toc210868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محمدرضا،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فرهنگ و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تاریخ‌الثقافة والحضارةالاسلامیة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محمدرضا کاشفی ؛ ترجمه انور الرصافی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رصافی، انور،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۳۴۰۰۷۰۷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8682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تاریخ الثقافة و الحضارة الإسلامیة</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کاشفی</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IRNazanin" w:hAnsi="IRNazanin" w:eastAsia="IRNazanin"/>
          <w:color w:val="111111"/>
          <w:sz w:val="28"/>
          <w:sz w:val="28"/>
          <w:szCs w:val="28"/>
          <w:rtl w:val="true"/>
          <w:lang w:bidi="fa-IR"/>
        </w:rPr>
        <w:t>أنور الرصافی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بحراوی</w:t>
      </w:r>
      <w:bookmarkStart w:id="7" w:name="pg5469_34611"/>
    </w:p>
    <w:p>
      <w:pPr>
        <w:pStyle w:val="Heading2"/>
        <w:numPr>
          <w:ilvl w:val="1"/>
          <w:numId w:val="1"/>
        </w:numPr>
        <w:rPr/>
      </w:pPr>
      <w:bookmarkStart w:id="8" w:name="__RefHeading___Toc2108684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سیدنا ونبینا محمد وعلی آله الطیبین الطاهرین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إنّ التطوّر المعرفی الذی یشهده عالمنا الیوم فی مختلف المجالات،بخاصّة بعد ثورة الاتصالات الحدیثة التی هیأت فرصاً فریدة للاطلاع الواسع،ودفعت بعجلة الفکر و الثقافة و 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العلمیة،وفی المناهج التی تنسجم مع هذا التطوّر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،انبثقت ثورة علمیة وثقافیة کبری،مما حدا برجال العلم و الفکر فی الجمهوریة الإسلامیة أن یعملوا علی صیاغة مناهج دراسیة جدیدة لمجمل العلوم الإنسانیة،الإسلامیة بشکل خاص؛فأحدث هذا الأمر تغییراً جذریاً وأساسیاً فی الکتب الدراسیة فی الحوزات العلمیة و الجامعات الأکادیمیة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المؤسسات العلمیة و الثقافیة علی عاتقها تجدید الکتب الدراسیة وتحدیثها علی مختلف الصعد،بخاصة مناهج الحوزة العلمیة،التی هی ثمرة جهود کبار الفقهاء و 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إلی تبنّی المنهج العلمی الحدیث فی نظامها الدراسی،وفی التألیف،والتحقیق وتدوین الکتب الدراسیة لمختلف المراحل الدراسیة ولجمیع الفروع العلمیة،ولشتی الموضوعات بما ینسجم مع المتغیرات الحاصلة فی مجمل دوائر الفکر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 الأساتذة،لیساهموا فی تدوین کتب دراسیة علی الاُسس المنهجیة الحدیثة للعلوم الإسلامیة خاصّة،ولسائر العلوم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کعلوم القرآن،والحدیث و الفقه،والتفسیر،والاُصول،وعلم الکلام و الفلسفة،والسیرة و التأریخ،والأخلاق،والآداب،والاجتماع،والنفس،وغیرها،حملت هذه المناهج طابعاً أکادیمیاً مع حفاظها علی الجانب العلمی الأصیل المتّبع فی الحوزات العلمیة فی مدرسة أهل‌البیت علیهم السلام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نشر هذه المعارف و العلوم،بادرت جامعة المصطفی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لتحقیق،وترجمة،ونشر کلِّ ما یصدر عن هذه الجامعة الکبیرة،مما ألّفه أو حقّقه العلماء و الأساتذة فی مختلف الاختصاصات وبمختلف اللغات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الذی بین یدیک عزیزی القارئ،تاریخ الثقافة و الحضارة الإسلامیة هو مفردة من مفردات هذه المنظومة الدراسیة الواسعة،قام بتألیفه الأستاذ الفاضل محمدرضا کاشفی قام بترجمته الاُستاذان الفاضلان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أنور الرصافی وعبدالکریم البحراوی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لمؤلفه الجلیل علی مابذله من جهد وعنایة،کما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 الأساتذة وأصحاب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للمساهمة فی ترشید هذا المشروع الإسلامی بما لدیهم من آراء بنّاءة وخبرات علمیة ومنهجیة،وأن یبعثوا إلینا بما یستدرکون علیه من خطأ أو نقص یلازم الإنسان عادة،لتلافیهما فی الطبعات اللاحقة،نسأله تبارک وتعالی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للترجمه و النشر</w:t>
      </w:r>
      <w:bookmarkStart w:id="10" w:name="pg5469_34615"/>
    </w:p>
    <w:p>
      <w:pPr>
        <w:pStyle w:val="Heading2"/>
        <w:numPr>
          <w:ilvl w:val="1"/>
          <w:numId w:val="1"/>
        </w:numPr>
        <w:rPr/>
      </w:pPr>
      <w:bookmarkStart w:id="11" w:name="__RefHeading___Toc2108686_581953129"/>
      <w:bookmarkStart w:id="12" w:name="_Toc4"/>
      <w:bookmarkEnd w:id="10"/>
      <w:bookmarkEnd w:id="11"/>
      <w:r>
        <w:rPr>
          <w:rtl w:val="true"/>
        </w:rPr>
        <w:t>مقدّمة قسم المناهج الدراسیة</w:t>
      </w:r>
      <w:bookmarkEnd w:id="12"/>
    </w:p>
    <w:p>
      <w:pPr>
        <w:pStyle w:val="BookText"/>
        <w:rPr/>
      </w:pPr>
      <w:r>
        <w:rPr>
          <w:rFonts w:ascii="IRNazanin" w:hAnsi="IRNazanin" w:eastAsia="IRNazanin"/>
          <w:color w:val="111111"/>
          <w:sz w:val="28"/>
          <w:sz w:val="28"/>
          <w:szCs w:val="28"/>
          <w:rtl w:val="true"/>
          <w:lang w:bidi="fa-IR"/>
        </w:rPr>
        <w:t>وضعت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تاریخها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التربیة و التعلیم علی رأس مهامهّا و جزءاً من رسالاتها الأساسیة،الأمر الذی ضمن إیصال معارف الإسلام السامیة وعلوم أهل البیت علیهم السلام إلینا خلال الأجیال المتعاقبة بأمانة علمیة صارمة،وفی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فیه،أنّ التطوّر التکنولوجی الذی شهده عصرنا الحالی وثورة الاتصالات الکبری أفرزتا تحوّلاً هائلاً فی حقل العلم و المعرفة،حتّی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 نوعاً،وسارت هذه التطّورات بسرعة نحو تحقیق الأهداف التعلیمیة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وبرزت جامعة المصطفی العالمیة فی هذا الخضم کمؤسسة حوزویة وأکادیمیة تأخذ علی عاتقها مسؤولیة إعداد الکوادر العلمیة و التعلیمیة الأجنبیة فی مجال العلوم الإسلامیة،حیث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وبطبیعة الحال،إنّ العلوم و المعارف الإسلامیة التی یتوافر علیها الطلبة الأجانب</w:t>
      </w:r>
    </w:p>
    <w:p>
      <w:pPr>
        <w:pStyle w:val="BookText"/>
        <w:rPr/>
      </w:pPr>
      <w:r>
        <w:rPr>
          <w:rFonts w:ascii="IRNazanin" w:hAnsi="IRNazanin" w:eastAsia="IRNazanin"/>
          <w:color w:val="111111"/>
          <w:sz w:val="28"/>
          <w:sz w:val="28"/>
          <w:szCs w:val="28"/>
          <w:rtl w:val="true"/>
          <w:lang w:bidi="fa-IR"/>
        </w:rPr>
        <w:t>تتمایز بتمایز البلدان و الأصقاع التی ینتمون إلیها،مما یدفع جامعة المصطفی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،وسماحة قائد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ضرورة أن یستند التعلیم الحوزوی للأسالیب الحدیثة المستلهمة من مناهج الاستنباط فی الفقه الجواهری،وأن یتمّ سوقه نحو مسارات التألّق والازدهار،وفی هذا السیاق نشیر إلی مقطع من الکلمة المهمّة التی ألقاها سماحة قائد الثورة السید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الأفکار،طبعاً،دون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الحقیقة،لقد استطاعت الثورة الإسلامیة المبارکة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المنطلق،واستلهاماً من نمیر علوم أهل‌البیت علیهم السلام وبفضل الأجواء التی أتاحتها هذه الثورة العظیمة لإحداث طفرة فی النظام التعلیمی،أناطت جامعة المصطفی العالمیة مهمّة ترجمة وطباعة ونشر المناهج الدراسیة التی تنسجم مع النظام المذکور،إلی مرکز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العالمی،وذلک بالاعتماد علی اللّجان العلمیة و التربویة الکفؤة،وتنظیم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العالمیة تملک خبرة عالیة فی مجال تدوین المناهج الدراسیة و البحوث العلمیة،حیث حقّقت تحوّلاً جدیداً فی میدان انتاج المعرفة،وذلک من خلال تجربتها فی تدوین مجموعة المناهج الخاصّة بالمؤسّستین</w:t>
      </w:r>
    </w:p>
    <w:p>
      <w:pPr>
        <w:pStyle w:val="BookText"/>
        <w:rPr/>
      </w:pPr>
      <w:r>
        <w:rPr>
          <w:rFonts w:ascii="IRNazanin" w:hAnsi="IRNazanin" w:eastAsia="IRNazanin"/>
          <w:color w:val="111111"/>
          <w:sz w:val="28"/>
          <w:sz w:val="28"/>
          <w:szCs w:val="28"/>
          <w:rtl w:val="true"/>
          <w:lang w:bidi="fa-IR"/>
        </w:rPr>
        <w:t>السابقتین التی انبثقت عنهما،وهما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المناهج؛إصدار أکثر من مئتی منهجٍ دراسی لداخل البلاد وخارجها،وإعداد أکثر من مئتی منهجٍ وکرّاسةٍ علمیة،والتی نأمل بفضل العنایة الإلهیة وفی ظلّ رعایة الإمام المهدی المنتظر عجل الله تعالی فرجه الشریف أن تکون قد ساهمت بقسط ولو غیر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العالمی علی أیدی الروّاد الأوائل ویثمّن جهودهم المخلصة،کما یعلن عن شکره للتعاون البنّاء للّجان العلمیة التابعة لجامعة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تاریخ الثقافة و الحضارة الإسلامیة هو ثمرة تألیف الاُستاذ الفاضل محمدرضا کاشفی وترجمة الأستاذین الفاضلین الدکتور أنور الرصافی وعبدالکریم البحراوی،من اللغة الفارسی إلی اللغة العربیة،ویحرص مرکز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علی تسجیل تقدیره و شکره لمؤلفه المحترم،وللمترجمین الکریمین علی مابذلوه من جهد وعنایة،کما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 یبعثوا إلینا بإرشاداتهم،و بما یستدرکونه علیه منه خطأ أو اشتباه؛لتلافیه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العالمیة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العالمی</w:t>
      </w:r>
      <w:bookmarkStart w:id="13" w:name="pg5469_34619"/>
    </w:p>
    <w:p>
      <w:pPr>
        <w:pStyle w:val="Heading2"/>
        <w:numPr>
          <w:ilvl w:val="1"/>
          <w:numId w:val="1"/>
        </w:numPr>
        <w:rPr/>
      </w:pPr>
      <w:bookmarkStart w:id="14" w:name="__RefHeading___Toc2108688_581953129"/>
      <w:bookmarkStart w:id="15" w:name="_Toc5"/>
      <w:bookmarkEnd w:id="13"/>
      <w:bookmarkEnd w:id="14"/>
      <w:r>
        <w:rPr>
          <w:rtl w:val="true"/>
        </w:rPr>
        <w:t>الفهرس</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الثقافة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ماهیة الثقافة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تعریف الثقافة لغةً لدی الغرب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تعریف الثقافة اصطلاحاً لدی الغرب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التعریف اللغوی للثقافة فی إیران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التعریف الاصطلاحی للثقافة فی إیران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التعریف المختار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أجزاء الثقافة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المعارف و العقائد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القیم و التوجّهات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السلوک و التصرّفات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الثقافة الإلهیة و الثقافة الإنسانیة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الثقافة الوطنیة و القومیة و القبلیة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الثقافة الشرقیة و الغربیة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الحضارة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مزایا الحضارة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منهجة الحضارة </w:t>
      </w:r>
      <w:r>
        <w:rPr>
          <w:rFonts w:eastAsia="Amiri" w:cs="Amiri" w:ascii="Amiri" w:hAnsi="Amiri"/>
          <w:color w:val="111111"/>
          <w:sz w:val="28"/>
          <w:szCs w:val="28"/>
          <w:lang w:bidi="ar-SA"/>
        </w:rPr>
        <w:t>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دینامیة الحضارة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 الحضارة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التلاحم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الثقافة و الحضارة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العموم و الخصوص المطلق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التباین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الرأی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المظهر و الظهور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عوامل ظهور الحضارة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الإنسانی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الثقافة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الدین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المادّی و الطبیعی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الثقافة و الحضارة الإسلامیة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الثقافة و الحضارة الإسلامیة أو ثقافة وحضارة المسلمین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خصوصیات الثقافة و الحضارة إلاسلامیة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أسباب ظهور الثقافة و الحضارة الإسلامیة وازدهارهما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الأسباب الداخلیة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محتوی التعالیم الدینیة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بساطة التعالیم الدینیة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جامعیة التعالیم الدینیة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خلود التعالیم الدینیة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طبیعیة التعالیم الإسلامیة وفطریتها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العملیة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الأسباب الخارجیة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نقاط ضعف بقیة الحضارات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جذب النقاط الإیجابیة لبقیة الحضارات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حضارة الیونان </w:t>
      </w:r>
      <w:r>
        <w:rPr>
          <w:rFonts w:eastAsia="IRNazanin" w:cs="IRNazanin"/>
          <w:color w:val="111111"/>
          <w:sz w:val="28"/>
          <w:szCs w:val="28"/>
          <w:lang w:bidi="fa-IR"/>
        </w:rPr>
        <w:t>68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حضارة إیران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حضارة الهند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حرکة الترجمة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دور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وأهل‌بیته علیهم السلام فی ظهور وتطوّر الثقافة و الحضارة الاسلإمیة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ازدهار العلوم الإسلامیة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تصنیف العلوم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العلوم الإسلامیة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فی تفسیر القرآن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عن حقائق التنزیل وعیون الأقاویل فی وجوه التأویل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علم الحدیث لدی الشیعة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علم الحدیث عند أهل السنّة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یوسف ابن إسحاق الکندی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نصر محمّد بن طرخان بن أوزلغ الفارابی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الحسین بن عبد الله بن سینا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الولید محمد بن أحمد بن محمّد بن رشد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السهرودی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 النیشابوری </w:t>
      </w:r>
      <w:r>
        <w:rPr>
          <w:rFonts w:eastAsia="IRNazanin" w:cs="IRNazanin"/>
          <w:color w:val="111111"/>
          <w:sz w:val="28"/>
          <w:szCs w:val="28"/>
          <w:lang w:bidi="fa-IR"/>
        </w:rPr>
        <w:t>114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بن محمد بن النعمان الحارثی العسکری البغدادی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حامد محمّد الغزالی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الفقه الشیعی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فقه أهل السنّة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الأصبغ بن نباته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محمّد بن سائب الکلبی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الواقدی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الثقفی الکوفی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أُبی الیعقوبی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الطبری،محمد بن جریر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مسکویة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غیر الإسلامیة و المراکز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الثقافیة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العلوم غیر الإسلامیة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الکیمیاء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الریاضیات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المراکز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الثقافیة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lang w:bidi="fa-IR"/>
        </w:rPr>
        <w:t>146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الحکمة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الأزهر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حوزة النجف العلمیة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النظامیة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المکتبات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المؤسّسات و الفنّ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المؤسّسات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السیاسیة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و السلطنة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النظام الإداری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الوزارات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الدیوان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الاقتصادیة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القضائیة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الفن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الحضارة الإسلامیة علی الحضارة الغربیة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العلاقة بین الحضارات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أصالة التأثیر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طرق الانتقال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الحروب الصلیبیة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الطرق الاُخری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دائرة التأثیر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lang w:bidi="fa-IR"/>
        </w:rPr>
        <w:t>197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الریاضیات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النجوم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افول الحضارة الإسلامیة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عوامل ضعف أو انهیار الحضارات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العوامل الداخلیة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الإنسانی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العوامل الخارجیة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الغزو العسکری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الغزو الاقتصادی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الغزو الثقافی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عوامل افول الحضارة الإسلامیة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العوامل الداخلیة لأفول الحضارة الإسلامیة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الانحراف عن التعالیم الإسلامیة الأصیلة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الطائفیة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تغیر الفکر السیاسی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الترف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العوامل الخارجیة لاُفول الحضارة الإسلامیة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الحروب الصلیبیة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المغول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الحضارة الإسلامیة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مفهوم الحیاة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عوامل إحیاء الحضارة الإسلامیة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الثقافی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قراءة التعالیم الدینیة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استثمار آلیة الاجتهاد </w:t>
      </w:r>
      <w:r>
        <w:rPr>
          <w:rFonts w:eastAsia="IRNazanin" w:cs="IRNazanin"/>
          <w:color w:val="111111"/>
          <w:sz w:val="28"/>
          <w:szCs w:val="28"/>
          <w:lang w:bidi="fa-IR"/>
        </w:rPr>
        <w:t>220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الاهتمام بالجانب الاجتماعی للثقافة الإسلامیة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الاهتمام بالتنظیر وإنتاج العلم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إشاعة أجواء الحوار وتبادل الأفکار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التسامح المذهبی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الإنسانی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السیاسی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الاقتصادی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الإمام الخمینی المجدّد المعاصر </w:t>
      </w:r>
      <w:r>
        <w:rPr>
          <w:rFonts w:eastAsia="IRNazanin" w:cs="IRNazanin"/>
          <w:color w:val="111111"/>
          <w:sz w:val="28"/>
          <w:szCs w:val="28"/>
          <w:lang w:bidi="fa-IR"/>
        </w:rPr>
        <w:t>229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235</w:t>
      </w:r>
      <w:bookmarkStart w:id="16" w:name="pg5469_34627"/>
    </w:p>
    <w:p>
      <w:pPr>
        <w:pStyle w:val="Heading2"/>
        <w:numPr>
          <w:ilvl w:val="1"/>
          <w:numId w:val="1"/>
        </w:numPr>
        <w:rPr/>
      </w:pPr>
      <w:bookmarkStart w:id="17" w:name="__RefHeading___Toc2108690_581953129"/>
      <w:bookmarkStart w:id="18" w:name="_Toc6"/>
      <w:bookmarkEnd w:id="16"/>
      <w:bookmarkEnd w:id="17"/>
      <w:r>
        <w:rPr/>
        <w:t>1</w:t>
      </w:r>
      <w:r>
        <w:rPr>
          <w:rtl w:val="true"/>
        </w:rPr>
        <w:t xml:space="preserve">- </w:t>
      </w:r>
      <w:r>
        <w:rPr>
          <w:rtl w:val="true"/>
        </w:rPr>
        <w:t>مفهوم الثقافة</w:t>
      </w:r>
      <w:bookmarkEnd w:id="18"/>
    </w:p>
    <w:p>
      <w:pPr>
        <w:pStyle w:val="Heading3"/>
        <w:numPr>
          <w:ilvl w:val="2"/>
          <w:numId w:val="1"/>
        </w:numPr>
        <w:rPr/>
      </w:pPr>
      <w:bookmarkStart w:id="19" w:name="__RefHeading___Toc2108692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عاش القدماء مع الثقافة وخاضوا غمارها،وقاموا بتعدیلها ونشرها،إلّا أنّهم لم ینبسوا ببنت شفة عن الثقافة ذاتها،فمنذ أن وطأت قدم الإنسان حلبة النهضة و الإبداع،سعی إلی الخروج عن حقیقة کلّ ما هو موجود حوله لکی یتسنی له الوقوف علیه،فغالب المعارف و العلوم التی ظهرت فی حقل الفکر مَدینة لهذا المنهج،وبعبارة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تبلورت تلک العلوم أثر رواج المنهج الجدید،علوماً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الدین و الأخلاق ونظریة المعرفة و الوجود و التراث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وأصبحت الثقافة رکناً رکیناً فی حیاته دون أن یجد أی منهج فکری جدید مخلصاً من شباکها،وما یزال امامها شوط بعید،وهی تتناول بصورة عامّة الموضوعات التی تمت إلیها بصلة تحلیلاً وتمحیصاً،فمن الموضوعات الأکثر حداثة وبحاجة إلی المزید من التمحیص و التنقیب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الثقافة،وآلیاتها،وأجزائها،وخصوصیاتها،ووحدتها،وتنوعها،ونسبیتها،والعولمة الثقافیة،والثقافة و الحضارة،وأقسامها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هذا الموضوع من مقدّمات المباحث الأصلیة فی هذا الکتاب،نکتفی ببیان ماهیة الثقافة وأرکانها وخصوصیاتها</w:t>
      </w:r>
      <w:r>
        <w:rPr>
          <w:rFonts w:eastAsia="IRNazanin" w:cs="IRNazanin"/>
          <w:color w:val="111111"/>
          <w:sz w:val="28"/>
          <w:szCs w:val="28"/>
          <w:rtl w:val="true"/>
          <w:lang w:bidi="fa-IR"/>
        </w:rPr>
        <w:t>.</w:t>
      </w:r>
      <w:bookmarkStart w:id="21" w:name="pg5469_34628"/>
    </w:p>
    <w:p>
      <w:pPr>
        <w:pStyle w:val="Heading3"/>
        <w:numPr>
          <w:ilvl w:val="2"/>
          <w:numId w:val="1"/>
        </w:numPr>
        <w:rPr/>
      </w:pPr>
      <w:bookmarkStart w:id="22" w:name="__RefHeading___Toc2108694_581953129"/>
      <w:bookmarkStart w:id="23" w:name="_Toc8"/>
      <w:bookmarkEnd w:id="21"/>
      <w:bookmarkEnd w:id="22"/>
      <w:r>
        <w:rPr>
          <w:rtl w:val="true"/>
        </w:rPr>
        <w:t>ماهیة الثقافة</w:t>
      </w:r>
      <w:bookmarkEnd w:id="23"/>
    </w:p>
    <w:p>
      <w:pPr>
        <w:pStyle w:val="BookText"/>
        <w:rPr/>
      </w:pPr>
      <w:r>
        <w:rPr>
          <w:rFonts w:ascii="IRNazanin" w:hAnsi="IRNazanin" w:eastAsia="IRNazanin"/>
          <w:color w:val="111111"/>
          <w:sz w:val="28"/>
          <w:sz w:val="28"/>
          <w:szCs w:val="28"/>
          <w:rtl w:val="true"/>
          <w:lang w:bidi="fa-IR"/>
        </w:rPr>
        <w:t>تجد فی دنیا المفردات العدید من المصطلحات الرئیسة التی تفتح کلّ منهأ أبواباً اخری یدور حول تعریفها تردید ویحوم حول تفسیرها شکوک،من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والاستقلال و الإدارة و التکنولوجیا و الحقوق و السیاسة التی هی بحاجة إلی المزید من البحث و التمحیص،وهکذا الحال فی مفردة الثقافة التی تعتبر من أکثر المصطلحات غموضاً فهی تتضّمن رغم قصرها،معانی مختلفة وواسعة للغایة إلّا أنّه لم یتمّ الاتفاق علی تعریف جامع لها حتّی الآن،وسوف نقتصر هنا علی سرد تعریف لها یطرح عادة فی الغرب بصورة موجزة،ثُمّ نعرج علی بحثها وتحلیلها مشفوعة بالدلیل</w:t>
      </w:r>
      <w:r>
        <w:rPr>
          <w:rFonts w:eastAsia="IRNazanin" w:cs="IRNazanin"/>
          <w:color w:val="111111"/>
          <w:sz w:val="28"/>
          <w:szCs w:val="28"/>
          <w:rtl w:val="true"/>
          <w:lang w:bidi="fa-IR"/>
        </w:rPr>
        <w:t>.</w:t>
      </w:r>
    </w:p>
    <w:p>
      <w:pPr>
        <w:pStyle w:val="Heading3"/>
        <w:numPr>
          <w:ilvl w:val="2"/>
          <w:numId w:val="1"/>
        </w:numPr>
        <w:rPr/>
      </w:pPr>
      <w:bookmarkStart w:id="24" w:name="__RefHeading___Toc2108696_581953129"/>
      <w:bookmarkStart w:id="25" w:name="_Toc9"/>
      <w:bookmarkEnd w:id="24"/>
      <w:r>
        <w:rPr>
          <w:rtl w:val="true"/>
        </w:rPr>
        <w:t>تعریف الثقافة لغةً لدی الغرب</w:t>
      </w:r>
      <w:bookmarkEnd w:id="25"/>
    </w:p>
    <w:p>
      <w:pPr>
        <w:pStyle w:val="BookText"/>
        <w:rPr/>
      </w:pPr>
      <w:r>
        <w:rPr>
          <w:rFonts w:ascii="IRNazanin" w:hAnsi="IRNazanin" w:eastAsia="IRNazanin"/>
          <w:color w:val="111111"/>
          <w:sz w:val="28"/>
          <w:sz w:val="28"/>
          <w:szCs w:val="28"/>
          <w:rtl w:val="true"/>
          <w:lang w:bidi="fa-IR"/>
        </w:rPr>
        <w:t xml:space="preserve">إنّ مفردة الثقافة فی اللغة الفارسیة تشبه إلی حد بعید مفهوم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اللغة الإنجلیزیة و الفرنسیة،و قد اشتقّت مفردة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الفعل اللاتینی </w:t>
      </w:r>
      <w:r>
        <w:rPr>
          <w:rFonts w:eastAsia="Times New Roman" w:cs="Times New Roman" w:ascii="Times New Roman" w:hAnsi="Times New Roman"/>
          <w:color w:val="111111"/>
          <w:sz w:val="28"/>
          <w:szCs w:val="28"/>
          <w:lang w:val="en-US" w:bidi="en-US"/>
        </w:rPr>
        <w:t>colere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بمعنی التربیة،حیث ابتکرت فی القرن الحادی عشر المیلادی فی أوروبا واستعملت بمعنیین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الطقوس الدینیة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 تداولها فی الثقافات الاُوروبیة فی العصر الحاضر بالمعنی الثانی أی الزراعة،کما أنّه تمّ تداولها فی العصور الوسطی بمعنی العبادة،ومنذ القرن السادس عشر المیلادی استخدم العلماء وأهل الفن مفردة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لأوّل مرّة فی البعد الروحی،وأخذ معناها اللغوی و التی تعنی الزراعة یتّسع منذ عصر النهضة لیشمل عملیة التنمیة الإنسانیة أیضاً</w:t>
      </w:r>
      <w:r>
        <w:rPr>
          <w:rFonts w:eastAsia="IRNazanin" w:cs="IRNazanin"/>
          <w:color w:val="111111"/>
          <w:sz w:val="28"/>
          <w:szCs w:val="28"/>
          <w:rtl w:val="true"/>
          <w:lang w:bidi="fa-IR"/>
        </w:rPr>
        <w:t xml:space="preserve">. </w:t>
      </w:r>
      <w:r>
        <w:rPr>
          <w:rStyle w:val="FootnoteAnchor"/>
          <w:rtl w:val="true"/>
        </w:rPr>
        <w:footnoteReference w:id="2"/>
      </w:r>
      <w:bookmarkStart w:id="26" w:name="pg5469_34629"/>
    </w:p>
    <w:p>
      <w:pPr>
        <w:pStyle w:val="Heading3"/>
        <w:numPr>
          <w:ilvl w:val="2"/>
          <w:numId w:val="1"/>
        </w:numPr>
        <w:rPr/>
      </w:pPr>
      <w:bookmarkStart w:id="27" w:name="__RefHeading___Toc2108698_581953129"/>
      <w:bookmarkStart w:id="28" w:name="_Toc10"/>
      <w:bookmarkEnd w:id="26"/>
      <w:bookmarkEnd w:id="27"/>
      <w:r>
        <w:rPr>
          <w:rtl w:val="true"/>
        </w:rPr>
        <w:t>تعریف الثقافة اصطلاحاً لدی الغرب</w:t>
      </w:r>
      <w:bookmarkEnd w:id="28"/>
    </w:p>
    <w:p>
      <w:pPr>
        <w:pStyle w:val="BookText"/>
        <w:rPr/>
      </w:pPr>
      <w:r>
        <w:rPr>
          <w:rFonts w:ascii="IRNazanin" w:hAnsi="IRNazanin" w:eastAsia="IRNazanin"/>
          <w:color w:val="111111"/>
          <w:sz w:val="28"/>
          <w:sz w:val="28"/>
          <w:szCs w:val="28"/>
          <w:rtl w:val="true"/>
          <w:lang w:bidi="fa-IR"/>
        </w:rPr>
        <w:t>لم یطرح تعریف اصطلاحی محدد للثقافة فی الغرب،بل طرحت تعاریف مختلفة وفقا لرؤی متنوعة</w:t>
      </w:r>
    </w:p>
    <w:p>
      <w:pPr>
        <w:pStyle w:val="BookText"/>
        <w:rPr/>
      </w:pPr>
      <w:r>
        <w:rPr>
          <w:rFonts w:ascii="IRNazanin" w:hAnsi="IRNazanin" w:eastAsia="IRNazanin"/>
          <w:color w:val="111111"/>
          <w:sz w:val="28"/>
          <w:sz w:val="28"/>
          <w:szCs w:val="28"/>
          <w:rtl w:val="true"/>
          <w:lang w:bidi="fa-IR"/>
        </w:rPr>
        <w:t>إنّ الثقافة مجموعة من المعارف و العقائد و الفنّ و الأخلاقیات و القانون و السنّة و القابلیات و العادات،التی یکتسبها الفرد باعتباره عضواً فی المجتمع</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مجموعة من أسالیب الحیاة الإنسانیة التی تنتقل من نسل إلی نسل آخر</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النظام الذی ینصب علی الأفعال التی تضمّ أنظمة تأهیلیة واستنساخ النماذج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عبارة عن مجموعة من العلوم و العقائد و الفنون و القوانین الأخلاقیة و العادات و المؤهلات،التی یکتسبها الإنسان باعتباره عضواً من المجتمع</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ومع أخذ تلک التعاریف بنظر الاعتبار،یمکن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فی الغرب تضمّ کلّ ما یبرز أثر الفعل الانسانی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یشار إلی إنّه تمخض عن انتشار تعریف عصر النهضة </w:t>
      </w:r>
      <w:r>
        <w:rPr>
          <w:rStyle w:val="FootnoteAnchor"/>
          <w:rtl w:val="true"/>
        </w:rPr>
        <w:footnoteReference w:id="7"/>
      </w:r>
      <w:r>
        <w:rPr>
          <w:rFonts w:ascii="IRNazanin" w:hAnsi="IRNazanin" w:eastAsia="IRNazanin"/>
          <w:color w:val="111111"/>
          <w:sz w:val="28"/>
          <w:sz w:val="28"/>
          <w:szCs w:val="28"/>
          <w:rtl w:val="true"/>
          <w:lang w:bidi="fa-IR"/>
        </w:rPr>
        <w:t>فی بدایة القرن الثامن عشر المیلادی،إلی تفسیر الثقافة بالتطوّر و التجدید و النمو و التکامل،هذه النظرة أوجدت أرضیة للمزاوجة بین مفردتی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الغرب،وأصبحت المظاهر المادیة جزءاً من الثقافة،کما أصبح التقدّم المادی و الروحی جزءاً من 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أصبحت الحضارة تشیر إلی مدی التقدّم الذی أحرزه الغرب فی</w:t>
      </w:r>
      <w:bookmarkStart w:id="29" w:name="pg5469_34630"/>
    </w:p>
    <w:p>
      <w:pPr>
        <w:pStyle w:val="BookText"/>
        <w:rPr/>
      </w:pPr>
      <w:bookmarkEnd w:id="29"/>
      <w:r>
        <w:rPr>
          <w:rFonts w:ascii="IRNazanin" w:hAnsi="IRNazanin" w:eastAsia="IRNazanin"/>
          <w:color w:val="111111"/>
          <w:sz w:val="28"/>
          <w:sz w:val="28"/>
          <w:szCs w:val="28"/>
          <w:rtl w:val="true"/>
          <w:lang w:bidi="fa-IR"/>
        </w:rPr>
        <w:t>القرن الثامن عشر،والذی یتمیز به عن المجتمعات البدائیة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وسعی المجتمع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بمعونة هذا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إبراز ما یمیزه من خصوصیات یتباهی بها،نظیر التحوّل الصناعی،والقواعد السلوکیة،وتکامل المعرفة العلمیة،وفی الواقع یسعی الغرب أن یعبئ هذا المفهوم بما لدیه من إنجازات،ویحاول جاهداً الابتعاد عن المجتمعات التی لیست بمستواه علمیاً وفنیاً،ووضعها فی خانة المجتمعات المتخلفة،هذا التفسیر المتأخّر مهد السبیل لوضع تفسیر معاصر للثقافة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 الثقافیة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جدیر بالذکر أنّ هذا المعنی الاصطلاحی هو السائد حالیاً فی الغرب،دون أن یمنع من وجود خصوم له،هذا إلی جانب التجاذبات و الأخذ و الرد الحاصل بین أتباع هذا الفکر فی طریقة التفسیر و التبیین</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30" w:name="__RefHeading___Toc2108700_581953129"/>
      <w:bookmarkStart w:id="31" w:name="_Toc11"/>
      <w:bookmarkEnd w:id="30"/>
      <w:r>
        <w:rPr>
          <w:rtl w:val="true"/>
        </w:rPr>
        <w:t>التعریف اللغوی للثقافة فی إیران</w:t>
      </w:r>
      <w:bookmarkEnd w:id="31"/>
    </w:p>
    <w:p>
      <w:pPr>
        <w:pStyle w:val="BookText"/>
        <w:rPr/>
      </w:pPr>
      <w:r>
        <w:rPr>
          <w:rFonts w:ascii="IRNazanin" w:hAnsi="IRNazanin" w:eastAsia="IRNazanin"/>
          <w:color w:val="111111"/>
          <w:sz w:val="28"/>
          <w:sz w:val="28"/>
          <w:szCs w:val="28"/>
          <w:rtl w:val="true"/>
          <w:lang w:bidi="fa-IR"/>
        </w:rPr>
        <w:t>لقد طرأت تحوّلات مختلفة علی مفردة الثقافة فی اللغة الفارسیة،إلّا أنّها اتجهت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وخلافاً للغرب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إضفاء المزید من الأبعاد الروحیة علیها دون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وللمزید من الاطّلاع نسرد تعاریف لها طرحت منذ الماضی البعید وحتّی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تعنی الثقافة فی 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تترکب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الأمام و التقدّم،والفوق،و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السحب،لذلک ففرهنگ،تعنی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السحب نحو الأمام أو التقدّم أو الفوق</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وردت الثقافة بمعنی الأدب،فقد أنشد ناصر خسرو</w:t>
      </w:r>
      <w:r>
        <w:rPr>
          <w:rFonts w:eastAsia="IRNazanin" w:cs="IRNazanin"/>
          <w:color w:val="111111"/>
          <w:sz w:val="28"/>
          <w:szCs w:val="28"/>
          <w:rtl w:val="true"/>
          <w:lang w:bidi="fa-IR"/>
        </w:rPr>
        <w:t>:</w:t>
      </w:r>
      <w:bookmarkStart w:id="32" w:name="pg5469_34631"/>
    </w:p>
    <w:p>
      <w:pPr>
        <w:pStyle w:val="BookText"/>
        <w:rPr/>
      </w:pPr>
      <w:bookmarkEnd w:id="32"/>
      <w:r>
        <w:rPr>
          <w:rFonts w:ascii="IRNazanin" w:hAnsi="IRNazanin" w:eastAsia="IRNazanin"/>
          <w:color w:val="111111"/>
          <w:sz w:val="28"/>
          <w:sz w:val="28"/>
          <w:szCs w:val="28"/>
          <w:rtl w:val="true"/>
          <w:lang w:bidi="fa-IR"/>
        </w:rPr>
        <w:t>أصبحت بفضل العلم و الثقافة و الکلام مختاراً فی کلا العالمین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واستعملت بمعنی العقل،قال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 دین وثقافة وفطنة،فهل یفلح ثمل أو غافل فی أدائه؟کن عاقلاً وحذراً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لاریب أنّ التربیة و التعلیم،والعلم و المعرفة،والعقل،والعظمة،والحکمة،وکتب اللغة،والتراث العلمی و الأدبی،والفن،والصناعة،والعادات و السنن،کلّها مظاهر مختلفة للثقافة فی اللغة الفارسیة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ولما ترجمت هذه المفردة إلی الفارسیة 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استعملت بمعنی التربیة و التعلیم،وأخذ هذا الاستعمال یشقّ طریقه إلی الکتابات الإیرانیة من اللغة الفرنسیة،وما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الثقافة و التعلیم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الثقافة و الإرشاد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إشارة إلی ذلک المعنی الآنف الذکر</w:t>
      </w:r>
      <w:r>
        <w:rPr>
          <w:rFonts w:eastAsia="IRNazanin" w:cs="IRNazanin"/>
          <w:color w:val="111111"/>
          <w:sz w:val="28"/>
          <w:szCs w:val="28"/>
          <w:rtl w:val="true"/>
          <w:lang w:bidi="fa-IR"/>
        </w:rPr>
        <w:t>.</w:t>
      </w:r>
    </w:p>
    <w:p>
      <w:pPr>
        <w:pStyle w:val="Heading3"/>
        <w:numPr>
          <w:ilvl w:val="2"/>
          <w:numId w:val="1"/>
        </w:numPr>
        <w:rPr/>
      </w:pPr>
      <w:bookmarkStart w:id="33" w:name="__RefHeading___Toc2108702_581953129"/>
      <w:bookmarkStart w:id="34" w:name="_Toc12"/>
      <w:bookmarkEnd w:id="33"/>
      <w:r>
        <w:rPr>
          <w:rtl w:val="true"/>
        </w:rPr>
        <w:t>التعریف الاصطلاحی للثقافة فی إیران</w:t>
      </w:r>
      <w:bookmarkEnd w:id="34"/>
    </w:p>
    <w:p>
      <w:pPr>
        <w:pStyle w:val="BookText"/>
        <w:rPr/>
      </w:pPr>
      <w:r>
        <w:rPr>
          <w:rFonts w:ascii="IRNazanin" w:hAnsi="IRNazanin" w:eastAsia="IRNazanin"/>
          <w:color w:val="111111"/>
          <w:sz w:val="28"/>
          <w:sz w:val="28"/>
          <w:szCs w:val="28"/>
          <w:rtl w:val="true"/>
          <w:lang w:bidi="fa-IR"/>
        </w:rPr>
        <w:t>و قد امتزجت هذه المفردة بتصوّرات مختلفة وأخذ التعریف الاصطلاحی لها أبعاداً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الثقافة مجموعة ما تعلمه البشر للعثور علی ذاته</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العقلانیة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هی نظرة المجتمع الشمولیة تجاه العالم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هی الوجه الروحی و المعنوی للحضارة،والظواهر الروحیة،وهی ظواهر تلبی الحاجات غیر الحیاتیة للبشر،فمثلاً ارتداء الثیاب وجه مادی،ولکن الموضة ولون الثیاب وجه معنوی</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الثقافة هی حصیلة التجارب البشریة التی یکتسبها البشر فی طول الزمان عن طریق التجربة و التعلیم المباشر أو غیر المباشر وتضعه فی عالمه الخاصّ،حیث یعثر فیه علی هویته البشریة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إنّها تکسب الإنسان هویة فی إطار حیاته الاجتماعیة،والتی تعتبر نتاجاً ذهنیاً عالیاً ومحصول معقد ومتطوّر للفکر البشری،وتقع تحت تأثیر العلل و العوامل الموجدة و المعدة،الداخلیة و الخارجیة و التی تتجلی فی کافّة الإنجازات و المظاهر المادیة و المعنویة لحیاته،هذه المظاهر المتّصلة من القیم و الفضائل و العقائد و الأهداف و العلوم و الفنون و الآداب وعادات المجتمع کلّها عوامل تعکس التحوّلات الکیفیة لکلّ شعب</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ویبدو أنّ هذه التعاریف لاتتعارض فیما بینها،بل کلّ منها ناظر إلی جهة من الجهات،ویعنی ذلک أنّ التعریف ینطلق من الأجزاء التی تدخل فی تشکیل الثقافة أحیاناً،ومن الأبعاد التاریخیة و الوراثیة لها أحیاناً اخری،وثالثة من البعد المثالی و العلمی و المنهجی،من هنا قد یکون المراد من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الأدب و الأخلاق و النظام القیمی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الحیاة علی الأصعدة کافّة</w:t>
      </w:r>
      <w:r>
        <w:rPr>
          <w:rFonts w:eastAsia="IRNazanin" w:cs="IRNazanin"/>
          <w:color w:val="111111"/>
          <w:sz w:val="28"/>
          <w:szCs w:val="28"/>
          <w:rtl w:val="true"/>
          <w:lang w:bidi="fa-IR"/>
        </w:rPr>
        <w:t>.</w:t>
      </w:r>
      <w:bookmarkStart w:id="35" w:name="pg5469_34633"/>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العناصر العامّة و المشترکات السائدة بین الناس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اللغة و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التاریخی المادی و الروحی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القیم و العقائد و الأفکار و الآراء و الإحساسات و التوجّهات و المعارف و الآداب و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الموارد یمکن أن یطلق علیها ثقافة،ولکن ینبغی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لاتنحصر بهذه الموارد،لذلک فکلّ مفکّر یسعی إلی الإشارة إلی جانب من جوانب تلک الحقیقة العمیقة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أمر،فإنّ المقارنة بین التعاریف المختلفة للثقافة فی إیران و الغرب تقودنا إلی العثور علی خیوط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أغلب العلماء وحتّی علماء اللغة یطلقون هذا الاصطلاح علی البعد المعنوی للحیاة البشریة،هذا الاستعمال نجده علی ألسنة علماء الغرب خاصّة فی القرن الخامس عشر حتّی آواخر القرن الثامن عشر،علی الرغم من تباین وجهات نظرهم بشأن تفسیر الحیاة المعنویة للبشر وتحلیلها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عناصر مشترکة فی التعاریف نظیر الأخلاق و الفنّ و المعرفة و العقیدة و الإحساسات و التوجّهات و الأسالیب المعیشیة و التربیة و التعلیم و القیم و التصرّفات واُسلوب الحیاة و الآداب و العادات و السنن،وبالتأکید فقد أظهر اختلاط مفهوم الثقافة بالحضارة فی القرن الثامن عشر،وجوه تمایز لهذا المصطلح فی العصر الحاضر لابدّ أنّ تؤخذ بنظر الاعتبار</w:t>
      </w:r>
      <w:r>
        <w:rPr>
          <w:rFonts w:eastAsia="IRNazanin" w:cs="IRNazanin"/>
          <w:color w:val="111111"/>
          <w:sz w:val="28"/>
          <w:szCs w:val="28"/>
          <w:rtl w:val="true"/>
          <w:lang w:bidi="fa-IR"/>
        </w:rPr>
        <w:t>.</w:t>
      </w:r>
    </w:p>
    <w:p>
      <w:pPr>
        <w:pStyle w:val="Heading3"/>
        <w:numPr>
          <w:ilvl w:val="2"/>
          <w:numId w:val="1"/>
        </w:numPr>
        <w:rPr/>
      </w:pPr>
      <w:bookmarkStart w:id="36" w:name="__RefHeading___Toc2108704_581953129"/>
      <w:bookmarkStart w:id="37" w:name="_Toc13"/>
      <w:bookmarkEnd w:id="36"/>
      <w:r>
        <w:rPr>
          <w:rtl w:val="true"/>
        </w:rPr>
        <w:t>التعریف المختار</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أدلّة لاحصر لها تدلّ علی أنّ البشر منذ البدایة وحتّی الآن کان یملک أفکاراً وإحساسات واضحة حول الأهداف المنشودة التی ینبغی الظفر بها،هذا النوع من</w:t>
      </w:r>
    </w:p>
    <w:p>
      <w:pPr>
        <w:pStyle w:val="BookText"/>
        <w:rPr/>
      </w:pPr>
      <w:r>
        <w:rPr>
          <w:rFonts w:ascii="IRNazanin" w:hAnsi="IRNazanin" w:eastAsia="IRNazanin"/>
          <w:color w:val="111111"/>
          <w:sz w:val="28"/>
          <w:sz w:val="28"/>
          <w:szCs w:val="28"/>
          <w:rtl w:val="true"/>
          <w:lang w:bidi="fa-IR"/>
        </w:rPr>
        <w:t>الأنشطة،والتی تعنی السعی وراء توفیر الرفاه المادی یعدّ بعداً أساسیاً فی مقابل البعد الطبیعی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ونطلق علی هذه الخصوصیة اسم الثقافة،وبناء علی ذلک فهی بنظرنا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الحیاة الإنسانیة أو الجوانب التی یتمایز بها الإنسان عن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التعریف مع اختصاره له معنی جامع دالّ علی سعة المفهوم،و إذا أمعن النظر فی تعاریف الغرب ومفکری إیران یتضح أنّ ثمة عناصر ومختصّات تستعمل فی تبیین الثقافة تختصّ بحیاة الإنسان فی مقابل 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یخلق ثقافة نظراً لخصوصیاته ویسعی إلی نقلها،ولعلّ هذا السبب هو الذی دعا مارغریت مید، </w:t>
      </w:r>
      <w:r>
        <w:rPr>
          <w:rStyle w:val="FootnoteAnchor"/>
          <w:rtl w:val="true"/>
        </w:rPr>
        <w:footnoteReference w:id="20"/>
      </w:r>
      <w:r>
        <w:rPr>
          <w:rFonts w:ascii="IRNazanin" w:hAnsi="IRNazanin" w:eastAsia="IRNazanin"/>
          <w:color w:val="111111"/>
          <w:sz w:val="28"/>
          <w:sz w:val="28"/>
          <w:szCs w:val="28"/>
          <w:rtl w:val="true"/>
          <w:lang w:bidi="fa-IR"/>
        </w:rPr>
        <w:t>وهی من أبرز علماء الانثروبولوجیا فی القرن العشرین،إلی ضرورة فهم الثقافة وفقا للسلوک الإنسانی</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وفی هذا السیاق تعقب العلّامة محمد تقی الجعفری آثار قدم الإنسان فی ظاهرة الثقافة،وذهب إلی أنّ الإنسان یخلق لنفسه ثقافة ویعیش معها فی ظلّ ظروف بیئیة وظواهر تاریخیة،وأهداف مطلقة ونسبیة ووفقاً لرؤیته الکونیة ومکانته فی التاریخ عبر الجهود التی یبذلها لتحکیم آواصر الوفاق بین الاُصول الثابتة و المتغیرة</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ویدل التعریف المطروح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کونه جامعاً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التنوع والاختلاف الحاصل بین الثقافات؛لأنّ منشأ الثقافة هو تمایز الإنسان عن الحیوان،ولکن نظراً لاختلاف أبعاده الوجودیة وعجزه عن التوفیق بینها،کان غیاب الانسجام بین العناصر الثقافیة للبشر ظاهرة طبیعیة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التعریف المقترح للثقافة هو أقرب إلی معناها اللغوی؛ذلک لأنّ التعاریف المطروحة فی الغرب وإیران هی فی الحقیقة رموز لتلک الخصوصیات الإنسانیة المتمثلة فی الأدب</w:t>
      </w:r>
      <w:bookmarkStart w:id="38" w:name="pg5469_34635"/>
    </w:p>
    <w:p>
      <w:pPr>
        <w:pStyle w:val="BookText"/>
        <w:rPr/>
      </w:pPr>
      <w:bookmarkEnd w:id="38"/>
      <w:r>
        <w:rPr>
          <w:rFonts w:ascii="IRNazanin" w:hAnsi="IRNazanin" w:eastAsia="IRNazanin"/>
          <w:color w:val="111111"/>
          <w:sz w:val="28"/>
          <w:sz w:val="28"/>
          <w:szCs w:val="28"/>
          <w:rtl w:val="true"/>
          <w:lang w:bidi="fa-IR"/>
        </w:rPr>
        <w:t>والعقل و المعرفة و التربیة و التعلیم و الفنّ و الصناعة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تشکل باطن هذه 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الأوصاف یمکن أن تدلّ علی أنّ الثقافة کالظلّ الدالّ علی النور،إلّا أنّها لاتعدّ من الثقافة فی شیء،حتّی لو قمنا بتحلیلها وتفسیرها،بل لابدّ من البحث عن الخصوصیات الإنسانیة التی یتمایز بها عن الحیوان لنقف علی حقیقة 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المجتمع بمؤسساته وإنجازاته کافةً یشکل أرضیة خصبة لعناصر الثقافة إلّا أنّها لیست ثقافة،من هنا تلزم معرفة الثقافة الوقوف علی هدف الإنسان ورفع حاجاته فی إطار الطبیعة،وماورائها،والنفس البشریة،والبشر،أنّ رؤیة الإنسان حیال هذه الأطر الأربعة هی التی تحدد وجهة ومحتوی العدید من جوانب الحیاة،واعتقد أنّ حقیقة الثقافة فی الواقع هی وجود هذه النظرة إزاء الأطر الأربعة التی تتبلور فی مختلف نواحی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یعدّ هذا الأمر خافیاً عن أعین المفکّرین الغربیین،فقد کتب دوبویی فی کتابه الثقافة و التنمیة،یقول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للمجتمعات المختلفة اسلوباً خاصّاً فی بناء المدن و المساکن وکیفیة ارتداء الثیاب ونظائر ذلک،الذی یعتمد إلی حدّ کبیر علی نوع تفکیرها حیال الوجود،ونظرتها إلی الحیاة،وإلی القیم السائدة علی العالم،وبعبارة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ثقافة أی شعب تظهر فی نواحی حیاته المختلفة من صناعة،واقتصاد،وإدارة،وعمران،وفنّ</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39" w:name="__RefHeading___Toc2108706_581953129"/>
      <w:bookmarkStart w:id="40" w:name="_Toc14"/>
      <w:bookmarkEnd w:id="39"/>
      <w:r>
        <w:rPr>
          <w:rtl w:val="true"/>
        </w:rPr>
        <w:t>أجزاء الثقافة</w:t>
      </w:r>
      <w:bookmarkEnd w:id="40"/>
    </w:p>
    <w:p>
      <w:pPr>
        <w:pStyle w:val="Heading4"/>
        <w:numPr>
          <w:ilvl w:val="3"/>
          <w:numId w:val="1"/>
        </w:numPr>
        <w:rPr/>
      </w:pPr>
      <w:bookmarkStart w:id="41" w:name="__RefHeading___Toc2108708_581953129"/>
      <w:bookmarkStart w:id="42" w:name="_Toc15"/>
      <w:bookmarkEnd w:id="41"/>
      <w:r>
        <w:rPr>
          <w:rtl w:val="true"/>
        </w:rPr>
        <w:t>اشارة</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الأساس،فإنّ معرفة حقیقة الثقافة ترتبط بمعرفة هدف الإنسان ورفع حاجاته فی الاُطر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الطبیعة،وماوراء الطبیعة،والنفس،والبشر،ولها علی کلّ حال أنظمة ثلاثة ترتبط بعضها ببعض،هذه الأنظمة هی عبارة عن</w:t>
      </w:r>
      <w:r>
        <w:rPr>
          <w:rFonts w:eastAsia="IRNazanin" w:cs="IRNazanin"/>
          <w:color w:val="111111"/>
          <w:sz w:val="28"/>
          <w:szCs w:val="28"/>
          <w:rtl w:val="true"/>
          <w:lang w:bidi="fa-IR"/>
        </w:rPr>
        <w:t>:</w:t>
      </w:r>
      <w:bookmarkStart w:id="43" w:name="pg5469_34636"/>
    </w:p>
    <w:p>
      <w:pPr>
        <w:pStyle w:val="Heading4"/>
        <w:numPr>
          <w:ilvl w:val="3"/>
          <w:numId w:val="1"/>
        </w:numPr>
        <w:rPr/>
      </w:pPr>
      <w:bookmarkStart w:id="44" w:name="__RefHeading___Toc2108710_581953129"/>
      <w:bookmarkStart w:id="45" w:name="_Toc16"/>
      <w:bookmarkEnd w:id="43"/>
      <w:bookmarkEnd w:id="44"/>
      <w:r>
        <w:rPr>
          <w:rtl w:val="true"/>
        </w:rPr>
        <w:t>أ</w:t>
      </w:r>
      <w:r>
        <w:rPr>
          <w:rtl w:val="true"/>
        </w:rPr>
        <w:t>)</w:t>
      </w:r>
      <w:r>
        <w:rPr>
          <w:rtl w:val="true"/>
        </w:rPr>
        <w:t>نظام المعارف و العقائد</w:t>
      </w:r>
      <w:bookmarkEnd w:id="45"/>
    </w:p>
    <w:p>
      <w:pPr>
        <w:pStyle w:val="BookText"/>
        <w:rPr/>
      </w:pPr>
      <w:r>
        <w:rPr>
          <w:rFonts w:ascii="IRNazanin" w:hAnsi="IRNazanin" w:eastAsia="IRNazanin"/>
          <w:color w:val="111111"/>
          <w:sz w:val="28"/>
          <w:sz w:val="28"/>
          <w:szCs w:val="28"/>
          <w:rtl w:val="true"/>
          <w:lang w:bidi="fa-IR"/>
        </w:rPr>
        <w:t>یشکل هذا النظام أساس أنشطة البشر فی ساحة الفکر،والذی یتبلور فی التصوّرات والاعتقادات و التعالیم و المناهج الاستدلالیة فی مجال الإنسان و العالم و الحیاة وطبیعة علاقة الانسان بالطبیعة وماورائها،حیث یتمّ تعیین موقف الإنسان فی هذا المجال إزاء الموارد المذکورة</w:t>
      </w:r>
      <w:r>
        <w:rPr>
          <w:rFonts w:eastAsia="IRNazanin" w:cs="IRNazanin"/>
          <w:color w:val="111111"/>
          <w:sz w:val="28"/>
          <w:szCs w:val="28"/>
          <w:rtl w:val="true"/>
          <w:lang w:bidi="fa-IR"/>
        </w:rPr>
        <w:t>.</w:t>
      </w:r>
    </w:p>
    <w:p>
      <w:pPr>
        <w:pStyle w:val="Heading4"/>
        <w:numPr>
          <w:ilvl w:val="3"/>
          <w:numId w:val="1"/>
        </w:numPr>
        <w:rPr/>
      </w:pPr>
      <w:bookmarkStart w:id="46" w:name="__RefHeading___Toc2108712_581953129"/>
      <w:bookmarkStart w:id="47" w:name="_Toc17"/>
      <w:bookmarkEnd w:id="46"/>
      <w:r>
        <w:rPr>
          <w:rtl w:val="true"/>
        </w:rPr>
        <w:t>ب</w:t>
      </w:r>
      <w:r>
        <w:rPr>
          <w:rtl w:val="true"/>
        </w:rPr>
        <w:t>)</w:t>
      </w:r>
      <w:r>
        <w:rPr>
          <w:rtl w:val="true"/>
        </w:rPr>
        <w:t>نظام القیم و التوجّهات</w:t>
      </w:r>
      <w:bookmarkEnd w:id="47"/>
    </w:p>
    <w:p>
      <w:pPr>
        <w:pStyle w:val="BookText"/>
        <w:rPr/>
      </w:pPr>
      <w:r>
        <w:rPr>
          <w:rFonts w:ascii="IRNazanin" w:hAnsi="IRNazanin" w:eastAsia="IRNazanin"/>
          <w:color w:val="111111"/>
          <w:sz w:val="28"/>
          <w:sz w:val="28"/>
          <w:szCs w:val="28"/>
          <w:rtl w:val="true"/>
          <w:lang w:bidi="fa-IR"/>
        </w:rPr>
        <w:t>یشیر هذا النظام إلی القیم والاعتقاد بها،إذ یتمّ وضع موانع بین المطلوب وغیر المطلوب،والجید و السئ،واللائق وغیر اللائق،والحسن و القبیح،فی اطار التعالیم القیمیة و الأخلاقیة و القانونیة بالمعنی العام،ویتعلّم البشر فی هذا النظام کیفیة التفکیر فی الذات و الغیر</w:t>
      </w:r>
      <w:r>
        <w:rPr>
          <w:rFonts w:eastAsia="IRNazanin" w:cs="IRNazanin"/>
          <w:color w:val="111111"/>
          <w:sz w:val="28"/>
          <w:szCs w:val="28"/>
          <w:rtl w:val="true"/>
          <w:lang w:bidi="fa-IR"/>
        </w:rPr>
        <w:t>.</w:t>
      </w:r>
    </w:p>
    <w:p>
      <w:pPr>
        <w:pStyle w:val="Heading4"/>
        <w:numPr>
          <w:ilvl w:val="3"/>
          <w:numId w:val="1"/>
        </w:numPr>
        <w:rPr/>
      </w:pPr>
      <w:bookmarkStart w:id="48" w:name="__RefHeading___Toc2108714_581953129"/>
      <w:bookmarkStart w:id="49" w:name="_Toc18"/>
      <w:bookmarkEnd w:id="48"/>
      <w:r>
        <w:rPr>
          <w:rtl w:val="true"/>
        </w:rPr>
        <w:t>ج</w:t>
      </w:r>
      <w:r>
        <w:rPr>
          <w:rtl w:val="true"/>
        </w:rPr>
        <w:t>)</w:t>
      </w:r>
      <w:r>
        <w:rPr>
          <w:rtl w:val="true"/>
        </w:rPr>
        <w:t>نظام السلوک و التصرّفات</w:t>
      </w:r>
      <w:bookmarkEnd w:id="49"/>
    </w:p>
    <w:p>
      <w:pPr>
        <w:pStyle w:val="BookText"/>
        <w:rPr/>
      </w:pPr>
      <w:r>
        <w:rPr>
          <w:rFonts w:ascii="IRNazanin" w:hAnsi="IRNazanin" w:eastAsia="IRNazanin"/>
          <w:color w:val="111111"/>
          <w:sz w:val="28"/>
          <w:sz w:val="28"/>
          <w:szCs w:val="28"/>
          <w:rtl w:val="true"/>
          <w:lang w:bidi="fa-IR"/>
        </w:rPr>
        <w:t>یشمل هذا النظام التعالیم التی توفر الانسجام اللازم بین سلوک الإنسان وأفعال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الإطار تبرز مقولات النظامین السابقین،أی تبلور التصرّفات و الآداب الاجتماعیة و الفردیة،مع الأخذ بنظر الاعتبار نوع الرؤیة و التوجّهات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ولمزید من التوضیح نذکر المثال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ثقافة خاصّة حاکمة علی تلک الأنظمة الثلاثة فی المجتمع الدینی،إذ یسود الاعتقاد أنّ الإنسان موجود تشکل المعنویة کماله المطلوب،والمعنویة فی النظام المعرفی لهذه الثقافة کمال یناله الإنسان،من خلال المراقبة وبذل الجهد والانتفاع من النعم الجسمیة و الروحیة کافة،إذ یتّجه الإنسان حینها صوب کمال مطلق ومعین لکلّ خیر وسعادة لاینضب و هو الله جلّ وعلا،حیث تجده ینتفع من الجسد إلی حدّ معقول،فی حدود الصلاحیات الزمانیة و المکانیة المتاحة</w:t>
      </w:r>
      <w:r>
        <w:rPr>
          <w:rFonts w:eastAsia="IRNazanin" w:cs="IRNazanin"/>
          <w:color w:val="111111"/>
          <w:sz w:val="28"/>
          <w:szCs w:val="28"/>
          <w:rtl w:val="true"/>
          <w:lang w:bidi="fa-IR"/>
        </w:rPr>
        <w:t>.</w:t>
      </w:r>
      <w:bookmarkStart w:id="50" w:name="pg5469_34637"/>
    </w:p>
    <w:p>
      <w:pPr>
        <w:pStyle w:val="BookText"/>
        <w:rPr/>
      </w:pPr>
      <w:bookmarkEnd w:id="50"/>
      <w:r>
        <w:rPr>
          <w:rFonts w:ascii="IRNazanin" w:hAnsi="IRNazanin" w:eastAsia="IRNazanin"/>
          <w:color w:val="111111"/>
          <w:sz w:val="28"/>
          <w:sz w:val="28"/>
          <w:szCs w:val="28"/>
          <w:rtl w:val="true"/>
          <w:lang w:bidi="fa-IR"/>
        </w:rPr>
        <w:t>وعلی ضوء هذا یتمّ رسم تلک القیم فمثلاً الأزیاء و الملابس أمر قیمی ومطلوب ولازم للإنسان،وفی النظام القیمی تعتبر الثقافة هذا الارتداء بمثابة حصن منیع یحفظ الجسم من التعرّض له ویصون الکرامة الإنسانیة،وعلی ضوئه یتمّ تعیین کمیة وکیفیة وحدود هذا الارتداء بنحو ینسجم مع ثقافة المجتمع الدینی،وأی نوع من الارتداء یتناسب مع هذا النحو من المعرفة والاعتقاد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إذاً فالحجر الأساس للثقافة یبتنی علی رؤیة الإنسان إلی ذاته وبیئته وعالمه العلوی و السفلی التی تبلور قیمه وسلوکه،هذه الثقافة تترک أثرها علی النسیج المادی و المعنوی للإنسان وتتجلی بأنحاء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من البنیة المادیة للإنسان هی الظواهر التی تلبی حاجاته الحیاتیة و المادیة،والهدف الأساس منها هو تلبیة حاجات الجسم کأکثر فروع العلوم التجریبیة و الفنیة،کما أنّ المراد من البنیة المعنویة له الظواهر التی تلبی الحاجات غیر المادیة،والمراد منها الإجابة عن المتطلّبات الروحیة له کأکثر فروع العلوم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الأخذ بنظر الاعتبار ما طرح من أجزاء الثقافة،فإنّه لایتیسر بلوغ حقیقتها من خلال دراسة مؤشرات الثقافة ومظاهرها کالشعر و الموسیقی و الأدب،بل یتمّ ذلک من خلال البحث عن الأنظمة الثلاثة المذکورة</w:t>
      </w:r>
      <w:r>
        <w:rPr>
          <w:rFonts w:eastAsia="IRNazanin" w:cs="IRNazanin"/>
          <w:color w:val="111111"/>
          <w:sz w:val="28"/>
          <w:szCs w:val="28"/>
          <w:rtl w:val="true"/>
          <w:lang w:bidi="fa-IR"/>
        </w:rPr>
        <w:t>.</w:t>
      </w:r>
    </w:p>
    <w:p>
      <w:pPr>
        <w:pStyle w:val="Heading3"/>
        <w:numPr>
          <w:ilvl w:val="2"/>
          <w:numId w:val="1"/>
        </w:numPr>
        <w:rPr/>
      </w:pPr>
      <w:bookmarkStart w:id="51" w:name="__RefHeading___Toc2108716_581953129"/>
      <w:bookmarkStart w:id="52" w:name="_Toc19"/>
      <w:bookmarkEnd w:id="51"/>
      <w:r>
        <w:rPr>
          <w:rtl w:val="true"/>
        </w:rPr>
        <w:t>تنبیه</w:t>
      </w:r>
      <w:bookmarkEnd w:id="52"/>
    </w:p>
    <w:p>
      <w:pPr>
        <w:pStyle w:val="Heading4"/>
        <w:numPr>
          <w:ilvl w:val="3"/>
          <w:numId w:val="1"/>
        </w:numPr>
        <w:rPr/>
      </w:pPr>
      <w:bookmarkStart w:id="53" w:name="__RefHeading___Toc2108718_581953129"/>
      <w:bookmarkStart w:id="54" w:name="_Toc20"/>
      <w:bookmarkEnd w:id="53"/>
      <w:r>
        <w:rPr>
          <w:rtl w:val="true"/>
        </w:rPr>
        <w:t>اشارة</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للثقافة مراتباً وأقساماً مختلفة،و أنّ موارد استعمالها یمکن أن یتعدد ویختلف لتشمل مفاهیم عدیدة إیجابیة وسلبیة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التنوع یحصل نتیجة إضافة الثقافة إلی مصطلحات او تراکیب،ویمکن القول ان محتوی الثقافة یبتعد عن الاطلاق بلحاظ</w:t>
      </w:r>
      <w:bookmarkStart w:id="55" w:name="pg5469_34638"/>
    </w:p>
    <w:p>
      <w:pPr>
        <w:pStyle w:val="BookText"/>
        <w:rPr/>
      </w:pPr>
      <w:bookmarkEnd w:id="55"/>
      <w:r>
        <w:rPr>
          <w:rFonts w:ascii="IRNazanin" w:hAnsi="IRNazanin" w:eastAsia="IRNazanin"/>
          <w:color w:val="111111"/>
          <w:sz w:val="28"/>
          <w:sz w:val="28"/>
          <w:szCs w:val="28"/>
          <w:rtl w:val="true"/>
          <w:lang w:bidi="fa-IR"/>
        </w:rPr>
        <w:t>تلک الاضافة ویتّخذ لنفسه جوانب متعددة،ولکن هذا لایعنی أبداً أنّ الثقافة المضافة أو المرکّبة تنأی بنفسها عن التعریف الأساسی،بل تدلّ أحیاناً علی مرتبة من ذلک المفهوم او معناه الخاصّ،ولأجل المزید من التوضیح نعطف النظر إلی النماذج الثلاثة التالیة</w:t>
      </w:r>
      <w:r>
        <w:rPr>
          <w:rFonts w:eastAsia="IRNazanin" w:cs="IRNazanin"/>
          <w:color w:val="111111"/>
          <w:sz w:val="28"/>
          <w:szCs w:val="28"/>
          <w:rtl w:val="true"/>
          <w:lang w:bidi="fa-IR"/>
        </w:rPr>
        <w:t>:</w:t>
      </w:r>
    </w:p>
    <w:p>
      <w:pPr>
        <w:pStyle w:val="Heading4"/>
        <w:numPr>
          <w:ilvl w:val="3"/>
          <w:numId w:val="1"/>
        </w:numPr>
        <w:rPr/>
      </w:pPr>
      <w:bookmarkStart w:id="56" w:name="__RefHeading___Toc2108720_581953129"/>
      <w:bookmarkStart w:id="57" w:name="_Toc21"/>
      <w:bookmarkEnd w:id="56"/>
      <w:r>
        <w:rPr/>
        <w:t>1</w:t>
      </w:r>
      <w:r>
        <w:rPr>
          <w:rtl w:val="true"/>
        </w:rPr>
        <w:t>-</w:t>
      </w:r>
      <w:r>
        <w:rPr>
          <w:rtl w:val="true"/>
        </w:rPr>
        <w:t>الثقافة الإلهیة و الثقافة الإنسانیة</w:t>
      </w:r>
      <w:bookmarkEnd w:id="57"/>
    </w:p>
    <w:p>
      <w:pPr>
        <w:pStyle w:val="BookText"/>
        <w:rPr/>
      </w:pPr>
      <w:r>
        <w:rPr>
          <w:rFonts w:ascii="IRNazanin" w:hAnsi="IRNazanin" w:eastAsia="IRNazanin"/>
          <w:color w:val="111111"/>
          <w:sz w:val="28"/>
          <w:sz w:val="28"/>
          <w:szCs w:val="28"/>
          <w:rtl w:val="true"/>
          <w:lang w:bidi="fa-IR"/>
        </w:rPr>
        <w:t>ینشأ هذا التقسیم بحسب مصدر الثقافة ومحتواها وهدفها،وبهذا الاعتبار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تتشکل مکونات الثقافة الإلهیة الأصلیة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أنظمة عقائد ومعارف وقیم وتوجّهات وسلوک وتصرّفات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ومحتواها وهدفها دینی وملکوتی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منشؤها ومحتواها وهدفها الإنسان بمعزل عن الدین ومنسلخ عن الجوهر الإلهی عندها یکون المنشأ و المحتوی وهدف الأنظمة الثلاثة هو الإنسان وتکون الثقافة 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وبالتأکید ینبغی الاحتراز عن الخلط بین بعض المفاهیم،فمثلاً عندما یطرح مفهوم الثقافة الإنسانیة،عندئذٍ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إنسان هو المراد؟إنسان إلهی أو إنسانی؟فإن کان المراد الأوّل فسوف یندرج تحت عنوان الثقافة الإلهیة،و إذا کان المراد الثانی فسوف یقف علی الطرف الآخر من الثقافة الإلهیة</w:t>
      </w:r>
      <w:r>
        <w:rPr>
          <w:rFonts w:eastAsia="IRNazanin" w:cs="IRNazanin"/>
          <w:color w:val="111111"/>
          <w:sz w:val="28"/>
          <w:szCs w:val="28"/>
          <w:rtl w:val="true"/>
          <w:lang w:bidi="fa-IR"/>
        </w:rPr>
        <w:t>.</w:t>
      </w:r>
    </w:p>
    <w:p>
      <w:pPr>
        <w:pStyle w:val="Heading4"/>
        <w:numPr>
          <w:ilvl w:val="3"/>
          <w:numId w:val="1"/>
        </w:numPr>
        <w:rPr/>
      </w:pPr>
      <w:bookmarkStart w:id="58" w:name="__RefHeading___Toc2108722_581953129"/>
      <w:bookmarkStart w:id="59" w:name="_Toc22"/>
      <w:bookmarkEnd w:id="58"/>
      <w:r>
        <w:rPr/>
        <w:t>2</w:t>
      </w:r>
      <w:r>
        <w:rPr>
          <w:rtl w:val="true"/>
        </w:rPr>
        <w:t>-</w:t>
      </w:r>
      <w:r>
        <w:rPr>
          <w:rtl w:val="true"/>
        </w:rPr>
        <w:t>الثقافة الوطنیة و القومیة و القبلیة</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للثقافة باعتبار تعلّقها بوحدة اجتماعیة تقسیمات متنوعة،فإذا تعلّقت الثقافة بمجموعة أُسریة تشترک بالجد الأعلی،عندئذٍ نطلق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قبلیة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تعلّقت بجماعة من البشر تجمعهم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عصور غابرة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منافع مشترکة وآداب ورسوم متشابهة ولغة واحدة، </w:t>
      </w:r>
      <w:r>
        <w:rPr>
          <w:rStyle w:val="FootnoteAnchor"/>
          <w:rtl w:val="true"/>
        </w:rPr>
        <w:footnoteReference w:id="25"/>
      </w:r>
      <w:r>
        <w:rPr>
          <w:rFonts w:ascii="IRNazanin" w:hAnsi="IRNazanin" w:eastAsia="IRNazanin"/>
          <w:color w:val="111111"/>
          <w:sz w:val="28"/>
          <w:sz w:val="28"/>
          <w:szCs w:val="28"/>
          <w:rtl w:val="true"/>
          <w:lang w:bidi="fa-IR"/>
        </w:rPr>
        <w:t>فیطلق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ترتبط بأسماء مختلفة تختارها الشعوب لتعیین هویتها کالثقافة الإیرانیة و الصینیة و الهندیة و الفرنسیة و الأسبانیة</w:t>
      </w:r>
      <w:r>
        <w:rPr>
          <w:rFonts w:eastAsia="IRNazanin" w:cs="IRNazanin"/>
          <w:color w:val="111111"/>
          <w:sz w:val="28"/>
          <w:szCs w:val="28"/>
          <w:rtl w:val="true"/>
          <w:lang w:bidi="fa-IR"/>
        </w:rPr>
        <w:t>.</w:t>
      </w:r>
      <w:bookmarkStart w:id="60" w:name="pg5469_34639"/>
    </w:p>
    <w:p>
      <w:pPr>
        <w:pStyle w:val="Heading4"/>
        <w:numPr>
          <w:ilvl w:val="3"/>
          <w:numId w:val="1"/>
        </w:numPr>
        <w:rPr/>
      </w:pPr>
      <w:bookmarkStart w:id="61" w:name="__RefHeading___Toc2108724_581953129"/>
      <w:bookmarkStart w:id="62" w:name="_Toc23"/>
      <w:bookmarkEnd w:id="60"/>
      <w:bookmarkEnd w:id="61"/>
      <w:r>
        <w:rPr/>
        <w:t>3</w:t>
      </w:r>
      <w:r>
        <w:rPr>
          <w:rtl w:val="true"/>
        </w:rPr>
        <w:t>-</w:t>
      </w:r>
      <w:r>
        <w:rPr>
          <w:rtl w:val="true"/>
        </w:rPr>
        <w:t>الثقافة الشرقیة و الغربیة</w:t>
      </w:r>
      <w:bookmarkEnd w:id="62"/>
    </w:p>
    <w:p>
      <w:pPr>
        <w:pStyle w:val="BookText"/>
        <w:rPr/>
      </w:pPr>
      <w:r>
        <w:rPr>
          <w:rFonts w:ascii="IRNazanin" w:hAnsi="IRNazanin" w:eastAsia="IRNazanin"/>
          <w:color w:val="111111"/>
          <w:sz w:val="28"/>
          <w:sz w:val="28"/>
          <w:szCs w:val="28"/>
          <w:rtl w:val="true"/>
          <w:lang w:bidi="fa-IR"/>
        </w:rPr>
        <w:t>تضمّ الثقافة بحسب انتمائها لمنطقة مترامیة الأطراف عدّة وحدات اجتماعیة تنقسم إلی شرقیة وغربیة،هذه الثقافة هی محصول مشترک للثقافات الوطنیة الممتدة فی منطقة واسعة،حیث تجتمع کلّها تحت ثقافة أوسع من الثقافات الوطنیة،فاذا حلّت هذه الثقافة الواسعة شرق الأرض اطلق علیها الثقافة الشرقیة،و إذا حلّت غرب الأرض اطلق علیها الثقافة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هذه التقسیمات لیست مانعة الجمع،بل بالإمکان جمعها معاً،مثلاً الثقافة التی یطلق علیها الوطنیة یمکن أن تکون إنسانیة وغربیة فی آن واحد</w:t>
      </w:r>
      <w:r>
        <w:rPr>
          <w:rFonts w:eastAsia="IRNazanin" w:cs="IRNazanin"/>
          <w:color w:val="111111"/>
          <w:sz w:val="28"/>
          <w:szCs w:val="28"/>
          <w:rtl w:val="true"/>
          <w:lang w:bidi="fa-IR"/>
        </w:rPr>
        <w:t>.</w:t>
      </w:r>
    </w:p>
    <w:p>
      <w:pPr>
        <w:pStyle w:val="Heading3"/>
        <w:numPr>
          <w:ilvl w:val="2"/>
          <w:numId w:val="1"/>
        </w:numPr>
        <w:rPr/>
      </w:pPr>
      <w:bookmarkStart w:id="63" w:name="__RefHeading___Toc2108726_581953129"/>
      <w:bookmarkStart w:id="64" w:name="_Toc24"/>
      <w:bookmarkEnd w:id="63"/>
      <w:r>
        <w:rPr>
          <w:rtl w:val="true"/>
        </w:rPr>
        <w:t>الخلاصة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الثقافة فرع جدید یبحث عن الثقافة وعن المواضیع ذات الصلة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من جملة المصطلحات التی لم یتمّ اتفاق النظر علی وضع تعریف جامع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احتدم الجدل بشأنها فی الغرب مع الأخذ بنظر الاعتبار تعریفها اللغوی والاصطلاحی،ویمکن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المصطلح یقابل الطبیعة فی الغرب ویعم کافّة الأشیاء التی تظهر أثر عمل إنسانی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مصطلح الثقافة فی الغرب أخذ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عصر النهضة وسیادة عقیدة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أبعاداً اخری،هی التطوّر و التقدّم و التنمیة و التکامل،وامتدت إلی المظاهر المادیة أیضاً،و قد أدّی خلط محتوی الثقافة بالحضارة إلی هیمنة الحضارة الغربیة وطرح مفهوم العولمة الثقافیة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التنوع الحاصل فی تعریف الثقافة فی ایران إلی إبراز دور بعض أبعاد هذه الظاهرة،نظیر التأکید علی أجزائها أو أبعادها التاریخیة أو المثالیة،من هنا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التعاریف لیست متعارضة فیما بینها</w:t>
      </w:r>
      <w:r>
        <w:rPr>
          <w:rFonts w:eastAsia="IRNazanin" w:cs="IRNazanin"/>
          <w:color w:val="111111"/>
          <w:sz w:val="28"/>
          <w:szCs w:val="28"/>
          <w:rtl w:val="true"/>
          <w:lang w:bidi="fa-IR"/>
        </w:rPr>
        <w:t>.</w:t>
      </w:r>
      <w:bookmarkStart w:id="65" w:name="pg5469_34640"/>
    </w:p>
    <w:p>
      <w:pPr>
        <w:pStyle w:val="BookText"/>
        <w:rPr/>
      </w:pPr>
      <w:bookmarkEnd w:id="65"/>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التعریف المختار،فإنّ الثقافة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حیاة الإنسان أو الأبعاد الممیزة بین الإنسان و الحیوان،هذا التعریف مع إیجازه له معنی جامع وواسع،إضافة إلی أنّها تدلّ علی التنوع والاختلاف بین الثقافات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حقیقة الثقافة بناءً علی التعریف المختار تستلزم معرفة أهداف الإنسان ورفع حاجاته فی الأطر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الطبیعة،وماوراء الطبیعة،والنفس،والبشر،والتی تعدّ الحجر الأساس للأنظمة الثلاثة المعرفة و العقائد،والقیم و التوجّهات و السلوک و التصرّفات</w:t>
      </w:r>
      <w:r>
        <w:rPr>
          <w:rFonts w:eastAsia="IRNazanin" w:cs="IRNazanin"/>
          <w:color w:val="111111"/>
          <w:sz w:val="28"/>
          <w:szCs w:val="28"/>
          <w:rtl w:val="true"/>
          <w:lang w:bidi="fa-IR"/>
        </w:rPr>
        <w:t>.</w:t>
      </w:r>
    </w:p>
    <w:p>
      <w:pPr>
        <w:pStyle w:val="Heading3"/>
        <w:numPr>
          <w:ilvl w:val="2"/>
          <w:numId w:val="1"/>
        </w:numPr>
        <w:rPr/>
      </w:pPr>
      <w:bookmarkStart w:id="66" w:name="__RefHeading___Toc2108728_581953129"/>
      <w:bookmarkStart w:id="67" w:name="_Toc25"/>
      <w:bookmarkEnd w:id="66"/>
      <w:r>
        <w:rPr>
          <w:rtl w:val="true"/>
        </w:rPr>
        <w:t>الأسئلة</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أهمّیة الثقافة؟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التعریف اللغوی والاصطلاحی للثقافة لدی الغرب،اشرح اصول تلک الاختلافات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العثور علی وجه جامع بین التعاریف اللغویة والاصطلاحیة للثقافة فی إیران؟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وجوه الاشتراک و التمایز بین تعریف الثقافة فی إیران و الغرب؟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استخلاص خیوط الاشتراک بین الاختلافات و التنوعات بناءً علی القول المختار لتعریف الثقافة؟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الأجزاء التی تشکّل الثقافة وکیفیة الانسجام والارتباط فیما بینها،ثُمّ أقم الدلیل علی ذلک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العثور علی تقسیمات اخری للثقافة؟</w:t>
      </w:r>
      <w:bookmarkStart w:id="68" w:name="pg5469_34641"/>
    </w:p>
    <w:p>
      <w:pPr>
        <w:pStyle w:val="Heading2"/>
        <w:numPr>
          <w:ilvl w:val="1"/>
          <w:numId w:val="1"/>
        </w:numPr>
        <w:rPr/>
      </w:pPr>
      <w:bookmarkStart w:id="69" w:name="__RefHeading___Toc2108730_581953129"/>
      <w:bookmarkStart w:id="70" w:name="_Toc26"/>
      <w:bookmarkEnd w:id="68"/>
      <w:bookmarkEnd w:id="69"/>
      <w:r>
        <w:rPr/>
        <w:t>2</w:t>
      </w:r>
      <w:r>
        <w:rPr>
          <w:rtl w:val="true"/>
        </w:rPr>
        <w:t xml:space="preserve">- </w:t>
      </w:r>
      <w:r>
        <w:rPr>
          <w:rtl w:val="true"/>
        </w:rPr>
        <w:t>مفهوم الحضارة</w:t>
      </w:r>
      <w:bookmarkEnd w:id="70"/>
    </w:p>
    <w:p>
      <w:pPr>
        <w:pStyle w:val="Heading3"/>
        <w:numPr>
          <w:ilvl w:val="2"/>
          <w:numId w:val="1"/>
        </w:numPr>
        <w:rPr/>
      </w:pPr>
      <w:bookmarkStart w:id="71" w:name="__RefHeading___Toc2108732_581953129"/>
      <w:bookmarkStart w:id="72" w:name="_Toc27"/>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 xml:space="preserve">الحضارة مصطلح لاتینی </w:t>
      </w:r>
      <w:r>
        <w:rPr>
          <w:rFonts w:eastAsia="Times New Roman" w:cs="Times New Roman" w:ascii="Times New Roman" w:hAnsi="Times New Roman"/>
          <w:color w:val="111111"/>
          <w:sz w:val="28"/>
          <w:szCs w:val="28"/>
          <w:lang w:val="en-US" w:bidi="en-US"/>
        </w:rPr>
        <w:t>Civitas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هو یعادل کلمة </w:t>
      </w:r>
      <w:r>
        <w:rPr>
          <w:rFonts w:eastAsia="Times New Roman" w:cs="Times New Roman" w:ascii="Times New Roman" w:hAnsi="Times New Roman"/>
          <w:color w:val="111111"/>
          <w:sz w:val="28"/>
          <w:szCs w:val="28"/>
          <w:lang w:val="en-US" w:bidi="en-US"/>
        </w:rPr>
        <w:t>Poleis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الیونانیة القدیمة،والحضارة </w:t>
      </w:r>
      <w:r>
        <w:rPr>
          <w:rFonts w:eastAsia="Times New Roman" w:cs="Times New Roman" w:ascii="Times New Roman" w:hAnsi="Times New Roman"/>
          <w:color w:val="111111"/>
          <w:sz w:val="28"/>
          <w:szCs w:val="28"/>
          <w:lang w:val="en-US" w:bidi="en-US"/>
        </w:rPr>
        <w:t>Civilisation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واسم المصدر </w:t>
      </w:r>
      <w:r>
        <w:rPr>
          <w:rFonts w:eastAsia="Times New Roman" w:cs="Times New Roman" w:ascii="Times New Roman" w:hAnsi="Times New Roman"/>
          <w:color w:val="111111"/>
          <w:sz w:val="28"/>
          <w:szCs w:val="28"/>
          <w:lang w:val="en-US" w:bidi="en-US"/>
        </w:rPr>
        <w:t>Civilser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ویعنی التحضّر،و قد أطلقها قدماء الیونان للدلالة علی مدینة غاصة بمؤسّسات وعلاقات اجتماعیة توفر مستوی أفضل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أطلقت فی الأدب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التعریف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علی التعاون السائد بین المواطنین فی المجال الاجتماعی والاقتصادی و الدینی و السیاسی،کما وردت بمعنی التآلف مع أخلاق وآداب أهل الحضر</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یتعذر تصوّر العلاقة المفهومیة بین الحضارة و المدینة علی أنّ الحضارة تعنی التحضّر وأهل الحضر فی مقابل البداوة وأهل البادیة،فهذا النحو من العلاقة لاتتطابق مع الاستعمال المتداول لهذا المصطلح من قبل المفکّرین و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نعم،تأخذ الحضارة بالظهور حینما یترک الشخص حیاته البدویة لیستوطن المدن،إلّا أنّه لیس من الصواب أن تفسّرها بمعنی التحضّر فی المدن،وبعبارة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الحضارة لیست الحضر رغم أنّ الإنسان المتمدّن یدخل مرحلة الاستیطان فی المدن، </w:t>
      </w:r>
      <w:r>
        <w:rPr>
          <w:rStyle w:val="FootnoteAnchor"/>
          <w:rtl w:val="true"/>
        </w:rPr>
        <w:footnoteReference w:id="27"/>
      </w:r>
      <w:r>
        <w:rPr>
          <w:rFonts w:ascii="IRNazanin" w:hAnsi="IRNazanin" w:eastAsia="IRNazanin"/>
          <w:color w:val="111111"/>
          <w:sz w:val="28"/>
          <w:sz w:val="28"/>
          <w:szCs w:val="28"/>
          <w:rtl w:val="true"/>
          <w:lang w:bidi="fa-IR"/>
        </w:rPr>
        <w:t>وفی الواقع أنّ العلاقة بین المدینة و الحضارة</w:t>
      </w:r>
    </w:p>
    <w:p>
      <w:pPr>
        <w:pStyle w:val="BookText"/>
        <w:rPr/>
      </w:pPr>
      <w:r>
        <w:rPr>
          <w:rFonts w:ascii="IRNazanin" w:hAnsi="IRNazanin" w:eastAsia="IRNazanin"/>
          <w:color w:val="111111"/>
          <w:sz w:val="28"/>
          <w:sz w:val="28"/>
          <w:szCs w:val="28"/>
          <w:rtl w:val="true"/>
          <w:lang w:bidi="fa-IR"/>
        </w:rPr>
        <w:t>علاقة الجزء بالکل،لا علاقة الظرف بالمظروف،ویعتقد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برنال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مشاهیر علماء الحضارة أنّ مصطلح </w:t>
      </w:r>
      <w:r>
        <w:rPr>
          <w:rFonts w:eastAsia="Times New Roman" w:cs="Times New Roman" w:ascii="Times New Roman" w:hAnsi="Times New Roman"/>
          <w:color w:val="111111"/>
          <w:sz w:val="28"/>
          <w:szCs w:val="28"/>
          <w:lang w:val="en-US" w:bidi="en-US"/>
        </w:rPr>
        <w:t>Civilisation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اشتقّ من الحضر بمعنی المدینة إلّا أنّها لیست علّة للحضارة ولا معلولة لها،و هذا یعنی أنّ المدینة جزء من الحضارة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اصطلاحاً فقد طرحت تعاریف کثیرة ومتنوعة للحضارة،منها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الحضارة مجموعة من الأعمال و السنن التی یتعلّمها الکبار فی المجتمع وینقلونها إلی الصغار</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هی نظام اجتماعی یؤدّی إلی تسریع المنجزات الثقافیة بهدف الانتفاع من الأفکار و الآداب و الرسوم و الفنون و الإقدام علی الإبداع والابتکار،کما هی نظام سیاسی یحافظ علی الأخلاق و القانون،ونظام اقتصادی مستقرّ من خلال الاستمرار فی الانتاج</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هی حصیلة التجارب المعنویة و المادیة للمجتمع الإنسانی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هی مجموعة التجارب المعنویة و المادیة فی طول تاریخ الإنسان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هی حصیلة المعارف و المهارات التی تعاهد علیها اجیال مختلفة عند الانتقال،من الظروف البدائیة إلی الظروف الطبیعیة،ومحاولة تطبیقها فی الحیاة العملیة</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مجموعة من الظواهر الاجتماعیة،دون أن تنتمی إلی عضو اجتماعی خاصّ،هذه الظواهر تجری فی مناخات وتتجاوز الاُطر،وتطرأ علیها تحوّلات ومستجدات فی مقاطع زمانیة خاصّة تجری فیما وراء تاریخ مجتمع معین</w:t>
      </w:r>
      <w:r>
        <w:rPr>
          <w:rFonts w:eastAsia="IRNazanin" w:cs="IRNazanin"/>
          <w:color w:val="111111"/>
          <w:sz w:val="28"/>
          <w:szCs w:val="28"/>
          <w:rtl w:val="true"/>
          <w:lang w:bidi="fa-IR"/>
        </w:rPr>
        <w:t xml:space="preserve">. </w:t>
      </w:r>
      <w:r>
        <w:rPr>
          <w:rStyle w:val="FootnoteAnchor"/>
          <w:rtl w:val="true"/>
        </w:rPr>
        <w:footnoteReference w:id="33"/>
      </w:r>
      <w:bookmarkStart w:id="73" w:name="pg5469_34643"/>
    </w:p>
    <w:p>
      <w:pPr>
        <w:pStyle w:val="BookText"/>
        <w:rPr/>
      </w:pPr>
      <w:bookmarkEnd w:id="73"/>
      <w:r>
        <w:rPr>
          <w:rFonts w:ascii="IRNazanin" w:hAnsi="IRNazanin" w:eastAsia="IRNazanin"/>
          <w:color w:val="111111"/>
          <w:sz w:val="28"/>
          <w:sz w:val="28"/>
          <w:szCs w:val="28"/>
          <w:rtl w:val="true"/>
          <w:lang w:bidi="fa-IR"/>
        </w:rPr>
        <w:t>هی حصیلة المعرفة الإدراکیة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والمعرفة العاطفیة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سیادة الانسجام بین الناس فی الحیاة المعقولة من خلال علاقات عادلة،واشتراک کلّ أفراد المجتمع فی تقدّم الأهداف المادیة و المعنویة علی الأصعدة کافّة</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إنّ للحضارة علاقة وثیقة لاتقبل الانفصام بالتقدّم الاجتماعی،وهی انتصار العقلانیة علی الدین وزوال السنن و العادات المحدودة وهیمنة العلوم الطبیعیة</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الحضارة بالمعنی الضیق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تصاعد کلفة الإنسان فی‌الکمالیات إلی جانب ضروریات الحیاة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بالمعنی الواسع لاتعنی الرفاه فی المجالات الضروریة للحیاة فحسب،بل ترشید المعرفة و الفضیلة بنحو توصل الحیاة البشریة إلی مستویات أرفع</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ویتّضح من خلال الامعان فی التعاریف أنّ کلّ تعریف للحضارة ینطلق وفق توجّهات خاصّة،لکنّها توحی أجمع إلی أنّ الحضارة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الانجازات و المکتسبات المادیة و المعنویة للبشر،ویعنی ذلک أنّه منذ أن أقبل الإنسان علی طی سبیل التقدّم و التعالی أخذ یهتمّ بحاجاته الجسمانیة و الروحیة فی آن واحد،وبذل جهوده فی سبیل رفعها،وکانت ثمار تلک الجهود ظهور إنجازات ومکتسبات مادیة وروحیة نطلق علیها الحضارة</w:t>
      </w:r>
      <w:r>
        <w:rPr>
          <w:rFonts w:eastAsia="IRNazanin" w:cs="IRNazanin"/>
          <w:color w:val="111111"/>
          <w:sz w:val="28"/>
          <w:szCs w:val="28"/>
          <w:rtl w:val="true"/>
          <w:lang w:bidi="fa-IR"/>
        </w:rPr>
        <w:t>.</w:t>
      </w:r>
    </w:p>
    <w:p>
      <w:pPr>
        <w:pStyle w:val="Heading3"/>
        <w:numPr>
          <w:ilvl w:val="2"/>
          <w:numId w:val="1"/>
        </w:numPr>
        <w:rPr/>
      </w:pPr>
      <w:bookmarkStart w:id="74" w:name="__RefHeading___Toc2108734_581953129"/>
      <w:bookmarkStart w:id="75" w:name="_Toc28"/>
      <w:bookmarkEnd w:id="74"/>
      <w:r>
        <w:rPr>
          <w:rtl w:val="true"/>
        </w:rPr>
        <w:t>مزایا الحضارة</w:t>
      </w:r>
      <w:bookmarkEnd w:id="75"/>
    </w:p>
    <w:p>
      <w:pPr>
        <w:pStyle w:val="Heading4"/>
        <w:numPr>
          <w:ilvl w:val="3"/>
          <w:numId w:val="1"/>
        </w:numPr>
        <w:rPr/>
      </w:pPr>
      <w:bookmarkStart w:id="76" w:name="__RefHeading___Toc2108736_581953129"/>
      <w:bookmarkStart w:id="77" w:name="_Toc29"/>
      <w:bookmarkEnd w:id="76"/>
      <w:r>
        <w:rPr>
          <w:rtl w:val="true"/>
        </w:rPr>
        <w:t>اشارة</w:t>
      </w:r>
      <w:bookmarkEnd w:id="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أهمّ مزایا الحضارة،هی</w:t>
      </w:r>
      <w:r>
        <w:rPr>
          <w:rFonts w:eastAsia="IRNazanin" w:cs="IRNazanin"/>
          <w:color w:val="111111"/>
          <w:sz w:val="28"/>
          <w:szCs w:val="28"/>
          <w:rtl w:val="true"/>
          <w:lang w:bidi="fa-IR"/>
        </w:rPr>
        <w:t>:</w:t>
      </w:r>
      <w:bookmarkStart w:id="78" w:name="pg5469_34644"/>
    </w:p>
    <w:p>
      <w:pPr>
        <w:pStyle w:val="Heading4"/>
        <w:numPr>
          <w:ilvl w:val="3"/>
          <w:numId w:val="1"/>
        </w:numPr>
        <w:rPr/>
      </w:pPr>
      <w:bookmarkStart w:id="79" w:name="__RefHeading___Toc2108738_581953129"/>
      <w:bookmarkStart w:id="80" w:name="_Toc30"/>
      <w:bookmarkEnd w:id="78"/>
      <w:bookmarkEnd w:id="79"/>
      <w:r>
        <w:rPr>
          <w:rtl w:val="true"/>
        </w:rPr>
        <w:t>أ</w:t>
      </w:r>
      <w:r>
        <w:rPr>
          <w:rtl w:val="true"/>
        </w:rPr>
        <w:t>)</w:t>
      </w:r>
      <w:r>
        <w:rPr>
          <w:rtl w:val="true"/>
        </w:rPr>
        <w:t>منهجة الحضارة</w:t>
      </w:r>
      <w:bookmarkEnd w:id="80"/>
    </w:p>
    <w:p>
      <w:pPr>
        <w:pStyle w:val="BookText"/>
        <w:rPr/>
      </w:pPr>
      <w:r>
        <w:rPr>
          <w:rFonts w:ascii="IRNazanin" w:hAnsi="IRNazanin" w:eastAsia="IRNazanin"/>
          <w:color w:val="111111"/>
          <w:sz w:val="28"/>
          <w:sz w:val="28"/>
          <w:szCs w:val="28"/>
          <w:rtl w:val="true"/>
          <w:lang w:bidi="fa-IR"/>
        </w:rPr>
        <w:t>إذا کانت أرکان الحضارة فی المجالات المادّیة و المعنویة تحظی بمنهجیة وانسجام وانتظام،وکانت تمضی وفق الأهداف المرسوم لها،فسوف تزدهر وتنتشر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تمکنت من خلال مکتسباتها المادیة و الروحیة تلبیة الحاجات المادیة و الروحیة الواقعیة للبشر بشکل منظم ومنسجم،وتمکنت من مدّ الجسور بینهما فمن المؤکّد حصول الازدهار الکمی و الکیفی،و إذا لم تنتظم تلک المکتسبات وأخذت تطوی حدّ الإفراط و التفریط فمن الحتم أنّ عمرها سیکون قصیراً</w:t>
      </w:r>
      <w:r>
        <w:rPr>
          <w:rFonts w:eastAsia="IRNazanin" w:cs="IRNazanin"/>
          <w:color w:val="111111"/>
          <w:sz w:val="28"/>
          <w:szCs w:val="28"/>
          <w:rtl w:val="true"/>
          <w:lang w:bidi="fa-IR"/>
        </w:rPr>
        <w:t>.</w:t>
      </w:r>
    </w:p>
    <w:p>
      <w:pPr>
        <w:pStyle w:val="Heading4"/>
        <w:numPr>
          <w:ilvl w:val="3"/>
          <w:numId w:val="1"/>
        </w:numPr>
        <w:rPr/>
      </w:pPr>
      <w:bookmarkStart w:id="81" w:name="__RefHeading___Toc2108740_581953129"/>
      <w:bookmarkStart w:id="82" w:name="_Toc31"/>
      <w:bookmarkEnd w:id="81"/>
      <w:r>
        <w:rPr>
          <w:rtl w:val="true"/>
        </w:rPr>
        <w:t>ب</w:t>
      </w:r>
      <w:r>
        <w:rPr>
          <w:rtl w:val="true"/>
        </w:rPr>
        <w:t>)</w:t>
      </w:r>
      <w:r>
        <w:rPr>
          <w:rtl w:val="true"/>
        </w:rPr>
        <w:t>دینامیة الحضارة</w:t>
      </w:r>
      <w:bookmarkEnd w:id="82"/>
    </w:p>
    <w:p>
      <w:pPr>
        <w:pStyle w:val="BookText"/>
        <w:rPr/>
      </w:pPr>
      <w:r>
        <w:rPr>
          <w:rFonts w:ascii="IRNazanin" w:hAnsi="IRNazanin" w:eastAsia="IRNazanin"/>
          <w:color w:val="111111"/>
          <w:sz w:val="28"/>
          <w:sz w:val="28"/>
          <w:szCs w:val="28"/>
          <w:rtl w:val="true"/>
          <w:lang w:bidi="fa-IR"/>
        </w:rPr>
        <w:t>لاشکّ أنّ الحضارة تعود بالنفع للإنسان ذی الحاجات المتغیرة،وعلی هذا یجب أن تنطوی علی آلیات یتیسر علی ضوئها الإجابة عن تلک المتغیرات فی طول الزمان،مع الحفاظ علی الاُصول الثابتة،ویتمّ ذلک من خلال التصدّی للتغیرات اللازمة فی المکتسبات المادیة و الروحیة بغیة الإجابة عن المستجدات التی تطرأ علی حیاة البشر طول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المستجدات تبعث علی الازدهار ودوام الحضارة عبر القیام بإعادة النظر و التعمیق وتأهیل المکتسبات المادیة و الروحیة للبشر</w:t>
      </w:r>
      <w:r>
        <w:rPr>
          <w:rFonts w:eastAsia="IRNazanin" w:cs="IRNazanin"/>
          <w:color w:val="111111"/>
          <w:sz w:val="28"/>
          <w:szCs w:val="28"/>
          <w:rtl w:val="true"/>
          <w:lang w:bidi="fa-IR"/>
        </w:rPr>
        <w:t>.</w:t>
      </w:r>
    </w:p>
    <w:p>
      <w:pPr>
        <w:pStyle w:val="Heading4"/>
        <w:numPr>
          <w:ilvl w:val="3"/>
          <w:numId w:val="1"/>
        </w:numPr>
        <w:rPr/>
      </w:pPr>
      <w:bookmarkStart w:id="83" w:name="__RefHeading___Toc2108742_581953129"/>
      <w:bookmarkStart w:id="84" w:name="_Toc32"/>
      <w:bookmarkEnd w:id="83"/>
      <w:r>
        <w:rPr>
          <w:rtl w:val="true"/>
        </w:rPr>
        <w:t>ج</w:t>
      </w:r>
      <w:r>
        <w:rPr>
          <w:rtl w:val="true"/>
        </w:rPr>
        <w:t>)</w:t>
      </w:r>
      <w:r>
        <w:rPr>
          <w:rtl w:val="true"/>
        </w:rPr>
        <w:t>انتشار الحضارة</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ازدهار الحضارة لاتعنی انحصارها فی اطرها الفکریة و المادیة،بل لابدّ من التحرّک خارج تلک الاُطر،والنظر إلی سائر الحضارات لأخذ النکات الإیجابیة و المفیدة و التی لاتتعارض مع اصولها الثابتة ودمجها فی مکتسباتها المادیة و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وتلعب الاتصالات و التبادل المعلوماتی دوراً مهمّاً فی هذا المضمار،فهی لاتؤدّی إلی افول الحضارة فحسب،بل تمهد الأرضیة لازدهارها الکمی و الکیفی</w:t>
      </w:r>
      <w:r>
        <w:rPr>
          <w:rFonts w:eastAsia="IRNazanin" w:cs="IRNazanin"/>
          <w:color w:val="111111"/>
          <w:sz w:val="28"/>
          <w:szCs w:val="28"/>
          <w:rtl w:val="true"/>
          <w:lang w:bidi="fa-IR"/>
        </w:rPr>
        <w:t>.</w:t>
      </w:r>
      <w:bookmarkStart w:id="85" w:name="pg5469_34645"/>
    </w:p>
    <w:p>
      <w:pPr>
        <w:pStyle w:val="Heading4"/>
        <w:numPr>
          <w:ilvl w:val="3"/>
          <w:numId w:val="1"/>
        </w:numPr>
        <w:rPr/>
      </w:pPr>
      <w:bookmarkStart w:id="86" w:name="__RefHeading___Toc2108744_581953129"/>
      <w:bookmarkStart w:id="87" w:name="_Toc33"/>
      <w:bookmarkEnd w:id="85"/>
      <w:bookmarkEnd w:id="86"/>
      <w:r>
        <w:rPr>
          <w:rtl w:val="true"/>
        </w:rPr>
        <w:t>د</w:t>
      </w:r>
      <w:r>
        <w:rPr>
          <w:rtl w:val="true"/>
        </w:rPr>
        <w:t>)</w:t>
      </w:r>
      <w:r>
        <w:rPr>
          <w:rtl w:val="true"/>
        </w:rPr>
        <w:t>التلاحم</w:t>
      </w:r>
      <w:bookmarkEnd w:id="87"/>
    </w:p>
    <w:p>
      <w:pPr>
        <w:pStyle w:val="BookText"/>
        <w:rPr/>
      </w:pPr>
      <w:r>
        <w:rPr>
          <w:rFonts w:ascii="IRNazanin" w:hAnsi="IRNazanin" w:eastAsia="IRNazanin"/>
          <w:color w:val="111111"/>
          <w:sz w:val="28"/>
          <w:sz w:val="28"/>
          <w:szCs w:val="28"/>
          <w:rtl w:val="true"/>
          <w:lang w:bidi="fa-IR"/>
        </w:rPr>
        <w:t xml:space="preserve">لاشکّ أنّ الحضارة بحاجة إلی المزید من التلاحم فی مسیرة ظهورها وازدهارها،عبر عنه ابن خلدون بالعصبیة، </w:t>
      </w:r>
      <w:r>
        <w:rPr>
          <w:rStyle w:val="FootnoteAnchor"/>
          <w:rtl w:val="true"/>
        </w:rPr>
        <w:footnoteReference w:id="38"/>
      </w:r>
      <w:r>
        <w:rPr>
          <w:rFonts w:ascii="IRNazanin" w:hAnsi="IRNazanin" w:eastAsia="IRNazanin"/>
          <w:color w:val="111111"/>
          <w:sz w:val="28"/>
          <w:sz w:val="28"/>
          <w:szCs w:val="28"/>
          <w:rtl w:val="true"/>
          <w:lang w:bidi="fa-IR"/>
        </w:rPr>
        <w:t>و هو عامل یعزز دافع التلاحم لدی الشعب أو الاُمة أو الجماعة و المساهمة فی وضع بنیان الحضارة ونشرها ومواجهة الضغوط و المصاعب کافّة</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88" w:name="__RefHeading___Toc2108746_581953129"/>
      <w:bookmarkStart w:id="89" w:name="_Toc34"/>
      <w:bookmarkEnd w:id="88"/>
      <w:r>
        <w:rPr>
          <w:rtl w:val="true"/>
        </w:rPr>
        <w:t>الثقافة و الحضارة</w:t>
      </w:r>
      <w:bookmarkEnd w:id="89"/>
    </w:p>
    <w:p>
      <w:pPr>
        <w:pStyle w:val="Heading4"/>
        <w:numPr>
          <w:ilvl w:val="3"/>
          <w:numId w:val="1"/>
        </w:numPr>
        <w:rPr/>
      </w:pPr>
      <w:bookmarkStart w:id="90" w:name="__RefHeading___Toc2108748_581953129"/>
      <w:bookmarkStart w:id="91" w:name="_Toc35"/>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یعدّ بیان العلاقة بین الثقافة و الحضارة من أهمّ المباحث،وفی هذا الصدد طرحت آراء ووجهات نظر متضاربة،منها</w:t>
      </w:r>
      <w:r>
        <w:rPr>
          <w:rFonts w:eastAsia="IRNazanin" w:cs="IRNazanin"/>
          <w:color w:val="111111"/>
          <w:sz w:val="28"/>
          <w:szCs w:val="28"/>
          <w:rtl w:val="true"/>
          <w:lang w:bidi="fa-IR"/>
        </w:rPr>
        <w:t>:</w:t>
      </w:r>
    </w:p>
    <w:p>
      <w:pPr>
        <w:pStyle w:val="Heading4"/>
        <w:numPr>
          <w:ilvl w:val="3"/>
          <w:numId w:val="1"/>
        </w:numPr>
        <w:rPr/>
      </w:pPr>
      <w:bookmarkStart w:id="92" w:name="__RefHeading___Toc2108750_581953129"/>
      <w:bookmarkStart w:id="93" w:name="_Toc36"/>
      <w:bookmarkEnd w:id="92"/>
      <w:r>
        <w:rPr>
          <w:rtl w:val="true"/>
        </w:rPr>
        <w:t>الرأی الأوّل</w:t>
      </w:r>
      <w:r>
        <w:rPr>
          <w:rtl w:val="true"/>
        </w:rPr>
        <w:t>:</w:t>
      </w:r>
      <w:r>
        <w:rPr>
          <w:rtl w:val="true"/>
        </w:rPr>
        <w:t>العموم و الخصوص المطلق</w:t>
      </w:r>
      <w:bookmarkEnd w:id="93"/>
    </w:p>
    <w:p>
      <w:pPr>
        <w:pStyle w:val="BookText"/>
        <w:rPr/>
      </w:pPr>
      <w:r>
        <w:rPr>
          <w:rFonts w:ascii="IRNazanin" w:hAnsi="IRNazanin" w:eastAsia="IRNazanin"/>
          <w:color w:val="111111"/>
          <w:sz w:val="28"/>
          <w:sz w:val="28"/>
          <w:szCs w:val="28"/>
          <w:rtl w:val="true"/>
          <w:lang w:bidi="fa-IR"/>
        </w:rPr>
        <w:t>إنّ الحضارة عامّة و الثقافة خاصّة،ویعتقد هذا الرأی أنّه لابدّ من تلبیة الحاجات الروحیة مثل الشعر و الفنّ و الحاجات المادیة کالسیارة و الدار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فالحضارة مجموعة من المکتسبات المادیة و الروحیة للمجتمع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اتباع هذا الرأی علی البعد الروحی للحضارة بالثقافة،من هنا فإنّ الحضارة عامّة و الثقافة خاصّة،بل هی جزء من أجزاء الحضارة،حسب وجهة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دیورانت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قسم الحضارة إلی ثمانیة عناصر هی العمل و الدولة و الأخلاق و الدین و العلم و الفلسفة و الأدب و الفنّ،هذه النظرة مزجت بین المکتسبات المادیة کالعلم و العمل و الدولة وبین المکتسبات الروحیة کالفلسفة و الأدب و الفنّ و الأخلاق و الدین،وبذلک تکون الثقافة منطویة تحت عنوان الحضارة الجامع</w:t>
      </w:r>
      <w:r>
        <w:rPr>
          <w:rFonts w:eastAsia="IRNazanin" w:cs="IRNazanin"/>
          <w:color w:val="111111"/>
          <w:sz w:val="28"/>
          <w:szCs w:val="28"/>
          <w:rtl w:val="true"/>
          <w:lang w:bidi="fa-IR"/>
        </w:rPr>
        <w:t xml:space="preserve">. </w:t>
      </w:r>
      <w:r>
        <w:rPr>
          <w:rStyle w:val="FootnoteAnchor"/>
          <w:rtl w:val="true"/>
        </w:rPr>
        <w:footnoteReference w:id="40"/>
      </w:r>
      <w:bookmarkStart w:id="94" w:name="pg5469_34646"/>
    </w:p>
    <w:p>
      <w:pPr>
        <w:pStyle w:val="Heading4"/>
        <w:numPr>
          <w:ilvl w:val="3"/>
          <w:numId w:val="1"/>
        </w:numPr>
        <w:rPr/>
      </w:pPr>
      <w:bookmarkStart w:id="95" w:name="__RefHeading___Toc2108752_581953129"/>
      <w:bookmarkStart w:id="96" w:name="_Toc37"/>
      <w:bookmarkEnd w:id="94"/>
      <w:bookmarkEnd w:id="95"/>
      <w:r>
        <w:rPr>
          <w:rtl w:val="true"/>
        </w:rPr>
        <w:t>الرأی الثانی</w:t>
      </w:r>
      <w:r>
        <w:rPr>
          <w:rtl w:val="true"/>
        </w:rPr>
        <w:t>:</w:t>
      </w:r>
      <w:r>
        <w:rPr>
          <w:rtl w:val="true"/>
        </w:rPr>
        <w:t>التباین</w:t>
      </w:r>
      <w:bookmarkEnd w:id="96"/>
    </w:p>
    <w:p>
      <w:pPr>
        <w:pStyle w:val="BookText"/>
        <w:rPr/>
      </w:pPr>
      <w:r>
        <w:rPr>
          <w:rFonts w:ascii="IRNazanin" w:hAnsi="IRNazanin" w:eastAsia="IRNazanin"/>
          <w:color w:val="111111"/>
          <w:sz w:val="28"/>
          <w:sz w:val="28"/>
          <w:szCs w:val="28"/>
          <w:rtl w:val="true"/>
          <w:lang w:bidi="fa-IR"/>
        </w:rPr>
        <w:t>إنّ العلاقة بین الثقافة و الحضارة هی التباین،و هذا یعنی أنّ الثقافة تنطوی علی مفهوم مغایر لمفهوم الحضارة،إلّا أنّ هذا التغایر و التمایز له قراءات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الإنجازات و المکتسبات المادیة و الروحیة فی طول تاریخ الإنسان،ولکن الثقافة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المکتسبات والانجازات المادیة و الروحیة لقوم أو لفصیلة أو لشعب خاصّ فی طول التاریخ</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هذه القراءة تجعل وجه التمایز بین الحضارة و الثقافة فی هذه النکتة،وهی أنّ الحضارة تتعلق بالبشر کافّة،ولکن الثقافة تختصّ بقوم أو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تتجه نحو التقدّم الروحی،والحضارة تتجه نحو التطوّر المادی،کما أنّ الثقافة هی الروح المجردة لتاریخ الاُمة أو البشر،والحضارة هی جسم تاریخ الشعوب 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السیاق تکون الحضارة مظهر العمران المادی و التقنی،والثقافة مظهر تربیة وهدایة الروح الإنسانیة،فکلّ ما له 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لهذه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إلی الغنی الفکری و الروحی،هو تجسم للثقافة وکلّ ما هو ظاهری وسهل وظریف فیرتبط بالحضارة،ویعتبر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ازوالد اشبنغر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أتباع هذه القراءة</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لهذه القراءة یتاح لنا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المفاهیم و النظریات و المعارف و الأفکار کافّة،التی تشکل نسیج المذاهب و العلوم و الفنون تقع فی نطاق الثقافة،وکلّ ما یمت إلی الحضارة بصلة فهو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وتحقّق العلوم المختلفة التی اکتسبت نتیجة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بذل الإنسان وسعه لإجراء ما ینتهی لتحسین وضعه فیأتی الحدیث عن الثقافة و إذا أراد تغییر العالم فیأتی الحدیث عن الحضارة</w:t>
      </w:r>
      <w:r>
        <w:rPr>
          <w:rFonts w:eastAsia="IRNazanin" w:cs="IRNazanin"/>
          <w:color w:val="111111"/>
          <w:sz w:val="28"/>
          <w:szCs w:val="28"/>
          <w:rtl w:val="true"/>
          <w:lang w:bidi="fa-IR"/>
        </w:rPr>
        <w:t>.</w:t>
      </w:r>
      <w:bookmarkStart w:id="97" w:name="pg5469_34647"/>
    </w:p>
    <w:p>
      <w:pPr>
        <w:pStyle w:val="Heading4"/>
        <w:numPr>
          <w:ilvl w:val="3"/>
          <w:numId w:val="1"/>
        </w:numPr>
        <w:rPr/>
      </w:pPr>
      <w:bookmarkStart w:id="98" w:name="__RefHeading___Toc2108754_581953129"/>
      <w:bookmarkStart w:id="99" w:name="_Toc38"/>
      <w:bookmarkEnd w:id="97"/>
      <w:bookmarkEnd w:id="98"/>
      <w:r>
        <w:rPr>
          <w:rtl w:val="true"/>
        </w:rPr>
        <w:t>الرأی الثالث</w:t>
      </w:r>
      <w:r>
        <w:rPr>
          <w:rtl w:val="true"/>
        </w:rPr>
        <w:t>:</w:t>
      </w:r>
      <w:r>
        <w:rPr>
          <w:rtl w:val="true"/>
        </w:rPr>
        <w:t>الوفاق</w:t>
      </w:r>
      <w:bookmarkEnd w:id="99"/>
    </w:p>
    <w:p>
      <w:pPr>
        <w:pStyle w:val="BookText"/>
        <w:rPr/>
      </w:pPr>
      <w:r>
        <w:rPr>
          <w:rFonts w:ascii="IRNazanin" w:hAnsi="IRNazanin" w:eastAsia="IRNazanin"/>
          <w:color w:val="111111"/>
          <w:sz w:val="28"/>
          <w:sz w:val="28"/>
          <w:szCs w:val="28"/>
          <w:rtl w:val="true"/>
          <w:lang w:bidi="fa-IR"/>
        </w:rPr>
        <w:t>ثمة نوع من الوفاق بین الثقافة و الحضارة،ولکن یمکن تفسیر هذا الوفاق علی ضوء قراءتین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أمر روحی لا مادی ولا عینی،هذه القراءة تقلل من الهوة بین الثقافة و الحضارة،وتعتبر الحضارة فی حدّ الثقافة من ناحیة المحتوی،واستناداً إلی هذه القراءة،فإنّ الحضارة أمر روحی ومعنوی وفکری،ویمکن هضمها بالرجوع إلی الفکر و الوعی و الإحساس وشمولیة الرؤیة الکونیة و الوجدان الاجتماعی ومعدل المعرفة بالذات و الإحساس بالمسؤولیة و الهدف و العقیدة و الوعی السیاسی لأفراد المجتمع،وبناءً علیها لایمکن أن تکون حضارة الهند أقلّ مرتبة من حضارة أمریکا رغم تدنی المستوی المعیشی و التقنی للهند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تعتقد هذه القراءة أنّ الثقافة ترتبط بتکامل الذات الإنسانیة و الحضارة رهن بالتقدّم الجمعی للبشر،وعلی هذا الأساس فإنّ الثقافة و الحضارة تعکس مفاهیم بنیویة مشابهة،وأتباع هذه القراءة الذین یشکل معظمهم علماء الاجتماع والانثروبولوجیا الثقافیة فی الغرب یضفون علی مفهوم الحضارة معنی جدید،بواسطة التقارب بین مفهوم الثقافة و الحضارة و الحد من البعد الروحی لحساب البعد المادی،وفی الحقیقة فإنّ الحضارة وفق هذه النظرة هی کلّ ما هو موجود فی أیدی الغرب من تقنیة وقواعد سلوکیة وتکامل المعرفة العلمیة،من هنا بذل الوسع للتمییز بین الغرب و المجتمعات الاُخری لاسیما المجتمعات التی لیست فی مستواه فی المجال التقنی</w:t>
      </w:r>
      <w:r>
        <w:rPr>
          <w:rFonts w:eastAsia="IRNazanin" w:cs="IRNazanin"/>
          <w:color w:val="111111"/>
          <w:sz w:val="28"/>
          <w:szCs w:val="28"/>
          <w:rtl w:val="true"/>
          <w:lang w:bidi="fa-IR"/>
        </w:rPr>
        <w:t xml:space="preserve">. </w:t>
      </w:r>
      <w:r>
        <w:rPr>
          <w:rStyle w:val="FootnoteAnchor"/>
          <w:rtl w:val="true"/>
        </w:rPr>
        <w:footnoteReference w:id="44"/>
      </w:r>
      <w:bookmarkStart w:id="100" w:name="pg5469_34648"/>
    </w:p>
    <w:p>
      <w:pPr>
        <w:pStyle w:val="Heading4"/>
        <w:numPr>
          <w:ilvl w:val="3"/>
          <w:numId w:val="1"/>
        </w:numPr>
        <w:rPr/>
      </w:pPr>
      <w:bookmarkStart w:id="101" w:name="__RefHeading___Toc2108756_581953129"/>
      <w:bookmarkStart w:id="102" w:name="_Toc39"/>
      <w:bookmarkEnd w:id="100"/>
      <w:bookmarkEnd w:id="101"/>
      <w:r>
        <w:rPr>
          <w:rtl w:val="true"/>
        </w:rPr>
        <w:t>الرأی الرابع</w:t>
      </w:r>
      <w:r>
        <w:rPr>
          <w:rtl w:val="true"/>
        </w:rPr>
        <w:t>:</w:t>
      </w:r>
      <w:r>
        <w:rPr>
          <w:rtl w:val="true"/>
        </w:rPr>
        <w:t>المظهر و الظهور</w:t>
      </w:r>
      <w:bookmarkEnd w:id="102"/>
    </w:p>
    <w:p>
      <w:pPr>
        <w:pStyle w:val="BookText"/>
        <w:rPr/>
      </w:pPr>
      <w:r>
        <w:rPr>
          <w:rFonts w:ascii="IRNazanin" w:hAnsi="IRNazanin" w:eastAsia="IRNazanin"/>
          <w:color w:val="111111"/>
          <w:sz w:val="28"/>
          <w:sz w:val="28"/>
          <w:szCs w:val="28"/>
          <w:rtl w:val="true"/>
          <w:lang w:bidi="fa-IR"/>
        </w:rPr>
        <w:t>یعتقد هذا الرأی أنّ العلاقة بین الثقافة و الحضارة هی کعلاقة النور بالظل و المظهر بالظهور،أی أنّ الحضارة هی ظهور للثقافة،والثقافة هی مظهر الحضارة،و هذا الرأی یطرح عادة قراءتین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الحضارة عبارة عن النتاج المادی و الروحی للإنسان،وهما من مظاهر الثقافة،و هذا یعنی أنّ أی تغییرات عمیقة فی الأجزاء التی تشکل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المعرفة و العقائد،والقیم والاتجاهات،والسلوک و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تؤدّی إلی تغییرات جذریة فی النتاج المادی و الروحی للحضارة،کما اتفق بعد عصر النهضة فقد حصلت تغییرات أساسیة فی بالأنظمة الثلاثة التی تقدّم ذکرها أدّت إلی المزید من المستجدات فی النتاج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التجریبیة و الفنیة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والنتاج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ظهور الثقافة الإسلامیة فی الجزیرة العربیة انتشرت الحضارة الإسلامیة التی هی تجلی للثقافة بکلا بعدیها المادی و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الحضارة تعبر عن النتاج المادی للبشر،من هنا تعدّ من أهمّ المظاهر المادیة للثقافة،هذه القراءة تجعل النتاج الروحی بما أنّه جوهر الثقافة فی عداد الثقافة،ولکن ظهور الأبعاد المادیة للثقافة یتجلّی فی الحضارة</w:t>
      </w:r>
      <w:r>
        <w:rPr>
          <w:rFonts w:eastAsia="IRNazanin" w:cs="IRNazanin"/>
          <w:color w:val="111111"/>
          <w:sz w:val="28"/>
          <w:szCs w:val="28"/>
          <w:rtl w:val="true"/>
          <w:lang w:bidi="fa-IR"/>
        </w:rPr>
        <w:t>.</w:t>
      </w:r>
    </w:p>
    <w:p>
      <w:pPr>
        <w:pStyle w:val="Heading3"/>
        <w:numPr>
          <w:ilvl w:val="2"/>
          <w:numId w:val="1"/>
        </w:numPr>
        <w:rPr/>
      </w:pPr>
      <w:bookmarkStart w:id="103" w:name="__RefHeading___Toc2108758_581953129"/>
      <w:bookmarkStart w:id="104" w:name="_Toc40"/>
      <w:bookmarkEnd w:id="103"/>
      <w:r>
        <w:rPr>
          <w:rtl w:val="true"/>
        </w:rPr>
        <w:t>تنبیهان</w:t>
      </w:r>
      <w:bookmarkEnd w:id="10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الاعتبار التعریف المتقدّم للثقافة و المطروح فی هذا البحث للحضارة،یتّضح أنّ العلاقة بین الثقافة و الحضارة لها ظلّ من الواقع بناءً علی القراءة الاُولی للرأی الرابع،لهذا فإنّ الخلط بین النتاج المادی و الروحی للبشر مع حقیقة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الأنظمة الثلاثة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خطأ فاحشاً یثنی المفکّرین عن الاهتمام بروح الثقافة التی ترسم فی الواقع مبادئ وأهداف النتاج المادی و الروحی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والرؤیة الاُولی غیر کافیة؛ذلک لأنّ النتاج الروحی یفقد تاثیره علی النتاج المادی ویعدم أثره؛لأنّ الثقافة من هذا المنظار سوف تکون تابعاً للحضارة،وفی هذه الصورة یمکن وضع الدین و الفلسفة فی عداد الأدب و الفنّ و الدولة،فی حین یتمتّع الدین و الفلسفة بدور عمیق وأساسی فی الأدب و الفنّ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الرؤیة الاُولی تعتبر المجتمع هو الأصل وتنظر إلی النتاج المادی و الروحی للبشر من المنظار الاجتماعی،بینما نجد أنّ العدید من المباحث المهمّة نظیر الثقافة و الحضارة لابدّ من تحلیلها وراء تلک الرؤیة،حتّی یجد المسار الاجتماعی تفسیره الصحیح علی ضوئها،لا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رسمت القراءة الثانیة للرأی الثانی علی ضوء التحلیل الاجتماعی و التاریخی للعلاقة بین الثقافة و الحضارة،بینما ینبغی أن تفسّر بما وراء النظرة الاجتماعیة و التاریخیة رغم أنّ الثقافة و الحضارة انبثقا من صلب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القراءة الثانیة للرأی الثانی فإنّها قریبة من الرأی المختار إلی حدّ ما،إلّا أنّه یبدو،أوّلا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 ترسم معالم العلاقة بین التقدّم المادی و الروحی،وهل أحدهما یلغی الآخر أو لا؟و إذا کان أحدهما یؤثّر فی الآخر،فأی منهما له تأثیر محوری؟وثانیاً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تعتبر الظهور المعنوی للثقافة و الذی یتجلّی فی الأدب و الشعر ثقافیاً،و هذا الخلط بعید عن الصواب علی ضوء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القراءة الاُولی للرأی الثالث فإنّها لم تهتمّ بالنتاج المادی للبشر ولم توضح مکانته فی هذه المجموعة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ادّعی أتباع هذه القراءة أنّ الثقافة هی حصیلة النتاج المادی و المعنوی للبشر و الحضارة هی مظهر هذا الأمر المعنوی،فإنّ هذا سیکون مصطلحاً جدیداً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القراءة الثانیة للرأی الثالث فإنّها غیر مقبولة نظراً لاعتمادها علی اسس فلسفیة واجتماعیة خاصّة،هذا إلی جانب أنّها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تسلط الأضواء علی أهمّ حاجة بشریة،</w:t>
      </w:r>
      <w:bookmarkStart w:id="105" w:name="pg5469_34650"/>
    </w:p>
    <w:p>
      <w:pPr>
        <w:pStyle w:val="BookText"/>
        <w:rPr/>
      </w:pPr>
      <w:bookmarkEnd w:id="105"/>
      <w:r>
        <w:rPr>
          <w:rFonts w:ascii="IRNazanin" w:hAnsi="IRNazanin" w:eastAsia="IRNazanin"/>
          <w:color w:val="111111"/>
          <w:sz w:val="28"/>
          <w:sz w:val="28"/>
          <w:szCs w:val="28"/>
          <w:rtl w:val="true"/>
          <w:lang w:bidi="fa-IR"/>
        </w:rPr>
        <w:t>وهی الاُمور المعنویة،بل وضعتها فی مهب ریاح النسیان،وثانیاً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تجعل الحضارة فی الإطار الغربی فی مقابل التوحش فی الإطار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البعض أنّ الظهور المادی هو أثر مباشر لأمر معنوی وثقافی،ولکن هذا التصوّر لیس دقیقاً،ذلک أنّ المنجزات المادیة قد تکون دافعاً لنتاج ثقافی،من هنا فمن الصعب الإقبال علی مبحث التقدّم و التأخّر من أجل العثور علی مخلص نظراً للتأثیر المزدوج بین الثقافة و الحضارة</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هذه الإشکالیة مع التمثیل الذی تطرحه للإیمان و العمل لاتصمد أمام النقاش،حیث قیل فی خصوص الإیمان و العمل،أنّ الإیمان ینادی بالعمل،والعمل ینمی الإیمان،وباعتقادی أنّ الثقافة تصنع الحضارة و الحضارة تعزز الثقافة،ولکن هذا التعبیر لایحد من الدور المحوری للثقافة فی هذا التاثیر،کما أنّ العلاقة بین الإیمان و العمل لایقلل من الدور المحوری للإیمان،ولاننکر بالطبع التأثیر المتقابل بین الثقافة و الحضارة،ولکن کیفیة تأثیر کلّ منهما علی أحدهما الآخر لایتبع قالباً محدداً،ذلک أنّ تأثیر الثقافة علی الحضارة تأثیر منتج،أی أنّ الثقافة تنتج الحضارة،أمّا تأثیر الحضارة علی الثقافة فتأثیر تصاعدی،أی أنّ الحضارة لها دور فی تنمیة الثقافة ونشرها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وبإمکان الحضارة مع ماتملکه من منجزات مادیة ومعنویة أن ترشد البشر إلی حقیقة الثقافة وتستوفی دورها فی التعریف بالنقاط الإیجابیة للأجزاء المؤلّفة للثقافة ونشرها فی المجتمعات الاُخری،إلّا أنّ هذا النحو من التأثیر لایعنی تبدل الثقافة وتحولها،بل إنّ الثقافة هی التی تولد الحضارة وترشدها</w:t>
      </w:r>
      <w:r>
        <w:rPr>
          <w:rFonts w:eastAsia="IRNazanin" w:cs="IRNazanin"/>
          <w:color w:val="111111"/>
          <w:sz w:val="28"/>
          <w:szCs w:val="28"/>
          <w:rtl w:val="true"/>
          <w:lang w:bidi="fa-IR"/>
        </w:rPr>
        <w:t>.</w:t>
      </w:r>
    </w:p>
    <w:p>
      <w:pPr>
        <w:pStyle w:val="Heading3"/>
        <w:numPr>
          <w:ilvl w:val="2"/>
          <w:numId w:val="1"/>
        </w:numPr>
        <w:rPr/>
      </w:pPr>
      <w:bookmarkStart w:id="106" w:name="__RefHeading___Toc2108760_581953129"/>
      <w:bookmarkStart w:id="107" w:name="_Toc41"/>
      <w:bookmarkEnd w:id="106"/>
      <w:r>
        <w:rPr>
          <w:rtl w:val="true"/>
        </w:rPr>
        <w:t>عوامل ظهور الحضارة</w:t>
      </w:r>
      <w:bookmarkEnd w:id="107"/>
    </w:p>
    <w:p>
      <w:pPr>
        <w:pStyle w:val="Heading4"/>
        <w:numPr>
          <w:ilvl w:val="3"/>
          <w:numId w:val="1"/>
        </w:numPr>
        <w:rPr/>
      </w:pPr>
      <w:bookmarkStart w:id="108" w:name="__RefHeading___Toc2108762_581953129"/>
      <w:bookmarkStart w:id="109" w:name="_Toc42"/>
      <w:bookmarkEnd w:id="108"/>
      <w:r>
        <w:rPr>
          <w:rtl w:val="true"/>
        </w:rPr>
        <w:t>اشارة</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طرحت وجهات نظر مختلفة حول عوامل ظهور الحضارة،ومن المتعذر تناول</w:t>
      </w:r>
      <w:bookmarkStart w:id="110" w:name="pg5469_34651"/>
    </w:p>
    <w:p>
      <w:pPr>
        <w:pStyle w:val="BookText"/>
        <w:rPr/>
      </w:pPr>
      <w:bookmarkEnd w:id="110"/>
      <w:r>
        <w:rPr>
          <w:rFonts w:ascii="IRNazanin" w:hAnsi="IRNazanin" w:eastAsia="IRNazanin"/>
          <w:color w:val="111111"/>
          <w:sz w:val="28"/>
          <w:sz w:val="28"/>
          <w:szCs w:val="28"/>
          <w:rtl w:val="true"/>
          <w:lang w:bidi="fa-IR"/>
        </w:rPr>
        <w:t>الجمیع وبحثها،ولکن ینبغی الالتفات إلی أنّ من بین العوامل المؤثّرة فی ظهور الحضارات،بعضها یعتبر عوامل وبعضها الآخر شروط،من هنا لاینبغی التصوّر أنّ الشروط لها دور أساسی فی ظهور الحضارات،بل إنّ هذا الدور یختصّ بالعوامل،التی من أهمّها</w:t>
      </w:r>
      <w:r>
        <w:rPr>
          <w:rFonts w:eastAsia="IRNazanin" w:cs="IRNazanin"/>
          <w:color w:val="111111"/>
          <w:sz w:val="28"/>
          <w:szCs w:val="28"/>
          <w:rtl w:val="true"/>
          <w:lang w:bidi="fa-IR"/>
        </w:rPr>
        <w:t>:</w:t>
      </w:r>
    </w:p>
    <w:p>
      <w:pPr>
        <w:pStyle w:val="Heading4"/>
        <w:numPr>
          <w:ilvl w:val="3"/>
          <w:numId w:val="1"/>
        </w:numPr>
        <w:rPr/>
      </w:pPr>
      <w:bookmarkStart w:id="111" w:name="__RefHeading___Toc2108764_581953129"/>
      <w:bookmarkStart w:id="112" w:name="_Toc43"/>
      <w:bookmarkEnd w:id="111"/>
      <w:r>
        <w:rPr>
          <w:rtl w:val="true"/>
        </w:rPr>
        <w:t>أ</w:t>
      </w:r>
      <w:r>
        <w:rPr>
          <w:rtl w:val="true"/>
        </w:rPr>
        <w:t>)</w:t>
      </w:r>
      <w:r>
        <w:rPr>
          <w:rtl w:val="true"/>
        </w:rPr>
        <w:t>العامل الإنسانی</w:t>
      </w:r>
      <w:bookmarkEnd w:id="112"/>
    </w:p>
    <w:p>
      <w:pPr>
        <w:pStyle w:val="BookText"/>
        <w:rPr/>
      </w:pPr>
      <w:r>
        <w:rPr>
          <w:rFonts w:ascii="IRNazanin" w:hAnsi="IRNazanin" w:eastAsia="IRNazanin"/>
          <w:color w:val="111111"/>
          <w:sz w:val="28"/>
          <w:sz w:val="28"/>
          <w:szCs w:val="28"/>
          <w:rtl w:val="true"/>
          <w:lang w:bidi="fa-IR"/>
        </w:rPr>
        <w:t>بإلقاء نظرة خاطفة علی تاریخ الحیاة البشریة بمنجزاتها المادیة و المعنویة تتکشف لنا خیوط الحضارة،بید أنّ السؤال المطروح هو ماهی العوامل التی أبدت هذه الذخائر الحیة؟هل الطبیعة ذاتها هی التی بلغت ذلک؟أو ثمة عامل آخر هو الذی أنشأ هذه الذخائر من خلال الانتفاع من الشرائط المتاحة؟ویبدو أنّ للإنسان وفطرته وغریزته وعقله المذهل دور ریادی فی تأسیس الحضارة وبدونه سوف تخلو العوامل المعنویة و المادیة من أی موضوع أو فاعل؛ذلک لأنّ الإنسان فی البعد الفردی و البعد الاجتماعی له دور مهمّ فی نشأة الحضارة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بعدما مدّ جسور العلاقة ببیئته واکتسب التجارب فی ظلّ استعداده الفطری فی المسائل المختلفة یقدم علی الخلق و الإبداع وتصدر عنه منجزات مختلفة،وبهذا النحو یکون منشأ للحضارة</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113" w:name="__RefHeading___Toc2108766_581953129"/>
      <w:bookmarkStart w:id="114" w:name="_Toc44"/>
      <w:bookmarkEnd w:id="113"/>
      <w:r>
        <w:rPr>
          <w:rtl w:val="true"/>
        </w:rPr>
        <w:t>ب</w:t>
      </w:r>
      <w:r>
        <w:rPr>
          <w:rtl w:val="true"/>
        </w:rPr>
        <w:t>)</w:t>
      </w:r>
      <w:r>
        <w:rPr>
          <w:rtl w:val="true"/>
        </w:rPr>
        <w:t>العامل الثقافة</w:t>
      </w:r>
      <w:bookmarkEnd w:id="11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فیما سبق،فإنّ الثقافة تشکل المحور الأساسی للحضارة،وفی الواقع فإنّ الحضارة تعدّ المظهر المادی و المعنوی للثقافة،من هنا کان للثقافة دور خاصّ وبارز فی ظهور الحضارة،وبعبارة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مع أنظمتها الثلاثة ترکت تاثیراً کبیراً علی ظهور وانتشار الذخائر المادیة و المعنویة للبشر،ولما کان هذا الموضوع قد تمّ</w:t>
      </w:r>
      <w:bookmarkStart w:id="115" w:name="pg5469_34652"/>
    </w:p>
    <w:p>
      <w:pPr>
        <w:pStyle w:val="BookText"/>
        <w:rPr/>
      </w:pPr>
      <w:bookmarkEnd w:id="115"/>
      <w:r>
        <w:rPr>
          <w:rFonts w:ascii="IRNazanin" w:hAnsi="IRNazanin" w:eastAsia="IRNazanin"/>
          <w:color w:val="111111"/>
          <w:sz w:val="28"/>
          <w:sz w:val="28"/>
          <w:szCs w:val="28"/>
          <w:rtl w:val="true"/>
          <w:lang w:bidi="fa-IR"/>
        </w:rPr>
        <w:t>الحدیث عنه فی المبحث السابق وفی مبحث الثقافة و الحضارة،فنکتفی هنا بهذا المقدار من التوضیح</w:t>
      </w:r>
      <w:r>
        <w:rPr>
          <w:rFonts w:eastAsia="IRNazanin" w:cs="IRNazanin"/>
          <w:color w:val="111111"/>
          <w:sz w:val="28"/>
          <w:szCs w:val="28"/>
          <w:rtl w:val="true"/>
          <w:lang w:bidi="fa-IR"/>
        </w:rPr>
        <w:t>.</w:t>
      </w:r>
    </w:p>
    <w:p>
      <w:pPr>
        <w:pStyle w:val="Heading4"/>
        <w:numPr>
          <w:ilvl w:val="3"/>
          <w:numId w:val="1"/>
        </w:numPr>
        <w:rPr/>
      </w:pPr>
      <w:bookmarkStart w:id="116" w:name="__RefHeading___Toc2108768_581953129"/>
      <w:bookmarkStart w:id="117" w:name="_Toc45"/>
      <w:bookmarkEnd w:id="116"/>
      <w:r>
        <w:rPr>
          <w:rtl w:val="true"/>
        </w:rPr>
        <w:t>ج</w:t>
      </w:r>
      <w:r>
        <w:rPr>
          <w:rtl w:val="true"/>
        </w:rPr>
        <w:t>)</w:t>
      </w:r>
      <w:r>
        <w:rPr>
          <w:rtl w:val="true"/>
        </w:rPr>
        <w:t>العامل الدین</w:t>
      </w:r>
      <w:bookmarkEnd w:id="117"/>
    </w:p>
    <w:p>
      <w:pPr>
        <w:pStyle w:val="BookText"/>
        <w:rPr/>
      </w:pPr>
      <w:r>
        <w:rPr>
          <w:rFonts w:ascii="IRNazanin" w:hAnsi="IRNazanin" w:eastAsia="IRNazanin"/>
          <w:color w:val="111111"/>
          <w:sz w:val="28"/>
          <w:sz w:val="28"/>
          <w:szCs w:val="28"/>
          <w:rtl w:val="true"/>
          <w:lang w:bidi="fa-IR"/>
        </w:rPr>
        <w:t>العامل الآخر الذی استحوذ علی أهمّیة کبیرة فی ظهور الحضارة هی الهدایة الإلهیة وتعالیم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الواقع هذه التعالیم هی التی تهدی الطاقات الذاتیة و الفطریة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ونظام المعرفة و العقائد و القیم و النزعات و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التکامل والازدهار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الدین مجموعة من الحقائق المنسقة من النظام العقائدی و القیمی و العبادی،التی نادی بها الأنبیاء فی إطار الوحی لهدایة وتعالی البشر فی المجال الفردی والاجتماعی</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ومن هنا کان لظهور الدین تحوّلات جذریة فی فکر الإنسان وروحه،فهو الذی یسوق الفکر الإنسانی نحو الواقعیة و الأخلاق و التربیة نحو الفلاح ویطیح بالسنن و الأنظمة القدیمة و المتهرئة ویحلّ أنظمة حیة ذات فاعلیة محلّها،وفی ظلّ هذه التحوّلات تمّ رفع مستوی الوضع الاقتصادی و الطاقات العلمیة و الفنیة و الأدبیة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مهد السبیل لازدهار الذخائر المادیة و المعنویة للحضارة،هذا إلی جانب أنّ الدین یعدّ المصدر الأساس للثقافة؛ذلک لأنّه فی ظلّ المعارف الوحیانیة یتیسر الوصول إلی الأرکان الثلاثة للثقافة،و هو الفهم العمیق و الواقعی و الهادف،وبهذا النحو ترک بصماته علی تأسیس الحضارة</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وکمثال علی ذلک تعتبر المسیحیة و الإسلام من الأدیان،التی ظهرت فی ظلّها</w:t>
      </w:r>
      <w:bookmarkStart w:id="118" w:name="pg5469_34653"/>
    </w:p>
    <w:p>
      <w:pPr>
        <w:pStyle w:val="BookText"/>
        <w:rPr/>
      </w:pPr>
      <w:bookmarkEnd w:id="118"/>
      <w:r>
        <w:rPr>
          <w:rFonts w:ascii="IRNazanin" w:hAnsi="IRNazanin" w:eastAsia="IRNazanin"/>
          <w:color w:val="111111"/>
          <w:sz w:val="28"/>
          <w:sz w:val="28"/>
          <w:szCs w:val="28"/>
          <w:rtl w:val="true"/>
          <w:lang w:bidi="fa-IR"/>
        </w:rPr>
        <w:t>حضارات ساطعة وما أعقبها من تغییر ملامح الحضارة البشریة،و قد تمکنت المسیحیة من خلال بسط نفوذها بین الرومان الذین لم یعرفوا الشفقة و الرأفة قط من زرع المحبّة فی قلوبهم،و قد ساد الاعتقاد بین الرومان أنّ الطبیعة حافلة بآلهة غیر متناهیة،و أنّ الإنسان محدود ومتناهی،إلّا أنّ المسیحیة بثباتها علی مبدأ تناهی الطبیعة وإمکانیة الإحاطة بها أکدت علی أنّ الإنسان بهذا اللحاظ لیس موجوداً طبیعیاً،ویمکن أن یتمتّع بأبعاد غیر محدودة،وکان هذا سبباً لتحوّلات عظیمة فی الذخائر المادّیة و المعنویة للبشر وطروء تغیرات فی الفهم حیال الحقّ و الحقوق و السیاسة و القوانین و المقررات المدنیة</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أدّی ظهور الإسلام وانتشاره إلی تحوّلات عظیمة لا علی الإطار الثقافی فحسب،بل علی الإطار الحضاری أیضاً،وأصبح منشأ للإلهام و الخلاقیة،و هذا ما سیأتی الحدیث عنه فیما بعد</w:t>
      </w:r>
      <w:r>
        <w:rPr>
          <w:rFonts w:eastAsia="IRNazanin" w:cs="IRNazanin"/>
          <w:color w:val="111111"/>
          <w:sz w:val="28"/>
          <w:szCs w:val="28"/>
          <w:rtl w:val="true"/>
          <w:lang w:bidi="fa-IR"/>
        </w:rPr>
        <w:t>.</w:t>
      </w:r>
    </w:p>
    <w:p>
      <w:pPr>
        <w:pStyle w:val="Heading4"/>
        <w:numPr>
          <w:ilvl w:val="3"/>
          <w:numId w:val="1"/>
        </w:numPr>
        <w:rPr/>
      </w:pPr>
      <w:bookmarkStart w:id="119" w:name="__RefHeading___Toc2108770_581953129"/>
      <w:bookmarkStart w:id="120" w:name="_Toc46"/>
      <w:bookmarkEnd w:id="119"/>
      <w:r>
        <w:rPr>
          <w:rtl w:val="true"/>
        </w:rPr>
        <w:t>د</w:t>
      </w:r>
      <w:r>
        <w:rPr>
          <w:rtl w:val="true"/>
        </w:rPr>
        <w:t>)</w:t>
      </w:r>
      <w:r>
        <w:rPr>
          <w:rtl w:val="true"/>
        </w:rPr>
        <w:t>العامل المادّی و الطبیعی</w:t>
      </w:r>
      <w:bookmarkEnd w:id="12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للعامل المادّی و الطبیعی دور فی ظهور الحضارة،مثلاً إذا ساد الکسل و الملل بقعة من الأرض فمهما توفرت العوامل المعنویة وحظیت بعوامل إنسانیة ذات کفاءة لایمکن توقع ظهور حضارة فی تلک البقعة؛ذلک لأنّ الطاقات کافّة قد جندت لإزالة الجوع ولم یتح لها التفکیر فی مسائل ضروریة وأساسیة وتمهید أرضیة خصبة للحضارة،کما أنّ الظروف الجغرافیة دخیلة فی هذا الموضوع وینبغی أن تؤخذ بعین الاعتبار،وعلی أیة حال مع توفیر المواد الأساسیة للحیاة یتاح للإنسان التفکیر فی العلم و الفلسفة و الأدب و الفنّ وفقط فی هذه الصورة یستقیم عود الحضارة وانطلاقاً من ذلک اعتقد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دیورانت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الزراعة هی مبدأ الحضارة ونقطة عطف فی ظهورها</w:t>
      </w:r>
      <w:r>
        <w:rPr>
          <w:rFonts w:eastAsia="IRNazanin" w:cs="IRNazanin"/>
          <w:color w:val="111111"/>
          <w:sz w:val="28"/>
          <w:szCs w:val="28"/>
          <w:rtl w:val="true"/>
          <w:lang w:bidi="fa-IR"/>
        </w:rPr>
        <w:t xml:space="preserve">. </w:t>
      </w:r>
      <w:r>
        <w:rPr>
          <w:rStyle w:val="FootnoteAnchor"/>
          <w:rtl w:val="true"/>
        </w:rPr>
        <w:footnoteReference w:id="50"/>
      </w:r>
      <w:bookmarkStart w:id="121" w:name="pg5469_34654"/>
    </w:p>
    <w:p>
      <w:pPr>
        <w:pStyle w:val="Heading3"/>
        <w:numPr>
          <w:ilvl w:val="2"/>
          <w:numId w:val="1"/>
        </w:numPr>
        <w:rPr/>
      </w:pPr>
      <w:bookmarkStart w:id="122" w:name="__RefHeading___Toc2108772_581953129"/>
      <w:bookmarkStart w:id="123" w:name="_Toc47"/>
      <w:bookmarkEnd w:id="121"/>
      <w:bookmarkEnd w:id="122"/>
      <w:r>
        <w:rPr>
          <w:rtl w:val="true"/>
        </w:rPr>
        <w:t>تنبیهات</w:t>
      </w:r>
      <w:bookmarkEnd w:id="1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الاحتکاک العمیق بین عوامل ظهور الحضارة لایمکن ادّعاء أنّ کلّ واحد منها لها تأثیر مباشر ومستقلّ علی ثبات 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فإنّ هذا لایعنی التغافل عن سعة تأثیر وأهمّیة هذه العوامل بصورة مستقلة،مثلاً من بین العوامل الأربعة التی ذکرت آنفا،فإنّ الدین عامل مهمّ وواضح للعیان،لأنّ التعالیم الوحیانیة إلی جانب دورها المباشر فی تأسیس الحضارة،لها دور غیر مباشر فی هذا التأسیس عبر تأثیرها علی الثقافة،ولکن بسبب التأثیر المتبادل لکلّ من هذه العوامل علی بعضها البعض لایمکن ادّعاء انحصاریة التأثیر لعامل واحد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العوامل کالعلم و الفلسفة من جملة العوامل المؤثّرة فی ظهور الحضارة، </w:t>
      </w:r>
      <w:r>
        <w:rPr>
          <w:rStyle w:val="FootnoteAnchor"/>
          <w:rtl w:val="true"/>
        </w:rPr>
        <w:footnoteReference w:id="51"/>
      </w:r>
      <w:r>
        <w:rPr>
          <w:rFonts w:ascii="IRNazanin" w:hAnsi="IRNazanin" w:eastAsia="IRNazanin"/>
          <w:color w:val="111111"/>
          <w:sz w:val="28"/>
          <w:sz w:val="28"/>
          <w:szCs w:val="28"/>
          <w:rtl w:val="true"/>
          <w:lang w:bidi="fa-IR"/>
        </w:rPr>
        <w:t>ولکن ینبغی الالتفات إلی أنّه رغم حیازتها لهذه المیزة إلّا أنّه تطرح هذه الموضوعات عادة؛باعتبارها من مظاهر الحضارة وأرکانها لا من عوامل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الآداب و الفنّ لیس لها دور ملموس فی ظهور الحضارة إلّا أنّه لایمکن التغاضی عن أهمیته؛ذلک لأنّ الحضارة تترعرع فی أحضان عوامل نظیر الدین و الثقافة و الفنّ و الآداب وبنحو تشیر إلی تبلور مکونات الحضارة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الآداب و الفنّ مع هذه الرسالة إلی جانب ترسیخ مکونات الحضارة فإنّها تعمل علی تصدیرها إلی سائر الأصقاع ونشرها،وعلی أیة حال لابدّ من الأخذ بنظر الاعتبار أنّ الروح الإنسانیة لها رغبة بنقل الأفکار و النزعات و القیم والاعتقادات و المعارف إلی الآخرین ولایتیسر ذلک إلّا فی إطار الکلمة و الکلام،وهنا یبرز الدور الخاصّ للأدب و الفنّ،ولهذا السبب حظت بمکانة رفیعة فی</w:t>
      </w:r>
    </w:p>
    <w:p>
      <w:pPr>
        <w:pStyle w:val="BookText"/>
        <w:rPr/>
      </w:pPr>
      <w:r>
        <w:rPr>
          <w:rFonts w:ascii="IRNazanin" w:hAnsi="IRNazanin" w:eastAsia="IRNazanin"/>
          <w:color w:val="111111"/>
          <w:sz w:val="28"/>
          <w:sz w:val="28"/>
          <w:szCs w:val="28"/>
          <w:rtl w:val="true"/>
          <w:lang w:bidi="fa-IR"/>
        </w:rPr>
        <w:t>الحضارة،سواء أکان الأدب منظوماً أو منثوراً وسواء أکان الفنّ رسماً أو نحتاً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أن ننسی سهم تذلیل مشکلات الطبیعة فی ظهور الحضارة،ومع إلقاء نظرة سریعة علی التاریخ یمکن إذعان أنّه کلّما أصبحت الظروف الطبیعیة لاستمرار حیاة الإنسان شاقّة،وکسب حاجاته الضروریة لایتمّ إلّا بشقّ الأنفس حینها یمکن أن تکون جهوده لتجاوز تلک العقبات مقدّمة لتبلور حضارة،ویمکن ذکر حضارتین عریقتین فی القدم،وهما الحضارة السومریة و الفینیقیة کنماذج دامغة علی هذا الموضوع</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یعتقد البعض أنّ العرق و العنصر له دور مهمّ فی ظهور الحضارة، </w:t>
      </w:r>
      <w:r>
        <w:rPr>
          <w:rStyle w:val="FootnoteAnchor"/>
          <w:rtl w:val="true"/>
        </w:rPr>
        <w:footnoteReference w:id="54"/>
      </w:r>
      <w:r>
        <w:rPr>
          <w:rFonts w:ascii="IRNazanin" w:hAnsi="IRNazanin" w:eastAsia="IRNazanin"/>
          <w:color w:val="111111"/>
          <w:sz w:val="28"/>
          <w:sz w:val="28"/>
          <w:szCs w:val="28"/>
          <w:rtl w:val="true"/>
          <w:lang w:bidi="fa-IR"/>
        </w:rPr>
        <w:t>وأنّه العامل الأوحد فی بلورة الحضارات البشریة،والعرق الأحسن هو الذی یخلق الحضارة،والآخرین لایملکون تلک القابلیة؛لأنّهم من الأعراق الوضیعة و المنحطة ولذلک لاحول لهم إلّا اتّباع العرق الأفضل،ویدحض هذا القول الأدلّة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الشواهد التاریخیة تحکی أنّ الحقیقة خلاف ذلک،فمثلاً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العرق الآری الذی ینتمی إلیه الألمان لم تتوفر له فرص بناء حضارة إلّا بعد الهجرة وإتاحة الظروف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النظرة ما هی إلّا تبریر للعدوان الذی قام به الأوروبیون علی الشعوب الضعیفة،ومحاولة القضاء علی الاعتماد علی النفس بین تلک الشعوب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الخصوصیات التی ذکرناها لبناء الحضارة یمکن أن تلعب دوراً فی نشر واعتلاء الحضارة</w:t>
      </w:r>
      <w:r>
        <w:rPr>
          <w:rFonts w:eastAsia="IRNazanin" w:cs="IRNazanin"/>
          <w:color w:val="111111"/>
          <w:sz w:val="28"/>
          <w:szCs w:val="28"/>
          <w:rtl w:val="true"/>
          <w:lang w:bidi="fa-IR"/>
        </w:rPr>
        <w:t>.</w:t>
      </w:r>
      <w:bookmarkStart w:id="124" w:name="pg5469_34656"/>
    </w:p>
    <w:p>
      <w:pPr>
        <w:pStyle w:val="Heading3"/>
        <w:numPr>
          <w:ilvl w:val="2"/>
          <w:numId w:val="1"/>
        </w:numPr>
        <w:rPr/>
      </w:pPr>
      <w:bookmarkStart w:id="125" w:name="__RefHeading___Toc2108774_581953129"/>
      <w:bookmarkStart w:id="126" w:name="_Toc48"/>
      <w:bookmarkEnd w:id="124"/>
      <w:bookmarkEnd w:id="125"/>
      <w:r>
        <w:rPr>
          <w:rtl w:val="true"/>
        </w:rPr>
        <w:t>الخلاصة</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الحضارة توطین المدن،ولکن الإنسان المتحضر یدخل مرحلة الاستیطان،من هنا فالعلاقة بین المدینة و الحضارة هی علاقة الجزء و الکلّ لا الظرف و المظروف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التعاریف الاصطلاحیة للحضارة إلی حقیقة مفادها أنّ 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مجموعة الانجازات و التجارب المادیة و المعنویة للبشر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حول العلاقة بین الثقافة و الحضارة،فإنّ ثمة أربعة 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 الخصوص المطلق و التباین و الوفاق و الظهور و المظهر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سیادة النظم و الفاعلیة و الشمولیة والانسجام من أهمّ خصوصیات الحضارة،وفی الوقت نفسه تعدّ من عوامل ازدهارها واعتلائها وخلودها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العلاقة بین الثقافة و 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الاعتبار تعریفهما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علاقة الظهور و المظهر،أی أنّ الرکن الأصیل للثقافة فی الأنظمة المعرفیة والاعتقادیة،والنزعاتیة و القیمیة و السلوکیة،هی التی ترسم مسیر التجارب المادّیة و الروحیة للبشر،هذه التجارب هی فی الواقع مظهر لظهور تلک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تأثیر متبادل بین الثقافة و الحضارة،ولکن تأثیر الثقافة علی الحضارة تأثیر مولد،وتأثیر الحضارة علی الثقافة تأثیر تصاعدی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فطرة الإنسان وعقله وغرائزه له تأثیر محوری وفاعل علی ظهور الحضارة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الحضارة مظهر للثقافة،وعلیه تلعب الثقافة باعتبارها الرکن الأصیل للحضارة دوراً اساسیاً فی ظهورها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المهمّ الآخر فی ظهور الحضارة إلی جانب العامل الإنسانی و الثقافی هو الهدایة الإلهیة وتعالیم الأنبیاء،أی الأدیان السماویة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 العامل المادّی و الطبیعی علی مکانة رفیعة فی ظهور الحضارة؛لأنّها تلبی الهواجس الأولیة للبشر فی خلق الحضارة</w:t>
      </w:r>
      <w:r>
        <w:rPr>
          <w:rFonts w:eastAsia="IRNazanin" w:cs="IRNazanin"/>
          <w:color w:val="111111"/>
          <w:sz w:val="28"/>
          <w:szCs w:val="28"/>
          <w:rtl w:val="true"/>
          <w:lang w:bidi="fa-IR"/>
        </w:rPr>
        <w:t>.</w:t>
      </w:r>
      <w:bookmarkStart w:id="127" w:name="pg5469_34657"/>
    </w:p>
    <w:p>
      <w:pPr>
        <w:pStyle w:val="BookText"/>
        <w:rPr/>
      </w:pPr>
      <w:bookmarkEnd w:id="127"/>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العوامل تشترک کلّها فی الأسهام فی ظهور الحضارة،ولکن تختلف فی حجم التاثیرات التی تترکها</w:t>
      </w:r>
      <w:r>
        <w:rPr>
          <w:rFonts w:eastAsia="IRNazanin" w:cs="IRNazanin"/>
          <w:color w:val="111111"/>
          <w:sz w:val="28"/>
          <w:szCs w:val="28"/>
          <w:rtl w:val="true"/>
          <w:lang w:bidi="fa-IR"/>
        </w:rPr>
        <w:t>.</w:t>
      </w:r>
    </w:p>
    <w:p>
      <w:pPr>
        <w:pStyle w:val="Heading3"/>
        <w:numPr>
          <w:ilvl w:val="2"/>
          <w:numId w:val="1"/>
        </w:numPr>
        <w:rPr/>
      </w:pPr>
      <w:bookmarkStart w:id="128" w:name="__RefHeading___Toc2108776_581953129"/>
      <w:bookmarkStart w:id="129" w:name="_Toc49"/>
      <w:bookmarkEnd w:id="128"/>
      <w:r>
        <w:rPr>
          <w:rtl w:val="true"/>
        </w:rPr>
        <w:t>الأسئلة</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العلاقة بین الحضارة و التحضر؟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تتضمّن التعاریف المختلفة للحضارة رؤی مختلفة؟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نقطة الوفاق بین التعاریف المختلفة للحضارة،ولماذا؟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بنظرک ما هی القراءة الصحیحة حول الثقافة و الحضارة،ولماذا؟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هناک علاقة اخری بین الثقافة و الحضارة لم تذکر فی هذا البحث؟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التأثیر المتبادل بین الثقافة و الحضارة؟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خصوصیات الحضارة؟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العوامل التی تعدّ شرطاً لظهور الحضارة؟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أنّ للإنسان دوراً محوریاً فی ظهور الحضارة؟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الدین حضارة؟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مکانة الأدب و الفنّ فی ظهور الحضارة؟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انطباعاتک حول عامل العرق و العنصر فی ظهور الحضارة؟</w:t>
      </w:r>
      <w:bookmarkStart w:id="130" w:name="pg5469_34659"/>
    </w:p>
    <w:p>
      <w:pPr>
        <w:pStyle w:val="Heading2"/>
        <w:numPr>
          <w:ilvl w:val="1"/>
          <w:numId w:val="1"/>
        </w:numPr>
        <w:rPr/>
      </w:pPr>
      <w:bookmarkStart w:id="131" w:name="__RefHeading___Toc2108778_581953129"/>
      <w:bookmarkStart w:id="132" w:name="_Toc50"/>
      <w:bookmarkEnd w:id="130"/>
      <w:bookmarkEnd w:id="131"/>
      <w:r>
        <w:rPr/>
        <w:t>3</w:t>
      </w:r>
      <w:r>
        <w:rPr>
          <w:rtl w:val="true"/>
        </w:rPr>
        <w:t xml:space="preserve">- </w:t>
      </w:r>
      <w:r>
        <w:rPr>
          <w:rtl w:val="true"/>
        </w:rPr>
        <w:t>الثقافة و الحضارة الإسلامیة</w:t>
      </w:r>
      <w:bookmarkEnd w:id="132"/>
    </w:p>
    <w:p>
      <w:pPr>
        <w:pStyle w:val="Heading3"/>
        <w:numPr>
          <w:ilvl w:val="2"/>
          <w:numId w:val="1"/>
        </w:numPr>
        <w:rPr/>
      </w:pPr>
      <w:bookmarkStart w:id="133" w:name="__RefHeading___Toc2108780_581953129"/>
      <w:bookmarkStart w:id="134" w:name="_Toc51"/>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قال الفونس دولامارتین شاعر فرنسا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أخذنا بنظر الاعتبار وسعة الهدف وقلّة الوسائل وعظمة النتیجة معیاراً للنبوغ البشری،فلایمکن أن نجد نظیراً کمحمّد حیث حرک الإمبراطوریات و الجیوش و القوانین ومجموعات بشریة هائلة تشکل ثلث المعمورة،وأعظم من ذلک أنّه شحذ العقول و الأفکار و العقائد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البشر نفسه مع ظهور الإسلام أمام تعالیم ترسم بدقّة ملامح هویته وعلاقته بالله وعالم الوجود وسائر البشر،ولم یکن للبشر بد إلّا الانصیاع للثقافة المستقاة من المصادر الإسلامیة الأصیلة کالقرآن و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شاهد أنّ تلک الثقافة تنسجم مع العقل و الفطرة السلیمة استقبلها برحابة صدر،و قد انبعثت هذه الثقافة من الرؤیة الکونیة الخاصّة بالإسلام وأرشدت اتباعها نحو بناء حضارة عظیمة تکون فی مستوی تلک الثقافة المتعالیة،وبلغت هذه الثقافة و الحضارة من العظمة بمکان حتّی أصبحت الإحاطة بها من الأبعاد کافّة أمراً صعباً لو لم یکن بمتعذر،ومن ادّعی خلاف ذلک فهذا یعود إلی جرأته وقلّة معرفته</w:t>
      </w:r>
      <w:r>
        <w:rPr>
          <w:rFonts w:eastAsia="IRNazanin" w:cs="IRNazanin"/>
          <w:color w:val="111111"/>
          <w:sz w:val="28"/>
          <w:szCs w:val="28"/>
          <w:rtl w:val="true"/>
          <w:lang w:bidi="fa-IR"/>
        </w:rPr>
        <w:t>.</w:t>
      </w:r>
    </w:p>
    <w:p>
      <w:pPr>
        <w:pStyle w:val="Heading3"/>
        <w:numPr>
          <w:ilvl w:val="2"/>
          <w:numId w:val="1"/>
        </w:numPr>
        <w:rPr/>
      </w:pPr>
      <w:bookmarkStart w:id="135" w:name="__RefHeading___Toc2108782_581953129"/>
      <w:bookmarkStart w:id="136" w:name="_Toc52"/>
      <w:bookmarkEnd w:id="135"/>
      <w:r>
        <w:rPr>
          <w:rtl w:val="true"/>
        </w:rPr>
        <w:t>الثقافة و الحضارة الإسلامیة أو ثقافة وحضارة المسلمین</w:t>
      </w:r>
      <w:bookmarkEnd w:id="13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البعض أنّ المسلمین فی عصر ازدهار الإسلام لم یحترموا الأحکام و القوانین</w:t>
      </w:r>
    </w:p>
    <w:p>
      <w:pPr>
        <w:pStyle w:val="BookText"/>
        <w:rPr/>
      </w:pPr>
      <w:r>
        <w:rPr>
          <w:rFonts w:ascii="IRNazanin" w:hAnsi="IRNazanin" w:eastAsia="IRNazanin"/>
          <w:color w:val="111111"/>
          <w:sz w:val="28"/>
          <w:sz w:val="28"/>
          <w:szCs w:val="28"/>
          <w:rtl w:val="true"/>
          <w:lang w:bidi="fa-IR"/>
        </w:rPr>
        <w:t>التی جاء بها رسول الله وأصحابه،من هنا لایمکن إسناد النجاحات المادّیة و المعنویة الباهرة التی اتّفق وقوعها فی ذاک العصر إلی ثقافة الإسلام الأصیلة ولایمکن ادّعاء أنّها ثقافة وحضارة إسلامیة،بل لابدّ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ثقافة وحضارة من نزع نحو الإسلام واعتنقه،أی ثقافة وحضارة المسلمین،ولکن یبدو أنّ هذا المطلب لایصمد أمام ثلاثة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من خلال المرور علی الشواهد التاریخیة،أنّ سبب ظهور حضارة فی تلک العصور هو الإسلام وتعالیمه الدینیة،وتأثیر التعالیم القرآنیة و النبویة و العلویة علی هذه العملیة أمر لاینکر،فإذا لم تکن للمصادر الإسلامیة الأصیلة ذلک الأثر،فلماذا لم تظهر شخصیات إسلامیة فذة نظیر ابن سینا وابن زکریا الرازی وأبی ریحان البیرونی فی أصقاع غیر إسلامیة قبل نفوذ الإسلام أو أهمّ من ذلک لو کان بمقدور أهل مکّة و المدینة و الحجاز إنشاء حضارة دون أخذ المعارف الإسلامیة،فلماذا لم یتفق وقوع ذلک قبل الإسلام؟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مظاهر الحضارة الإسلامیة نظیر العلوم و الفنون الإسلامیة لها دور مهمّ فی تلک الحضارة،و هذا لایمکن تبریره إلّا علی أساس الثقافة الإسلامیة وتعالیمها ودون ذلک یخلو ظهورها وانتشارها من أی معنی،کما لایستقیم تفسیر أسالیب البناء و الفقه و الحدیث و التفسیر و الکلام وغیرها ألّا بالاعتماد علی آیات القرآن الکریم و الأحادیث؟فکیف یمکن أن تستند تلک الحضارة إلی المسلمین فقط دون الأخذ بنظر الاعتبار أثر عقائدهم؟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خصوصیات حضارة ما توجد فی الإسلام،وبعبارة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تعالیم الإسلام تهتمّ بالحضارة وتهدی اتباعها إلی ایجادها وبسطها فی المجتمع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النظم السائدة علی التعالیم القرآنیة و الروائیة والانسجام فیما بینها إلی جانب تلبیة المتطلبات المادّیة و المعنویة للبشر،وتکییفها علی أساس التوحید کلّها مزایا لإنشاء حضارة مدینة للإسلام،کما أنّ جعل الإنسان محوراً و العنایة بمتطلباته الثابتة و المتغیرة وتلبیتها فی نصّ القرآن و السنة تشیر إلی فاعلیتها،أنّ التاکید علی السیر فی</w:t>
      </w:r>
      <w:bookmarkStart w:id="137" w:name="pg5469_34661"/>
    </w:p>
    <w:p>
      <w:pPr>
        <w:pStyle w:val="BookText"/>
        <w:rPr/>
      </w:pPr>
      <w:bookmarkEnd w:id="137"/>
      <w:r>
        <w:rPr>
          <w:rFonts w:ascii="IRNazanin" w:hAnsi="IRNazanin" w:eastAsia="IRNazanin"/>
          <w:color w:val="111111"/>
          <w:sz w:val="28"/>
          <w:sz w:val="28"/>
          <w:szCs w:val="28"/>
          <w:rtl w:val="true"/>
          <w:lang w:bidi="fa-IR"/>
        </w:rPr>
        <w:t>الأرض واستلهام العناصر الإیجابیة من سائر الشعوب وأخذ العبرة من العناصر السلبیة تدلّ علی سیاحتها،والحث علی الاتّحاد ونشر روح التعاون و الإیخاء تحکی عن انسجام حضارة استمدّت مقوماتها من الإسلام</w:t>
      </w:r>
      <w:r>
        <w:rPr>
          <w:rFonts w:eastAsia="IRNazanin" w:cs="IRNazanin"/>
          <w:color w:val="111111"/>
          <w:sz w:val="28"/>
          <w:szCs w:val="28"/>
          <w:rtl w:val="true"/>
          <w:lang w:bidi="fa-IR"/>
        </w:rPr>
        <w:t>.</w:t>
      </w:r>
    </w:p>
    <w:p>
      <w:pPr>
        <w:pStyle w:val="Heading3"/>
        <w:numPr>
          <w:ilvl w:val="2"/>
          <w:numId w:val="1"/>
        </w:numPr>
        <w:rPr/>
      </w:pPr>
      <w:bookmarkStart w:id="138" w:name="__RefHeading___Toc2108784_581953129"/>
      <w:bookmarkStart w:id="139" w:name="_Toc53"/>
      <w:bookmarkEnd w:id="138"/>
      <w:r>
        <w:rPr>
          <w:rtl w:val="true"/>
        </w:rPr>
        <w:t>خصوصیات الثقافة و الحضارة إلاسلامیة</w:t>
      </w:r>
      <w:bookmarkEnd w:id="139"/>
    </w:p>
    <w:p>
      <w:pPr>
        <w:pStyle w:val="BookText"/>
        <w:rPr/>
      </w:pPr>
      <w:r>
        <w:rPr>
          <w:rFonts w:ascii="IRNazanin" w:hAnsi="IRNazanin" w:eastAsia="IRNazanin"/>
          <w:color w:val="111111"/>
          <w:sz w:val="28"/>
          <w:sz w:val="28"/>
          <w:szCs w:val="28"/>
          <w:rtl w:val="true"/>
          <w:lang w:bidi="fa-IR"/>
        </w:rPr>
        <w:t>إنّ للثقافة و الحضارة الإسلامیة خصوصیتین تجعلها بارزة بین سائر الثقافات و الحضارات،وهما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و الحضارة الإسلامیة معین لاینضب،حیث ترکت بصماتها الاُولی علی البیئة الجاهلیة،وجعلت من کثبان الحجاز القاحلة و الحارة التی لم تعرف قط حضارة أو ثقافة طول تاریخها جعلت منها مرکزاً للفکر و الثقافة،ومن ثَمّ أخذت کالشمس تنشر أشعتها الذهبیة ربوع المعمورة متجاوزة بذلک حدود الحجاز إلی شرق العالم وغربه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بنقل کلام لمستشرق إنکلیزی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کشاهد علی ذلک،حیث کتب فی مقدّمة ترجمته للقرآن باللغة الإنجلیزیة عام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علی اوروبا ألّا لاتنسی أنّها مدینة بالفضل للقرآن،ذلک الکتاب الذی سطع بنور علمه علی اوروبا التی کانت غاصّة فی ظلمات القرون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مونتغمری استاذ الأدب العربی و المطالعات الإسلامیة فی جامعة ادیمبورغ الإنکلیزیة فی کتابه القیم تأثیر الإسلام علی اوروبا،حیث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الأوروبیون نغض الطرف عن أنّ ثقافتنا مدینة بالفضل للإسلام،ونحط من تأثیر الإسلام علی میراث ثقافتنا فی اغلب الأوقات،وأحیاناً نتجاهل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علینا اصلاح تصوّراتنا الخاطئة ونعترف بالفضل للإسلام و العالم الإسلامی</w:t>
      </w:r>
      <w:r>
        <w:rPr>
          <w:rFonts w:eastAsia="IRNazanin" w:cs="IRNazanin"/>
          <w:color w:val="111111"/>
          <w:sz w:val="28"/>
          <w:szCs w:val="28"/>
          <w:rtl w:val="true"/>
          <w:lang w:bidi="fa-IR"/>
        </w:rPr>
        <w:t xml:space="preserve">. </w:t>
      </w:r>
      <w:r>
        <w:rPr>
          <w:rStyle w:val="FootnoteAnchor"/>
          <w:rtl w:val="true"/>
        </w:rPr>
        <w:footnoteReference w:id="55"/>
      </w:r>
      <w:bookmarkStart w:id="140" w:name="pg5469_34662"/>
    </w:p>
    <w:p>
      <w:pPr>
        <w:pStyle w:val="BookText"/>
        <w:rPr/>
      </w:pPr>
      <w:bookmarkEnd w:id="140"/>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الثقافة و الحضارة الإسلامیة فی عین أصالتها استعانت بثقافات وحضارات اخری مثل سائر الثقافات و الحضارات الاُخری،ولکن هذا النوع من الاستثمار لایعنی أبداً أنّها انصهرت برمتها دون أدنی تصرّف،بل إنّها استثمرت عناصرها الإیجابیة و البناءة وهضمتها وجعلت منها عناصر جدیدة تختلف عن سابقاتها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 إنّ الثقافة الإسلامیة مثل خلیة حیة امتصت سائر الثقافات کالیونانیة و الهندیة و الإیرانیة واضفت علیها نکهتها حتّی بدت بوجه جدید یختلف عن تلک الثقافات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41" w:name="__RefHeading___Toc2108786_581953129"/>
      <w:bookmarkStart w:id="142" w:name="_Toc54"/>
      <w:bookmarkEnd w:id="141"/>
      <w:r>
        <w:rPr>
          <w:rtl w:val="true"/>
        </w:rPr>
        <w:t>أسباب ظهور الثقافة و الحضارة الإسلامیة وازدهارهما</w:t>
      </w:r>
      <w:bookmarkEnd w:id="142"/>
    </w:p>
    <w:p>
      <w:pPr>
        <w:pStyle w:val="BookText"/>
        <w:rPr/>
      </w:pPr>
      <w:r>
        <w:rPr>
          <w:rFonts w:ascii="IRNazanin" w:hAnsi="IRNazanin" w:eastAsia="IRNazanin"/>
          <w:color w:val="111111"/>
          <w:sz w:val="28"/>
          <w:sz w:val="28"/>
          <w:szCs w:val="28"/>
          <w:rtl w:val="true"/>
          <w:lang w:bidi="fa-IR"/>
        </w:rPr>
        <w:t>بنظرة عامة یمکن إجمال أسباب ظهور الثقافة و الحضارة الإسلامیة فی عنوانین عامین داخلی وخارجی،والمراد بالأسباب الداخلیة هی العوامل التی تبلورت من ذات الإسلام،أی 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الأسباب الخارجیة هی العوامل التی انصهرت بطابع إسلامی وساعدت علی نشره</w:t>
      </w:r>
      <w:r>
        <w:rPr>
          <w:rFonts w:eastAsia="IRNazanin" w:cs="IRNazanin"/>
          <w:color w:val="111111"/>
          <w:sz w:val="28"/>
          <w:szCs w:val="28"/>
          <w:rtl w:val="true"/>
          <w:lang w:bidi="fa-IR"/>
        </w:rPr>
        <w:t>.</w:t>
      </w:r>
    </w:p>
    <w:p>
      <w:pPr>
        <w:pStyle w:val="Heading3"/>
        <w:numPr>
          <w:ilvl w:val="2"/>
          <w:numId w:val="1"/>
        </w:numPr>
        <w:rPr/>
      </w:pPr>
      <w:bookmarkStart w:id="143" w:name="__RefHeading___Toc2108788_581953129"/>
      <w:bookmarkStart w:id="144" w:name="_Toc55"/>
      <w:bookmarkEnd w:id="143"/>
      <w:r>
        <w:rPr>
          <w:rtl w:val="true"/>
        </w:rPr>
        <w:t>الأسباب الداخلیة</w:t>
      </w:r>
      <w:bookmarkEnd w:id="144"/>
    </w:p>
    <w:p>
      <w:pPr>
        <w:pStyle w:val="Heading4"/>
        <w:numPr>
          <w:ilvl w:val="3"/>
          <w:numId w:val="1"/>
        </w:numPr>
        <w:rPr/>
      </w:pPr>
      <w:bookmarkStart w:id="145" w:name="__RefHeading___Toc2108790_581953129"/>
      <w:bookmarkStart w:id="146" w:name="_Toc56"/>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من أهمّ الأسباب الداخلیة،هی</w:t>
      </w:r>
      <w:r>
        <w:rPr>
          <w:rFonts w:eastAsia="IRNazanin" w:cs="IRNazanin"/>
          <w:color w:val="111111"/>
          <w:sz w:val="28"/>
          <w:szCs w:val="28"/>
          <w:rtl w:val="true"/>
          <w:lang w:bidi="fa-IR"/>
        </w:rPr>
        <w:t>:</w:t>
      </w:r>
    </w:p>
    <w:p>
      <w:pPr>
        <w:pStyle w:val="Heading4"/>
        <w:numPr>
          <w:ilvl w:val="3"/>
          <w:numId w:val="1"/>
        </w:numPr>
        <w:rPr/>
      </w:pPr>
      <w:bookmarkStart w:id="147" w:name="__RefHeading___Toc2108792_581953129"/>
      <w:bookmarkStart w:id="148" w:name="_Toc57"/>
      <w:bookmarkEnd w:id="147"/>
      <w:r>
        <w:rPr/>
        <w:t>1</w:t>
      </w:r>
      <w:r>
        <w:rPr>
          <w:rtl w:val="true"/>
        </w:rPr>
        <w:t>-</w:t>
      </w:r>
      <w:r>
        <w:rPr>
          <w:rtl w:val="true"/>
        </w:rPr>
        <w:t>محتوی التعالیم الدینیة</w:t>
      </w:r>
      <w:bookmarkEnd w:id="148"/>
    </w:p>
    <w:p>
      <w:pPr>
        <w:pStyle w:val="BookText"/>
        <w:rPr/>
      </w:pPr>
      <w:r>
        <w:rPr>
          <w:rFonts w:ascii="IRNazanin" w:hAnsi="IRNazanin" w:eastAsia="IRNazanin"/>
          <w:color w:val="111111"/>
          <w:sz w:val="28"/>
          <w:sz w:val="28"/>
          <w:szCs w:val="28"/>
          <w:rtl w:val="true"/>
          <w:lang w:bidi="fa-IR"/>
        </w:rPr>
        <w:t>لقد عرض الإسلام تعالیم جدیدة علی البشر حظیت بمحتواها الغنی وجذابیتها وحرکتها البناءة،ومفاد هذه التعالیم لا نظیر لها قیاساً مع سائر الثقافات و الحضارات،من هنا ازدهرت أرکان الثقافة الإسلامیة ومن ثَمّ الحضارة الإسلامیة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جملة من أهمّ ملامح تلک التعالیم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الإنسان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 منظار القرآن الکریم هو العلیم القدیر الحی القیوم،الحقّ،العزیز،الصمد،الواحد،الأحد،المنزه من العیوب،الحافظ</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قد اختصّ الله سبحانه بأفضل الأوصاف وأینما نولی وجوهنا فثمة وجه الله،ورغم عظمته هو أقرب إلی الإنسان من حبل الورید،حتّی أنّه یعلم ما یوسوس فی الصدور،و هو رحیم،وفی الوقت نفسه قوی قهار،یقبل التوبة حلیم لایحدّ رحمته وفضله حدّ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إنّ الإنسان موجود اختاره الله لیکون خلیفته فی الأرض و هو مرکب من الروح و الجسم وله فطرة الهیة،حرّ ومستقل ومسؤول عن نفسه وعن العالم ومسلط علی الطبیعة بما فیها الأرض و السماء،مجبول علی حبّ الخیر و النفور من الشرّ،اقترن وجوده بضعف ووهن یسیر نحو الکمال و القوة ولایطمئن قلبه إلّا بذکر الله،وحظی‌بشرف وکرامة ذاتیة وجعله الله أفضل المخلوقات کافة،خلقه لعبادته وإطاعة أمره،من هنا فالإنسان لایجد نفسه إلّا عن طریق عبادة الله وذکره المستمرّ،ولو نسی ربّه لنسی نفسه أیضاً ولایعلم من هو؟وماذا یفعل هنا؟وأین یذهب؟ </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من منظار القرآن هو خلیفة الله علی الأرض وعبده ومطیع إرادته سبحانه،ولکن فی مقام الخلافة الإلهیة علی الأرض یجب أن یکون فعالاً،و هو</w:t>
      </w:r>
    </w:p>
    <w:p>
      <w:pPr>
        <w:pStyle w:val="BookText"/>
        <w:rPr/>
      </w:pPr>
      <w:r>
        <w:rPr>
          <w:rFonts w:ascii="IRNazanin" w:hAnsi="IRNazanin" w:eastAsia="IRNazanin"/>
          <w:color w:val="111111"/>
          <w:sz w:val="28"/>
          <w:sz w:val="28"/>
          <w:szCs w:val="28"/>
          <w:rtl w:val="true"/>
          <w:lang w:bidi="fa-IR"/>
        </w:rPr>
        <w:t>الموجود الوحید الذی یتصدّر مرکز هذا العالم،والجدیر بخلافة الله بتمام معناها،والقادر علی التسلّط علی سائر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منظار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الله سبحانه،وجعل الله الأرض و السماء وما بینها آیة وعالم الوجود هو ظهور لأسماء وصفات الحقّ سبحانه، </w:t>
      </w:r>
      <w:r>
        <w:rPr>
          <w:rStyle w:val="FootnoteAnchor"/>
          <w:rtl w:val="true"/>
        </w:rPr>
        <w:footnoteReference w:id="60"/>
      </w:r>
      <w:r>
        <w:rPr>
          <w:rFonts w:ascii="IRNazanin" w:hAnsi="IRNazanin" w:eastAsia="IRNazanin"/>
          <w:color w:val="111111"/>
          <w:sz w:val="28"/>
          <w:sz w:val="28"/>
          <w:szCs w:val="28"/>
          <w:rtl w:val="true"/>
          <w:lang w:bidi="fa-IR"/>
        </w:rPr>
        <w:t>وله عوالم لکلّ منها أحکامها وسننها وقوانینها الخاصّة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المادی و المثالی و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ومعین هذا الکون وما فیه من موجودات هو الله سبحانه وتعود کلّها إلیه،وکلّ العالم وما فیه مسخر للإنسان لیکون له عون فی الوصول إلی هدفه النهائی</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الإسلام لایجبر الناس علی عقیدته،فقد رسم القرآن مهمّة رسول الله و المؤمنین فی بیان حقیقة الدین من خلال المنطق والاستدلال، </w:t>
      </w:r>
      <w:r>
        <w:rPr>
          <w:rStyle w:val="FootnoteAnchor"/>
          <w:rtl w:val="true"/>
        </w:rPr>
        <w:footnoteReference w:id="62"/>
      </w:r>
      <w:r>
        <w:rPr>
          <w:rFonts w:ascii="IRNazanin" w:hAnsi="IRNazanin" w:eastAsia="IRNazanin"/>
          <w:color w:val="111111"/>
          <w:sz w:val="28"/>
          <w:sz w:val="28"/>
          <w:szCs w:val="28"/>
          <w:rtl w:val="true"/>
          <w:lang w:bidi="fa-IR"/>
        </w:rPr>
        <w:t xml:space="preserve">کما حذر من مغبة اتّباع الظنّ و الطاعة العمیاء و الرغبات النفسیة وألّا یتّبع إلّا العلم و الیقین و البرهان، </w:t>
      </w:r>
      <w:r>
        <w:rPr>
          <w:rStyle w:val="FootnoteAnchor"/>
          <w:rtl w:val="true"/>
        </w:rPr>
        <w:footnoteReference w:id="63"/>
      </w:r>
      <w:r>
        <w:rPr>
          <w:rFonts w:ascii="IRNazanin" w:hAnsi="IRNazanin" w:eastAsia="IRNazanin"/>
          <w:color w:val="111111"/>
          <w:sz w:val="28"/>
          <w:sz w:val="28"/>
          <w:szCs w:val="28"/>
          <w:rtl w:val="true"/>
          <w:lang w:bidi="fa-IR"/>
        </w:rPr>
        <w:t>یقول بولن دیلی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دیانة محمّد کانت من الحکمة بمکان أن اکتفت بالتبلیغ دون الحاجة إلی ممارسة الضغط،ویکفی أن یطلع الناس علی اصوله لکی یعتنقونه،أنّ الاُصول التی دعا لها محمّد جاءت منسجمة مع العقل الانسانی حتّی تمکن الإسلام من استجلاب قلوب نصف سکان المعمورة آنذاک إلیه فی أقلّ من خمسة عقود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العقل موهبة إلهیة حسب رؤیة القرآن یهدی الإنسان إلی الحقّ وینقذه من الضلال،قال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یعرف العقل بما ینتفع به الإنسان فی دینه ویرکب به هداه إلی حقائق المعارف وصالح العمل،و إذا لم یجر علی هذا المجری فلا یسمّی عقلاً،و إن عمل فی الخیر و الشرّ الدنیوی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سمّی عمله ذلک عقلاً بنحو من المسامحة،لکنّه لیس بعقل حقیقة لخروج الإنسان عند ذلک عن سلامة الفطرة وسنن الصواب</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إنّ آیات القرآن فی الوقت التی تثمن العقل و العقلانیة تری العقل قاصر عن نیل المعارف و الحقائق العلیا ولا تراه کافیاً لتحقیق السعادة الأبدیة للبشر فحسب،بل یفتقد إلی فهم العلوم التی یحتاجها البشر لتدبیر حیاته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فضیلة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العوامل الداخلیة لظهور وازدهار الحضارة الإسلامیة هی المکانة الرفیعة التی أعطاها الإسلام للعلم و العلماء،و قد أکد القرآن و الروایات وهما من المصادر الأساسیة للثقافة و الحضارة الإسلامیة علی أصل التعلّم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کما أشارت هذه النصوص إلی المنزلة الرفیعة للعلماء من خلال طرح تعالیم نظیر فضل العالم علی العابد ومحبّة الله سبحانه لطلاب العلم واحترام العلماء یعادل احترام الله</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الإسلام لم یثمن کلّ علم،بل العلم النافع هو الذی یطلب لجلب رضا الله سبحانه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یجب ان یکون العلم فی الثقافة و الحضارة الإسلامیة للفهم لا للجدال و التفاخر و الخداع</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إنّ العلم من وجهة نظر الإسلام إذا لم یقترن برضا الله سبحانه فسیشکل حجاباً أکبر وهکذا علم لایوصل الإنسان إلی کماله،حتّی إن کان علم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تکون الخصوصیات التالیة من علامات العلم الفاسد و الحجاب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و الرکون إلیها</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الادّعاء و التکبر</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العلم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الأجر و التطفیف فی العمل</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الجاه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بالسعی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السعی و العمل له مکانة رفیعة فی ظهور الحضارات وانتشارها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بذلت التعالیم الإسلامیة أهمیة خاصّة بهذا العنصر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ویلوح من کلام العلماء أنّ العمل نوع من العبادة،واداء واجب ومسؤولیة اجتماعیة وجهاد فی سبیل الله وتطهیر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الأساس فقد أطاح الإسلام منذ ظهوره بحضارة إیران و الروم التی کانت فی طریقها إلی الاندثار،وشید علی انقاضها حضارة جدیدة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أنّه فی مناخ تحمل الأفکار یمکن تبادل الآراء الذی</w:t>
      </w:r>
      <w:bookmarkStart w:id="149" w:name="pg5469_34667"/>
    </w:p>
    <w:p>
      <w:pPr>
        <w:pStyle w:val="BookText"/>
        <w:rPr/>
      </w:pPr>
      <w:bookmarkEnd w:id="149"/>
      <w:r>
        <w:rPr>
          <w:rFonts w:ascii="IRNazanin" w:hAnsi="IRNazanin" w:eastAsia="IRNazanin"/>
          <w:color w:val="111111"/>
          <w:sz w:val="28"/>
          <w:sz w:val="28"/>
          <w:szCs w:val="28"/>
          <w:rtl w:val="true"/>
          <w:lang w:bidi="fa-IR"/>
        </w:rPr>
        <w:t>یعدّ أحد مؤشرات ازدهار 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الأفکار یرفع قابلیة التعقّل و النقد فی المجتمع،وفی ظلّه یتمّ التبادل الثقافی و الفکری ویزداد روح التعاون وتتوطد الوحدة الوطنیة و المسؤولیة الاجتماعیة و الوعی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الأساس،دعا القرآن الکریم المسلمین إلی الصبر وضبط النفس حین مواجهة الآراء المخالفة،کی یتیسر اختیار أفضل الأفکار و الأقوال</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ومن هنا اعتبر الله تعالی النبی مثلاً أعلی فی سعة الصدر وتحمل الآراء المخالفة،بنحو أنّه تعرض له بعض الجهال،وقالوا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،فأجابهم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خَیْرٍ لَکُمْ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ولهذا الدلیل یتّضح أهمّیة الحلم و الصبر علی الصعید العلمی حتّی أنّ الله تعالی ذکر صفة العلیم إلی جانب الحلیم ثلاث مرّات، </w:t>
      </w:r>
      <w:r>
        <w:rPr>
          <w:rStyle w:val="FootnoteAnchor"/>
          <w:rtl w:val="true"/>
        </w:rPr>
        <w:footnoteReference w:id="79"/>
      </w:r>
      <w:r>
        <w:rPr>
          <w:rFonts w:ascii="IRNazanin" w:hAnsi="IRNazanin" w:eastAsia="IRNazanin"/>
          <w:color w:val="111111"/>
          <w:sz w:val="28"/>
          <w:sz w:val="28"/>
          <w:szCs w:val="28"/>
          <w:rtl w:val="true"/>
          <w:lang w:bidi="fa-IR"/>
        </w:rPr>
        <w:t>کما أکّد أئمة أهل البیت علیهم السلام علی مکانة الحلم فی المجال العلمی</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50" w:name="__RefHeading___Toc2108794_581953129"/>
      <w:bookmarkStart w:id="151" w:name="_Toc58"/>
      <w:bookmarkEnd w:id="150"/>
      <w:r>
        <w:rPr/>
        <w:t>2</w:t>
      </w:r>
      <w:r>
        <w:rPr>
          <w:rtl w:val="true"/>
        </w:rPr>
        <w:t>-</w:t>
      </w:r>
      <w:r>
        <w:rPr>
          <w:rtl w:val="true"/>
        </w:rPr>
        <w:t>بساطة التعالیم الدینیة</w:t>
      </w:r>
      <w:bookmarkEnd w:id="1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التعالیم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 صعید العقائد و المبادئ الفکریة أو علی صعید الأخلاق و الأسلوب الأمثل للحیاة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قویم وبسیط وبعید عن أی إبهام،حیث تتصف بروح السماحة علی جسد الشریعة الإسلامیة،والتی یعبّر عنها بنفی الحرج،والسهولة فی الأحکام العبادیة و الحقوقیة والاجتماعیة و البساطة، </w:t>
      </w:r>
      <w:r>
        <w:rPr>
          <w:rStyle w:val="FootnoteAnchor"/>
          <w:rtl w:val="true"/>
        </w:rPr>
        <w:footnoteReference w:id="81"/>
      </w:r>
      <w:r>
        <w:rPr>
          <w:rFonts w:ascii="IRNazanin" w:hAnsi="IRNazanin" w:eastAsia="IRNazanin"/>
          <w:color w:val="111111"/>
          <w:sz w:val="28"/>
          <w:sz w:val="28"/>
          <w:szCs w:val="28"/>
          <w:rtl w:val="true"/>
          <w:lang w:bidi="fa-IR"/>
        </w:rPr>
        <w:t>و قد بعث هذا الأمر علی احتضان مختلف الشعوب لثقافة الإسلام وحضارته؛إذ إنّ قوانین الإسلام لم تکن کالدیانة الزرادشتیة التی وضعت قوانین لم یتمکّن أی عقل من التصدیق بصحّتها،إضافة إلی العمل بها،فمثلاً فی</w:t>
      </w:r>
      <w:bookmarkStart w:id="152" w:name="pg5469_34668"/>
    </w:p>
    <w:p>
      <w:pPr>
        <w:pStyle w:val="BookText"/>
        <w:rPr/>
      </w:pPr>
      <w:bookmarkEnd w:id="152"/>
      <w:r>
        <w:rPr>
          <w:rFonts w:ascii="IRNazanin" w:hAnsi="IRNazanin" w:eastAsia="IRNazanin"/>
          <w:color w:val="111111"/>
          <w:sz w:val="28"/>
          <w:sz w:val="28"/>
          <w:szCs w:val="28"/>
          <w:rtl w:val="true"/>
          <w:lang w:bidi="fa-IR"/>
        </w:rPr>
        <w:t>تلک الدیانة کلّ من قتل کلب البحر فعلیه غرامة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الکفّارة،والتی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الحد بالضرب بعشرة آلاف سوط،وبعشرة آلاف ضربة بحدید مسند علی فرس یعدو،ودفع عشرة آلاف حمل من حطب جاف وآخر مثله رطب،ودفع عشرة آلاف أفعی،وعشرة آلاف نملة واُخری مثلها لادغة وعشرة آلاف بعوضة تجول فی القاذورات وعشرة آلاف دودة تعیش فی المیاه النتنة وعشرة آلاف ذبابة</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من الواضح أنّ الإیرانیین لما واجهوا بساطة قوانین الإسلام أقبلوا علیه بشغف أکبر وأعرضوا عن دین الآباء</w:t>
      </w:r>
      <w:r>
        <w:rPr>
          <w:rFonts w:eastAsia="IRNazanin" w:cs="IRNazanin"/>
          <w:color w:val="111111"/>
          <w:sz w:val="28"/>
          <w:szCs w:val="28"/>
          <w:rtl w:val="true"/>
          <w:lang w:bidi="fa-IR"/>
        </w:rPr>
        <w:t>.</w:t>
      </w:r>
    </w:p>
    <w:p>
      <w:pPr>
        <w:pStyle w:val="Heading4"/>
        <w:numPr>
          <w:ilvl w:val="3"/>
          <w:numId w:val="1"/>
        </w:numPr>
        <w:rPr/>
      </w:pPr>
      <w:bookmarkStart w:id="153" w:name="__RefHeading___Toc2108796_581953129"/>
      <w:bookmarkStart w:id="154" w:name="_Toc59"/>
      <w:bookmarkEnd w:id="153"/>
      <w:r>
        <w:rPr/>
        <w:t>3</w:t>
      </w:r>
      <w:r>
        <w:rPr>
          <w:rtl w:val="true"/>
        </w:rPr>
        <w:t>-</w:t>
      </w:r>
      <w:r>
        <w:rPr>
          <w:rtl w:val="true"/>
        </w:rPr>
        <w:t>جامعیة التعالیم الدینیة</w:t>
      </w:r>
      <w:bookmarkEnd w:id="154"/>
    </w:p>
    <w:p>
      <w:pPr>
        <w:pStyle w:val="BookText"/>
        <w:rPr/>
      </w:pPr>
      <w:r>
        <w:rPr>
          <w:rFonts w:ascii="IRNazanin" w:hAnsi="IRNazanin" w:eastAsia="IRNazanin"/>
          <w:color w:val="111111"/>
          <w:sz w:val="28"/>
          <w:sz w:val="28"/>
          <w:szCs w:val="28"/>
          <w:rtl w:val="true"/>
          <w:lang w:bidi="fa-IR"/>
        </w:rPr>
        <w:t>إنّ التعالیم الإسلامیة تلبی حاجات البشر الأساسیة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التعالیم لاتقتصر علی الجانب الفردی،بل تعمّ الجانب الاجتماعی أیضاً،وترشده إلی الهدایة علی مختلف الصعد،هذا إلی جانب أنّ التعالیم الإسلامیة تتوافق فیما بینها بصورة عجیبة وتصب فی صالح الهدف الأساس للدین،أی نیل السعادة الدنیویة والاُخرویة</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55" w:name="__RefHeading___Toc2108798_581953129"/>
      <w:bookmarkStart w:id="156" w:name="_Toc60"/>
      <w:bookmarkEnd w:id="155"/>
      <w:r>
        <w:rPr/>
        <w:t>4</w:t>
      </w:r>
      <w:r>
        <w:rPr>
          <w:rtl w:val="true"/>
        </w:rPr>
        <w:t>-</w:t>
      </w:r>
      <w:r>
        <w:rPr>
          <w:rtl w:val="true"/>
        </w:rPr>
        <w:t>خلود التعالیم الدینیة</w:t>
      </w:r>
      <w:bookmarkEnd w:id="1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الإسلام أکمل الأدیان وآخرها،أضحت تعالیمه کفیلة بتوفیر السعادة الفردیة والاجتماعیة فی أرجاء المعمورة کافّة بمختلف اللغات و القومیات و السلائق والاتجاهات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الواقع فإنّ النبی محمّد رسول الله للعالم بأسرة،ومن هنا فإنّ ثقافته عالمیة أیضاً</w:t>
      </w:r>
      <w:r>
        <w:rPr>
          <w:rFonts w:eastAsia="IRNazanin" w:cs="IRNazanin"/>
          <w:color w:val="111111"/>
          <w:sz w:val="28"/>
          <w:szCs w:val="28"/>
          <w:rtl w:val="true"/>
          <w:lang w:bidi="fa-IR"/>
        </w:rPr>
        <w:t xml:space="preserve">. </w:t>
      </w:r>
      <w:r>
        <w:rPr>
          <w:rStyle w:val="FootnoteAnchor"/>
          <w:rtl w:val="true"/>
        </w:rPr>
        <w:footnoteReference w:id="84"/>
      </w:r>
      <w:bookmarkStart w:id="157" w:name="pg5469_34669"/>
    </w:p>
    <w:p>
      <w:pPr>
        <w:pStyle w:val="Heading4"/>
        <w:numPr>
          <w:ilvl w:val="3"/>
          <w:numId w:val="1"/>
        </w:numPr>
        <w:rPr/>
      </w:pPr>
      <w:bookmarkStart w:id="158" w:name="__RefHeading___Toc2108800_581953129"/>
      <w:bookmarkStart w:id="159" w:name="_Toc61"/>
      <w:bookmarkEnd w:id="157"/>
      <w:bookmarkEnd w:id="158"/>
      <w:r>
        <w:rPr/>
        <w:t>5</w:t>
      </w:r>
      <w:r>
        <w:rPr>
          <w:rtl w:val="true"/>
        </w:rPr>
        <w:t>-</w:t>
      </w:r>
      <w:r>
        <w:rPr>
          <w:rtl w:val="true"/>
        </w:rPr>
        <w:t>طبیعیة التعالیم الإسلامیة وفطریتها</w:t>
      </w:r>
      <w:bookmarkEnd w:id="159"/>
    </w:p>
    <w:p>
      <w:pPr>
        <w:pStyle w:val="BookText"/>
        <w:rPr/>
      </w:pPr>
      <w:r>
        <w:rPr>
          <w:rFonts w:ascii="Amiri" w:hAnsi="Amiri" w:eastAsia="Amiri" w:cs="Amiri"/>
          <w:color w:val="111111"/>
          <w:sz w:val="28"/>
          <w:sz w:val="28"/>
          <w:szCs w:val="28"/>
          <w:rtl w:val="true"/>
          <w:lang w:bidi="ar-SA"/>
        </w:rPr>
        <w:t>إنّ أفضل الدیانات هی تلک التی تنسجم مع طبیعة الإنسان وجهاز خلقته وتلبی کلّ حاجاته الطبیعیة و الفطریة،وإلّا فسوف یتعذر إجراؤها أو توفیر السعادة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وتعالیم الإسلام؛نظراً لانسجامها مع الفطرة البشریة لو عرضت علی أی شخص أو فرقة أو شعب لوجدها تتناسق مع فطرته وترتضیها رغبته عندها لایبخل بأی جهد فی سبیل اعتلائها،ولهذا السبب انتشر الإسلام خارج الجزیرة العربیة إلی أقصی نقاط العالم،و قد بین القرآن هذه الخصوصیة بوضوح فی ذیل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 </w:t>
      </w:r>
      <w:r>
        <w:rPr>
          <w:rStyle w:val="FootnoteAnchor"/>
          <w:rtl w:val="true"/>
        </w:rPr>
        <w:footnoteReference w:id="85"/>
      </w:r>
    </w:p>
    <w:p>
      <w:pPr>
        <w:pStyle w:val="Heading4"/>
        <w:numPr>
          <w:ilvl w:val="3"/>
          <w:numId w:val="1"/>
        </w:numPr>
        <w:rPr/>
      </w:pPr>
      <w:bookmarkStart w:id="160" w:name="__RefHeading___Toc2108802_581953129"/>
      <w:bookmarkStart w:id="161" w:name="_Toc62"/>
      <w:bookmarkEnd w:id="160"/>
      <w:r>
        <w:rPr/>
        <w:t>6</w:t>
      </w:r>
      <w:r>
        <w:rPr>
          <w:rtl w:val="true"/>
        </w:rPr>
        <w:t>-</w:t>
      </w:r>
      <w:r>
        <w:rPr>
          <w:rtl w:val="true"/>
        </w:rPr>
        <w:t>السیرة العملیة</w:t>
      </w:r>
      <w:bookmarkEnd w:id="161"/>
    </w:p>
    <w:p>
      <w:pPr>
        <w:pStyle w:val="BookText"/>
        <w:rPr/>
      </w:pPr>
      <w:r>
        <w:rPr>
          <w:rFonts w:ascii="IRNazanin" w:hAnsi="IRNazanin" w:eastAsia="IRNazanin"/>
          <w:color w:val="111111"/>
          <w:sz w:val="28"/>
          <w:sz w:val="28"/>
          <w:szCs w:val="28"/>
          <w:rtl w:val="true"/>
          <w:lang w:bidi="fa-IR"/>
        </w:rPr>
        <w:t>کما تقدّم فیما سبق فإنّ للعامل الإنسانی دوراً مؤثّراً فی ظهور الثقافة و الحضارة،و أنّ سیرة مؤسّسی الثقافة و الحضارة الإسلامیة من جهة،وخصوصیات اتباعهم المحمودة من جهة اخری،من الأسباب الداخلیة لظهور وارتقاء الحضارة الإسلامیة ویعدّ الإیمان نقطة الارتکاز فی هذه السیرة،و قد کتب جرجی زیدان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ساعدهم علی الفتح اعتقادهم صدق الدعوة التی دعوا إلیها،واعتقادهم أنّهم إنّما یفتحون الدنیا فی سبیل الدین،و أنّ الله یدعوهم إلی نشر الإسلام فی الأرض،و أنّ من مات منهم مات شهیداً،و أنّ العالم الآتی خیر وأبقی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الاعتقاد هو الذی جرّ المسلمین علی رکوب هذا المرکب الخشن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کما کتب عن أسباب نشر الإسلام،یقول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لعدل المسلمین ورفقهم وزهدهم تأثیر عظیم فی من یدخل تحت</w:t>
      </w:r>
      <w:bookmarkStart w:id="162" w:name="pg5469_34670"/>
    </w:p>
    <w:p>
      <w:pPr>
        <w:pStyle w:val="BookText"/>
        <w:rPr/>
      </w:pPr>
      <w:bookmarkEnd w:id="162"/>
      <w:r>
        <w:rPr>
          <w:rFonts w:ascii="IRNazanin" w:hAnsi="IRNazanin" w:eastAsia="IRNazanin"/>
          <w:color w:val="111111"/>
          <w:sz w:val="28"/>
          <w:sz w:val="28"/>
          <w:szCs w:val="28"/>
          <w:rtl w:val="true"/>
          <w:lang w:bidi="fa-IR"/>
        </w:rPr>
        <w:t>سلطان المسلمین من رعایا الروم أو الفرس،وتلک کانت الوصیة الاُولی التی یتزودون بها إذا خرجوا للفتح</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من هنا لایمکن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تقدم الحضارة الإسلامیة وغلبتها علی سائر الحضارات التی کانت سائدة آنذاک یعود إلی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إلقاء نظرة إجمالیة علی خریطة العالم الإسلامی لتتجلی لنا تلک الحقیقة بوضوح؛ذلک لأنّ انتشار الإسلام فی بقاع نائیة کالصین ومنغولیا وأندونیسیا و الفلبین ومدغشقر وزنجبار وموزمبیق وتنزانیا وزمبابوه ونیجریا وسیرالیون وساحل العاج و الکنغو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نتاج الفتوحات الإسلامیة،إذ إنّ الفاتحین لم تطأ أقدامهم تلک المناطق قط</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63" w:name="__RefHeading___Toc2108804_581953129"/>
      <w:bookmarkStart w:id="164" w:name="_Toc63"/>
      <w:bookmarkEnd w:id="163"/>
      <w:r>
        <w:rPr>
          <w:rtl w:val="true"/>
        </w:rPr>
        <w:t>الأسباب الخارجیة</w:t>
      </w:r>
      <w:bookmarkEnd w:id="164"/>
    </w:p>
    <w:p>
      <w:pPr>
        <w:pStyle w:val="Heading4"/>
        <w:numPr>
          <w:ilvl w:val="3"/>
          <w:numId w:val="1"/>
        </w:numPr>
        <w:rPr/>
      </w:pPr>
      <w:bookmarkStart w:id="165" w:name="__RefHeading___Toc2108806_581953129"/>
      <w:bookmarkStart w:id="166" w:name="_Toc64"/>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ثمة عوامل أدّت إلی ظهور الحضارة الإسلامیة وانتشارها،و هذه العوامل لاترتبط بتعالیم الثقافة الإسلامیة ونطلق علیها أسباباً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الأسباب یمکن رصدها من بعدین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نقاط ضعف سائر الحضارات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نقاط قوة سائر الحضارات</w:t>
      </w:r>
      <w:r>
        <w:rPr>
          <w:rFonts w:eastAsia="IRNazanin" w:cs="IRNazanin"/>
          <w:color w:val="111111"/>
          <w:sz w:val="28"/>
          <w:szCs w:val="28"/>
          <w:rtl w:val="true"/>
          <w:lang w:bidi="fa-IR"/>
        </w:rPr>
        <w:t>.</w:t>
      </w:r>
    </w:p>
    <w:p>
      <w:pPr>
        <w:pStyle w:val="Heading4"/>
        <w:numPr>
          <w:ilvl w:val="3"/>
          <w:numId w:val="1"/>
        </w:numPr>
        <w:rPr/>
      </w:pPr>
      <w:bookmarkStart w:id="167" w:name="__RefHeading___Toc2108808_581953129"/>
      <w:bookmarkStart w:id="168" w:name="_Toc65"/>
      <w:bookmarkEnd w:id="167"/>
      <w:r>
        <w:rPr/>
        <w:t>1</w:t>
      </w:r>
      <w:r>
        <w:rPr>
          <w:rtl w:val="true"/>
        </w:rPr>
        <w:t>-</w:t>
      </w:r>
      <w:r>
        <w:rPr>
          <w:rtl w:val="true"/>
        </w:rPr>
        <w:t>رفع نقاط ضعف بقیة الحضارات</w:t>
      </w:r>
      <w:bookmarkEnd w:id="1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لثقافة وحضارة الشعوب الاُخری ومن جملتها الجزیرة العربیة،نقاط ضعف أدّت بدورها إلی العزوف عن ثقافتها وحضارتها و الإقبال علی الثقافة و الحضارة الإسلامیة،مثلاً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الفراغ العقائدی و العملی الذی راج فی شبه الجزیرة العربیة إلی نمو الحضارة الإسلامیة واتساع نطاقها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العقائد الجاهلیة منطقیة ومستدلّة،ولم تکن عبادة الأصنام وأنّها خالقة ومدبرة لهذا الکون أو لدیها شفاعة عند الله تعالی وأنّها لم</w:t>
      </w:r>
    </w:p>
    <w:p>
      <w:pPr>
        <w:pStyle w:val="BookText"/>
        <w:rPr/>
      </w:pPr>
      <w:r>
        <w:rPr>
          <w:rFonts w:ascii="IRNazanin" w:hAnsi="IRNazanin" w:eastAsia="IRNazanin"/>
          <w:color w:val="111111"/>
          <w:sz w:val="28"/>
          <w:sz w:val="28"/>
          <w:szCs w:val="28"/>
          <w:rtl w:val="true"/>
          <w:lang w:bidi="fa-IR"/>
        </w:rPr>
        <w:t>تکن تقنع حتّی أضعف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أنّه حینما جاء الإسلام بتعالیمه المنطقیة التی یعضدها الاستدلال انکشف ضعف عقائد الآخرین فأقبلوا علی الثقافة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نطاق العمل لم یکن للعرب فی الجاهلیة أی قانون یحدّ من الأعمال التی یقترفونها،ولم یکن أمامهم أی 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وجدوا أنفسهم مختارین فی القیام بأی عمل سوی الحفاظ علی سنة الآباء و الأجداد المتمثلة فی الحروب واالنزاعات،وعلی أثر انعدام القانون اجتاح المجتمع الانفلات الاجتماعی و السیاسی واحتمال اشتعال نار الحروب و الدمار التی کانت تهدد البشر بالفناء فی کلّ آن،فی مناخ متأزم کهذا یتوق البشر إلی وضع الحدود و القیود علی حیاتهم بهدف نیل الهدوء و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جعفر بن أبی طالب الوضع الاجتماعی و الأخلاقی لمجتمعه أمام ملک الحبشة وبین أهمّیة رسالة النبی فی تلک البرهة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الملک کنّا قوماً أهل جاهلیة نعبد الأصنام ونأکل المیتة ونأتی الفواحش ونقطع الأرحام ونسئ الجوار ویأکل القوی منّا الضعیف،فکنّا علی ذلک حتّی بعث الله إلینا رسولاً منّا نعرف نسبه وصدقه و أمانته وعفافه فدعانا إلی الله لنوحده ونعبده ونخلع ما کنّا نعبد نحن وأباؤنا من دونه من الحجارة و الأوثان،وأمرنا بصدق الحدیث وأداء الأمانة وصلة الرحم وحسن الجوار و الکف عن المحارم و الدماء ونهانا عن الفواحش وقول الزور وأکل مال الیتیم وقذف المحصنات،وأمرنا أن نعبد الله وحده لانشرک به شیئاً،وأمرنا بالصلاة و الزکاة و الصیام فصدقناه وآمنا به</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هذا الکلام أنّهم کانوا یعیشون فی قلق واضطراب أثر انعدام القوانین التی تخلصهم من الهرج و المرج السائد،ولما واجهوا الإسلام واُصوله الإنسانیة اشتدّت حاجتهم إلیه</w:t>
      </w:r>
      <w:r>
        <w:rPr>
          <w:rFonts w:eastAsia="IRNazanin" w:cs="IRNazanin"/>
          <w:color w:val="111111"/>
          <w:sz w:val="28"/>
          <w:szCs w:val="28"/>
          <w:rtl w:val="true"/>
          <w:lang w:bidi="fa-IR"/>
        </w:rPr>
        <w:t>.</w:t>
      </w:r>
      <w:bookmarkStart w:id="169" w:name="pg5469_34672"/>
    </w:p>
    <w:p>
      <w:pPr>
        <w:pStyle w:val="BookText"/>
        <w:rPr/>
      </w:pPr>
      <w:bookmarkEnd w:id="169"/>
      <w:r>
        <w:rPr>
          <w:rFonts w:ascii="IRNazanin" w:hAnsi="IRNazanin" w:eastAsia="IRNazanin"/>
          <w:color w:val="111111"/>
          <w:sz w:val="28"/>
          <w:sz w:val="28"/>
          <w:szCs w:val="28"/>
          <w:rtl w:val="true"/>
          <w:lang w:bidi="fa-IR"/>
        </w:rPr>
        <w:t>إنّ مقارنة النظام القضائی لعصر الجاهلیة وما بعده تحکی عن التأثیر العمیق الذی ترکته الحضارة الإسلامیة علی مجمل المسار القضائی لذاک العصر</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ویکفی إلقاء نظرة خاطفة علی الأدب و العلم فی العصر الجاهلی،ومقارنته بالعصر الإسلامی،تتضح لنا هذه النکتة،وهی أنّه راجت فی الجاهلیة أشعار فی وصف الصحراء و الإبل وسائر مظاهر الطبیعة مع معلومات فلکیة وطبیة ضئیلة تشوبها خرافات،وأفضل المراکز الثقافیة کانت تقام فی أماکن کسوق عکاظ،بینما بعد ظهور الإسلام أصبح الشعر و العلم أعمق ممّا سبق وراحت المجالس الثقافیة تعقد فی المساجد ودور العلم وبیت الحکمة</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من هنا یمکن فهم طبیعة الثقافة و الحضارة الإسلامیة وظهورها وازدهارها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الوضع خارج الجزیرة العربیة علی هذا المنوال مثلاً أخذت الحضارة الإیرانیة تخبو وتتجه نحو الضعف والاُفول، </w:t>
      </w:r>
      <w:r>
        <w:rPr>
          <w:rStyle w:val="FootnoteAnchor"/>
          <w:rtl w:val="true"/>
        </w:rPr>
        <w:footnoteReference w:id="92"/>
      </w:r>
      <w:r>
        <w:rPr>
          <w:rFonts w:ascii="IRNazanin" w:hAnsi="IRNazanin" w:eastAsia="IRNazanin"/>
          <w:color w:val="111111"/>
          <w:sz w:val="28"/>
          <w:sz w:val="28"/>
          <w:szCs w:val="28"/>
          <w:rtl w:val="true"/>
          <w:lang w:bidi="fa-IR"/>
        </w:rPr>
        <w:t>بسبب الاستبداد وتحقیر شخصیة المرأة ونظام طبقی جائر وقضایا فکریة وعملیة غیر معقولة،وحینما وقف الإیرانیون علی التعالیم الإسلامیة التی کانت تناهض الاستبداد وتکن احتراماً لحقوق المرأة،بل وأزاحت النظام الطبقی جانباً وطرحت قضایا فکریة مثمرة علی الصعید العملی،أقبلوا علی الحضارة الإسلامیة بکلّ لهفة وشغف ونشروها إلی أصقاع جغرافیة نائیة</w:t>
      </w:r>
      <w:r>
        <w:rPr>
          <w:rFonts w:eastAsia="IRNazanin" w:cs="IRNazanin"/>
          <w:color w:val="111111"/>
          <w:sz w:val="28"/>
          <w:szCs w:val="28"/>
          <w:rtl w:val="true"/>
          <w:lang w:bidi="fa-IR"/>
        </w:rPr>
        <w:t>.</w:t>
      </w:r>
    </w:p>
    <w:p>
      <w:pPr>
        <w:pStyle w:val="Heading4"/>
        <w:numPr>
          <w:ilvl w:val="3"/>
          <w:numId w:val="1"/>
        </w:numPr>
        <w:rPr/>
      </w:pPr>
      <w:bookmarkStart w:id="170" w:name="__RefHeading___Toc2108810_581953129"/>
      <w:bookmarkStart w:id="171" w:name="_Toc66"/>
      <w:bookmarkEnd w:id="170"/>
      <w:r>
        <w:rPr/>
        <w:t>2</w:t>
      </w:r>
      <w:r>
        <w:rPr>
          <w:rtl w:val="true"/>
        </w:rPr>
        <w:t>-</w:t>
      </w:r>
      <w:r>
        <w:rPr>
          <w:rtl w:val="true"/>
        </w:rPr>
        <w:t>جذب النقاط الإیجابیة لبقیة الحضارات</w:t>
      </w:r>
      <w:bookmarkEnd w:id="171"/>
    </w:p>
    <w:p>
      <w:pPr>
        <w:pStyle w:val="Heading5"/>
        <w:numPr>
          <w:ilvl w:val="4"/>
          <w:numId w:val="1"/>
        </w:numPr>
        <w:rPr/>
      </w:pPr>
      <w:bookmarkStart w:id="172" w:name="__RefHeading___Toc2108812_581953129"/>
      <w:bookmarkStart w:id="173" w:name="_Toc67"/>
      <w:bookmarkEnd w:id="172"/>
      <w:r>
        <w:rPr>
          <w:rtl w:val="true"/>
        </w:rPr>
        <w:t>اشارة</w:t>
      </w:r>
      <w:bookmarkEnd w:id="1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الآخر من العوامل الخارجیة التی ساهمت فی ظهور ونشر الثقافة و الحضارة</w:t>
      </w:r>
      <w:bookmarkStart w:id="174" w:name="pg5469_34673"/>
    </w:p>
    <w:p>
      <w:pPr>
        <w:pStyle w:val="BookText"/>
        <w:rPr/>
      </w:pPr>
      <w:bookmarkEnd w:id="174"/>
      <w:r>
        <w:rPr>
          <w:rFonts w:ascii="IRNazanin" w:hAnsi="IRNazanin" w:eastAsia="IRNazanin"/>
          <w:color w:val="111111"/>
          <w:sz w:val="28"/>
          <w:sz w:val="28"/>
          <w:szCs w:val="28"/>
          <w:rtl w:val="true"/>
          <w:lang w:bidi="fa-IR"/>
        </w:rPr>
        <w:t>الإسلامیة هو النقاط الإیجابیة للثقافات و الحضارات الاُخری،ومع أصالة الثقافة و الحضارة الإسلامیة إلّا أنّ ذلک لم یمنع من انتفاعها من النقاط الإیجابیة لسائر الثقافات من خلال جذبها وهضمها واستیعابها،و هذا أدّی بدوره إلی تقدّم ونفوذ الثقافة و الحضارة الإسلامیة،ولضیق المجال سوف نشیر إلی ثلاث حضارات کبیرة هی حضارة الیونان وإیران و الهند وفی اطر محدودة</w:t>
      </w:r>
      <w:r>
        <w:rPr>
          <w:rFonts w:eastAsia="IRNazanin" w:cs="IRNazanin"/>
          <w:color w:val="111111"/>
          <w:sz w:val="28"/>
          <w:szCs w:val="28"/>
          <w:rtl w:val="true"/>
          <w:lang w:bidi="fa-IR"/>
        </w:rPr>
        <w:t>.</w:t>
      </w:r>
    </w:p>
    <w:p>
      <w:pPr>
        <w:pStyle w:val="Heading5"/>
        <w:numPr>
          <w:ilvl w:val="4"/>
          <w:numId w:val="1"/>
        </w:numPr>
        <w:rPr/>
      </w:pPr>
      <w:bookmarkStart w:id="175" w:name="__RefHeading___Toc2108814_581953129"/>
      <w:bookmarkStart w:id="176" w:name="_Toc68"/>
      <w:bookmarkEnd w:id="175"/>
      <w:r>
        <w:rPr>
          <w:rtl w:val="true"/>
        </w:rPr>
        <w:t>أ</w:t>
      </w:r>
      <w:r>
        <w:rPr>
          <w:rtl w:val="true"/>
        </w:rPr>
        <w:t>)</w:t>
      </w:r>
      <w:r>
        <w:rPr>
          <w:rtl w:val="true"/>
        </w:rPr>
        <w:t>حضارة الیونان</w:t>
      </w:r>
      <w:bookmarkEnd w:id="176"/>
    </w:p>
    <w:p>
      <w:pPr>
        <w:pStyle w:val="BookText"/>
        <w:rPr/>
      </w:pPr>
      <w:r>
        <w:rPr>
          <w:rFonts w:ascii="IRNazanin" w:hAnsi="IRNazanin" w:eastAsia="IRNazanin"/>
          <w:color w:val="111111"/>
          <w:sz w:val="28"/>
          <w:sz w:val="28"/>
          <w:szCs w:val="28"/>
          <w:rtl w:val="true"/>
          <w:lang w:bidi="fa-IR"/>
        </w:rPr>
        <w:t>تمکنت الثقافة و الحضارة الإسلامیة من تأسیس مباحث کلامیة وفلسفة جدیدة عبر أخذ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الیونان،ففی البدایة لم یکن البحث عن الاُمور العامة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الذی لایتجزأ،واستحالة تداخل الأجسام واستحالة الطفرة مقصودة لذاتها،بل کانت مقدّمة لمسائل الإلهیات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کالبحث عن الطبیعیات الذی فتح الباب أمام المتکلّمین الإسلامیین لإثبات أصل دینی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هضم تلک المسائل داخل الثقافة الإسلامیة وتلونها بالتعالیم الدینیة واجه مبحث الاُمور العامّة المزید من التمحیص،و هذه المسائل بثوبها وماهیتها الجدیدة ترکت أثراً عمیقاً علی سائر الفلسفات وحتّی الیونانیة</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77" w:name="__RefHeading___Toc2108816_581953129"/>
      <w:bookmarkStart w:id="178" w:name="_Toc69"/>
      <w:bookmarkEnd w:id="177"/>
      <w:r>
        <w:rPr>
          <w:rtl w:val="true"/>
        </w:rPr>
        <w:t>ب</w:t>
      </w:r>
      <w:r>
        <w:rPr>
          <w:rtl w:val="true"/>
        </w:rPr>
        <w:t>)</w:t>
      </w:r>
      <w:r>
        <w:rPr>
          <w:rtl w:val="true"/>
        </w:rPr>
        <w:t>حضارة إیران</w:t>
      </w:r>
      <w:bookmarkEnd w:id="1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الحضارة الإسلامیة انتفعت من حضارة إیران حیث أخذت نقاط قوتها وهضمتها وبذلک اکتسبت روحاً جدیدة،و هذا بدوره أسفر عن اعتلاء الثقافة و الحضارة الإسلامیة،وإلی ذلک یقول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مناشه</w:t>
      </w:r>
      <w:r>
        <w:rPr>
          <w:rFonts w:eastAsia="IRNazanin" w:cs="IRNazanin"/>
          <w:color w:val="111111"/>
          <w:sz w:val="28"/>
          <w:szCs w:val="28"/>
          <w:rtl w:val="true"/>
          <w:lang w:bidi="fa-IR"/>
        </w:rPr>
        <w:t>:</w:t>
      </w:r>
      <w:bookmarkStart w:id="179" w:name="pg5469_34674"/>
    </w:p>
    <w:p>
      <w:pPr>
        <w:pStyle w:val="BookText"/>
        <w:rPr/>
      </w:pPr>
      <w:bookmarkEnd w:id="179"/>
      <w:r>
        <w:rPr>
          <w:rFonts w:ascii="IRNazanin" w:hAnsi="IRNazanin" w:eastAsia="IRNazanin"/>
          <w:color w:val="111111"/>
          <w:sz w:val="28"/>
          <w:sz w:val="28"/>
          <w:szCs w:val="28"/>
          <w:rtl w:val="true"/>
          <w:lang w:bidi="fa-IR"/>
        </w:rPr>
        <w:t>نقل الفرس ما بقی من حضارتهم المدنیة إلی الإسلام وأخذ یتنفس روحاً جدیدة بعد نفخ روح تلک الحضارة فی کیانه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ولم یکن للعرب 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قول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رسول الله،و إذا کانت فلم تکن شیئاً مذکوراً،وبعد فتح سوریة وما بین النهرین ومصر وإیران أخذوا فنون تلک الأمصار،و قد ذکرت بعض المصادر أنّ خلفاء بنی امیة جلبوا من الأمصار المفتوحة أساتذة فی بناء المدن و القصور و المساجد واستخدموا فن التعریق البیزنطی و السوری فی مساجد دمشق وبإشراف استاذ فارسی</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قد کتب نهرو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فی إیران کالهند ضخ حیاة جدیدة فی الأعمال الفنیة</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واقتبس المسلمون أنظمة إدارة الحکم من إیران حیث کان دیوان جهاز الخلافة بید الفرس وکانت لغة تنظیم الدیوان فارسیة،وبعد أن اعتنق الفرس الإسلام نقلوا الدیوان إلی العربیة،و قد ذکر ابن الندیم فی الفهرست تقریرا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الدیوان وکان باللغة الفارسیة إلی العربیة فی أیام الحجاج الذی نقله صالح بن عبد الرحمان مولی بنی تمیم وکان أبو صالح من سبی سجستان</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180" w:name="__RefHeading___Toc2108818_581953129"/>
      <w:bookmarkStart w:id="181" w:name="_Toc70"/>
      <w:bookmarkEnd w:id="180"/>
      <w:r>
        <w:rPr>
          <w:rtl w:val="true"/>
        </w:rPr>
        <w:t>ج</w:t>
      </w:r>
      <w:r>
        <w:rPr>
          <w:rtl w:val="true"/>
        </w:rPr>
        <w:t>)</w:t>
      </w:r>
      <w:r>
        <w:rPr>
          <w:rtl w:val="true"/>
        </w:rPr>
        <w:t>حضارة الهند</w:t>
      </w:r>
      <w:bookmarkEnd w:id="181"/>
    </w:p>
    <w:p>
      <w:pPr>
        <w:pStyle w:val="BookText"/>
        <w:rPr/>
      </w:pPr>
      <w:r>
        <w:rPr>
          <w:rFonts w:ascii="IRNazanin" w:hAnsi="IRNazanin" w:eastAsia="IRNazanin"/>
          <w:color w:val="111111"/>
          <w:sz w:val="28"/>
          <w:sz w:val="28"/>
          <w:szCs w:val="28"/>
          <w:rtl w:val="true"/>
          <w:lang w:bidi="fa-IR"/>
        </w:rPr>
        <w:t>کانت للهند قبل زحف الإسلام إلیها فنّ عمارة قدیمة ومتطورة یتجلی فی بناء المعابد،وبمجیء الإسلام إلیها ضخ حیاة جدیدة فی أعمالها الفنیة</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وصل فنّ العمارة الإسلامی مع خصوصیاته فی بناء المساجد الکبیرة إلی</w:t>
      </w:r>
    </w:p>
    <w:p>
      <w:pPr>
        <w:pStyle w:val="BookText"/>
        <w:rPr/>
      </w:pPr>
      <w:r>
        <w:rPr>
          <w:rFonts w:ascii="IRNazanin" w:hAnsi="IRNazanin" w:eastAsia="IRNazanin"/>
          <w:color w:val="111111"/>
          <w:sz w:val="28"/>
          <w:sz w:val="28"/>
          <w:szCs w:val="28"/>
          <w:rtl w:val="true"/>
          <w:lang w:bidi="fa-IR"/>
        </w:rPr>
        <w:t>الهند امتزج بفنّ العمارة الهندی بما له من خصوصیات محلّیة،وانتفع فنّ العمارة الهندی من دقّة الفنّ الفارسی،وبعبارة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ترکیب من الفنّ الفارسی و الهندی مع احتفاظه بالفنّ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محل هو من أجمل المبانی الإسلامیة فی الهند،من حیث الروعة و الزخرفة و التصمیم الهندی،و هذا المبنی المرمری و الرخامی هو معجزة التقارن الهندسی،یزهو علی ما حوله کملکة للجمال ولا نظیر له وسط مبانی العالم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البناء أفضل وأعظم نموذج فن مزیج من الفنّ الإسلامی و الهندی،ویعتبر تاج محل باعتقاد أکثر أساتذة الفنّ المعماری من أکمل الأبنیة فی عالمنا المعاصر،وحسب قول ول دیورانت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تلفیق من فنّ العمارة الهندی و الإسلامی</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ظهور وانتشار لغة الأردو هو عامل آخر من العوامل الثقافیة و الحضاریة الإسلامیة فی حضارة الهند،عبر صهر العناصر الإیجابیة فی ذاتها وتلونها والانتفاع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لغة الأردو أحد مظاهر الانصهار الثقافی،ظهرت من امتزاج اللغات المحلّیة فی شمال الهند بلغة المسلمین فی القرنین السابع عشر و الثامن عشر المیلادی،وساهمت هذه اللغة فی الحدّ من الاختلافات القائمة بین الهندوس و المسلمین،وفی فهم أحدهما الآخر بنحو أفضل؛ذلک لأنّ هذه اللغة انبثقت من ترکیب أجزاء مختلفة من ثقافة تلک البلاد بما تحمله من امنیات ومکتسبات وأفراح وأتراح مشترکة بین الهندوس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اللغة هی لغة هندیة ذات قابلیات واسعة لاسیما بعدما تسرب إلیها لغات أمثال الفارسیة و العربیة،وکما تحکی السنن الثقافیة والاجتماعیة لمسلمی الهند کذلک تحکی السنن الهندوسیة</w:t>
      </w:r>
      <w:r>
        <w:rPr>
          <w:rFonts w:eastAsia="IRNazanin" w:cs="IRNazanin"/>
          <w:color w:val="111111"/>
          <w:sz w:val="28"/>
          <w:szCs w:val="28"/>
          <w:rtl w:val="true"/>
          <w:lang w:bidi="fa-IR"/>
        </w:rPr>
        <w:t xml:space="preserve">. </w:t>
      </w:r>
      <w:r>
        <w:rPr>
          <w:rStyle w:val="FootnoteAnchor"/>
          <w:rtl w:val="true"/>
        </w:rPr>
        <w:footnoteReference w:id="101"/>
      </w:r>
      <w:bookmarkStart w:id="182" w:name="pg5469_34676"/>
    </w:p>
    <w:p>
      <w:pPr>
        <w:pStyle w:val="Heading3"/>
        <w:numPr>
          <w:ilvl w:val="2"/>
          <w:numId w:val="1"/>
        </w:numPr>
        <w:rPr/>
      </w:pPr>
      <w:bookmarkStart w:id="183" w:name="__RefHeading___Toc2108820_581953129"/>
      <w:bookmarkStart w:id="184" w:name="_Toc71"/>
      <w:bookmarkEnd w:id="182"/>
      <w:bookmarkEnd w:id="183"/>
      <w:r>
        <w:rPr>
          <w:rtl w:val="true"/>
        </w:rPr>
        <w:t>حرکة الترجمة</w:t>
      </w:r>
      <w:bookmarkEnd w:id="184"/>
    </w:p>
    <w:p>
      <w:p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آیات القرآن و الأحادیث بترغیب المؤمنین علی کسب العلم و الفنّ، </w:t>
      </w:r>
      <w:r>
        <w:rPr>
          <w:rStyle w:val="FootnoteAnchor"/>
          <w:rtl w:val="true"/>
        </w:rPr>
        <w:footnoteReference w:id="103"/>
      </w:r>
      <w:r>
        <w:rPr>
          <w:rFonts w:ascii="IRNazanin" w:hAnsi="IRNazanin" w:eastAsia="IRNazanin"/>
          <w:color w:val="111111"/>
          <w:sz w:val="28"/>
          <w:sz w:val="28"/>
          <w:szCs w:val="28"/>
          <w:rtl w:val="true"/>
          <w:lang w:bidi="fa-IR"/>
        </w:rPr>
        <w:t>من هنا وبعد افول الفتوحات الإسلامیة واهتمام المسلمین بالعلوم و الصنائع لسائر الحضارات،نفق سوق ترجمة آثار الشعوب الاُخری،وبلغت هذه الحرکة من الازدهار بمکان اطلق علیها عصر نهضة الترجمة،هذه النهضة مهدت الأرضیة للمسلمین للاستفادة من الحضارات الاُخری وأدّت إلی اعتلاء الحضارة الإسلامیة فی القرون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أوائل النقول التی تمّت،هی نقل الأسانید الإداریة و السیاسیة و التجاریة فی عهد بنی امیة، </w:t>
      </w:r>
      <w:r>
        <w:rPr>
          <w:rStyle w:val="FootnoteAnchor"/>
          <w:rtl w:val="true"/>
        </w:rPr>
        <w:footnoteReference w:id="104"/>
      </w:r>
      <w:r>
        <w:rPr>
          <w:rFonts w:ascii="IRNazanin" w:hAnsi="IRNazanin" w:eastAsia="IRNazanin"/>
          <w:color w:val="111111"/>
          <w:sz w:val="28"/>
          <w:sz w:val="28"/>
          <w:szCs w:val="28"/>
          <w:rtl w:val="true"/>
          <w:lang w:bidi="fa-IR"/>
        </w:rPr>
        <w:t>ولکن ترجمة العلوم و الفنون بنحو واسع لم تتمّ إلّا فی عهد خلفاء بنی العبّاس لاسیما عهد المنصور العباسی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ترجمت أکثر کتب الفلک من اللغة الساسنسکریتیة و الفارسیة إلی العربیة،کتب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سرهانته،والزیج الشهریاری، </w:t>
      </w:r>
      <w:r>
        <w:rPr>
          <w:rStyle w:val="FootnoteAnchor"/>
          <w:rtl w:val="true"/>
        </w:rPr>
        <w:footnoteReference w:id="105"/>
      </w:r>
      <w:r>
        <w:rPr>
          <w:rFonts w:ascii="IRNazanin" w:hAnsi="IRNazanin" w:eastAsia="IRNazanin"/>
          <w:color w:val="111111"/>
          <w:sz w:val="28"/>
          <w:sz w:val="28"/>
          <w:szCs w:val="28"/>
          <w:rtl w:val="true"/>
          <w:lang w:bidi="fa-IR"/>
        </w:rPr>
        <w:t>وبالطبع فإنّ ثمة موارد قلیلة قد ترجمت فی نطاق الهندسة وعلم الطب و الأدب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اصول الهندسة لاقلیدوس من الیونانیة،وکلیله ودمنه من اللغة البهلویة</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زمن هارون الرشید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اقتناء الکثیر من النسخ الیونانیة الخطّیة فی مجالات مختلفة وترجمتها إلی العربیة،ومن أبرزها کتب فی حقل الطب،قام بترجمتها یوحنا بن ماسویه السریانی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حقل الفلک علی ید الفضل بن نوبخت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وواجهت الترجمة زخماً هائلاً بعد تأسیس بیت الحکمة فی</w:t>
      </w:r>
      <w:bookmarkStart w:id="185" w:name="pg5469_34677"/>
    </w:p>
    <w:p>
      <w:pPr>
        <w:pStyle w:val="BookText"/>
        <w:rPr/>
      </w:pPr>
      <w:bookmarkEnd w:id="185"/>
      <w:r>
        <w:rPr>
          <w:rFonts w:ascii="IRNazanin" w:hAnsi="IRNazanin" w:eastAsia="IRNazanin"/>
          <w:color w:val="111111"/>
          <w:sz w:val="28"/>
          <w:sz w:val="28"/>
          <w:szCs w:val="28"/>
          <w:rtl w:val="true"/>
          <w:lang w:bidi="fa-IR"/>
        </w:rPr>
        <w:t>عهد المنصور وازدهارها فی عصر المأمون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تفاقمت نشاطات التحقیق فی ذلک المرکز عبر مضاعفة ترجمة الآثار العلمیة لسائر الشعوب</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وفی عصر المأمون ونظراً لرغبته الجامحة إلی المباحث الکلامیة و الفلسفیة تمّت ترجمة آثار کثیرة فی مجال فلسفة الیونان بإشراف إسحاق العبادی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وتجمع فی بیت الحکمة تراث الیونان و الهند وفارس و العرب وأشرف علی ترجمتها نقلة مهرة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بطریق،وعبد الله بن المقفع،ویوحنا بن ماسویه،والحجاج بن مطر،وحسین بن إسحاق،وإسحاق بن حبیش،وحبیش بن حسن،وثابت بن قرة</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ولم تخمد حرکة الترجمة بعد المأمون بل استمرّت،ولکن بعد انتقال مرکز الخلافة من بغداد وإنشاء مراکز علمیة اخری وانحسار أهمّیة الترجمة،اتجهت نهضة الترجمة فی القرن الرابع الهجری نحو الأفول،بل خمدت ولم یقم لها قائمة</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186" w:name="__RefHeading___Toc2108822_581953129"/>
      <w:bookmarkStart w:id="187" w:name="_Toc72"/>
      <w:bookmarkEnd w:id="186"/>
      <w:r>
        <w:rPr>
          <w:rtl w:val="true"/>
        </w:rPr>
        <w:t>تنبیهان</w:t>
      </w:r>
      <w:bookmarkEnd w:id="1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هناک عقائد وآداب ورسوم وقیم وسبل مختلفة للحیاة وأسالیب مختلفة فی المکتسبات المادّیة و المعنویة للمسلمین طیلة ظهور الإسلام،ولکن لایمکن وضع الجمیع تحت خانة الثقافة و الحضارة الإسلامیة باعتبار أنّها من الأرکان أو العوامل المکونة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معیار تمییز الثقافة الإسلامیة من المعارف والاعتقادات و القیم والاتجاهات و التصرّفات غیر الإسلامیة هو القرآن وسنّة</w:t>
      </w:r>
      <w:bookmarkStart w:id="188" w:name="pg5469_34678"/>
    </w:p>
    <w:p>
      <w:pPr>
        <w:pStyle w:val="BookText"/>
        <w:rPr/>
      </w:pPr>
      <w:bookmarkEnd w:id="188"/>
      <w:r>
        <w:rPr>
          <w:rFonts w:ascii="IRNazanin" w:hAnsi="IRNazanin" w:eastAsia="IRNazanin"/>
          <w:color w:val="111111"/>
          <w:sz w:val="28"/>
          <w:sz w:val="28"/>
          <w:szCs w:val="28"/>
          <w:rtl w:val="true"/>
          <w:lang w:bidi="fa-IR"/>
        </w:rPr>
        <w:t>النبی وأهل‌بیته علیهم السلام ،وما وافق هذا المعیار جدیر بإطلاق عنوان الإسلام علیه،ومعیار تمییز الحضارة الإسلامیة عن المکتسبات المادیة و المعنویة غیر الإسلامیة هو أنّ الحضارة یمکن اعتبارها معلم صحیح من الثقافة الإسلامیة ووسیلة مناسبة لبیان وترویج الثقافة الإسلامیة،من هنا فکلّ مکتسب مادی ومعنوی لایلتئم مع الثقافة الإسلامیة لایمکن إطلاق عنوان الحضارة الإسلامیة علیه رغم تداوله بین المسلمین لقرون 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هیمنت علی الأبحاث المتعلّقة بالثقافة و الحضارة الإسلامیة فی القرن الأخیر منهج المستشرقین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المنصف منهم و المغرض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عادة ما یطلقون عنوان الثقافة و الحضارة الإسلامیة‌علی ما تحمله مدوناتهم من أفکار وعقائد إلّا أنّها لیست إسلامیة فی الحقیقة و الواقع،وهکذا کلّ ما راج فی بلاط خلفاء بنی امیة وبنی العباس وکلّ الأوضاع و المستجدات التی طرأت علی المجتمع إبان عهدهم لایمکن إدراجه فی زمرة الثقافة و الحضارة الإسلامیة</w:t>
      </w:r>
      <w:r>
        <w:rPr>
          <w:rFonts w:eastAsia="IRNazanin" w:cs="IRNazanin"/>
          <w:color w:val="111111"/>
          <w:sz w:val="28"/>
          <w:szCs w:val="28"/>
          <w:rtl w:val="true"/>
          <w:lang w:bidi="fa-IR"/>
        </w:rPr>
        <w:t>.</w:t>
      </w:r>
    </w:p>
    <w:p>
      <w:pPr>
        <w:pStyle w:val="Heading3"/>
        <w:numPr>
          <w:ilvl w:val="2"/>
          <w:numId w:val="1"/>
        </w:numPr>
        <w:rPr/>
      </w:pPr>
      <w:bookmarkStart w:id="189" w:name="__RefHeading___Toc2108824_581953129"/>
      <w:bookmarkStart w:id="190" w:name="_Toc73"/>
      <w:bookmarkEnd w:id="189"/>
      <w:r>
        <w:rPr>
          <w:rtl w:val="true"/>
        </w:rPr>
        <w:t>دور أمیرالمؤمنین</w:t>
      </w:r>
      <w:r>
        <w:rPr>
          <w:rtl w:val="true"/>
        </w:rPr>
        <w:t>*</w:t>
      </w:r>
      <w:r>
        <w:rPr>
          <w:rtl w:val="true"/>
        </w:rPr>
        <w:t>وأهل بیته فی ظهور وتطوّر الثقافة و الحضارة الاسلإمیة</w:t>
      </w:r>
      <w:bookmarkEnd w:id="19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ثقافة جدیدة تستغرق زماناً حتّی تنتشر فی العالم وتخضع لها ثقافات وحضارات اخری،وما من شکّ أنّ رسول الله مؤسّس الثقافة و الحضارة الإسلامیة وخلف کتابه السماوی القرآن وسیرته منبعاً أصیلاً ومعیناً لاینضب لهذه الثقافة،ولکن استخلاف ثقافة جدیدة بدل ثقافة العرب و الحجاز و العقبات التی واجهته فی هذا السبل شغلت معظم أوقاته فلم تسنح له الفرصة فی تشیید دعائم الثقافة الإسلامیة بما تستحقّه ونقلها إلی سائر الأمصار،أمّا هذا الدین فقد کان دیناً کاملاً وخاتماً عرض علی المجتمع البشری ثقافة جدیدة،ولهذا السبب أصبح جامعاً وأبدیاً روی ذهن البشر ولبی متطلباته الخالدة و الدائمة فی إطار علاقته</w:t>
      </w:r>
    </w:p>
    <w:p>
      <w:pPr>
        <w:pStyle w:val="BookText"/>
        <w:rPr/>
      </w:pPr>
      <w:r>
        <w:rPr>
          <w:rFonts w:ascii="IRNazanin" w:hAnsi="IRNazanin" w:eastAsia="IRNazanin"/>
          <w:color w:val="111111"/>
          <w:sz w:val="28"/>
          <w:sz w:val="28"/>
          <w:szCs w:val="28"/>
          <w:rtl w:val="true"/>
          <w:lang w:bidi="fa-IR"/>
        </w:rPr>
        <w:t>بالطبیعة وما وراء الطبیعة وبنفسه وبالآخرین،من هنا طرح رسول الله مسألة الولایة کاستمرار لخطّ النبوة</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وأصبح أئمة أهل البیت علیهم السلام معیناً صافیاً ترشف منه الثقافة الإسلامیة، </w:t>
      </w:r>
      <w:r>
        <w:rPr>
          <w:rStyle w:val="FootnoteAnchor"/>
          <w:rtl w:val="true"/>
        </w:rPr>
        <w:footnoteReference w:id="113"/>
      </w:r>
      <w:r>
        <w:rPr>
          <w:rFonts w:ascii="IRNazanin" w:hAnsi="IRNazanin" w:eastAsia="IRNazanin"/>
          <w:color w:val="111111"/>
          <w:sz w:val="28"/>
          <w:sz w:val="28"/>
          <w:szCs w:val="28"/>
          <w:rtl w:val="true"/>
          <w:lang w:bidi="fa-IR"/>
        </w:rPr>
        <w:t>وتمکن خلفاء رسول الله من وضع تفسیر دقیق للثقافة عبر الفهم العمیق لأرکانها وصیانتها من أی تحریف،إلی جانب دعمها ونشر قواعدها عبر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یدخروا جهداً فی الحفاظ علی الخطوط العریضة للثقافة الإسلامیة فی مقابل الاُمم و الشعوب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نشر المبادئ الحقّة وبیان الثقافة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طلائع حرکة استمرار نهضة رسول الله فی بلورة وتوسیع دائرة الثقافة و الحضارة الإسلامیة شخصیة مشهورة جامعة للفضائل و الکمال ولیست هی إلّا أمیرالمؤمنین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حاز الرتبة الاُولی فی نشر الثقافة الإسلامیة فی عهد رسول الله بشهادة التاریخ وأوّل من آمن به </w:t>
      </w:r>
      <w:r>
        <w:rPr>
          <w:rStyle w:val="FootnoteAnchor"/>
          <w:rtl w:val="true"/>
        </w:rPr>
        <w:footnoteReference w:id="114"/>
      </w:r>
      <w:r>
        <w:rPr>
          <w:rFonts w:ascii="IRNazanin" w:hAnsi="IRNazanin" w:eastAsia="IRNazanin"/>
          <w:color w:val="111111"/>
          <w:sz w:val="28"/>
          <w:sz w:val="28"/>
          <w:szCs w:val="28"/>
          <w:rtl w:val="true"/>
          <w:lang w:bidi="fa-IR"/>
        </w:rPr>
        <w:t xml:space="preserve">وحاز لدیه علی مکانة خاصّة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دور بارز فی نشر الثقافة و الحضارة الإسلامیة عبر مقارعة الانحرافات وتکریم العلم وتأسیس العلوم الاسلإمیة</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لایخفی أنّ أبناء الإمام علی</w:t>
      </w:r>
      <w:r>
        <w:rPr>
          <w:rFonts w:ascii="IRNazanin" w:hAnsi="IRNazanin" w:eastAsia="IRNazanin"/>
          <w:i/>
          <w:i/>
          <w:iCs/>
          <w:color w:val="111111"/>
          <w:sz w:val="28"/>
          <w:sz w:val="28"/>
          <w:szCs w:val="28"/>
          <w:rtl w:val="true"/>
          <w:lang w:bidi="fa-IR"/>
        </w:rPr>
        <w:t>قد ساروا علی نهجه فی نشر تلک الثقافة و الحضارة بین الاُمم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قد برز ذلک فی عهد الإمام الباقر و الصادق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سعت بعض حکومات الشیعة سیراً علی نهج یعسوب الدین إلی تحقیق إرشاداته علی</w:t>
      </w:r>
    </w:p>
    <w:p>
      <w:pPr>
        <w:pStyle w:val="BookText"/>
        <w:rPr/>
      </w:pPr>
      <w:r>
        <w:rPr>
          <w:rFonts w:ascii="IRNazanin" w:hAnsi="IRNazanin" w:eastAsia="IRNazanin"/>
          <w:color w:val="111111"/>
          <w:sz w:val="28"/>
          <w:sz w:val="28"/>
          <w:szCs w:val="28"/>
          <w:rtl w:val="true"/>
          <w:lang w:bidi="fa-IR"/>
        </w:rPr>
        <w:t>الأصعدة الفکریة و السیاسیة والاجتماعیة کافة عبر الاهتمام بالعقل و التفکیر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کالبویهیین</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وضعوا لبنات ثقافة فی ذلک العصر قلما شهد تاریخ الحضارة الإسلامیة مثیلاً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اتفقت کلمة مؤرخی تاریخ الأدب و العلوم قدیماً وحدیثاً علی اختلاف مشاربهم،علی أنّ ذلک العصر یعد من العصور الذهبیة لتاریخ الإسلام ولتقدّم العلم و الثقافة</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إنّ وجود علماء لاحصر لهم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تصدّی بعضهم لمنصب الوزارة کابن سینا و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وظهور موسوعات ومراکز علمیة ومکتبات واسعة إلی جانب المساجد وظهور فقهاء ومتکلّمین وفلاسفة واُدباء وشعراء کالشیخ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فراس الحمدانی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ومهیار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إسحاق الصابی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وبدیع الزمان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وتصنیف کتب عدیدة فی مختلف الموضوعات ما هی إلّا شاهد صدق علی ازدهار الثقافة و الحضارة فی تلک 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کبار العلماء بمؤازاة نشاط امراء البویهیین علی نشر التشیع وترویجه کما تمّ تدریس الفقه الجعفری وعلم الکلام وسائر العلوم الإسلامیة فی بغداد وانتهز علماء الشیعة هذه الفرصة الذهبیة لإحیاء ونشر العقائد و الآداب و الثقافة و الشعائر الشیعیة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أنّه رغم النزعة الشیعیة للبویهیین إلّا أنّهم لم یعاملوا خصومهم لاسیما أهل السنّة بتعصب وتمییز</w:t>
      </w:r>
      <w:r>
        <w:rPr>
          <w:rFonts w:eastAsia="IRNazanin" w:cs="IRNazanin"/>
          <w:color w:val="111111"/>
          <w:sz w:val="28"/>
          <w:szCs w:val="28"/>
          <w:rtl w:val="true"/>
          <w:lang w:bidi="fa-IR"/>
        </w:rPr>
        <w:t xml:space="preserve">. </w:t>
      </w:r>
      <w:r>
        <w:rPr>
          <w:rStyle w:val="FootnoteAnchor"/>
          <w:rtl w:val="true"/>
        </w:rPr>
        <w:footnoteReference w:id="118"/>
      </w:r>
      <w:bookmarkStart w:id="191" w:name="pg5469_34681"/>
    </w:p>
    <w:p>
      <w:pPr>
        <w:pStyle w:val="Heading3"/>
        <w:numPr>
          <w:ilvl w:val="2"/>
          <w:numId w:val="1"/>
        </w:numPr>
        <w:rPr/>
      </w:pPr>
      <w:bookmarkStart w:id="192" w:name="__RefHeading___Toc2108826_581953129"/>
      <w:bookmarkStart w:id="193" w:name="_Toc74"/>
      <w:bookmarkEnd w:id="191"/>
      <w:bookmarkEnd w:id="192"/>
      <w:r>
        <w:rPr>
          <w:rtl w:val="true"/>
        </w:rPr>
        <w:t>الخلاصة</w:t>
      </w:r>
      <w:bookmarkEnd w:id="193"/>
    </w:p>
    <w:p>
      <w:pPr>
        <w:pStyle w:val="BookText"/>
        <w:rPr/>
      </w:pPr>
      <w:r>
        <w:rPr>
          <w:rFonts w:ascii="IRNazanin" w:hAnsi="IRNazanin" w:eastAsia="IRNazanin"/>
          <w:color w:val="111111"/>
          <w:sz w:val="28"/>
          <w:sz w:val="28"/>
          <w:szCs w:val="28"/>
          <w:rtl w:val="true"/>
          <w:lang w:bidi="fa-IR"/>
        </w:rPr>
        <w:t>ظهور شخصیات بارزة وعلماء بعد ظهور الإسلام وظهور علوم وفنون کالعلوم الإسلامیة و الفنّ الإسلامی ووجود خصوصیات الحضارة فی الإسلام ما هی إلّا أدلّة ساطعة علی وجود ثقافة وحضارة إسلامیة لاثقافة وحضارة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 الثقافة و الحضارة الإسلامیة من المصادر الأصیلة کالقرآن وسنة رسول الله وترکت أثرها علی بیئة الحجاز الصحراویة القاحلة و الحارة،کما أخذت النقاط الإیجابیة لسائر الثقافات و الحضارات بهدف ارتقائها واتساعها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رصد عوامل ظهور وازدهار الثقافة و الحضارة الإسلامیة فی عالمین ذاتی وموضوعی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الأسباب الداخلیة یمکن الإشارة إلی المحتوی و البساطة و الجامعیة و الخلود وفطریة التعالیم الدینیة و السیرة العملیة للمؤمنین علی أساس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الأسباب الخارجیة ظهور الثقافة و الحضارة الإسلامیة ویمکن رصدهما فی بعدین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ضعف الثقافات و الحضارات الاُخری التی لم تتمکن من الصمود أمام نقاط قوة الثقافة و الحضارة الإسلامیة ورفعت الرایات البیضاء تسلیما لها،والآخر النقاط الإیجابیة للثقافات و الحضارات الاُخری التی تمکنت الثقافة و الحضارة الإسلامیة من جذبها وهضمها وإیجاد تغییرات مادیة فیها الأمر الذی ساعدها علی الانتشار إلی خارج الجزیرة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للأسباب الخارجیة کان دور عناصر بناء الحضارة الیونانیة و الفارسیة و الهندیة بارزاً للعیان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لنهضة الترجمة المتمثلة فی ترجمة العدید من الکتب فی الطب و النجوم و الریاضیات و الحساب و الحکایات و التاریخ من اللغات السریانیة و البهلویة</w:t>
      </w:r>
      <w:bookmarkStart w:id="194" w:name="pg5469_34682"/>
    </w:p>
    <w:p>
      <w:pPr>
        <w:pStyle w:val="BookText"/>
        <w:rPr/>
      </w:pPr>
      <w:bookmarkEnd w:id="194"/>
      <w:r>
        <w:rPr>
          <w:rFonts w:ascii="IRNazanin" w:hAnsi="IRNazanin" w:eastAsia="IRNazanin"/>
          <w:color w:val="111111"/>
          <w:sz w:val="28"/>
          <w:sz w:val="28"/>
          <w:szCs w:val="28"/>
          <w:rtl w:val="true"/>
          <w:lang w:bidi="fa-IR"/>
        </w:rPr>
        <w:t>والسانسکریتیة،دور بارز فی بسط دائرة الحضارة الإسلامیة واتساعها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لایندرج فی نطاق الثقافة و الحضارة الإسلامیة کلّ معرفة واعتقاد واتجاه وسلوک وکلّ حصیلة مادیة ومعنویة اکتسبتها الشعوب المسلمة طیلة تاریخ الإسلام،بل المعیار هو القرآن وسیرة رسول الله وأئمة الدین علیهم السلام ،فما وافقهما یؤخذ به وما خالفهما یطرح به عرض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الاحتراز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دراسة الثقافة و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اسلوب المستشرقین فی إدراج کلّ ما اتفق وقوعه فی العالم الإسلامی وفی بلاط خلفاء الجور کالأمویین و العباسیین فی الثقافة و الحضارة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للإمام علی وأهل بیته علیهم السلام وأتباعهم دور بارز فی نشر الثقافة و الحضارة الإسلامیة</w:t>
      </w:r>
      <w:r>
        <w:rPr>
          <w:rFonts w:eastAsia="IRNazanin" w:cs="IRNazanin"/>
          <w:color w:val="111111"/>
          <w:sz w:val="28"/>
          <w:szCs w:val="28"/>
          <w:rtl w:val="true"/>
          <w:lang w:bidi="fa-IR"/>
        </w:rPr>
        <w:t>.</w:t>
      </w:r>
    </w:p>
    <w:p>
      <w:pPr>
        <w:pStyle w:val="Heading3"/>
        <w:numPr>
          <w:ilvl w:val="2"/>
          <w:numId w:val="1"/>
        </w:numPr>
        <w:rPr/>
      </w:pPr>
      <w:bookmarkStart w:id="195" w:name="__RefHeading___Toc2108828_581953129"/>
      <w:bookmarkStart w:id="196" w:name="_Toc75"/>
      <w:bookmarkEnd w:id="195"/>
      <w:r>
        <w:rPr>
          <w:rtl w:val="true"/>
        </w:rPr>
        <w:t>الأسئلة</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الثقافة و الحضارة الإسلامیة وبین ثقافة وحضارة المسلمین؟وما هو الدلیل علی أنّنا نمتلک ثقافة وحضارة إسلامیة؟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یؤثّر محتوی التعالیم الدینیة فی ظهور وفاعلیة الثقافة و الحضارة الإسلامیة؟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تحلیلاً لدور العقل و التفکیر فی ظهور الثقافة و الحضارة الإسلامیة وازدهارها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یؤثّر الإیمان الراسخ فی بلورة واعتلاء الثقافة و الحضارة الإسلامیة؟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أیة أبعاد یمکن رصد العوامل الموضوعیة لظهور الثقافة و الحضارة الإسلامیة وازدهارها؟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عوامل ضعف الثقافة و الحضارة الفارسیة و الهندیة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دور لغة الأردو فی نفوذ الثقافة و الحضارة الإسلامیة وانتشارها فی شبه القارة الهندیة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دور نهضة الترجمة فی البعد الثانی للعوامل الموضوعیة لظهور الثقافة و الحضارة الإسلامیة وازدهارها؟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رأیک فی أنّ کلّ ما اتفق وقوعه فی العالم الإسلامی فی القرون الخمسة الاُولی یندرج تحت الثقافة و الحضارة الإسلامیة؟ولماذا؟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المستشرقین فی تحقیق الثقافة و الحضارة الإسلامیة؟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تحلیلاً لدور أئمة اهل البیت علیهم السلام فی توسیع دائرة الثقافة و الحضارة الإسلامیة</w:t>
      </w:r>
      <w:r>
        <w:rPr>
          <w:rFonts w:eastAsia="IRNazanin" w:cs="IRNazanin"/>
          <w:color w:val="111111"/>
          <w:sz w:val="28"/>
          <w:szCs w:val="28"/>
          <w:rtl w:val="true"/>
          <w:lang w:bidi="fa-IR"/>
        </w:rPr>
        <w:t>.</w:t>
      </w:r>
      <w:bookmarkStart w:id="197" w:name="pg5469_34685"/>
    </w:p>
    <w:p>
      <w:pPr>
        <w:pStyle w:val="Heading2"/>
        <w:numPr>
          <w:ilvl w:val="1"/>
          <w:numId w:val="1"/>
        </w:numPr>
        <w:rPr/>
      </w:pPr>
      <w:bookmarkStart w:id="198" w:name="__RefHeading___Toc2108830_581953129"/>
      <w:bookmarkStart w:id="199" w:name="_Toc76"/>
      <w:bookmarkEnd w:id="197"/>
      <w:bookmarkEnd w:id="198"/>
      <w:r>
        <w:rPr/>
        <w:t>4</w:t>
      </w:r>
      <w:r>
        <w:rPr>
          <w:rtl w:val="true"/>
        </w:rPr>
        <w:t xml:space="preserve">- </w:t>
      </w:r>
      <w:r>
        <w:rPr>
          <w:rtl w:val="true"/>
        </w:rPr>
        <w:t>ازدهار العلوم الإسلامیة</w:t>
      </w:r>
      <w:bookmarkEnd w:id="199"/>
    </w:p>
    <w:p>
      <w:pPr>
        <w:pStyle w:val="Heading3"/>
        <w:numPr>
          <w:ilvl w:val="2"/>
          <w:numId w:val="1"/>
        </w:numPr>
        <w:rPr/>
      </w:pPr>
      <w:bookmarkStart w:id="200" w:name="__RefHeading___Toc2108832_581953129"/>
      <w:bookmarkStart w:id="201" w:name="_Toc77"/>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إنّ الرقی والازدهار الذی شهدته الحضارة الإسلامیة وفی مجالات عدیدة خلال عدّة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من العسیر التوفّر علی إحصاء جمیع أبعاده ضمن هذا البحث المختزل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هذا لا یمنع من التعرّض لأهمّ محطات ذلک التقدّم فیما نحن فی صدده،أی فی نطاق 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غیر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المراکز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المؤسّسات و الفنّ،وذلک خلال عدّة مقالات</w:t>
      </w:r>
      <w:r>
        <w:rPr>
          <w:rFonts w:eastAsia="IRNazanin" w:cs="IRNazanin"/>
          <w:color w:val="111111"/>
          <w:sz w:val="28"/>
          <w:szCs w:val="28"/>
          <w:rtl w:val="true"/>
          <w:lang w:bidi="fa-IR"/>
        </w:rPr>
        <w:t>.</w:t>
      </w:r>
    </w:p>
    <w:p>
      <w:pPr>
        <w:pStyle w:val="Heading3"/>
        <w:numPr>
          <w:ilvl w:val="2"/>
          <w:numId w:val="1"/>
        </w:numPr>
        <w:rPr/>
      </w:pPr>
      <w:bookmarkStart w:id="202" w:name="__RefHeading___Toc2108834_581953129"/>
      <w:bookmarkStart w:id="203" w:name="_Toc78"/>
      <w:bookmarkEnd w:id="202"/>
      <w:r>
        <w:rPr>
          <w:rtl w:val="true"/>
        </w:rPr>
        <w:t>تصنیف العلوم</w:t>
      </w:r>
      <w:bookmarkEnd w:id="20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حظی تبویب العلوم بأهمّیة بالغة فی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شرع المفکّرون المسلمون بتبویب العلوم وفق اعتبارات متعددة من حیث منزلتها وأهمّیتها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کونها تمهیدیة أو ذاتیة، </w:t>
      </w:r>
      <w:r>
        <w:rPr>
          <w:rStyle w:val="FootnoteAnchor"/>
          <w:rtl w:val="true"/>
        </w:rPr>
        <w:footnoteReference w:id="120"/>
      </w:r>
      <w:r>
        <w:rPr>
          <w:rFonts w:ascii="IRNazanin" w:hAnsi="IRNazanin" w:eastAsia="IRNazanin"/>
          <w:color w:val="111111"/>
          <w:sz w:val="28"/>
          <w:sz w:val="28"/>
          <w:szCs w:val="28"/>
          <w:rtl w:val="true"/>
          <w:lang w:bidi="fa-IR"/>
        </w:rPr>
        <w:t xml:space="preserve">جزئیة أو کلیة، </w:t>
      </w:r>
      <w:r>
        <w:rPr>
          <w:rStyle w:val="FootnoteAnchor"/>
          <w:rtl w:val="true"/>
        </w:rPr>
        <w:footnoteReference w:id="121"/>
      </w:r>
      <w:r>
        <w:rPr>
          <w:rFonts w:ascii="IRNazanin" w:hAnsi="IRNazanin" w:eastAsia="IRNazanin"/>
          <w:color w:val="111111"/>
          <w:sz w:val="28"/>
          <w:sz w:val="28"/>
          <w:szCs w:val="28"/>
          <w:rtl w:val="true"/>
          <w:lang w:bidi="fa-IR"/>
        </w:rPr>
        <w:t xml:space="preserve">نظریة أو عملیة، </w:t>
      </w:r>
      <w:r>
        <w:rPr>
          <w:rStyle w:val="FootnoteAnchor"/>
          <w:rtl w:val="true"/>
        </w:rPr>
        <w:footnoteReference w:id="122"/>
      </w:r>
      <w:r>
        <w:rPr>
          <w:rFonts w:ascii="IRNazanin" w:hAnsi="IRNazanin" w:eastAsia="IRNazanin"/>
          <w:color w:val="111111"/>
          <w:sz w:val="28"/>
          <w:sz w:val="28"/>
          <w:szCs w:val="28"/>
          <w:rtl w:val="true"/>
          <w:lang w:bidi="fa-IR"/>
        </w:rPr>
        <w:t xml:space="preserve">شرعیة أو غیر شرعیة، </w:t>
      </w:r>
      <w:r>
        <w:rPr>
          <w:rStyle w:val="FootnoteAnchor"/>
          <w:rtl w:val="true"/>
        </w:rPr>
        <w:footnoteReference w:id="123"/>
      </w:r>
      <w:bookmarkStart w:id="204" w:name="pg5469_34686"/>
    </w:p>
    <w:p>
      <w:pPr>
        <w:pStyle w:val="BookText"/>
        <w:rPr/>
      </w:pPr>
      <w:bookmarkEnd w:id="204"/>
      <w:r>
        <w:rPr>
          <w:rFonts w:ascii="IRNazanin" w:hAnsi="IRNazanin" w:eastAsia="IRNazanin"/>
          <w:color w:val="111111"/>
          <w:sz w:val="28"/>
          <w:sz w:val="28"/>
          <w:szCs w:val="28"/>
          <w:rtl w:val="true"/>
          <w:lang w:bidi="fa-IR"/>
        </w:rPr>
        <w:t xml:space="preserve">عقلیة أو نقلیة، </w:t>
      </w:r>
      <w:r>
        <w:rPr>
          <w:rStyle w:val="FootnoteAnchor"/>
          <w:rtl w:val="true"/>
        </w:rPr>
        <w:footnoteReference w:id="124"/>
      </w:r>
      <w:r>
        <w:rPr>
          <w:rFonts w:ascii="IRNazanin" w:hAnsi="IRNazanin" w:eastAsia="IRNazanin"/>
          <w:color w:val="111111"/>
          <w:sz w:val="28"/>
          <w:sz w:val="28"/>
          <w:szCs w:val="28"/>
          <w:rtl w:val="true"/>
          <w:lang w:bidi="fa-IR"/>
        </w:rPr>
        <w:t xml:space="preserve">إسلامیة أو غیر إسلامیة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خلط بعض المصنّفین بین صنفین أو أکثر من الأصناف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الإشارة هنا إلی کتابَی إحصاء العلوم لأبی نصر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ومفاتیح العلوم لأبی عبد الله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تختلف نظرة کلّ منهما عن الآخر فی کیفیة تصنیف العلوم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ویبین المقال الآتی ما قدّمته الحضارة الإسلامیة فی مجال العلوم،وذلک من خلال تصنیفها إلی علوم إسلامیة وغیر إسلامیة</w:t>
      </w:r>
      <w:r>
        <w:rPr>
          <w:rFonts w:eastAsia="IRNazanin" w:cs="IRNazanin"/>
          <w:color w:val="111111"/>
          <w:sz w:val="28"/>
          <w:szCs w:val="28"/>
          <w:rtl w:val="true"/>
          <w:lang w:bidi="fa-IR"/>
        </w:rPr>
        <w:t>:</w:t>
      </w:r>
    </w:p>
    <w:p>
      <w:pPr>
        <w:pStyle w:val="Heading3"/>
        <w:numPr>
          <w:ilvl w:val="2"/>
          <w:numId w:val="1"/>
        </w:numPr>
        <w:rPr/>
      </w:pPr>
      <w:bookmarkStart w:id="205" w:name="__RefHeading___Toc2108836_581953129"/>
      <w:bookmarkStart w:id="206" w:name="_Toc79"/>
      <w:bookmarkEnd w:id="205"/>
      <w:r>
        <w:rPr>
          <w:rtl w:val="true"/>
        </w:rPr>
        <w:t>العلوم الإسلامیة</w:t>
      </w:r>
      <w:bookmarkEnd w:id="206"/>
    </w:p>
    <w:p>
      <w:pPr>
        <w:pStyle w:val="Heading4"/>
        <w:numPr>
          <w:ilvl w:val="3"/>
          <w:numId w:val="1"/>
        </w:numPr>
        <w:rPr/>
      </w:pPr>
      <w:bookmarkStart w:id="207" w:name="__RefHeading___Toc2108838_581953129"/>
      <w:bookmarkStart w:id="208" w:name="_Toc80"/>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لقد کان لمحاولة الحفاظ علی المصدرین العظیمین الرئیسین للثقافة و الحضارة الإسلامیة،أی القرآن الکریم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وفعله وتقریره،والفهم الصحیح لهما،وکذا محاولة التعرّف علی اصول وفروع الثقافة الإسلامیة وتحلیلها وإثباتها بشکل صحیح،دوراً فاعلاً ورئیساً فی ظهور العلوم الإسلامیة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تلک العلوم التی تتطرّق موضوعاتها ومسائلها لاُصول أو فروع الثقافة الإسلامیة،أو الموارد التی یتمّ من خلالها إثبات تلک الاُصول أو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العلوم التی تعدّ مقدّمة للوصول إلی العلمین الآنفین،حیث تتمثل هذه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المنطق وعلم التاریخ</w:t>
      </w:r>
      <w:r>
        <w:rPr>
          <w:rFonts w:eastAsia="IRNazanin" w:cs="IRNazanin"/>
          <w:color w:val="111111"/>
          <w:sz w:val="28"/>
          <w:szCs w:val="28"/>
          <w:rtl w:val="true"/>
          <w:lang w:bidi="fa-IR"/>
        </w:rPr>
        <w:t xml:space="preserve">. </w:t>
      </w:r>
      <w:r>
        <w:rPr>
          <w:rStyle w:val="FootnoteAnchor"/>
          <w:rtl w:val="true"/>
        </w:rPr>
        <w:footnoteReference w:id="127"/>
      </w:r>
      <w:bookmarkStart w:id="209" w:name="pg5469_34687"/>
    </w:p>
    <w:p>
      <w:pPr>
        <w:pStyle w:val="BookText"/>
        <w:rPr/>
      </w:pPr>
      <w:bookmarkEnd w:id="209"/>
      <w:r>
        <w:rPr>
          <w:rFonts w:ascii="IRNazanin" w:hAnsi="IRNazanin" w:eastAsia="IRNazanin"/>
          <w:color w:val="111111"/>
          <w:sz w:val="28"/>
          <w:sz w:val="28"/>
          <w:szCs w:val="28"/>
          <w:rtl w:val="true"/>
          <w:lang w:bidi="fa-IR"/>
        </w:rPr>
        <w:t>فهذه العلوم،إضافة إلی قیامها بدور الدفاع عن المصدرین الأساسیین للثقافة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فی حقیقتها وسائل 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وشرح،وتعلیل الأجزاء الأساسیة لمؤلفة الثقافة و الدلالة علیها و الدفاع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نظام العقائد و المعارف،نظام القیم و التوجّهات ونظام السلوکیات و الممارسات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ویتکفّل البحث الآتی بعرض بعض تلک العلوم</w:t>
      </w:r>
      <w:r>
        <w:rPr>
          <w:rFonts w:eastAsia="IRNazanin" w:cs="IRNazanin"/>
          <w:color w:val="111111"/>
          <w:sz w:val="28"/>
          <w:szCs w:val="28"/>
          <w:rtl w:val="true"/>
          <w:lang w:bidi="fa-IR"/>
        </w:rPr>
        <w:t>:</w:t>
      </w:r>
    </w:p>
    <w:p>
      <w:pPr>
        <w:pStyle w:val="Heading4"/>
        <w:numPr>
          <w:ilvl w:val="3"/>
          <w:numId w:val="1"/>
        </w:numPr>
        <w:rPr/>
      </w:pPr>
      <w:bookmarkStart w:id="210" w:name="__RefHeading___Toc2108840_581953129"/>
      <w:bookmarkStart w:id="211" w:name="_Toc81"/>
      <w:bookmarkEnd w:id="210"/>
      <w:r>
        <w:rPr>
          <w:rtl w:val="true"/>
        </w:rPr>
        <w:t>أ</w:t>
      </w:r>
      <w:r>
        <w:rPr>
          <w:rtl w:val="true"/>
        </w:rPr>
        <w:t>)</w:t>
      </w:r>
      <w:r>
        <w:rPr>
          <w:rtl w:val="true"/>
        </w:rPr>
        <w:t>التفسیر</w:t>
      </w:r>
      <w:bookmarkEnd w:id="211"/>
    </w:p>
    <w:p>
      <w:pPr>
        <w:pStyle w:val="Heading5"/>
        <w:numPr>
          <w:ilvl w:val="4"/>
          <w:numId w:val="1"/>
        </w:numPr>
        <w:rPr/>
      </w:pPr>
      <w:bookmarkStart w:id="212" w:name="__RefHeading___Toc2108842_581953129"/>
      <w:bookmarkStart w:id="213" w:name="_Toc82"/>
      <w:bookmarkEnd w:id="212"/>
      <w:r>
        <w:rPr>
          <w:rtl w:val="true"/>
        </w:rPr>
        <w:t>اشارة</w:t>
      </w:r>
      <w:bookmarkEnd w:id="2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یمثل القرآن الکریم فی الفکر الإسلامی مرآة للمستقبل وتاریخاً للغابر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الناجع لآلام البشریة، </w:t>
      </w:r>
      <w:r>
        <w:rPr>
          <w:rStyle w:val="FootnoteAnchor"/>
          <w:rtl w:val="true"/>
        </w:rPr>
        <w:footnoteReference w:id="128"/>
      </w:r>
      <w:r>
        <w:rPr>
          <w:rFonts w:ascii="IRNazanin" w:hAnsi="IRNazanin" w:eastAsia="IRNazanin"/>
          <w:color w:val="111111"/>
          <w:sz w:val="28"/>
          <w:sz w:val="28"/>
          <w:szCs w:val="28"/>
          <w:rtl w:val="true"/>
          <w:lang w:bidi="fa-IR"/>
        </w:rPr>
        <w:t>ربیع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أمضی بیان، </w:t>
      </w:r>
      <w:r>
        <w:rPr>
          <w:rStyle w:val="FootnoteAnchor"/>
          <w:rtl w:val="true"/>
        </w:rPr>
        <w:footnoteReference w:id="129"/>
      </w:r>
      <w:r>
        <w:rPr>
          <w:rFonts w:ascii="IRNazanin" w:hAnsi="IRNazanin" w:eastAsia="IRNazanin"/>
          <w:color w:val="111111"/>
          <w:sz w:val="28"/>
          <w:sz w:val="28"/>
          <w:szCs w:val="28"/>
          <w:rtl w:val="true"/>
          <w:lang w:bidi="fa-IR"/>
        </w:rPr>
        <w:t xml:space="preserve">نور الله التامّ وکمال الدین، </w:t>
      </w:r>
      <w:r>
        <w:rPr>
          <w:rStyle w:val="FootnoteAnchor"/>
          <w:rtl w:val="true"/>
        </w:rPr>
        <w:footnoteReference w:id="130"/>
      </w:r>
      <w:r>
        <w:rPr>
          <w:rFonts w:ascii="IRNazanin" w:hAnsi="IRNazanin" w:eastAsia="IRNazanin"/>
          <w:color w:val="111111"/>
          <w:sz w:val="28"/>
          <w:sz w:val="28"/>
          <w:szCs w:val="28"/>
          <w:rtl w:val="true"/>
          <w:lang w:bidi="fa-IR"/>
        </w:rPr>
        <w:t>الحبل الوثیق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 الخالد، </w:t>
      </w:r>
      <w:r>
        <w:rPr>
          <w:rStyle w:val="FootnoteAnchor"/>
          <w:rtl w:val="true"/>
        </w:rPr>
        <w:footnoteReference w:id="131"/>
      </w:r>
      <w:r>
        <w:rPr>
          <w:rFonts w:ascii="IRNazanin" w:hAnsi="IRNazanin" w:eastAsia="IRNazanin"/>
          <w:color w:val="111111"/>
          <w:sz w:val="28"/>
          <w:sz w:val="28"/>
          <w:szCs w:val="28"/>
          <w:rtl w:val="true"/>
          <w:lang w:bidi="fa-IR"/>
        </w:rPr>
        <w:t xml:space="preserve">منار الهدایة، </w:t>
      </w:r>
      <w:r>
        <w:rPr>
          <w:rStyle w:val="FootnoteAnchor"/>
          <w:rtl w:val="true"/>
        </w:rPr>
        <w:footnoteReference w:id="132"/>
      </w:r>
      <w:r>
        <w:rPr>
          <w:rFonts w:ascii="IRNazanin" w:hAnsi="IRNazanin" w:eastAsia="IRNazanin"/>
          <w:color w:val="111111"/>
          <w:sz w:val="28"/>
          <w:sz w:val="28"/>
          <w:szCs w:val="28"/>
          <w:rtl w:val="true"/>
          <w:lang w:bidi="fa-IR"/>
        </w:rPr>
        <w:t xml:space="preserve">السراج المنیر، </w:t>
      </w:r>
      <w:r>
        <w:rPr>
          <w:rStyle w:val="FootnoteAnchor"/>
          <w:rtl w:val="true"/>
        </w:rPr>
        <w:footnoteReference w:id="133"/>
      </w:r>
      <w:r>
        <w:rPr>
          <w:rFonts w:ascii="IRNazanin" w:hAnsi="IRNazanin" w:eastAsia="IRNazanin"/>
          <w:color w:val="111111"/>
          <w:sz w:val="28"/>
          <w:sz w:val="28"/>
          <w:szCs w:val="28"/>
          <w:rtl w:val="true"/>
          <w:lang w:bidi="fa-IR"/>
        </w:rPr>
        <w:t>معدن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قلوب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منارة المتقین </w:t>
      </w:r>
      <w:r>
        <w:rPr>
          <w:rStyle w:val="FootnoteAnchor"/>
          <w:rtl w:val="true"/>
        </w:rPr>
        <w:footnoteReference w:id="134"/>
      </w:r>
      <w:r>
        <w:rPr>
          <w:rFonts w:ascii="Amiri" w:hAnsi="Amiri" w:eastAsia="Amiri" w:cs="Amiri"/>
          <w:color w:val="111111"/>
          <w:sz w:val="28"/>
          <w:sz w:val="28"/>
          <w:szCs w:val="28"/>
          <w:rtl w:val="true"/>
          <w:lang w:bidi="ar-SA"/>
        </w:rPr>
        <w:t xml:space="preserve">والشمس الوهاجة، </w:t>
      </w:r>
      <w:r>
        <w:rPr>
          <w:rStyle w:val="FootnoteAnchor"/>
          <w:rtl w:val="true"/>
        </w:rPr>
        <w:footnoteReference w:id="135"/>
      </w:r>
      <w:r>
        <w:rPr>
          <w:rFonts w:ascii="IRNazanin" w:hAnsi="IRNazanin" w:eastAsia="IRNazanin"/>
          <w:color w:val="111111"/>
          <w:sz w:val="28"/>
          <w:sz w:val="28"/>
          <w:szCs w:val="28"/>
          <w:rtl w:val="true"/>
          <w:lang w:bidi="fa-IR"/>
        </w:rPr>
        <w:t>مما جعل الدفاع عنه والاستنتاج الصحیح منه یحظی بأهمّیة فائقة لدی علماء المسلمین،استدعت هذه الأهمّیة تأسیس علم التفسیر الذی یتولّی الکشف عن معانی ومضامین الآیات القرآنیة و هو ما أدّی إلی اتساعه وتنامیه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وأوّل مفسّر للقرآن الکریم،إذ کان أقرب المقربین لرسول الله فی جمعه وتدوینه،ممّا جعله یمتاز علی أقرانه بعلمه بالرموز القرآنیة،وأن یکون قرآناً ناطقاً وتجسیداً حیاً للقرآن الصامت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أمّا 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ألمع تلامذة الإمام علی</w:t>
      </w:r>
      <w:r>
        <w:rPr>
          <w:rFonts w:ascii="IRNazanin" w:hAnsi="IRNazanin" w:eastAsia="IRNazanin"/>
          <w:i/>
          <w:i/>
          <w:iCs/>
          <w:color w:val="111111"/>
          <w:sz w:val="28"/>
          <w:sz w:val="28"/>
          <w:szCs w:val="28"/>
          <w:rtl w:val="true"/>
          <w:lang w:bidi="fa-IR"/>
        </w:rPr>
        <w:t>فی تفسیر القرآن وتدوینه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قد قام بتصنیف تفسیره بعد تفسیر الإمام الباقر</w:t>
      </w:r>
      <w:r>
        <w:rPr>
          <w:rFonts w:ascii="IRNazanin" w:hAnsi="IRNazanin" w:eastAsia="IRNazanin"/>
          <w:color w:val="111111"/>
          <w:sz w:val="28"/>
          <w:sz w:val="28"/>
          <w:szCs w:val="28"/>
          <w:rtl w:val="true"/>
          <w:lang w:bidi="fa-IR"/>
        </w:rPr>
        <w:t>،وذلک فی کتابه الفهرست،حیث رواه عن مجاهد،وعن حمید بن قیس عن مجاهد وعیسی بن میمون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قد غلب علی تفسیر ابن عبّاس الاتجاه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فنقلت أحادیث تفسیریة متعددة عنه فی خصوص الآیات القرآنیة و الأحکام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المدونین الأوائل للتفسیر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من تلامذة ابن عبّاس وعبدالله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 علی تفسیره الطابع اللغوی و التاریخی</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اقتفی الأئمة المعصومون علیهم السلام أثر علی</w:t>
      </w:r>
      <w:r>
        <w:rPr>
          <w:rFonts w:ascii="IRNazanin" w:hAnsi="IRNazanin" w:eastAsia="IRNazanin"/>
          <w:i/>
          <w:i/>
          <w:iCs/>
          <w:color w:val="111111"/>
          <w:sz w:val="28"/>
          <w:sz w:val="28"/>
          <w:szCs w:val="28"/>
          <w:rtl w:val="true"/>
          <w:lang w:bidi="fa-IR"/>
        </w:rPr>
        <w:t>فی العکوف علی تفسیر القرآن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غیر أنّهم ولسوء حظنا لم یخلفوا لنا کتاباً تفسیریاً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اللّهمّ إلّا روایات معدودة وردت علی لسان بعضهم وعلی الخصوص الباقر و الصادق</w:t>
      </w:r>
      <w:r>
        <w:rPr>
          <w:rFonts w:ascii="IRNazanin" w:hAnsi="IRNazanin" w:eastAsia="IRNazanin"/>
          <w:color w:val="111111"/>
          <w:sz w:val="28"/>
          <w:sz w:val="28"/>
          <w:szCs w:val="28"/>
          <w:rtl w:val="true"/>
          <w:lang w:bidi="fa-IR"/>
        </w:rPr>
        <w:t>انبثت فی الآثار التفسیریة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أغلبها فی تفسیر القمّی وتفسیر مجمع البیان،غیر أنّ الملفت للاهتمام هو أتباع أئمة أهل البیت علیهم السلام اسلوب 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خلصت ونقیت النصوص التفسیریة من أی فرضیات علمیة أو اصول نظریة عقلیة مسبقة بحیث تکون مباینة للآیات القرآنیة،الاُسلوب الذی یستنتج المفهوم الأولی و النهائی لکلّ آیة</w:t>
      </w:r>
      <w:bookmarkStart w:id="214" w:name="pg5469_34689"/>
    </w:p>
    <w:p>
      <w:pPr>
        <w:pStyle w:val="BookText"/>
        <w:rPr/>
      </w:pPr>
      <w:bookmarkEnd w:id="214"/>
      <w:r>
        <w:rPr>
          <w:rFonts w:ascii="IRNazanin" w:hAnsi="IRNazanin" w:eastAsia="IRNazanin"/>
          <w:color w:val="111111"/>
          <w:sz w:val="28"/>
          <w:sz w:val="28"/>
          <w:szCs w:val="28"/>
          <w:rtl w:val="true"/>
          <w:lang w:bidi="fa-IR"/>
        </w:rPr>
        <w:t>من خلال الآیة ذاتها أو من خلال ضمها إلی آیات اخری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قد أثمرت وخلفت لنا هذه الحرکة البحثیة و الفکریة الرصینة مئات التفاسیر ذات البیان الشافی و المضمون الراقی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للتطوّر و التنامی الذی شهدت بعض العلوم کالفلسفة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التجربة وأضرابها الأثر البالغ فی ظهور أسالیب تفسیریة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هاجس صیانة القرآن وتعالیمه و الذود عنها ظلّ العامل الأهمّ فی تلک الحرکة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المناسب هنا أن نشیر إلی بعض أهمّ التفاسیر التی سطرتها أقلام المفسّرین وذلک حتّی القرن السادس الهجری</w:t>
      </w:r>
      <w:r>
        <w:rPr>
          <w:rFonts w:eastAsia="IRNazanin" w:cs="IRNazanin"/>
          <w:color w:val="111111"/>
          <w:sz w:val="28"/>
          <w:szCs w:val="28"/>
          <w:rtl w:val="true"/>
          <w:lang w:bidi="fa-IR"/>
        </w:rPr>
        <w:t>:</w:t>
      </w:r>
    </w:p>
    <w:p>
      <w:pPr>
        <w:pStyle w:val="Heading5"/>
        <w:numPr>
          <w:ilvl w:val="4"/>
          <w:numId w:val="1"/>
        </w:numPr>
        <w:rPr/>
      </w:pPr>
      <w:bookmarkStart w:id="215" w:name="__RefHeading___Toc2108844_581953129"/>
      <w:bookmarkStart w:id="216" w:name="_Toc83"/>
      <w:bookmarkEnd w:id="215"/>
      <w:r>
        <w:rPr/>
        <w:t>1</w:t>
      </w:r>
      <w:r>
        <w:rPr>
          <w:rtl w:val="true"/>
        </w:rPr>
        <w:t>-</w:t>
      </w:r>
      <w:r>
        <w:rPr>
          <w:rtl w:val="true"/>
        </w:rPr>
        <w:t>تفسیر العیاشی</w:t>
      </w:r>
      <w:bookmarkEnd w:id="216"/>
    </w:p>
    <w:p>
      <w:pPr>
        <w:pStyle w:val="BookText"/>
        <w:rPr/>
      </w:pPr>
      <w:r>
        <w:rPr>
          <w:rFonts w:ascii="IRNazanin" w:hAnsi="IRNazanin" w:eastAsia="IRNazanin"/>
          <w:color w:val="111111"/>
          <w:sz w:val="28"/>
          <w:sz w:val="28"/>
          <w:szCs w:val="28"/>
          <w:rtl w:val="true"/>
          <w:lang w:bidi="fa-IR"/>
        </w:rPr>
        <w:t>ومؤلّفه أبوالنصر محمّد بن مسعود بن محمّد بن عیاش السلمی،و هو من علماء المسلمین ومحدثیهم ومفسّریهم الکبار فی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وصنفه ابن الندیم ضمن فقهاء الشیعة الإمامیة وذکر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أوحد زمانه فی نشر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کتبه تحتل مکانة فائقة فی نواحی خراسان</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وتمیز هذا التفسیر باُسلوبه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یعدّ من أفضل التفاسیر فی هذا المجال،وبحسب قول العلّامة الطباطبائی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أوثق الآثار التی خلّفها لنا الماضون، </w:t>
      </w:r>
      <w:r>
        <w:rPr>
          <w:rStyle w:val="FootnoteAnchor"/>
          <w:rtl w:val="true"/>
        </w:rPr>
        <w:footnoteReference w:id="141"/>
      </w:r>
      <w:r>
        <w:rPr>
          <w:rFonts w:ascii="IRNazanin" w:hAnsi="IRNazanin" w:eastAsia="IRNazanin"/>
          <w:color w:val="111111"/>
          <w:sz w:val="28"/>
          <w:sz w:val="28"/>
          <w:szCs w:val="28"/>
          <w:rtl w:val="true"/>
          <w:lang w:bidi="fa-IR"/>
        </w:rPr>
        <w:t>إلّا أنّ ما وقع بأیدینا من هذا التفسیر النفیس یقتصر علی جزئه الأوّل الذی ینتهی فی آخر سورة الکهف،ولم یتمّ العثور علی الجزئه الثانی الذی ربّما عبثت به ید الدهر</w:t>
      </w:r>
      <w:r>
        <w:rPr>
          <w:rFonts w:eastAsia="IRNazanin" w:cs="IRNazanin"/>
          <w:color w:val="111111"/>
          <w:sz w:val="28"/>
          <w:szCs w:val="28"/>
          <w:rtl w:val="true"/>
          <w:lang w:bidi="fa-IR"/>
        </w:rPr>
        <w:t>.</w:t>
      </w:r>
      <w:bookmarkStart w:id="217" w:name="pg5469_34690"/>
    </w:p>
    <w:p>
      <w:pPr>
        <w:pStyle w:val="Heading5"/>
        <w:numPr>
          <w:ilvl w:val="4"/>
          <w:numId w:val="1"/>
        </w:numPr>
        <w:rPr/>
      </w:pPr>
      <w:bookmarkStart w:id="218" w:name="__RefHeading___Toc2108846_581953129"/>
      <w:bookmarkStart w:id="219" w:name="_Toc84"/>
      <w:bookmarkEnd w:id="217"/>
      <w:bookmarkEnd w:id="218"/>
      <w:r>
        <w:rPr/>
        <w:t>2</w:t>
      </w:r>
      <w:r>
        <w:rPr>
          <w:rtl w:val="true"/>
        </w:rPr>
        <w:t>-</w:t>
      </w:r>
      <w:r>
        <w:rPr>
          <w:rtl w:val="true"/>
        </w:rPr>
        <w:t>تفسیر القمّی</w:t>
      </w:r>
      <w:bookmarkEnd w:id="219"/>
    </w:p>
    <w:p>
      <w:pPr>
        <w:pStyle w:val="BookText"/>
        <w:rPr/>
      </w:pPr>
      <w:r>
        <w:rPr>
          <w:rFonts w:ascii="IRNazanin" w:hAnsi="IRNazanin" w:eastAsia="IRNazanin"/>
          <w:color w:val="111111"/>
          <w:sz w:val="28"/>
          <w:sz w:val="28"/>
          <w:szCs w:val="28"/>
          <w:rtl w:val="true"/>
          <w:lang w:bidi="fa-IR"/>
        </w:rPr>
        <w:t>ویعدّ مؤلّفه علی بن إبراهیم بن هاشم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فی حدود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محدّثی الشیعة وفقهائهم ومفسّریهم ومعتمدیهم وثقاتهم وعلمائهم الأجلاء،حیث اتبع فی تألیفه الاُسلوب النقلی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المرحوم الشیخ آغا بزرک الطهرانی فی بحثه الواسع حول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بن إبراهیم قد نقل مجمل روایاته التفسیریة عن طریق أبیه إبراهیم بن هاشم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ینبغی الإشارة إلیه هنا هو أنّ ما اشتهر بتفسیر علی بن إبراهیم هو خلیط من تفسیره وتفسیر أبی الجارود الذی قام أبو الفضل العباس بن محمّد بن قاسم بتنظیمه ونشره</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220" w:name="__RefHeading___Toc2108848_581953129"/>
      <w:bookmarkStart w:id="221" w:name="_Toc85"/>
      <w:bookmarkEnd w:id="220"/>
      <w:r>
        <w:rPr/>
        <w:t>3</w:t>
      </w:r>
      <w:r>
        <w:rPr>
          <w:rtl w:val="true"/>
        </w:rPr>
        <w:t>-</w:t>
      </w:r>
      <w:r>
        <w:rPr>
          <w:rtl w:val="true"/>
        </w:rPr>
        <w:t>جامع البیان فی تفسیر القرآن</w:t>
      </w:r>
      <w:bookmarkEnd w:id="221"/>
    </w:p>
    <w:p>
      <w:pPr>
        <w:pStyle w:val="BookText"/>
        <w:rPr/>
      </w:pPr>
      <w:r>
        <w:rPr>
          <w:rFonts w:ascii="IRNazanin" w:hAnsi="IRNazanin" w:eastAsia="IRNazanin"/>
          <w:color w:val="111111"/>
          <w:sz w:val="28"/>
          <w:sz w:val="28"/>
          <w:szCs w:val="28"/>
          <w:rtl w:val="true"/>
          <w:lang w:bidi="fa-IR"/>
        </w:rPr>
        <w:t xml:space="preserve">للمؤرخ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تفسیر نقلی فی أغلبه،ویعدّ من أهمّ التفاسیر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یقوم ابتداء بنقل أقوال المفسّرین المتقدّمین ومن ثَمّ مناقشتها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یعدّ اسلوباً حدیثاً فی التفسیر أبان ذلک العهد</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222" w:name="__RefHeading___Toc2108850_581953129"/>
      <w:bookmarkStart w:id="223" w:name="_Toc86"/>
      <w:bookmarkEnd w:id="222"/>
      <w:r>
        <w:rPr/>
        <w:t>4</w:t>
      </w:r>
      <w:r>
        <w:rPr>
          <w:rtl w:val="true"/>
        </w:rPr>
        <w:t>-</w:t>
      </w:r>
      <w:r>
        <w:rPr>
          <w:rtl w:val="true"/>
        </w:rPr>
        <w:t>التبیان فی تفسیر القرآن</w:t>
      </w:r>
      <w:bookmarkEnd w:id="2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أثر محمّد بن الحسن الطوسی المعروف بشیخ الطائفة و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اللّامع وأحد أبرز نوابغ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تفسیره هذا من أعظم وأنفس آثار الثقافة الإسلامیة،حیث تعرّض ولأوّل مرّة فی تفسیر القرآن لنقل ونقد وتحلیل الآراء و الروایات بشکل جاد،وذلک وفق الاُصول العلمیة المتقنة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التفسیر بذلک عن دائرة النقل و التقریریة الصرفة وأدخل الرؤیة العقلانیة فی دراسة الأقوال</w:t>
      </w:r>
      <w:bookmarkStart w:id="224" w:name="pg5469_34691"/>
    </w:p>
    <w:p>
      <w:pPr>
        <w:pStyle w:val="BookText"/>
        <w:rPr/>
      </w:pPr>
      <w:bookmarkEnd w:id="224"/>
      <w:r>
        <w:rPr>
          <w:rFonts w:ascii="IRNazanin" w:hAnsi="IRNazanin" w:eastAsia="IRNazanin"/>
          <w:color w:val="111111"/>
          <w:sz w:val="28"/>
          <w:sz w:val="28"/>
          <w:szCs w:val="28"/>
          <w:rtl w:val="true"/>
          <w:lang w:bidi="fa-IR"/>
        </w:rPr>
        <w:t>والروایات للمرّة الاُولی علی صعید التفسیر</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فلم ینهج نهج التقلید فی تفسیر الآیات و إنّما اعتمد الأدلّة العقلیة و الشرعیة فی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الباعث فی کتابته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کتاب جامع وشامل یستوعب القرآن بأجمعه متضمناً لفنونه ومعانیه المختلفة</w:t>
      </w:r>
      <w:r>
        <w:rPr>
          <w:rFonts w:eastAsia="IRNazanin" w:cs="IRNazanin"/>
          <w:color w:val="111111"/>
          <w:sz w:val="28"/>
          <w:szCs w:val="28"/>
          <w:rtl w:val="true"/>
          <w:lang w:bidi="fa-IR"/>
        </w:rPr>
        <w:t>.</w:t>
      </w:r>
    </w:p>
    <w:p>
      <w:pPr>
        <w:pStyle w:val="Heading5"/>
        <w:numPr>
          <w:ilvl w:val="4"/>
          <w:numId w:val="1"/>
        </w:numPr>
        <w:rPr/>
      </w:pPr>
      <w:bookmarkStart w:id="225" w:name="__RefHeading___Toc2108852_581953129"/>
      <w:bookmarkStart w:id="226" w:name="_Toc87"/>
      <w:bookmarkEnd w:id="225"/>
      <w:r>
        <w:rPr/>
        <w:t>5</w:t>
      </w:r>
      <w:r>
        <w:rPr>
          <w:rtl w:val="true"/>
        </w:rPr>
        <w:t>-</w:t>
      </w:r>
      <w:r>
        <w:rPr>
          <w:rtl w:val="true"/>
        </w:rPr>
        <w:t>معالم التنزیل</w:t>
      </w:r>
      <w:bookmarkEnd w:id="226"/>
    </w:p>
    <w:p>
      <w:pPr>
        <w:pStyle w:val="BookText"/>
        <w:rPr/>
      </w:pPr>
      <w:r>
        <w:rPr>
          <w:rFonts w:ascii="IRNazanin" w:hAnsi="IRNazanin" w:eastAsia="IRNazanin"/>
          <w:color w:val="111111"/>
          <w:sz w:val="28"/>
          <w:sz w:val="28"/>
          <w:szCs w:val="28"/>
          <w:rtl w:val="true"/>
          <w:lang w:bidi="fa-IR"/>
        </w:rPr>
        <w:t>ویعرف هذا الکتاب أیضاً بتفسیر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آثار أبی محمّد الحسین بن مسعود الغراء أحد علماء الشافعیة البارزین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ویتّصف باُسلوبه الروائی و النقلی،إضافة إلی اهتمامه الخاصّ بالتفسیر التجزیئی للآیات و الذی یضمّنه القواعد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 العلمیة و الآراء الکلامیة</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227" w:name="__RefHeading___Toc2108854_581953129"/>
      <w:bookmarkStart w:id="228" w:name="_Toc88"/>
      <w:bookmarkEnd w:id="227"/>
      <w:r>
        <w:rPr/>
        <w:t>6</w:t>
      </w:r>
      <w:r>
        <w:rPr>
          <w:rtl w:val="true"/>
        </w:rPr>
        <w:t>-</w:t>
      </w:r>
      <w:r>
        <w:rPr>
          <w:rtl w:val="true"/>
        </w:rPr>
        <w:t>مجمع البیان فی تفسیر القرآن</w:t>
      </w:r>
      <w:bookmarkEnd w:id="2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ألّفه أبو علی فضل الله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بأمین الإسلام،و هو من القمم السامقة التی أطلت علی الثقافة الإسلامیة فی القرنین الخامس و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کان ماهراً فی علوم اخری غیر التفسیر أیضاً</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وأجمع آراء أهل السنّة و الشیعة علی 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إتقان وحیادیة تفسیره هذا،وترتیبه وتنظیمه الدقیق مع بیانه لمقاصد الآیات،ممّا جعله یتمتّع بمکانة ممیزة بین التفاسیر الاُخری</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وینحا هذا التفسیر إلی الابتداء ببحث السور من حیث إنّها مکّیة أو مدنیة،ثُمّ یتطرّق إلی سبب تسمیتها،ویعرج علی فضیلة تلاوتها،لینتهی إلی تفسیر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ویبدأ فی تفسیر الآیات بالإشارة</w:t>
      </w:r>
      <w:bookmarkStart w:id="229" w:name="pg5469_34692"/>
    </w:p>
    <w:p>
      <w:pPr>
        <w:pStyle w:val="BookText"/>
        <w:rPr/>
      </w:pPr>
      <w:bookmarkEnd w:id="229"/>
      <w:r>
        <w:rPr>
          <w:rFonts w:ascii="IRNazanin" w:hAnsi="IRNazanin" w:eastAsia="IRNazanin"/>
          <w:color w:val="111111"/>
          <w:sz w:val="28"/>
          <w:sz w:val="28"/>
          <w:szCs w:val="28"/>
          <w:rtl w:val="true"/>
          <w:lang w:bidi="fa-IR"/>
        </w:rPr>
        <w:t>إلی اختلاف القرّاء،ثُمّ یسوق الکلام إلی أسباب ودواعی ما احتجّ به حولها،ثُمّ یتطرّق إلی إعرابها و الإشکالات الواردة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ویتعرّض من بعد ذلک إلی شأن نزولها وأسبابه،لیلج المرحلة الأخیرة و الأهمّ و التی یبدؤها بتفسیر ألفاظ الآیات تحت عنوان ویقوم فیه بنقل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ومناقشة أقوال المفسّرین وبیان الأحکام المستفادة منها</w:t>
      </w:r>
      <w:r>
        <w:rPr>
          <w:rFonts w:eastAsia="IRNazanin" w:cs="IRNazanin"/>
          <w:color w:val="111111"/>
          <w:sz w:val="28"/>
          <w:szCs w:val="28"/>
          <w:rtl w:val="true"/>
          <w:lang w:bidi="fa-IR"/>
        </w:rPr>
        <w:t>.</w:t>
      </w:r>
    </w:p>
    <w:p>
      <w:pPr>
        <w:pStyle w:val="Heading5"/>
        <w:numPr>
          <w:ilvl w:val="4"/>
          <w:numId w:val="1"/>
        </w:numPr>
        <w:rPr/>
      </w:pPr>
      <w:bookmarkStart w:id="230" w:name="__RefHeading___Toc2108856_581953129"/>
      <w:bookmarkStart w:id="231" w:name="_Toc89"/>
      <w:bookmarkEnd w:id="230"/>
      <w:r>
        <w:rPr/>
        <w:t>7</w:t>
      </w:r>
      <w:r>
        <w:rPr>
          <w:rtl w:val="true"/>
        </w:rPr>
        <w:t>-</w:t>
      </w:r>
      <w:r>
        <w:rPr>
          <w:rtl w:val="true"/>
        </w:rPr>
        <w:t>الکشّاف عن حقائق التنزیل وعیون الأقاویل فی وجوه التأویل</w:t>
      </w:r>
      <w:bookmarkEnd w:id="231"/>
    </w:p>
    <w:p>
      <w:pPr>
        <w:pStyle w:val="BookText"/>
        <w:rPr/>
      </w:pPr>
      <w:r>
        <w:rPr>
          <w:rFonts w:ascii="IRNazanin" w:hAnsi="IRNazanin" w:eastAsia="IRNazanin"/>
          <w:color w:val="111111"/>
          <w:sz w:val="28"/>
          <w:sz w:val="28"/>
          <w:szCs w:val="28"/>
          <w:rtl w:val="true"/>
          <w:lang w:bidi="fa-IR"/>
        </w:rPr>
        <w:t>کتب هذا التفسیر محمود بن عمر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تفسیر أدبی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ویتطرّق فی الغالب إلی المباحث العقائدیة،و قد اعتمد الزمخشری فی کتابة تفسیره هذا علی بعض المصادر أمثال تفسیر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الرمانی،صحیح مسلم،وسنن أبی داوود</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232" w:name="__RefHeading___Toc2108858_581953129"/>
      <w:bookmarkStart w:id="233" w:name="_Toc90"/>
      <w:bookmarkEnd w:id="232"/>
      <w:r>
        <w:rPr/>
        <w:t>8</w:t>
      </w:r>
      <w:r>
        <w:rPr>
          <w:rtl w:val="true"/>
        </w:rPr>
        <w:t>-</w:t>
      </w:r>
      <w:r>
        <w:rPr>
          <w:rtl w:val="true"/>
        </w:rPr>
        <w:t>مفاتیح الغیب</w:t>
      </w:r>
      <w:bookmarkEnd w:id="233"/>
    </w:p>
    <w:p>
      <w:pPr>
        <w:pStyle w:val="BookText"/>
        <w:rPr/>
      </w:pPr>
      <w:r>
        <w:rPr>
          <w:rFonts w:ascii="IRNazanin" w:hAnsi="IRNazanin" w:eastAsia="IRNazanin"/>
          <w:color w:val="111111"/>
          <w:sz w:val="28"/>
          <w:sz w:val="28"/>
          <w:szCs w:val="28"/>
          <w:rtl w:val="true"/>
          <w:lang w:bidi="fa-IR"/>
        </w:rPr>
        <w:t>و هو أثر محمّد بن عمر فخرالدین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ویشتهر مفاتیح الغیب باسم التفسیر الکبیر الذی یتمیز باتجاهه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اهتمامه بالتنسیق فیما بین الآیات و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وعنایته بالمباحث الکلامیة وشمولیته لمجالات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و الفلسفة من المزایا البارزة لهذا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ویعتقد البعض أنّ التفسیر الذی کتبه الفخر الرازی لم یتعدّ سورة الأنبیاء،و أنّ ما جاء من بعدها من تفسیر کان من تدوین شخص آخر</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یجدر ذکره هنا هو أنّ القرون اللاحقة قد شهدت تطوّراً أکبر فی علم التفسیر فظهرت تفاسیر مهمّة علی هذا الصعید أمثال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والمیزان فی تفسیر القرآن للعلّامة السید 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34" w:name="pg5469_34693"/>
    </w:p>
    <w:p>
      <w:pPr>
        <w:pStyle w:val="Heading4"/>
        <w:numPr>
          <w:ilvl w:val="3"/>
          <w:numId w:val="1"/>
        </w:numPr>
        <w:rPr/>
      </w:pPr>
      <w:bookmarkStart w:id="235" w:name="__RefHeading___Toc2108860_581953129"/>
      <w:bookmarkStart w:id="236" w:name="_Toc91"/>
      <w:bookmarkEnd w:id="234"/>
      <w:bookmarkEnd w:id="235"/>
      <w:r>
        <w:rPr>
          <w:rtl w:val="true"/>
        </w:rPr>
        <w:t>ب</w:t>
      </w:r>
      <w:r>
        <w:rPr>
          <w:rtl w:val="true"/>
        </w:rPr>
        <w:t>)</w:t>
      </w:r>
      <w:r>
        <w:rPr>
          <w:rtl w:val="true"/>
        </w:rPr>
        <w:t>الحدیث</w:t>
      </w:r>
      <w:bookmarkEnd w:id="236"/>
    </w:p>
    <w:p>
      <w:pPr>
        <w:pStyle w:val="Heading5"/>
        <w:numPr>
          <w:ilvl w:val="4"/>
          <w:numId w:val="1"/>
        </w:numPr>
        <w:rPr/>
      </w:pPr>
      <w:bookmarkStart w:id="237" w:name="__RefHeading___Toc2108862_581953129"/>
      <w:bookmarkStart w:id="238" w:name="_Toc92"/>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یتولّی علم الحدیث مهمّة تفسیر الوحی،حیث کان الرسول مکلّفاً کما جاء فی بعض الآیات القرآنیة ببیان وتعلیم معانی ومفاهیم الآیات إلی جانب إبلاغ الناس بما نزل منها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الحدیث یعدّ بمثابة القرآن فی کونه یمثل الأساس الأوّل للعلوم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وبالنظر إلی أنّ الأحادیث تتکفّل بطرح السنن و المسائل التاریخیة و السیرة النبویة، </w:t>
      </w:r>
      <w:r>
        <w:rPr>
          <w:rStyle w:val="FootnoteAnchor"/>
          <w:rtl w:val="true"/>
        </w:rPr>
        <w:footnoteReference w:id="151"/>
      </w:r>
      <w:r>
        <w:rPr>
          <w:rFonts w:ascii="IRNazanin" w:hAnsi="IRNazanin" w:eastAsia="IRNazanin"/>
          <w:color w:val="111111"/>
          <w:sz w:val="28"/>
          <w:sz w:val="28"/>
          <w:szCs w:val="28"/>
          <w:rtl w:val="true"/>
          <w:lang w:bidi="fa-IR"/>
        </w:rPr>
        <w:t>فقد أضحی لهذا العلم تأثیراً فائقاً فی تنامی العلوم الإسلامیة کالتاریخ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و الفلسفة</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239" w:name="__RefHeading___Toc2108864_581953129"/>
      <w:bookmarkStart w:id="240" w:name="_Toc93"/>
      <w:bookmarkEnd w:id="239"/>
      <w:r>
        <w:rPr>
          <w:rtl w:val="true"/>
        </w:rPr>
        <w:t>علم الحدیث لدی الشیعة</w:t>
      </w:r>
      <w:bookmarkEnd w:id="2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المکانة التی یحتلّها الحدیث فی بیانه لأرکان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انبری الشیعة أسوة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لتدوین الحدیث وذلک منذ النصف الأوّل من القرن الأوّل الهجری، </w:t>
      </w:r>
      <w:r>
        <w:rPr>
          <w:rStyle w:val="FootnoteAnchor"/>
          <w:rtl w:val="true"/>
        </w:rPr>
        <w:footnoteReference w:id="153"/>
      </w:r>
      <w:r>
        <w:rPr>
          <w:rFonts w:ascii="IRNazanin" w:hAnsi="IRNazanin" w:eastAsia="IRNazanin"/>
          <w:color w:val="111111"/>
          <w:sz w:val="28"/>
          <w:sz w:val="28"/>
          <w:szCs w:val="28"/>
          <w:rtl w:val="true"/>
          <w:lang w:bidi="fa-IR"/>
        </w:rPr>
        <w:t>حیث اجتاز هذا العلم أهمّ مرحلتین من مراحله المنیفة،مرحلة المتقدّمین ومرحلة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اختصّت مرحلة المتقدّمین بالقرون الخمسة الهجریة الاُولی و التی توالت فیها الأحادیث علی ألسنة الأئمة المعصومین علیهم السلام فقام بتدوینها أتباعهم ومریدوهم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واقتفی أثرهم علماء أنصب جل اهتمامهم علی تصنیفها وتدوینها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لیخلفهم فی النهایة المحدثون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ویودِعوها کتبهم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المراد من مرحلة المتأخّرین هو مرحلة ظهور المجامع الحدیثیة التکمیلیة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w:t>
      </w:r>
      <w:bookmarkStart w:id="241" w:name="pg5469_34694"/>
    </w:p>
    <w:p>
      <w:pPr>
        <w:pStyle w:val="BookText"/>
        <w:rPr/>
      </w:pPr>
      <w:bookmarkEnd w:id="241"/>
      <w:r>
        <w:rPr>
          <w:rFonts w:ascii="IRNazanin" w:hAnsi="IRNazanin" w:eastAsia="IRNazanin"/>
          <w:color w:val="111111"/>
          <w:sz w:val="28"/>
          <w:sz w:val="28"/>
          <w:szCs w:val="28"/>
          <w:rtl w:val="true"/>
          <w:lang w:bidi="fa-IR"/>
        </w:rPr>
        <w:t>ابتدأت منذ بدایة القرن السادس وامتدت حتّی الطبقة 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أحادیث الشیعة فی مرحلة المتأخّرین إنّما تمثل فی حقیقتها نتاج مرحلة المتقدّمین بالنحو الذی یتمّ فیها تصنیف وتکمیل وتحلیل آثارهم</w:t>
      </w:r>
      <w:r>
        <w:rPr>
          <w:rFonts w:eastAsia="IRNazanin" w:cs="IRNazanin"/>
          <w:color w:val="111111"/>
          <w:sz w:val="28"/>
          <w:szCs w:val="28"/>
          <w:rtl w:val="true"/>
          <w:lang w:bidi="fa-IR"/>
        </w:rPr>
        <w:t>.</w:t>
      </w:r>
    </w:p>
    <w:p>
      <w:pPr>
        <w:pStyle w:val="Heading5"/>
        <w:numPr>
          <w:ilvl w:val="4"/>
          <w:numId w:val="1"/>
        </w:numPr>
        <w:rPr/>
      </w:pPr>
      <w:bookmarkStart w:id="242" w:name="__RefHeading___Toc2108866_581953129"/>
      <w:bookmarkStart w:id="243" w:name="_Toc94"/>
      <w:bookmarkEnd w:id="242"/>
      <w:r>
        <w:rPr/>
        <w:t>1</w:t>
      </w:r>
      <w:r>
        <w:rPr>
          <w:rtl w:val="true"/>
        </w:rPr>
        <w:t>-</w:t>
      </w:r>
      <w:r>
        <w:rPr>
          <w:rtl w:val="true"/>
        </w:rPr>
        <w:t>مرحلة المعصومین</w:t>
      </w:r>
      <w:bookmarkEnd w:id="2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علم الحدیث فی هذه المرحلة التی ترتبط بعصر الأئمة المعصومین علیهم السلام بمدّ وجزر نظراً لظروف 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ما سمّی بالصحیفة الجامعة وهی من إملاء رسول الله وخطّ علی</w:t>
      </w:r>
      <w:r>
        <w:rPr>
          <w:rFonts w:ascii="IRNazanin" w:hAnsi="IRNazanin" w:eastAsia="IRNazanin"/>
          <w:i/>
          <w:i/>
          <w:iCs/>
          <w:color w:val="111111"/>
          <w:sz w:val="28"/>
          <w:sz w:val="28"/>
          <w:szCs w:val="28"/>
          <w:rtl w:val="true"/>
          <w:lang w:bidi="fa-IR"/>
        </w:rPr>
        <w:t>أوّل کتاب حدیثی فی تاریخ تدوین الحدیث،حیث تعکس هذه الصحیفة علم النبی الذی خصّ به علیاً</w:t>
      </w:r>
      <w:r>
        <w:rPr>
          <w:rFonts w:ascii="IRNazanin" w:hAnsi="IRNazanin" w:eastAsia="IRNazanin"/>
          <w:color w:val="111111"/>
          <w:sz w:val="28"/>
          <w:sz w:val="28"/>
          <w:szCs w:val="28"/>
          <w:rtl w:val="true"/>
          <w:lang w:bidi="fa-IR"/>
        </w:rPr>
        <w:t>دون غیره من الصحابة،وقام علی</w:t>
      </w:r>
      <w:r>
        <w:rPr>
          <w:rFonts w:ascii="IRNazanin" w:hAnsi="IRNazanin" w:eastAsia="IRNazanin"/>
          <w:i/>
          <w:i/>
          <w:iCs/>
          <w:color w:val="111111"/>
          <w:sz w:val="28"/>
          <w:sz w:val="28"/>
          <w:szCs w:val="28"/>
          <w:rtl w:val="true"/>
          <w:lang w:bidi="fa-IR"/>
        </w:rPr>
        <w:t>بدوره بتوریثها ذرّیته من الأئمة المعصومین علیهم السلام ،و هو ممّا یمکن الوقوف علیه من خلال روایات متعددة تطرّقت لذکر هذه الصحیفة ونقلها مقاطع منها</w:t>
      </w:r>
      <w:r>
        <w:rPr>
          <w:rFonts w:eastAsia="IRNazanin" w:cs="IRNazanin"/>
          <w:i/>
          <w:iCs/>
          <w:color w:val="111111"/>
          <w:sz w:val="28"/>
          <w:szCs w:val="28"/>
          <w:rtl w:val="true"/>
          <w:lang w:bidi="fa-IR"/>
        </w:rPr>
        <w:t xml:space="preserve">. </w:t>
      </w:r>
      <w:r>
        <w:rPr>
          <w:rStyle w:val="FootnoteAnchor"/>
          <w:rtl w:val="true"/>
        </w:rPr>
        <w:footnoteReference w:id="154"/>
      </w:r>
      <w:r>
        <w:rPr>
          <w:rFonts w:ascii="IRNazanin" w:hAnsi="IRNazanin" w:eastAsia="IRNazanin"/>
          <w:i/>
          <w:i/>
          <w:iCs/>
          <w:color w:val="111111"/>
          <w:sz w:val="28"/>
          <w:sz w:val="28"/>
          <w:szCs w:val="28"/>
          <w:rtl w:val="true"/>
          <w:lang w:bidi="fa-IR"/>
        </w:rPr>
        <w:t>وتتابع تدوین الحدیث من بعده علی ید تلامذته ومریدیه أمثال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إبراهیم أبو رافع،الذی ألّف کتاب سنن وأحکام وقضایا أمیر المؤمنین، </w:t>
      </w:r>
      <w:r>
        <w:rPr>
          <w:rStyle w:val="FootnoteAnchor"/>
          <w:rtl w:val="true"/>
        </w:rPr>
        <w:footnoteReference w:id="155"/>
      </w:r>
      <w:r>
        <w:rPr>
          <w:rFonts w:ascii="IRNazanin" w:hAnsi="IRNazanin" w:eastAsia="IRNazanin"/>
          <w:i/>
          <w:i/>
          <w:iCs/>
          <w:color w:val="111111"/>
          <w:sz w:val="28"/>
          <w:sz w:val="28"/>
          <w:szCs w:val="28"/>
          <w:rtl w:val="true"/>
          <w:lang w:bidi="fa-IR"/>
        </w:rPr>
        <w:t xml:space="preserve">وسلمان الفارسی بتدوینه حوار أمیر المؤمنین مع أسقف الروم الأعظم، </w:t>
      </w:r>
      <w:r>
        <w:rPr>
          <w:rStyle w:val="FootnoteAnchor"/>
          <w:rtl w:val="true"/>
        </w:rPr>
        <w:footnoteReference w:id="156"/>
      </w:r>
      <w:r>
        <w:rPr>
          <w:rFonts w:ascii="IRNazanin" w:hAnsi="IRNazanin" w:eastAsia="IRNazanin"/>
          <w:i/>
          <w:i/>
          <w:iCs/>
          <w:color w:val="111111"/>
          <w:sz w:val="28"/>
          <w:sz w:val="28"/>
          <w:szCs w:val="28"/>
          <w:rtl w:val="true"/>
          <w:lang w:bidi="fa-IR"/>
        </w:rPr>
        <w:t xml:space="preserve">وعبد الله بن عبّاس بضبطه قضاء أمیر المؤمنین، </w:t>
      </w:r>
      <w:r>
        <w:rPr>
          <w:rStyle w:val="FootnoteAnchor"/>
          <w:rtl w:val="true"/>
        </w:rPr>
        <w:footnoteReference w:id="157"/>
      </w:r>
      <w:r>
        <w:rPr>
          <w:rFonts w:ascii="IRNazanin" w:hAnsi="IRNazanin" w:eastAsia="IRNazanin"/>
          <w:i/>
          <w:i/>
          <w:iCs/>
          <w:color w:val="111111"/>
          <w:sz w:val="28"/>
          <w:sz w:val="28"/>
          <w:szCs w:val="28"/>
          <w:rtl w:val="true"/>
          <w:lang w:bidi="fa-IR"/>
        </w:rPr>
        <w:t xml:space="preserve">وجابر بن عبد الله الأنصاری بتدوینه بعض الأحادیث المختصّة بمناسک الحجّ، </w:t>
      </w:r>
      <w:r>
        <w:rPr>
          <w:rStyle w:val="FootnoteAnchor"/>
          <w:rtl w:val="true"/>
        </w:rPr>
        <w:footnoteReference w:id="158"/>
      </w:r>
      <w:r>
        <w:rPr>
          <w:rFonts w:ascii="IRNazanin" w:hAnsi="IRNazanin" w:eastAsia="IRNazanin"/>
          <w:i/>
          <w:i/>
          <w:iCs/>
          <w:color w:val="111111"/>
          <w:sz w:val="28"/>
          <w:sz w:val="28"/>
          <w:szCs w:val="28"/>
          <w:rtl w:val="true"/>
          <w:lang w:bidi="fa-IR"/>
        </w:rPr>
        <w:t>وزید بن وهب الحسینی الکوفی الذی حرّر کتاب خطب أمیر المؤمنین،حیث اشتمل علی خطبه</w:t>
      </w:r>
      <w:r>
        <w:rPr>
          <w:rFonts w:ascii="IRNazanin" w:hAnsi="IRNazanin" w:eastAsia="IRNazanin"/>
          <w:color w:val="111111"/>
          <w:sz w:val="28"/>
          <w:sz w:val="28"/>
          <w:szCs w:val="28"/>
          <w:rtl w:val="true"/>
          <w:lang w:bidi="fa-IR"/>
        </w:rPr>
        <w:t xml:space="preserve">فی المساجد وأیام الأعیاد،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والحارث بن عبدالله الأعور الهمدانی الذی أبدی هِمّة عالیة فی جمع خطب وأحادیث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ثُمّ واجه تدوین الحدیث تراجعاً ملحوظاً استمرّ حتّی عصر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الذی انطلق فیه مرّة اخری فی سیره المتصاعد،حیث قُدّر تلامذة الإمام الباقر</w:t>
      </w:r>
      <w:r>
        <w:rPr>
          <w:rFonts w:ascii="IRNazanin" w:hAnsi="IRNazanin" w:eastAsia="IRNazanin"/>
          <w:i/>
          <w:i/>
          <w:iCs/>
          <w:color w:val="111111"/>
          <w:sz w:val="28"/>
          <w:sz w:val="28"/>
          <w:szCs w:val="28"/>
          <w:rtl w:val="true"/>
          <w:lang w:bidi="fa-IR"/>
        </w:rPr>
        <w:t>والرواة الذین رووا عنه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وفق ما أورده الشیخ الطوسی فی کتابه الرجال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w:t>
      </w:r>
      <w:r>
        <w:rPr>
          <w:rFonts w:eastAsia="IRNazanin" w:cs="IRNazanin"/>
          <w:i/>
          <w:iCs/>
          <w:color w:val="111111"/>
          <w:sz w:val="28"/>
          <w:szCs w:val="28"/>
          <w:rtl w:val="true"/>
          <w:lang w:bidi="fa-IR"/>
        </w:rPr>
        <w:t>-</w:t>
      </w:r>
      <w:r>
        <w:rPr>
          <w:rFonts w:eastAsia="IRNazanin" w:cs="IRNazanin"/>
          <w:i/>
          <w:iCs/>
          <w:color w:val="111111"/>
          <w:sz w:val="28"/>
          <w:szCs w:val="28"/>
          <w:lang w:bidi="fa-IR"/>
        </w:rPr>
        <w:t>465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طالباً وراویاً، </w:t>
      </w:r>
      <w:r>
        <w:rPr>
          <w:rStyle w:val="FootnoteAnchor"/>
          <w:rtl w:val="true"/>
        </w:rPr>
        <w:footnoteReference w:id="161"/>
      </w:r>
      <w:r>
        <w:rPr>
          <w:rFonts w:ascii="IRNazanin" w:hAnsi="IRNazanin" w:eastAsia="IRNazanin"/>
          <w:i/>
          <w:i/>
          <w:iCs/>
          <w:color w:val="111111"/>
          <w:sz w:val="28"/>
          <w:sz w:val="28"/>
          <w:szCs w:val="28"/>
          <w:rtl w:val="true"/>
          <w:lang w:bidi="fa-IR"/>
        </w:rPr>
        <w:t>وجاء من بعده الإمام الصادق</w:t>
      </w:r>
      <w:r>
        <w:rPr>
          <w:rFonts w:ascii="IRNazanin" w:hAnsi="IRNazanin" w:eastAsia="IRNazanin"/>
          <w:color w:val="111111"/>
          <w:sz w:val="28"/>
          <w:sz w:val="28"/>
          <w:szCs w:val="28"/>
          <w:rtl w:val="true"/>
          <w:lang w:bidi="fa-IR"/>
        </w:rPr>
        <w:t xml:space="preserve">الذی حث کثیراً علی التعلّم و الکتابة </w:t>
      </w:r>
      <w:r>
        <w:rPr>
          <w:rStyle w:val="FootnoteAnchor"/>
          <w:rtl w:val="true"/>
        </w:rPr>
        <w:footnoteReference w:id="162"/>
      </w:r>
      <w:r>
        <w:rPr>
          <w:rFonts w:ascii="IRNazanin" w:hAnsi="IRNazanin" w:eastAsia="IRNazanin"/>
          <w:color w:val="111111"/>
          <w:sz w:val="28"/>
          <w:sz w:val="28"/>
          <w:szCs w:val="28"/>
          <w:rtl w:val="true"/>
          <w:lang w:bidi="fa-IR"/>
        </w:rPr>
        <w:t xml:space="preserve">لیربی الکثیر من التلامذة فی هذا المجال،فشهد عصره ازدهاراً منقطع النظیر فی تدوین الحدیث حیث بلغت الکتب التی جمعت حدیثه أربعمئة کتاب، </w:t>
      </w:r>
      <w:r>
        <w:rPr>
          <w:rStyle w:val="FootnoteAnchor"/>
          <w:rtl w:val="true"/>
        </w:rPr>
        <w:footnoteReference w:id="163"/>
      </w:r>
      <w:r>
        <w:rPr>
          <w:rFonts w:ascii="IRNazanin" w:hAnsi="IRNazanin" w:eastAsia="IRNazanin"/>
          <w:color w:val="111111"/>
          <w:sz w:val="28"/>
          <w:sz w:val="28"/>
          <w:szCs w:val="28"/>
          <w:rtl w:val="true"/>
          <w:lang w:bidi="fa-IR"/>
        </w:rPr>
        <w:t>کما جاءت به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ذکره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عهد الإمام الکاظم</w:t>
      </w:r>
      <w:r>
        <w:rPr>
          <w:rFonts w:ascii="IRNazanin" w:hAnsi="IRNazanin" w:eastAsia="IRNazanin"/>
          <w:i/>
          <w:i/>
          <w:iCs/>
          <w:color w:val="111111"/>
          <w:sz w:val="28"/>
          <w:sz w:val="28"/>
          <w:szCs w:val="28"/>
          <w:rtl w:val="true"/>
          <w:lang w:bidi="fa-IR"/>
        </w:rPr>
        <w:t xml:space="preserve">فقد أُلفت بعض الکتب فی هذا المجال کذلک،کما هو الحال فی مسند الإمام موسی بن جعفر، </w:t>
      </w:r>
      <w:r>
        <w:rPr>
          <w:rStyle w:val="FootnoteAnchor"/>
          <w:rtl w:val="true"/>
        </w:rPr>
        <w:footnoteReference w:id="164"/>
      </w:r>
      <w:r>
        <w:rPr>
          <w:rFonts w:ascii="IRNazanin" w:hAnsi="IRNazanin" w:eastAsia="IRNazanin"/>
          <w:i/>
          <w:i/>
          <w:iCs/>
          <w:color w:val="111111"/>
          <w:sz w:val="28"/>
          <w:sz w:val="28"/>
          <w:szCs w:val="28"/>
          <w:rtl w:val="true"/>
          <w:lang w:bidi="fa-IR"/>
        </w:rPr>
        <w:t xml:space="preserve">رسالة فی التوحید، </w:t>
      </w:r>
      <w:r>
        <w:rPr>
          <w:rStyle w:val="FootnoteAnchor"/>
          <w:rtl w:val="true"/>
        </w:rPr>
        <w:footnoteReference w:id="165"/>
      </w:r>
      <w:r>
        <w:rPr>
          <w:rFonts w:ascii="IRNazanin" w:hAnsi="IRNazanin" w:eastAsia="IRNazanin"/>
          <w:i/>
          <w:i/>
          <w:iCs/>
          <w:color w:val="111111"/>
          <w:sz w:val="28"/>
          <w:sz w:val="28"/>
          <w:szCs w:val="28"/>
          <w:rtl w:val="true"/>
          <w:lang w:bidi="fa-IR"/>
        </w:rPr>
        <w:t>ورسالة فی العقل</w:t>
      </w:r>
      <w:r>
        <w:rPr>
          <w:rFonts w:eastAsia="IRNazanin" w:cs="IRNazanin"/>
          <w:i/>
          <w:iCs/>
          <w:color w:val="111111"/>
          <w:sz w:val="28"/>
          <w:szCs w:val="28"/>
          <w:rtl w:val="true"/>
          <w:lang w:bidi="fa-IR"/>
        </w:rPr>
        <w:t xml:space="preserve">. </w:t>
      </w:r>
      <w:r>
        <w:rPr>
          <w:rStyle w:val="FootnoteAnchor"/>
          <w:rtl w:val="true"/>
        </w:rPr>
        <w:footnoteReference w:id="166"/>
      </w:r>
      <w:r>
        <w:rPr>
          <w:rFonts w:ascii="IRNazanin" w:hAnsi="IRNazanin" w:eastAsia="IRNazanin"/>
          <w:i/>
          <w:i/>
          <w:iCs/>
          <w:color w:val="111111"/>
          <w:sz w:val="28"/>
          <w:sz w:val="28"/>
          <w:szCs w:val="28"/>
          <w:rtl w:val="true"/>
          <w:lang w:bidi="fa-IR"/>
        </w:rPr>
        <w:t>واستمرّ الأمر علی هذ الشاکلة إلی حدّ ما فی زمن الإمام الرضا</w:t>
      </w:r>
      <w:r>
        <w:rPr>
          <w:rFonts w:ascii="IRNazanin" w:hAnsi="IRNazanin" w:eastAsia="IRNazanin"/>
          <w:color w:val="111111"/>
          <w:sz w:val="28"/>
          <w:sz w:val="28"/>
          <w:szCs w:val="28"/>
          <w:rtl w:val="true"/>
          <w:lang w:bidi="fa-IR"/>
        </w:rPr>
        <w:t>،فحینما عرض أحد الأشخاص حدیثاً مدوناً فی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أوصاه بکتابته علی الجلد کی لا یتعرّض للتلف</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ومن اللازم الالتفات إلی نقطتین ترتطبان بهذه المرحلة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 مسجد الکوفة مکانة مرموقة بعد استقرار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من</w:t>
      </w:r>
      <w:bookmarkStart w:id="244" w:name="pg5469_34696"/>
    </w:p>
    <w:p>
      <w:pPr>
        <w:pStyle w:val="BookText"/>
        <w:rPr/>
      </w:pPr>
      <w:bookmarkEnd w:id="244"/>
      <w:r>
        <w:rPr>
          <w:rFonts w:ascii="IRNazanin" w:hAnsi="IRNazanin" w:eastAsia="IRNazanin"/>
          <w:color w:val="111111"/>
          <w:sz w:val="28"/>
          <w:sz w:val="28"/>
          <w:szCs w:val="28"/>
          <w:rtl w:val="true"/>
          <w:lang w:bidi="fa-IR"/>
        </w:rPr>
        <w:t>أهمّ مراکز تعلیم الفقه و الحدیث؛ولأجل ذلک لم یتباطأ أئمة الشیعة فی شد الرحال إلی هذا المرکز العلمی فی جمیع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قصده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وصوله الکوفة لیقوم عن کثب بروایة الحدیث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علی غیره من الأئمة فیما أفاده من علم فیه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وجود اسر فی تاریخ تدوین الحدیث ساهمت فی نشر الحدیث وتعلیمه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یقتصر تواجد مثل هذه الاُسر فی الکوفة بطبیعة الحال؛غیر أنّهم کانوا أکثر فیها مقارنة بالمدن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وتشیر مطالعة تاریخ بعض هذه الاُسر کیفیة توارث أبنائها العلم،ممّا أدّی إلی مساهمتهم فی نشره 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ما أورده النجاشی فی رجاله فقد کان جمیع أفراد بعض هذه الاُسر من الخبراء فی الحدیث ومن ثقات الرواة کذلک</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الملفت أنّ عمداء هذه السلسلة من الاُسر یتصلون بتلامذة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آل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شعبة الحلبیین وآل أعین بن سُنُن الشیبانی</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245" w:name="__RefHeading___Toc2108868_581953129"/>
      <w:bookmarkStart w:id="246" w:name="_Toc95"/>
      <w:bookmarkEnd w:id="245"/>
      <w:r>
        <w:rPr/>
        <w:t>2</w:t>
      </w:r>
      <w:r>
        <w:rPr>
          <w:rtl w:val="true"/>
        </w:rPr>
        <w:t>-</w:t>
      </w:r>
      <w:r>
        <w:rPr>
          <w:rtl w:val="true"/>
        </w:rPr>
        <w:t>مرحلة الجمع</w:t>
      </w:r>
      <w:r>
        <w:rPr>
          <w:rtl w:val="true"/>
        </w:rPr>
        <w:t xml:space="preserve">, </w:t>
      </w:r>
      <w:r>
        <w:rPr>
          <w:rtl w:val="true"/>
        </w:rPr>
        <w:t>التنسیق و التنظیم</w:t>
      </w:r>
      <w:bookmarkEnd w:id="246"/>
    </w:p>
    <w:p>
      <w:pPr>
        <w:pStyle w:val="BookText"/>
        <w:rPr/>
      </w:pPr>
      <w:r>
        <w:rPr>
          <w:rFonts w:ascii="IRNazanin" w:hAnsi="IRNazanin" w:eastAsia="IRNazanin"/>
          <w:color w:val="111111"/>
          <w:sz w:val="28"/>
          <w:sz w:val="28"/>
          <w:szCs w:val="28"/>
          <w:rtl w:val="true"/>
          <w:lang w:bidi="fa-IR"/>
        </w:rPr>
        <w:t>وترافقت هذه المرحلة مع بدایة الغیبة الصغری واستمرّت إلی المرحلة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وتمیزت بمیزتین أساسیتین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الکتب الأربعة،والثانیة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کتب الأدعیة و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الکتب الأربعة فتتمثل فی الکتب التالیة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یعقوب بن إسحاق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واشتمل هذا الکتاب علی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ونقل الشیخ آقا بزرک الطهرانی فی الذریعة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وعشر حواشی لهذا الکتاب</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تألیف أبی جعفر محمّد بن علی بن الحسین بن موسی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ضمّ بین دفتیه </w:t>
      </w:r>
      <w:r>
        <w:rPr>
          <w:rFonts w:eastAsia="IRNazanin" w:cs="IRNazanin"/>
          <w:color w:val="111111"/>
          <w:sz w:val="28"/>
          <w:szCs w:val="28"/>
          <w:lang w:bidi="fa-IR"/>
        </w:rPr>
        <w:t>9044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الطائفة أبو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وتضمّن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من تألیف شیخ الطائفة الذی أورد فیه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مقسمة علی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قد کتبت شروح وتعلیقات کثیرة علی هذه الکتب الأربعة،حیث استوعب بعضها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واقتصر بعضها علی بعض الأجزاء</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تدوین کتب الأدعیة و الزیارات فقد ابتدأ منذ عصر الغیبة،حیث حُرر کتاب الدعاء للکلینی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لابن قولویة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 و المزار للشیخ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المزار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للشیخ الطوسی،وروضة العابدین 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بید أنّ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أثار نهضة علمیة فی إحیاء الأدعیة و الزیارات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فقد أوقف حیاته العلمیة علی الدعاء و الأخلاق ولم یخصص للموضوعات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و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جزءاً یسیراً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فی هذا المجال باستقصاء منقطع النظیر لما بین یدیه من التراث المدون لینتقی ویستخرج الأدعیة المبثوثة بین طیاته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آثاراً متعددة فی هذا المجال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 الحسنة،فیما نذکره ممّا یعمل مرة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مضمار السبق فی میدان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 فی کمال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الدعوات ومنهج العنایات وغیرها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وما یجدر ذکره فی خصوص هذه المرحلة،وجود کتب للحدیث تمّ تدوینها بعد تدوین الکتب الأربعة،نذکر منها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من تألیف أبی جعفر بن محمّد بن الحسن بن فروخ الصفار القمّی،المحاسن تألیف أحمد بن محمّد بن خالد البرقی،تحف العقول للحسن بن علی بن شعبه الحرانی،الأمالی من تألیف الشیخ المفید،غرر الحکم تألیف عبد الواحد التمیمی الآمدی؛مشکاة الأنوار لأبی الفضل الطبری،إرشاد القلوب و هو لأبی محمّد الحسن بن محمّد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الإشارة إلی کتاب الوافی للملا الحسن بن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 تألیف محمّد بن الحسن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،وبحار الأنوار تألیف الملا محمّد باقر المجلسی</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تعدّ من الکتب الحدیثة التی أُلفت فی مرحلة المتأخّرین</w:t>
      </w:r>
      <w:r>
        <w:rPr>
          <w:rFonts w:eastAsia="IRNazanin" w:cs="IRNazanin"/>
          <w:color w:val="111111"/>
          <w:sz w:val="28"/>
          <w:szCs w:val="28"/>
          <w:rtl w:val="true"/>
          <w:lang w:bidi="fa-IR"/>
        </w:rPr>
        <w:t>.</w:t>
      </w:r>
      <w:bookmarkStart w:id="247" w:name="pg5469_34699"/>
    </w:p>
    <w:p>
      <w:pPr>
        <w:pStyle w:val="Heading5"/>
        <w:numPr>
          <w:ilvl w:val="4"/>
          <w:numId w:val="1"/>
        </w:numPr>
        <w:rPr/>
      </w:pPr>
      <w:bookmarkStart w:id="248" w:name="__RefHeading___Toc2108870_581953129"/>
      <w:bookmarkStart w:id="249" w:name="_Toc96"/>
      <w:bookmarkEnd w:id="247"/>
      <w:bookmarkEnd w:id="248"/>
      <w:r>
        <w:rPr>
          <w:rtl w:val="true"/>
        </w:rPr>
        <w:t>علم الحدیث عند أهل السنّة</w:t>
      </w:r>
      <w:bookmarkEnd w:id="249"/>
    </w:p>
    <w:p>
      <w:pPr>
        <w:pStyle w:val="BookText"/>
        <w:rPr/>
      </w:pPr>
      <w:r>
        <w:rPr>
          <w:rFonts w:ascii="IRNazanin" w:hAnsi="IRNazanin" w:eastAsia="IRNazanin"/>
          <w:color w:val="111111"/>
          <w:sz w:val="28"/>
          <w:sz w:val="28"/>
          <w:szCs w:val="28"/>
          <w:rtl w:val="true"/>
          <w:lang w:bidi="fa-IR"/>
        </w:rPr>
        <w:t>لقد بدأ تدوین الحدیث وجمعه عند أهل السنّة منذ بدایة 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حکومة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یتناقله الحفظة قبل ذلک قلباً عن قلب ومن لسان إلی لسان</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وتمثّل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الکتب الحدیثیة شهرة عند أهل السنّة،وهی من الکتب التی تمّ تدوینها فی القرن الثالث الهجری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قد ظهرت آثار مهمّة اخری فی القرون اللاحقة،حیث یمکن الإشارة علی هذا الصعید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 لأبی محمد عبدالله بن عبدالرحمان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 للبغوی</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 تألیف أحمد بن الحسین خسروجردی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،وجامع المسانید لأبی الفرج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250" w:name="__RefHeading___Toc2108872_581953129"/>
      <w:bookmarkStart w:id="251" w:name="_Toc97"/>
      <w:bookmarkEnd w:id="250"/>
      <w:r>
        <w:rPr>
          <w:rtl w:val="true"/>
        </w:rPr>
        <w:t>ج</w:t>
      </w:r>
      <w:r>
        <w:rPr>
          <w:rtl w:val="true"/>
        </w:rPr>
        <w:t>)</w:t>
      </w:r>
      <w:r>
        <w:rPr>
          <w:rtl w:val="true"/>
        </w:rPr>
        <w:t>الفلسفة</w:t>
      </w:r>
      <w:bookmarkEnd w:id="251"/>
    </w:p>
    <w:p>
      <w:pPr>
        <w:pStyle w:val="Heading5"/>
        <w:numPr>
          <w:ilvl w:val="4"/>
          <w:numId w:val="1"/>
        </w:numPr>
        <w:rPr/>
      </w:pPr>
      <w:bookmarkStart w:id="252" w:name="__RefHeading___Toc2108874_581953129"/>
      <w:bookmarkStart w:id="253" w:name="_Toc98"/>
      <w:bookmarkEnd w:id="252"/>
      <w:r>
        <w:rPr>
          <w:rtl w:val="true"/>
        </w:rPr>
        <w:t>اشارة</w:t>
      </w:r>
      <w:bookmarkEnd w:id="2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الفلسفة عبارة عن بحث استدلالی حول حقیقة الظواهر</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سابقة تمتد بامتداد الحیاة البشریة؛إذ إنّ التفکّر بمثابة توأم الإنسان الذی یتوافق مع فطرته ویتماشی مع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للکشف عن الحقیقة و السعی للإیمان بوسیلة تفتح الآفاق نحوها،یختصر قصّة وحکایة جمیع المراحل التی تمرّ بها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فالفلسفة فی حقیقتها ما هی إلّا نتاجاً لنظرة العقل الإنسانی إلی جذور وجوده ومصیر حیاته لیستطیع الوصول فی ضوئها إلی إدراک الحقائق الحیاتیة؛ </w:t>
      </w:r>
      <w:r>
        <w:rPr>
          <w:rStyle w:val="FootnoteAnchor"/>
          <w:rtl w:val="true"/>
        </w:rPr>
        <w:footnoteReference w:id="184"/>
      </w:r>
      <w:r>
        <w:rPr>
          <w:rFonts w:ascii="IRNazanin" w:hAnsi="IRNazanin" w:eastAsia="IRNazanin"/>
          <w:color w:val="111111"/>
          <w:sz w:val="28"/>
          <w:sz w:val="28"/>
          <w:szCs w:val="28"/>
          <w:rtl w:val="true"/>
          <w:lang w:bidi="fa-IR"/>
        </w:rPr>
        <w:t>ولأجل ذلک فإنّ ما یمیز البحث الفلسفی عن غیره،هو أنّ البحث الفلسفی یختصّ بالبحث فی کلیات عالم الوجود من خلال الاستعانة بسلسلة من القضایا البدیهیة أو النظریة المستمدة من تلک البدیهیات،جریاً علی المنطق الفطری،وذلک للکشف عن حقائق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وجوده،بدایته ونهایته</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أمدت الأدیان الإلهیة قاطبة الإنسان بتعالیمها الخاصّة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وعقدت ارتباطاً وثیقاً ووحدة مدهشة بین جمیع ظواهر وحقائق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والأروع من ذلک کلّه أنّها سعت لمخاطبة الإنسان بما یلائم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 وفهمه فی بیانها لهذه المسألة</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ومع ظهور الإسلام وعرض التعالیم التی حفلت بها الروایات و الآیات القرآنیة،تکون الفلسفة قد وصلت ذروة کمالها وسامقت أعلی درجات المعرفة، </w:t>
      </w:r>
      <w:r>
        <w:rPr>
          <w:rStyle w:val="FootnoteAnchor"/>
          <w:rtl w:val="true"/>
        </w:rPr>
        <w:footnoteReference w:id="187"/>
      </w:r>
      <w:r>
        <w:rPr>
          <w:rFonts w:ascii="IRNazanin" w:hAnsi="IRNazanin" w:eastAsia="IRNazanin"/>
          <w:color w:val="111111"/>
          <w:sz w:val="28"/>
          <w:sz w:val="28"/>
          <w:szCs w:val="28"/>
          <w:rtl w:val="true"/>
          <w:lang w:bidi="fa-IR"/>
        </w:rPr>
        <w:t>ولا غرابة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القرآن کان قد طرح المسائل الفلسفیة بنحو فرید ومعجز،وذلک أمثال المبدأ و المعاد ومسائل عالم 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الإنسان وعلاقة ذلک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 و الآخر؛والأغرب من ذلک أن القرآن لم یتوسل بغیر الاُسلوب الاستدلالی فی بیان ذلک کلّه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الاُسلوب ذاته الذی دأبت علیه الروایات و الأحادیث،أی أنّه تمّ طرح المباحث العقلیة فلسفیاً فیها بالشکل الذی یثیر</w:t>
      </w:r>
    </w:p>
    <w:p>
      <w:pPr>
        <w:pStyle w:val="BookText"/>
        <w:rPr/>
      </w:pPr>
      <w:r>
        <w:rPr>
          <w:rFonts w:ascii="IRNazanin" w:hAnsi="IRNazanin" w:eastAsia="IRNazanin"/>
          <w:color w:val="111111"/>
          <w:sz w:val="28"/>
          <w:sz w:val="28"/>
          <w:szCs w:val="28"/>
          <w:rtl w:val="true"/>
          <w:lang w:bidi="fa-IR"/>
        </w:rPr>
        <w:t>التأمّل والاعتبار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ویختصّ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الرضا من أئمة أهل البیت علیهم السلام ،بصدور أحادیث عنهم فی هذا السیاق یفوق ما صدر عن غیرهم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ویتّضح ممّا تقدم،أنّ إسلامیة الفلسفة الإسلامیة لم ترتبط بحقیقة کونها قد نمت وتطوّرت فی العالم الإسلامی وعلی أیدی المسلمین فحسب،و إنّما بسبب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خالف ذلک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الکثیر من المسائل الفلسفیة کانت قد استُقیت واستُلهمت من مصادر الثقافة الإسلامیة الأصیلة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عرض القرآن الکریم و الأحادیث وعلی مرّ العصور أسس ومبادئ الفلسفة الإسلامیة ممّا ساهم فی خلق ظروف اجتماعیة مناسبة عکف فیها فلاسفة المسلمین علی البحث فی المسائل الفلسفة،حیث ألقت تعالیم الوحی و الروایات بظلالها علی جمیع المباحث الفلسفیة منذ عصر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عصرنا هذا،إذ إنّ مباحث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الممکن ونسبة أحدهما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 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بالعالم و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المعاد وأمثالها،کلّها قد وردت فی التعالیم القرآنیة و الحدیثیة</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أدّی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 ممیزاً وممتازاً فی هذا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 من جرت علی لسانه خطب منطقیة متوائمة مع البرهان فی مجال الفلسفة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تتضمّن خطبه وأحادیثه إشارات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یتمکن من حلّ رموزها،واکتناه غموضها إلّا عبر قرون متطاولة لما فیها فی العمق و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تحلّ مسائل أمثال وحدة الواجب</w:t>
      </w:r>
      <w:r>
        <w:rPr>
          <w:rFonts w:eastAsia="IRNazanin" w:cs="IRNazanin"/>
          <w:color w:val="111111"/>
          <w:sz w:val="28"/>
          <w:szCs w:val="28"/>
          <w:rtl w:val="true"/>
          <w:lang w:bidi="fa-IR"/>
        </w:rPr>
        <w:t>,</w:t>
      </w:r>
      <w:bookmarkStart w:id="254" w:name="pg5469_34702"/>
    </w:p>
    <w:p>
      <w:pPr>
        <w:pStyle w:val="BookText"/>
        <w:rPr/>
      </w:pPr>
      <w:bookmarkEnd w:id="254"/>
      <w:r>
        <w:rPr>
          <w:rFonts w:ascii="IRNazanin" w:hAnsi="IRNazanin" w:eastAsia="IRNazanin"/>
          <w:color w:val="111111"/>
          <w:sz w:val="28"/>
          <w:sz w:val="28"/>
          <w:szCs w:val="28"/>
          <w:rtl w:val="true"/>
          <w:lang w:bidi="fa-IR"/>
        </w:rPr>
        <w:t>الواجب المعلوم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المعلوم بلا واسطة وتوقف معرفة الأشیاء علی معرفة الواجب،إلّا فی القرن الحادی عشر الهجری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أمیر المؤمنین</w:t>
      </w:r>
      <w:r>
        <w:rPr>
          <w:rFonts w:ascii="IRNazanin" w:hAnsi="IRNazanin" w:eastAsia="IRNazanin"/>
          <w:i/>
          <w:i/>
          <w:iCs/>
          <w:color w:val="111111"/>
          <w:sz w:val="28"/>
          <w:sz w:val="28"/>
          <w:szCs w:val="28"/>
          <w:rtl w:val="true"/>
          <w:lang w:bidi="fa-IR"/>
        </w:rPr>
        <w:t>أوّل من استعمل المفردات العربیة فی بیان المباحث الفلسفیة واصطلاحات أحکامها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مفاهیم أمثال القدیم و الأزلی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الوحدة العددیة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القوة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الاستعداد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العلة و المعلول وغیرها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w:t>
      </w:r>
      <w:r>
        <w:rPr>
          <w:rStyle w:val="FootnoteAnchor"/>
          <w:rtl w:val="true"/>
        </w:rPr>
        <w:footnoteReference w:id="192"/>
      </w:r>
      <w:r>
        <w:rPr>
          <w:rFonts w:ascii="IRNazanin" w:hAnsi="IRNazanin" w:eastAsia="IRNazanin"/>
          <w:i/>
          <w:i/>
          <w:iCs/>
          <w:color w:val="111111"/>
          <w:sz w:val="28"/>
          <w:sz w:val="28"/>
          <w:szCs w:val="28"/>
          <w:rtl w:val="true"/>
          <w:lang w:bidi="fa-IR"/>
        </w:rPr>
        <w:t>فکان له أثر عمیق فی مجال تطور وتکامل الفلسفة</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أن نشیر إلی بعض أبرز فلاسفة المسلمین الذین کان لهم الدور الأوفی فی تکامل الفلسفة الإسلامیة</w:t>
      </w:r>
      <w:r>
        <w:rPr>
          <w:rFonts w:eastAsia="IRNazanin" w:cs="IRNazanin"/>
          <w:color w:val="111111"/>
          <w:sz w:val="28"/>
          <w:szCs w:val="28"/>
          <w:rtl w:val="true"/>
          <w:lang w:bidi="fa-IR"/>
        </w:rPr>
        <w:t>:</w:t>
      </w:r>
    </w:p>
    <w:p>
      <w:pPr>
        <w:pStyle w:val="Heading5"/>
        <w:numPr>
          <w:ilvl w:val="4"/>
          <w:numId w:val="1"/>
        </w:numPr>
        <w:rPr/>
      </w:pPr>
      <w:bookmarkStart w:id="255" w:name="__RefHeading___Toc2108876_581953129"/>
      <w:bookmarkStart w:id="256" w:name="_Toc99"/>
      <w:bookmarkEnd w:id="255"/>
      <w:r>
        <w:rPr/>
        <w:t>1</w:t>
      </w:r>
      <w:r>
        <w:rPr>
          <w:rtl w:val="true"/>
        </w:rPr>
        <w:t>-</w:t>
      </w:r>
      <w:r>
        <w:rPr>
          <w:rtl w:val="true"/>
        </w:rPr>
        <w:t>الکندی أبو یوسف یعقوب ابن إسحاق</w:t>
      </w:r>
      <w:r>
        <w:rPr>
          <w:rtl w:val="true"/>
        </w:rPr>
        <w:t>(</w:t>
      </w:r>
      <w:r>
        <w:rPr>
          <w:rtl w:val="true"/>
        </w:rPr>
        <w:t>ت</w:t>
      </w:r>
      <w:r>
        <w:rPr/>
        <w:t>258</w:t>
      </w:r>
      <w:r>
        <w:rPr>
          <w:rtl w:val="true"/>
        </w:rPr>
        <w:t xml:space="preserve"> </w:t>
      </w:r>
      <w:r>
        <w:rPr>
          <w:rtl w:val="true"/>
        </w:rPr>
        <w:t>ه</w:t>
      </w:r>
      <w:r>
        <w:rPr>
          <w:rtl w:val="true"/>
        </w:rPr>
        <w:t>)</w:t>
      </w:r>
      <w:bookmarkEnd w:id="2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الکوفة فی حدود سنة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وتوفاه الأجل فی بغداد 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وبظهوره عُرِفت الفلسفة علی أنّها إحدی مؤلّفات الثقافة الإسلامیة باعتبارها علم یقوم علی مبادئ واُسس؛و هو ما دعا مؤرخی العرب الأوائل إلی إطلاق لقب علیه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قضی أغلب حیاته فی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جعله مطلعا تمام الاطّلاع علی الفلسفة الیونانیة و الإیرانیة و الهندیة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قد أسبغ</w:t>
      </w:r>
    </w:p>
    <w:p>
      <w:pPr>
        <w:pStyle w:val="BookText"/>
        <w:rPr/>
      </w:pPr>
      <w:r>
        <w:rPr>
          <w:rFonts w:ascii="IRNazanin" w:hAnsi="IRNazanin" w:eastAsia="IRNazanin"/>
          <w:color w:val="111111"/>
          <w:sz w:val="28"/>
          <w:sz w:val="28"/>
          <w:szCs w:val="28"/>
          <w:rtl w:val="true"/>
          <w:lang w:bidi="fa-IR"/>
        </w:rPr>
        <w:t>علی بعض الاُصول الفلسفیة التی استلها من عقائد الأفلاطونیین الجدد مضموناً وروحاً جدیدة مستلهماً ذلک من اسس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واُسس فلسفة جدیدة من خلال مصالحته بین التراث الثقافی الیونانی و الإسلام</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ویعدّ الکندی الفیلسوف الإسلامی الأوّل الذی وافق بین الدین و الفلسفة وعبّد الطریق سهلة للفلاسفة من بعده فی هذا المجال</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هو یعدّ کذلک الشخصیة الاُولی التی دونت وکتبت الفلسفة باللغة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المهمّ الذی قام به الکندی الذی کان مطلعاً علی آراء الفلاسفة السابقین هو أنّه قام بتعریف العرب بالمذاهب و النحل الفلسفیة التی لم یکونوا مطلعین علیها،وتفسیر وتحلیل المسائل التی لم یتوصّلوا إلیها حتّی عهدهم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اللافت أنّه لم یفرط باستقلاله الفکری فی نقل أقوال أرسطو وأفلاطون وباقی فلاسفة الیونان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من آرائهم ما یوافق میوله الفلسفیة ومعتقداته الدینیة،فهو علی سبیل المثال قبل عقیدة أفلاطون فی خصوص ،إذ إنّه کان یعتقد بأنّ فکر أفلاطون وبسبب روحانیته کان أکثر انسجاماً مع الإسلام منه عند أرسطو الذی تمیز بنظرته المادیة</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وشملت مؤلّفات الکندی التی اختُلف فی عددها مجالات متعددة،من جملتها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 وأضرابها،حیث تکشف هذه الکتابات المتعددة عن اطّلاعه الواسع وموسوعتیه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قام جیرارد کریمونا </w:t>
      </w:r>
      <w:r>
        <w:rPr>
          <w:rStyle w:val="FootnoteAnchor"/>
          <w:rtl w:val="true"/>
        </w:rPr>
        <w:footnoteReference w:id="199"/>
      </w:r>
      <w:r>
        <w:rPr>
          <w:rFonts w:ascii="IRNazanin" w:hAnsi="IRNazanin" w:eastAsia="IRNazanin"/>
          <w:color w:val="111111"/>
          <w:sz w:val="28"/>
          <w:sz w:val="28"/>
          <w:szCs w:val="28"/>
          <w:rtl w:val="true"/>
          <w:lang w:bidi="fa-IR"/>
        </w:rPr>
        <w:t>بترجمة بعض آثاره العلمیة إلی اللغة اللاتینیة الأمر الذی أثر فی أفکار اوروبا القرون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رسائله التی ترجمت إلی اللغة اللاتینیة فی القرون الوسطی فهی عبارة</w:t>
      </w:r>
      <w:bookmarkStart w:id="257" w:name="pg5469_34704"/>
    </w:p>
    <w:p>
      <w:pPr>
        <w:pStyle w:val="BookText"/>
        <w:rPr/>
      </w:pPr>
      <w:bookmarkEnd w:id="257"/>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مطالعة أخطاء الفلاسفة، </w:t>
      </w:r>
      <w:r>
        <w:rPr>
          <w:rStyle w:val="FootnoteAnchor"/>
          <w:rtl w:val="true"/>
        </w:rPr>
        <w:footnoteReference w:id="200"/>
      </w:r>
      <w:r>
        <w:rPr>
          <w:rFonts w:ascii="IRNazanin" w:hAnsi="IRNazanin" w:eastAsia="IRNazanin"/>
          <w:color w:val="111111"/>
          <w:sz w:val="28"/>
          <w:sz w:val="28"/>
          <w:szCs w:val="28"/>
          <w:rtl w:val="true"/>
          <w:lang w:bidi="fa-IR"/>
        </w:rPr>
        <w:t>رسالة فی الماهیات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الحرکة،المکان و الزمان</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رسالة النوم و الرؤیا </w:t>
      </w:r>
      <w:r>
        <w:rPr>
          <w:rStyle w:val="FootnoteAnchor"/>
          <w:rtl w:val="true"/>
        </w:rPr>
        <w:footnoteReference w:id="202"/>
      </w:r>
      <w:r>
        <w:rPr>
          <w:rFonts w:ascii="Amiri" w:hAnsi="Amiri" w:eastAsia="Amiri" w:cs="Amiri"/>
          <w:color w:val="111111"/>
          <w:sz w:val="28"/>
          <w:sz w:val="28"/>
          <w:szCs w:val="28"/>
          <w:rtl w:val="true"/>
          <w:lang w:bidi="ar-SA"/>
        </w:rPr>
        <w:t>ورسالة العقل</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 قد عدّه کاردانو </w:t>
      </w:r>
      <w:r>
        <w:rPr>
          <w:rStyle w:val="FootnoteAnchor"/>
          <w:rtl w:val="true"/>
        </w:rPr>
        <w:footnoteReference w:id="204"/>
      </w:r>
      <w:r>
        <w:rPr>
          <w:rFonts w:ascii="IRNazanin" w:hAnsi="IRNazanin" w:eastAsia="IRNazanin"/>
          <w:color w:val="111111"/>
          <w:sz w:val="28"/>
          <w:sz w:val="28"/>
          <w:szCs w:val="28"/>
          <w:rtl w:val="true"/>
          <w:lang w:bidi="fa-IR"/>
        </w:rPr>
        <w:t>أحد اثنی عشر عالماً عالمیاً فی العلوم العقلیة</w:t>
      </w:r>
      <w:r>
        <w:rPr>
          <w:rFonts w:eastAsia="IRNazanin" w:cs="IRNazanin"/>
          <w:color w:val="111111"/>
          <w:sz w:val="28"/>
          <w:szCs w:val="28"/>
          <w:rtl w:val="true"/>
          <w:lang w:bidi="fa-IR"/>
        </w:rPr>
        <w:t xml:space="preserve">. </w:t>
      </w:r>
      <w:r>
        <w:rPr>
          <w:rStyle w:val="FootnoteAnchor"/>
          <w:rtl w:val="true"/>
        </w:rPr>
        <w:footnoteReference w:id="205"/>
      </w:r>
    </w:p>
    <w:p>
      <w:pPr>
        <w:pStyle w:val="Heading5"/>
        <w:numPr>
          <w:ilvl w:val="4"/>
          <w:numId w:val="1"/>
        </w:numPr>
        <w:rPr/>
      </w:pPr>
      <w:bookmarkStart w:id="258" w:name="__RefHeading___Toc2108878_581953129"/>
      <w:bookmarkStart w:id="259" w:name="_Toc100"/>
      <w:bookmarkEnd w:id="258"/>
      <w:r>
        <w:rPr/>
        <w:t>2</w:t>
      </w:r>
      <w:r>
        <w:rPr>
          <w:rtl w:val="true"/>
        </w:rPr>
        <w:t>-</w:t>
      </w:r>
      <w:r>
        <w:rPr>
          <w:rtl w:val="true"/>
        </w:rPr>
        <w:t>أبو نصر محمّد بن طرخان بن أوزلغ الفارابی</w:t>
      </w:r>
      <w:r>
        <w:rPr>
          <w:rtl w:val="true"/>
        </w:rPr>
        <w:t>(</w:t>
      </w:r>
      <w:r>
        <w:rPr>
          <w:rtl w:val="true"/>
        </w:rPr>
        <w:t>ت</w:t>
      </w:r>
      <w:r>
        <w:rPr/>
        <w:t>339</w:t>
      </w:r>
      <w:r>
        <w:rPr>
          <w:rtl w:val="true"/>
        </w:rPr>
        <w:t>ه</w:t>
      </w:r>
      <w:r>
        <w:rPr>
          <w:rtl w:val="true"/>
        </w:rPr>
        <w:t>)</w:t>
      </w:r>
      <w:bookmarkEnd w:id="259"/>
    </w:p>
    <w:p>
      <w:pPr>
        <w:pStyle w:val="BookText"/>
        <w:rPr/>
      </w:pPr>
      <w:r>
        <w:rPr>
          <w:rFonts w:ascii="IRNazanin" w:hAnsi="IRNazanin" w:eastAsia="IRNazanin"/>
          <w:color w:val="111111"/>
          <w:sz w:val="28"/>
          <w:sz w:val="28"/>
          <w:szCs w:val="28"/>
          <w:rtl w:val="true"/>
          <w:lang w:bidi="fa-IR"/>
        </w:rPr>
        <w:t>و هو من أعظم فلاسفة المسلمین</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لم یضاهیه أحد فی العلوم بأنواعها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وتشیر تألیفاته فی علوم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المنطق إلی أنّه کان صاحب رأی،ومع أنّ الکندی کان الفیلسوف العربی الأوّل الذی فتح الطریق فی هذا المجال،إلّا أنّه لم یستطع تأسیس مذهب فلسفی وإیجاد وحدة بین المسائل التی قام ببحثها،غیر أنّ الفارابی نجح فی تأسیس مذهب متکامل وبحسب قول مدوّنی تاریخ الفلسفة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فی عالم الإسلام الدور ذاته الذی کان لأفلاطون فی فلسفة الغرب</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تمیزت فلسفته بکونها مزیجاً من الحکمة الأرسطیة و الأفلاطونیة الجدیدة التی اتشحت بالرداء الإسلامی وعلی الخصوص الشیعی الاثنی عشری منه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وبما أنّه کان</w:t>
      </w:r>
    </w:p>
    <w:p>
      <w:pPr>
        <w:pStyle w:val="BookText"/>
        <w:rPr/>
      </w:pPr>
      <w:r>
        <w:rPr>
          <w:rFonts w:ascii="IRNazanin" w:hAnsi="IRNazanin" w:eastAsia="IRNazanin"/>
          <w:color w:val="111111"/>
          <w:sz w:val="28"/>
          <w:sz w:val="28"/>
          <w:szCs w:val="28"/>
          <w:rtl w:val="true"/>
          <w:lang w:bidi="fa-IR"/>
        </w:rPr>
        <w:t xml:space="preserve">یشار إلیه بالبنان فی تأسیسه لنظام فکری فی الفلسفة، </w:t>
      </w:r>
      <w:r>
        <w:rPr>
          <w:rStyle w:val="FootnoteAnchor"/>
          <w:rtl w:val="true"/>
        </w:rPr>
        <w:footnoteReference w:id="209"/>
      </w:r>
      <w:r>
        <w:rPr>
          <w:rFonts w:ascii="IRNazanin" w:hAnsi="IRNazanin" w:eastAsia="IRNazanin"/>
          <w:color w:val="111111"/>
          <w:sz w:val="28"/>
          <w:sz w:val="28"/>
          <w:szCs w:val="28"/>
          <w:rtl w:val="true"/>
          <w:lang w:bidi="fa-IR"/>
        </w:rPr>
        <w:t>فقد أدّی ذلک إلی التغطیة علی الفلاسفة الذین سبقوه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هو أوّل من أدخل المنطق الصوری الیونانی إلی العالم الإسلامی وقام بشرح وتفسیر الکتب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استبدل مسألة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ومن الظریف أنّه جمع کتاباً أورد فیه خطب النبی الأکرم التی تلمّح إلی صناعة المنطق</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قد کانت السیاسة تمثّل الهدف الأساسی لما کان یرومه الفارابی من 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الشخص الأوّل الذی أوجد ارتباطاً وثیقاً فیما بین الفلسفة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طرح المدینة الفاضلة ورسم اطرها التی کانت ناظرة إلی غایته الفلسفی فحسب</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الفارابی هو أوّل الحکماء الإسلامیین الذین تعرّضت آثارهم للبحث فی مسائل السیاسة و الحکومة وحاولت استکشاف نموذج للمدینة الفاضلة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نظام المدینة الفاضلة یقوم علی قاعدة الوحی،الوحی الذی لا یمکن معرفة الکمال الإنسانی و الوصول إلیه إلّا عن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وبحسب قول إبراهیم مدکور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ضلت فلسفة الفارابی معیاراً للفکر العلمی فی الشرق و الغرب لسنین طوال بعد وفاته</w:t>
      </w:r>
      <w:r>
        <w:rPr>
          <w:rFonts w:eastAsia="IRNazanin" w:cs="IRNazanin"/>
          <w:color w:val="111111"/>
          <w:sz w:val="28"/>
          <w:szCs w:val="28"/>
          <w:rtl w:val="true"/>
          <w:lang w:bidi="fa-IR"/>
        </w:rPr>
        <w:t xml:space="preserve">. </w:t>
      </w:r>
      <w:r>
        <w:rPr>
          <w:rStyle w:val="FootnoteAnchor"/>
          <w:rtl w:val="true"/>
        </w:rPr>
        <w:footnoteReference w:id="214"/>
      </w:r>
      <w:bookmarkStart w:id="260" w:name="pg5469_34706"/>
    </w:p>
    <w:p>
      <w:pPr>
        <w:pStyle w:val="BookText"/>
        <w:rPr/>
      </w:pPr>
      <w:bookmarkEnd w:id="260"/>
      <w:r>
        <w:rPr>
          <w:rFonts w:ascii="IRNazanin" w:hAnsi="IRNazanin" w:eastAsia="IRNazanin"/>
          <w:color w:val="111111"/>
          <w:sz w:val="28"/>
          <w:sz w:val="28"/>
          <w:szCs w:val="28"/>
          <w:rtl w:val="true"/>
          <w:lang w:bidi="fa-IR"/>
        </w:rPr>
        <w:t>إنّ آثار الفارابی وأفکاره،إضافة إلی تأثیرها فی فلاسفة أمثال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السهروردی وملا صدرا، </w:t>
      </w:r>
      <w:r>
        <w:rPr>
          <w:rStyle w:val="FootnoteAnchor"/>
          <w:rtl w:val="true"/>
        </w:rPr>
        <w:footnoteReference w:id="215"/>
      </w:r>
      <w:r>
        <w:rPr>
          <w:rFonts w:ascii="IRNazanin" w:hAnsi="IRNazanin" w:eastAsia="IRNazanin"/>
          <w:color w:val="111111"/>
          <w:sz w:val="28"/>
          <w:sz w:val="28"/>
          <w:szCs w:val="28"/>
          <w:rtl w:val="true"/>
          <w:lang w:bidi="fa-IR"/>
        </w:rPr>
        <w:t>فقد أثرت فی الغرب أیضا من خلال ترجماتها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قام فریدرک دیترس </w:t>
      </w:r>
      <w:r>
        <w:rPr>
          <w:rStyle w:val="FootnoteAnchor"/>
          <w:rtl w:val="true"/>
        </w:rPr>
        <w:footnoteReference w:id="216"/>
      </w:r>
      <w:r>
        <w:rPr>
          <w:rFonts w:ascii="IRNazanin" w:hAnsi="IRNazanin" w:eastAsia="IRNazanin"/>
          <w:color w:val="111111"/>
          <w:sz w:val="28"/>
          <w:sz w:val="28"/>
          <w:szCs w:val="28"/>
          <w:rtl w:val="true"/>
          <w:lang w:bidi="fa-IR"/>
        </w:rPr>
        <w:t xml:space="preserve">بطبع رسالة آراء أهل المدینة الفاضلة تحت عنوان رسالة فی مبادئ آراء المدینة الفاضلة عام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م فی لندن،ثُمّ ترجمها إلی الألمانیة تحت عنوان </w:t>
      </w:r>
      <w:r>
        <w:rPr>
          <w:rFonts w:eastAsia="Times New Roman" w:cs="Times New Roman" w:ascii="Times New Roman" w:hAnsi="Times New Roman"/>
          <w:color w:val="111111"/>
          <w:sz w:val="28"/>
          <w:szCs w:val="28"/>
          <w:lang w:val="en-US" w:bidi="en-US"/>
        </w:rPr>
        <w:t>Der Musterstacat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وطبع کذلک نصوص ثمانی رسائل موجزة للفارابی حیث حملت عنوان </w:t>
      </w:r>
      <w:r>
        <w:rPr>
          <w:rFonts w:eastAsia="Times New Roman" w:cs="Times New Roman" w:ascii="Times New Roman" w:hAnsi="Times New Roman"/>
          <w:color w:val="111111"/>
          <w:sz w:val="28"/>
          <w:szCs w:val="28"/>
          <w:lang w:val="en-US" w:bidi="en-US"/>
        </w:rPr>
        <w:t>Alfarabi's philosophische Abhandlungen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قد تُرجم فی القرون الوسطی أیضاً کتابه إحصاء العلوم تحت عنوان </w:t>
      </w:r>
      <w:r>
        <w:rPr>
          <w:rFonts w:eastAsia="Times New Roman" w:cs="Times New Roman" w:ascii="Times New Roman" w:hAnsi="Times New Roman"/>
          <w:color w:val="111111"/>
          <w:sz w:val="28"/>
          <w:szCs w:val="28"/>
          <w:lang w:val="en-US" w:bidi="en-US"/>
        </w:rPr>
        <w:t>scientiis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حیث طبع فی مدرید </w:t>
      </w:r>
      <w:r>
        <w:rPr>
          <w:rStyle w:val="FootnoteAnchor"/>
          <w:rtl w:val="true"/>
        </w:rPr>
        <w:footnoteReference w:id="217"/>
      </w:r>
      <w:r>
        <w:rPr>
          <w:rFonts w:ascii="IRNazanin" w:hAnsi="IRNazanin" w:eastAsia="IRNazanin"/>
          <w:color w:val="111111"/>
          <w:sz w:val="28"/>
          <w:sz w:val="28"/>
          <w:szCs w:val="28"/>
          <w:rtl w:val="true"/>
          <w:lang w:bidi="fa-IR"/>
        </w:rPr>
        <w:t>تحت رعایة غونزالو بالنجیا</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261" w:name="__RefHeading___Toc2108880_581953129"/>
      <w:bookmarkStart w:id="262" w:name="_Toc101"/>
      <w:bookmarkEnd w:id="261"/>
      <w:r>
        <w:rPr/>
        <w:t>3</w:t>
      </w:r>
      <w:r>
        <w:rPr>
          <w:rtl w:val="true"/>
        </w:rPr>
        <w:t>-</w:t>
      </w:r>
      <w:r>
        <w:rPr>
          <w:rtl w:val="true"/>
        </w:rPr>
        <w:t>أبو علی الحسین بن عبد الله بن سینا</w:t>
      </w:r>
      <w:r>
        <w:rPr>
          <w:rtl w:val="true"/>
        </w:rPr>
        <w:t>(</w:t>
      </w:r>
      <w:r>
        <w:rPr>
          <w:rtl w:val="true"/>
        </w:rPr>
        <w:t>ت</w:t>
      </w:r>
      <w:r>
        <w:rPr/>
        <w:t>428</w:t>
      </w:r>
      <w:r>
        <w:rPr>
          <w:rtl w:val="true"/>
        </w:rPr>
        <w:t>ه</w:t>
      </w:r>
      <w:r>
        <w:rPr>
          <w:rtl w:val="true"/>
        </w:rPr>
        <w:t>)</w:t>
      </w:r>
      <w:bookmarkEnd w:id="262"/>
    </w:p>
    <w:p>
      <w:pPr>
        <w:pStyle w:val="BookText"/>
        <w:rPr/>
      </w:pPr>
      <w:r>
        <w:rPr>
          <w:rFonts w:ascii="IRNazanin" w:hAnsi="IRNazanin" w:eastAsia="IRNazanin"/>
          <w:color w:val="111111"/>
          <w:sz w:val="28"/>
          <w:sz w:val="28"/>
          <w:szCs w:val="28"/>
          <w:rtl w:val="true"/>
          <w:lang w:bidi="fa-IR"/>
        </w:rPr>
        <w:t>و هو من أبرز الفلاسفة منذ القرون الوسطی وحتّی الیوم،إذ هو الفیلسوف الوحید من بین فلاسفة المسلمین الکبار الذی أنشأ نظاماً فلسفیاً متکاملاً ومتیناً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ویعدّ هذا النظام الفلسفی فی مجموعه نظاماً ولیداً لشخصیة ابن سینا الفذه التی ارتبطت بالمذهب الإمامی الاثنی عشری، </w:t>
      </w:r>
      <w:r>
        <w:rPr>
          <w:rStyle w:val="FootnoteAnchor"/>
          <w:rtl w:val="true"/>
        </w:rPr>
        <w:footnoteReference w:id="219"/>
      </w:r>
      <w:r>
        <w:rPr>
          <w:rFonts w:ascii="IRNazanin" w:hAnsi="IRNazanin" w:eastAsia="IRNazanin"/>
          <w:color w:val="111111"/>
          <w:sz w:val="28"/>
          <w:sz w:val="28"/>
          <w:szCs w:val="28"/>
          <w:rtl w:val="true"/>
          <w:lang w:bidi="fa-IR"/>
        </w:rPr>
        <w:t>و هو ما یدلل علی تکامل شخصیته وانسجامها الذاتی،ویشهد لذلک تتابع بیان آرائه الرئیسة فی تألیفاته المختلفة،وإرجاعاته الکثیرة إلی آثاره الاُخری،و هو ما یشیر إلی فکره المنظم،وعدم کون تلک الآراء مجرد تولیفات سطحیة لآراء مستلة من مصادر متعددة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قد استوعبت شخصیته تلک جمیع أطراف الحکمة الإسلامیة التی راجت قبله،ممّا جعل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الطب أو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محورا للبحث وساحة للشرح ولتعلیق من بعده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وله مؤلّفات کثیرة یقف فی مقدّمتها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الشفاء الذی هو عبارة عن دائرة معارف فلسفیة فی ثمانیة عشر جزءاً،کتاب النجاة الذی یمثل موجزاً لکتاب الشفاء،وله فی الحکمة کتاب الحکمة المشرقیة الذی یختصّ بفلسفة الشرق فی قبال فلسفة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القانون فی الطب</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لقد اهتمّ الفلاسفة ومنذ أقدم العصور بمسألة وتعرضوا لتحلیل مسائلها فی کتبهم،غیر أنّه لم یصل اهتمام أحد منهم بموضوع النفس،کما وصل إلیه عند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حاول الولوج فی منعطفات وثنایا هذه المسائل وحل عقدها وتذلیل عوائقها،من دون أن یضطر إلی التوسّل بمباحث أرسطو أو المباحث الطبیة و التشریحیة التی راجت بعد المعلم الأوّل،حیث بحث ابن سینا النفس من الناحیة المتافیزیة ومن الناحیة الفیزیولوجیة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فاق فی اقترابه من العلم و الفکر الجدید فی جانبه الفیزیولوجی باقی فلاسفة العرب و المسلمین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وکانت نظریته فی المعرفة وقوله فی التمایز بین الإدراک الباطنی و الإدراک الخارجی وتفسیر مراتب الإدراک فی الفلسفة الإسلامیة،لافتة وممیزة</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ولابن سینا رأی متفرد فی مجال الفلسفة السیاسیة،حیث یتقارب رأیه فیها ورأی الفارابی إلی حدّ بعید،ولا غرو فی ذلک إذا ما علمنا تأثره العمیق بآرائه،فهو یری أنّ</w:t>
      </w:r>
    </w:p>
    <w:p>
      <w:pPr>
        <w:pStyle w:val="BookText"/>
        <w:rPr/>
      </w:pPr>
      <w:r>
        <w:rPr>
          <w:rFonts w:ascii="IRNazanin" w:hAnsi="IRNazanin" w:eastAsia="IRNazanin"/>
          <w:color w:val="111111"/>
          <w:sz w:val="28"/>
          <w:sz w:val="28"/>
          <w:szCs w:val="28"/>
          <w:rtl w:val="true"/>
          <w:lang w:bidi="fa-IR"/>
        </w:rPr>
        <w:t>الشریعة من الاُمور الضروریة،وما ذلک إلّا لحاجة المجتمع الإنسانی إلی القانون،ومن هنا فإنّ تنظیم العلاقات الاجتماعیة علی صعید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و الثقافة ممّا یتکفّل به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عدم عرض مبدع العالم نظریة فی النظم الاجتماعی و السیاسی للمجتمع أمراً مضاداً ومخالفاً لنظام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رأیه أنّ إجراء مثل هذا القانون غیر ممکن من دون إشراف نائب 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وجود شخص یأخذ علی عاتقه تطبیق الشریعة،ولا شخص إلّا الخلیفة و الإمام</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وکان لأفکاره تلک نفوذاً عظیماً جدّاً،حیث استولی تراثه الفلسفی علی الأفکار الفلسفیة للمسلمین حتّی العصر الحدیث،ولازالت کتبه الفلسفیة تدرس فی المراحل الدراسیة العلیا للحوزات العلمیة و الجامعات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وأدّت ترجمة آثاره إلی اللغة الاتینیة فی أسبانیا أواسط القرن السادس الهجری و الثانی عشر المیلادی إلی نفوذه العمیق وشهرته فی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فضل الرحمان الاُستاذ المساعد لمؤسسة البحوث الإسلامیة فی جامعة ماک کیل الکندیة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تجدید تدوین الإلهیات المسیحیة علی ید ألبرت الکبیر وعلی الخصوص توماس اکوئیناس کان بباعث رئیس من ابن سینا</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اعترف برتراند راسل وول دیورانت أیضاً بأنّ ابن سینا هو أحد مؤسّسی فلسفة ما بعد الطبیعة فی الغرب</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قد کان لفلسفته أثراً مباشراً علی فکر متکلّمین کبار أمثال ألبرت الکبیر</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وتوماس الأکوینی</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تمتزج آراء الأکوینی بفلسفة القرون الوسطی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زالت إلی الآن مطروحة ضمن منشور الباب لیو الثالث عشر فی العام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 کدلالة علی أحقیة المذهب الکاثولیکی</w:t>
      </w:r>
      <w:r>
        <w:rPr>
          <w:rFonts w:eastAsia="IRNazanin" w:cs="IRNazanin"/>
          <w:color w:val="111111"/>
          <w:sz w:val="28"/>
          <w:szCs w:val="28"/>
          <w:rtl w:val="true"/>
          <w:lang w:bidi="fa-IR"/>
        </w:rPr>
        <w:t xml:space="preserve">. </w:t>
      </w:r>
      <w:r>
        <w:rPr>
          <w:rStyle w:val="FootnoteAnchor"/>
          <w:rtl w:val="true"/>
        </w:rPr>
        <w:footnoteReference w:id="228"/>
      </w:r>
      <w:bookmarkStart w:id="263" w:name="pg5469_34709"/>
    </w:p>
    <w:p>
      <w:pPr>
        <w:pStyle w:val="Heading5"/>
        <w:numPr>
          <w:ilvl w:val="4"/>
          <w:numId w:val="1"/>
        </w:numPr>
        <w:rPr/>
      </w:pPr>
      <w:bookmarkStart w:id="264" w:name="__RefHeading___Toc2108882_581953129"/>
      <w:bookmarkStart w:id="265" w:name="_Toc102"/>
      <w:bookmarkEnd w:id="263"/>
      <w:bookmarkEnd w:id="264"/>
      <w:r>
        <w:rPr/>
        <w:t>4</w:t>
      </w:r>
      <w:r>
        <w:rPr>
          <w:rtl w:val="true"/>
        </w:rPr>
        <w:t>-</w:t>
      </w:r>
      <w:r>
        <w:rPr>
          <w:rtl w:val="true"/>
        </w:rPr>
        <w:t>أبو الولید محمد بن أحمد بن محمّد بن رشد</w:t>
      </w:r>
      <w:r>
        <w:rPr>
          <w:rtl w:val="true"/>
        </w:rPr>
        <w:t>(</w:t>
      </w:r>
      <w:r>
        <w:rPr>
          <w:rtl w:val="true"/>
        </w:rPr>
        <w:t>ت</w:t>
      </w:r>
      <w:r>
        <w:rPr/>
        <w:t>595</w:t>
      </w:r>
      <w:r>
        <w:rPr>
          <w:rtl w:val="true"/>
        </w:rPr>
        <w:t>ه</w:t>
      </w:r>
      <w:r>
        <w:rPr>
          <w:rtl w:val="true"/>
        </w:rPr>
        <w:t>)</w:t>
      </w:r>
      <w:bookmarkEnd w:id="265"/>
    </w:p>
    <w:p>
      <w:pPr>
        <w:pStyle w:val="BookText"/>
        <w:rPr/>
      </w:pPr>
      <w:r>
        <w:rPr>
          <w:rFonts w:ascii="IRNazanin" w:hAnsi="IRNazanin" w:eastAsia="IRNazanin"/>
          <w:color w:val="111111"/>
          <w:sz w:val="28"/>
          <w:sz w:val="28"/>
          <w:szCs w:val="28"/>
          <w:rtl w:val="true"/>
          <w:lang w:bidi="fa-IR"/>
        </w:rPr>
        <w:t>و هو من فلاسفة القرن السادس البارزین وممّن تولوا شرح آثار أرسطو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شروحه لآثار أرسطو علی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تفصیلی أو ما یسمّی بالشرح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متوسّط أو أوسط و الذی یعرف بالتلخیص،وشروح قصار موجزة سمّیت بالجامع و الجوامع،أمّا أفکاره وآراءه الفلسفیة،فیمکن تلمسها فی ثلاثة کتب مهمّة له،أی فصل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عن مناهج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التهافت ورساله صغیرة باسم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وتمثّلت أهمّ مساعیه فی توفیقه بین الفلسفة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 أن القرآن یحض الإنسان علی البحث و التفکّر فی الفلسفة،حیث ینبغی الاعتبار بالعالم وسلسلة مراتب الموجودات و التأمّل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آراء ابن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الفعل و الغایة الفلسفة مع الفعل و الغایة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یری بأنّه ینبغی تأویل المنقول بالشکل الذی یکون موافقاً للمعقول فیما لو کان ثمة تعارض بین المنقول و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 أنّ العمل بالتأویل هو من شأن الفیلسوف باعتباره من أهل الحقیقة و البرهان؛ولکن ینبغی فی ذات الوقت،أن یکون العلم بالتأویل باعتباره علماً باطنیاً،بعیداً عن تناول العامّة،ولزوم الحیطة الشدیدة دون إفشائه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أهمّ آثاره المطبوعة بالعربیة أو المترجمة إلی العبریة و اللاتینیة فتتمثل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ما بعد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کتاب المقولات لأرسطو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کتاب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کتاب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کتب أرسطو طالیس و الإلهیات،تلخیص منطق أرسطو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سببان لِئن یکون ابن الرشد أکثر شهرة فی اوروبا القرون الوسطی منه فی الشرق،والنظر إلی آثاره بعین التعظیم أکثر،الأوّل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ترجمة آثاره الکثیرة إلی اللاتینیة،فی حال أنّ نصوصها الأصلیة التی کتبت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وبسبب المعارضة الشدیدة</w:t>
      </w:r>
      <w:bookmarkStart w:id="266" w:name="pg5469_34710"/>
    </w:p>
    <w:p>
      <w:pPr>
        <w:pStyle w:val="BookText"/>
        <w:rPr/>
      </w:pPr>
      <w:bookmarkEnd w:id="266"/>
      <w:r>
        <w:rPr>
          <w:rFonts w:ascii="IRNazanin" w:hAnsi="IRNazanin" w:eastAsia="IRNazanin"/>
          <w:color w:val="111111"/>
          <w:sz w:val="28"/>
          <w:sz w:val="28"/>
          <w:szCs w:val="28"/>
          <w:rtl w:val="true"/>
          <w:lang w:bidi="fa-IR"/>
        </w:rPr>
        <w:t>للفلسفة و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تحرق أو توضع علی لائحة الممنوعات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اوروبا فی عصر نهضتها کانت مهیئة لقبول الاُسلوب العلمی لابن الرشد</w:t>
      </w:r>
      <w:r>
        <w:rPr>
          <w:rFonts w:eastAsia="IRNazanin" w:cs="IRNazanin"/>
          <w:color w:val="111111"/>
          <w:sz w:val="28"/>
          <w:szCs w:val="28"/>
          <w:rtl w:val="true"/>
          <w:lang w:bidi="fa-IR"/>
        </w:rPr>
        <w:t xml:space="preserve">. </w:t>
      </w:r>
      <w:r>
        <w:rPr>
          <w:rStyle w:val="FootnoteAnchor"/>
          <w:rtl w:val="true"/>
        </w:rPr>
        <w:footnoteReference w:id="229"/>
      </w:r>
    </w:p>
    <w:p>
      <w:pPr>
        <w:pStyle w:val="Heading5"/>
        <w:numPr>
          <w:ilvl w:val="4"/>
          <w:numId w:val="1"/>
        </w:numPr>
        <w:rPr/>
      </w:pPr>
      <w:bookmarkStart w:id="267" w:name="__RefHeading___Toc2108884_581953129"/>
      <w:bookmarkStart w:id="268" w:name="_Toc103"/>
      <w:bookmarkEnd w:id="267"/>
      <w:r>
        <w:rPr/>
        <w:t>5</w:t>
      </w:r>
      <w:r>
        <w:rPr>
          <w:rtl w:val="true"/>
        </w:rPr>
        <w:t>-</w:t>
      </w:r>
      <w:r>
        <w:rPr>
          <w:rtl w:val="true"/>
        </w:rPr>
        <w:t>شهاب الدین السهرودی</w:t>
      </w:r>
      <w:r>
        <w:rPr>
          <w:rtl w:val="true"/>
        </w:rPr>
        <w:t>(</w:t>
      </w:r>
      <w:r>
        <w:rPr>
          <w:rtl w:val="true"/>
        </w:rPr>
        <w:t xml:space="preserve">ت </w:t>
      </w:r>
      <w:r>
        <w:rPr/>
        <w:t>587</w:t>
      </w:r>
      <w:r>
        <w:rPr>
          <w:rtl w:val="true"/>
        </w:rPr>
        <w:t xml:space="preserve"> </w:t>
      </w:r>
      <w:r>
        <w:rPr>
          <w:rtl w:val="true"/>
        </w:rPr>
        <w:t>ه</w:t>
      </w:r>
      <w:r>
        <w:rPr>
          <w:rtl w:val="true"/>
        </w:rPr>
        <w:t>)</w:t>
      </w:r>
      <w:bookmarkEnd w:id="268"/>
    </w:p>
    <w:p>
      <w:pPr>
        <w:pStyle w:val="BookText"/>
        <w:rPr/>
      </w:pPr>
      <w:r>
        <w:rPr>
          <w:rFonts w:ascii="IRNazanin" w:hAnsi="IRNazanin" w:eastAsia="IRNazanin"/>
          <w:color w:val="111111"/>
          <w:sz w:val="28"/>
          <w:sz w:val="28"/>
          <w:szCs w:val="28"/>
          <w:rtl w:val="true"/>
          <w:lang w:bidi="fa-IR"/>
        </w:rPr>
        <w:t>ویعدّ من مؤسّسی مدرسة الإشراق،حیث کان الکثیر من الفلاسفة المسلمین الذین جاؤوا من بعد ابن سینا یتبعون الطریقة المشائیة فی الفلسفة،أی الاعتماد علی الاستدلال العقلی فحسب،لکن بعدما أخذت هذه الطریقة بالتعاظم فی الغرب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بالتراجع و الضعف فی العالم الإسلامی إثر حملات الصوفیین و المتکلّمین علی الجانب العقلانی للفلسفة الأرسطیة،الأمر الذی حفز السهروردی علی إحیاء الاُسلوب الإشراقی للفلسفة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اعتمد علی أمرین فی هذا الاُسلوب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و البرهان العقلی،والآخر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الجهاد النفسی،فبحسب 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الممکن الوصول إلی کشف الحقائق بالاقتصار علی قوة الاستدلال و البرهان العقلی فقط</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قد قاربت مؤلّفات السهروردی التی وصلتنا الخمسین عنواناً،حیث یمکن تقسیمها إلی خمس مجامیع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رسائل تعلیمیة کبری اختصّت ثلاث منها بالفلسفة المشائیة لأرسطو،وواحدة فی مضمون الحکمة الإشراقیة المحضة،والتی شملت 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المطارحات وحکمة الإشراق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تعلیمیة قصیرة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الألواح العمادیة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269" w:name="pg5469_34711"/>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بسیطة مدونة بلغة رمزیة و قد کتبت باللغة الفارسیة،وهی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پر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جماعت صوفیان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شملت القرآن الکریم و النصوص الأوّلیة و القدیمة للفلسفة،کترجمة رسالة الطیر 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الإشارات و التنبیهات لابن سینا وتفسیر آیات من القرآن و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وبکائیات سمّاها السهروردی الواردات و التقدیسات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هو أنّ نفوذ السهروردی فی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فی المذهب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کبیراً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 ما کان علیه الحال فی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استمرّت سنّة الإشراق طوال القرون السبعة الأخیرة وعلی الخصوص فی إیران ولعبت دوراً مؤثّراً فی تکامل الفلسفة</w:t>
      </w:r>
      <w:r>
        <w:rPr>
          <w:rFonts w:eastAsia="IRNazanin" w:cs="IRNazanin"/>
          <w:color w:val="111111"/>
          <w:sz w:val="28"/>
          <w:szCs w:val="28"/>
          <w:rtl w:val="true"/>
          <w:lang w:bidi="fa-IR"/>
        </w:rPr>
        <w:t xml:space="preserve">. </w:t>
      </w:r>
      <w:r>
        <w:rPr>
          <w:rStyle w:val="FootnoteAnchor"/>
          <w:rtl w:val="true"/>
        </w:rPr>
        <w:footnoteReference w:id="231"/>
      </w:r>
    </w:p>
    <w:p>
      <w:pPr>
        <w:pStyle w:val="Heading5"/>
        <w:numPr>
          <w:ilvl w:val="4"/>
          <w:numId w:val="1"/>
        </w:numPr>
        <w:rPr/>
      </w:pPr>
      <w:bookmarkStart w:id="270" w:name="__RefHeading___Toc2108886_581953129"/>
      <w:bookmarkStart w:id="271" w:name="_Toc104"/>
      <w:bookmarkEnd w:id="270"/>
      <w:r>
        <w:rPr/>
        <w:t>6</w:t>
      </w:r>
      <w:r>
        <w:rPr>
          <w:rtl w:val="true"/>
        </w:rPr>
        <w:t>-</w:t>
      </w:r>
      <w:r>
        <w:rPr>
          <w:rtl w:val="true"/>
        </w:rPr>
        <w:t>فخر الدین الرازی</w:t>
      </w:r>
      <w:r>
        <w:rPr>
          <w:rtl w:val="true"/>
        </w:rPr>
        <w:t>(</w:t>
      </w:r>
      <w:r>
        <w:rPr>
          <w:rtl w:val="true"/>
        </w:rPr>
        <w:t xml:space="preserve">ت </w:t>
      </w:r>
      <w:r>
        <w:rPr/>
        <w:t>606</w:t>
      </w:r>
      <w:r>
        <w:rPr>
          <w:rtl w:val="true"/>
        </w:rPr>
        <w:t xml:space="preserve"> </w:t>
      </w:r>
      <w:r>
        <w:rPr>
          <w:rtl w:val="true"/>
        </w:rPr>
        <w:t>ه</w:t>
      </w:r>
      <w:r>
        <w:rPr>
          <w:rtl w:val="true"/>
        </w:rPr>
        <w:t>)</w:t>
      </w:r>
      <w:bookmarkEnd w:id="271"/>
    </w:p>
    <w:p>
      <w:pPr>
        <w:pStyle w:val="BookText"/>
        <w:rPr/>
      </w:pPr>
      <w:r>
        <w:rPr>
          <w:rFonts w:ascii="IRNazanin" w:hAnsi="IRNazanin" w:eastAsia="IRNazanin"/>
          <w:color w:val="111111"/>
          <w:sz w:val="28"/>
          <w:sz w:val="28"/>
          <w:szCs w:val="28"/>
          <w:rtl w:val="true"/>
          <w:lang w:bidi="fa-IR"/>
        </w:rPr>
        <w:t>و قد اشتهر بکونه الناقد الحقیقی للفلسفة المشائیة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فیلسوفاً وعالماً بالفلسفة أیضاً،حیث اشتغل بنقد وتحلیل العقائد الفلسفیة،وأظهر مقدرته أیضاً فی بیان آرائه الخاصّة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إضافة إلی رفضه تقلید الماضین أو القبول بآرائهم من دون فحص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أتباع أصالة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فبحسب ما جاء فی کتابه جامع العلوم الذی کان یعرف باسم الستینی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یعتقد بأنّ إدراک العقل أکمل من إدراک الحس،ولم یعطی اعتباراً إلّا فی ضوء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أنّه کان أشعریاً،غیر أنّه اعتقد بمعقولیة المبانی الدینیة،ودافع عن التعالیم الإلهیة باعتبارها من المعقولات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اتّباع فخر الدین الرازی العقل فی ذات وفائه</w:t>
      </w:r>
      <w:bookmarkStart w:id="272" w:name="pg5469_34712"/>
    </w:p>
    <w:p>
      <w:pPr>
        <w:pStyle w:val="BookText"/>
        <w:rPr/>
      </w:pPr>
      <w:bookmarkEnd w:id="272"/>
      <w:r>
        <w:rPr>
          <w:rFonts w:ascii="IRNazanin" w:hAnsi="IRNazanin" w:eastAsia="IRNazanin"/>
          <w:color w:val="111111"/>
          <w:sz w:val="28"/>
          <w:sz w:val="28"/>
          <w:szCs w:val="28"/>
          <w:rtl w:val="true"/>
          <w:lang w:bidi="fa-IR"/>
        </w:rPr>
        <w:t>للمسلک الأشعری،یمکن عدّه من أوائل الذین اعتقدوا بامتزاج الفلسفة بعلم الکلام،ذلک الامتزاج الذی أنتج تیاراً جدیداً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ویمکن إیجاز الحیاة العلمیة لفخر الدین الرازی فی السطور القلیلة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بتحلیل ونقد الفلسفة المشائیة باُسلوب من الصعب العثور علی نظیر له بین الفلاسفة غیر الغزالی،أعطی المذاق الخاصّ لطریقته فی التقریب بین علم الکلام وغیره من العلوم حتّی التصوف،ولعبت آثاره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محمّاً و قد نقل العالم الإسلامی من العقلیة المشائیة إلی الجنبة الإشراقیة فی الفلسفة الإسلامیة،الأمر الذی أدّی إلی استمرار تأثیره علی جمیع الفلاسفة اللاحقین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الخواجة نصیر الدین الطوسی الذی یعدّ مجدداً لفلسفة المشاء</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ومن أبرز آثاره الفلسفیة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عیون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الإشارات و التنبیهات و الملخص فی الحکمة و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ینبغی ذکره هو أنّ ظهور شخصیات باهرة أمثال الخواجة نصیر الدین الطوسی فی القرن السادس و السابع وصدر المتألهین فی القرن الحادی عشر،أدّی إلی تکامل الفلسفة الإسلامیة واحتلالها مکانة مرموقة</w:t>
      </w:r>
      <w:r>
        <w:rPr>
          <w:rFonts w:eastAsia="IRNazanin" w:cs="IRNazanin"/>
          <w:color w:val="111111"/>
          <w:sz w:val="28"/>
          <w:szCs w:val="28"/>
          <w:rtl w:val="true"/>
          <w:lang w:bidi="fa-IR"/>
        </w:rPr>
        <w:t>.</w:t>
      </w:r>
    </w:p>
    <w:p>
      <w:pPr>
        <w:pStyle w:val="Heading4"/>
        <w:numPr>
          <w:ilvl w:val="3"/>
          <w:numId w:val="1"/>
        </w:numPr>
        <w:rPr/>
      </w:pPr>
      <w:bookmarkStart w:id="273" w:name="__RefHeading___Toc2108888_581953129"/>
      <w:bookmarkStart w:id="274" w:name="_Toc105"/>
      <w:bookmarkEnd w:id="273"/>
      <w:r>
        <w:rPr>
          <w:rtl w:val="true"/>
        </w:rPr>
        <w:t>د</w:t>
      </w:r>
      <w:r>
        <w:rPr>
          <w:rtl w:val="true"/>
        </w:rPr>
        <w:t>)</w:t>
      </w:r>
      <w:r>
        <w:rPr>
          <w:rtl w:val="true"/>
        </w:rPr>
        <w:t>الکلام</w:t>
      </w:r>
      <w:bookmarkEnd w:id="274"/>
    </w:p>
    <w:p>
      <w:pPr>
        <w:pStyle w:val="Heading5"/>
        <w:numPr>
          <w:ilvl w:val="4"/>
          <w:numId w:val="1"/>
        </w:numPr>
        <w:rPr/>
      </w:pPr>
      <w:bookmarkStart w:id="275" w:name="__RefHeading___Toc2108890_581953129"/>
      <w:bookmarkStart w:id="276" w:name="_Toc106"/>
      <w:bookmarkEnd w:id="275"/>
      <w:r>
        <w:rPr>
          <w:rtl w:val="true"/>
        </w:rPr>
        <w:t>اشارة</w:t>
      </w:r>
      <w:bookmarkEnd w:id="2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هو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حوارات ومناقشات تصب فی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 المضامین الدینیة و الدفاع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بحوث ونقاشات کثیرة بطبیعة الحال تدور حول مصطلح أو واشتقاقه اللغوی وسابقته التاریخیة</w:t>
      </w:r>
    </w:p>
    <w:p>
      <w:pPr>
        <w:pStyle w:val="BookText"/>
        <w:rPr/>
      </w:pPr>
      <w:r>
        <w:rPr>
          <w:rFonts w:ascii="IRNazanin" w:hAnsi="IRNazanin" w:eastAsia="IRNazanin"/>
          <w:color w:val="111111"/>
          <w:sz w:val="28"/>
          <w:sz w:val="28"/>
          <w:szCs w:val="28"/>
          <w:rtl w:val="true"/>
          <w:lang w:bidi="fa-IR"/>
        </w:rPr>
        <w:t>تنأی بنا عن الدور الموکول لهذا البحث،إذا ما أردنا الخوض فیها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الأمر الذی لا یتطرّق إلیه الریب هو أنّ الأنبیاء علیهم السلام کانوا من المؤمنین و الرواد الأوائل الذین سعوا فی خصوص عرض مفاهیم الدین وإثبات تعالیمه و الدفاع عن ساحته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ألهمت البحوث التی انطلقت من ألسنتهم لأوّل مرّة المتکلمین الذین جاؤوا فی العصور اللاحقة،إذ إنّ عصر الرسالة یمثّل فی الحقیقة المرحلة الاُولی التی ظهر فیها علم الکلام،و هو ما تثبته الروایات التی وردت عن النبی الأکرم فی مجال إیضاح العقائد الدینیة و الذود عنها</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بدأت المرحلة الثانیة لهذا العلم بعد انتهاء عصر الرسالة ورحلة الرسول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التی ترکز طرح البحوث الکلامیة فیها فی ثلاثة أسالیب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التعلیم،المناظرة و المجادلة،السؤال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التی کان مثّل فیها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البارزة التی تألقت فی سماء البشریة لکمالاته التی تفرد واختصّ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الشخص الأوّل الذی تحدث للمرّة الاُولی بإسهاب وعمق فی ذات الباری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البساطة 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و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یستشعر مسؤولیته فی الدفاع عن التعالیم الدینیة فی قبال الإشکالات والاستفسارات التی یطرحها متکلّمی الأدیان الاُخری</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إذا ما أردنا الکلام عن المناظرات الکلامیة التی وقعت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نموذجان بارزان لها،الأوّل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تمّ طرحه فی الأیام الاُولی لهذه المرحلة و الذی یرتبط بمسألة الخلافة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الجدال حوله فی أیامها الأخیرة وهی حادثة التحکیم،حیث انبری الإمام علی</w:t>
      </w:r>
      <w:r>
        <w:rPr>
          <w:rFonts w:ascii="IRNazanin" w:hAnsi="IRNazanin" w:eastAsia="IRNazanin"/>
          <w:i/>
          <w:i/>
          <w:iCs/>
          <w:color w:val="111111"/>
          <w:sz w:val="28"/>
          <w:sz w:val="28"/>
          <w:szCs w:val="28"/>
          <w:rtl w:val="true"/>
          <w:lang w:bidi="fa-IR"/>
        </w:rPr>
        <w:t>فی کلا الموردین لبیانهما وإیضاح ملابساتهما وما اکتنفهما من التباس</w:t>
      </w:r>
      <w:r>
        <w:rPr>
          <w:rFonts w:eastAsia="IRNazanin" w:cs="IRNazanin"/>
          <w:i/>
          <w:iCs/>
          <w:color w:val="111111"/>
          <w:sz w:val="28"/>
          <w:szCs w:val="28"/>
          <w:rtl w:val="true"/>
          <w:lang w:bidi="fa-IR"/>
        </w:rPr>
        <w:t xml:space="preserve">. </w:t>
      </w:r>
      <w:r>
        <w:rPr>
          <w:rStyle w:val="FootnoteAnchor"/>
          <w:rtl w:val="true"/>
        </w:rPr>
        <w:footnoteReference w:id="237"/>
      </w:r>
      <w:r>
        <w:rPr>
          <w:rFonts w:ascii="IRNazanin" w:hAnsi="IRNazanin" w:eastAsia="IRNazanin"/>
          <w:i/>
          <w:i/>
          <w:iCs/>
          <w:color w:val="111111"/>
          <w:sz w:val="28"/>
          <w:sz w:val="28"/>
          <w:szCs w:val="28"/>
          <w:rtl w:val="true"/>
          <w:lang w:bidi="fa-IR"/>
        </w:rPr>
        <w:t>واقتفاء لأثر الإمام علی</w:t>
      </w:r>
      <w:r>
        <w:rPr>
          <w:rFonts w:ascii="IRNazanin" w:hAnsi="IRNazanin" w:eastAsia="IRNazanin"/>
          <w:color w:val="111111"/>
          <w:sz w:val="28"/>
          <w:sz w:val="28"/>
          <w:szCs w:val="28"/>
          <w:rtl w:val="true"/>
          <w:lang w:bidi="fa-IR"/>
        </w:rPr>
        <w:t>قام أئمة الشیعة من بعده بالعمل فی اتجاهین؛إعداد وتربیة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وحثهم عل الخوض فی البحوث الکلامیة،فنلاحظ فی هذا السیاق ورود بعض المفردات فی روایاتهم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الکلام،المتکلّم،التکلم،وهی ما تعبّر عن المباحث الکلامیة</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ویعدّ الإمام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الأئمة الذین قاموا بعرض بحوث کلامیة کثیرة ورائعة،وتصدّوا لتعاهد وتربیة تلامذة کثیرین علی هذا الصعید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وثمة عدّة امور یلزم الالتفات إلیها فی خصوص علم الکلام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مباحث الکلام الإسلامی لم تکن متأثرة بالکلام المسیحی أو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متکلّمو الإسلام مقلّدین لزعماء الکنیسة وفلاسفة الکلام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یعتقد البعض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جوهر المسائل الکلامیة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صفات الله وتفسیر معانی</w:t>
      </w:r>
    </w:p>
    <w:p>
      <w:pPr>
        <w:pStyle w:val="BookText"/>
        <w:rPr/>
      </w:pPr>
      <w:r>
        <w:rPr>
          <w:rFonts w:ascii="IRNazanin" w:hAnsi="IRNazanin" w:eastAsia="IRNazanin"/>
          <w:color w:val="111111"/>
          <w:sz w:val="28"/>
          <w:sz w:val="28"/>
          <w:szCs w:val="28"/>
          <w:rtl w:val="true"/>
          <w:lang w:bidi="fa-IR"/>
        </w:rPr>
        <w:t xml:space="preserve">الصفات، </w:t>
      </w:r>
      <w:r>
        <w:rPr>
          <w:rStyle w:val="FootnoteAnchor"/>
          <w:rtl w:val="true"/>
        </w:rPr>
        <w:footnoteReference w:id="241"/>
      </w:r>
      <w:r>
        <w:rPr>
          <w:rFonts w:ascii="IRNazanin" w:hAnsi="IRNazanin" w:eastAsia="IRNazanin"/>
          <w:color w:val="111111"/>
          <w:sz w:val="28"/>
          <w:sz w:val="28"/>
          <w:szCs w:val="28"/>
          <w:rtl w:val="true"/>
          <w:lang w:bidi="fa-IR"/>
        </w:rPr>
        <w:t xml:space="preserve">رؤیة الله، </w:t>
      </w:r>
      <w:r>
        <w:rPr>
          <w:rStyle w:val="FootnoteAnchor"/>
          <w:rtl w:val="true"/>
        </w:rPr>
        <w:footnoteReference w:id="242"/>
      </w:r>
      <w:r>
        <w:rPr>
          <w:rFonts w:ascii="IRNazanin" w:hAnsi="IRNazanin" w:eastAsia="IRNazanin"/>
          <w:color w:val="111111"/>
          <w:sz w:val="28"/>
          <w:sz w:val="28"/>
          <w:szCs w:val="28"/>
          <w:rtl w:val="true"/>
          <w:lang w:bidi="fa-IR"/>
        </w:rPr>
        <w:t xml:space="preserve">أعمال الإنسان، </w:t>
      </w:r>
      <w:r>
        <w:rPr>
          <w:rStyle w:val="FootnoteAnchor"/>
          <w:rtl w:val="true"/>
        </w:rPr>
        <w:footnoteReference w:id="243"/>
      </w:r>
      <w:r>
        <w:rPr>
          <w:rFonts w:ascii="IRNazanin" w:hAnsi="IRNazanin" w:eastAsia="IRNazanin"/>
          <w:color w:val="111111"/>
          <w:sz w:val="28"/>
          <w:sz w:val="28"/>
          <w:szCs w:val="28"/>
          <w:rtl w:val="true"/>
          <w:lang w:bidi="fa-IR"/>
        </w:rPr>
        <w:t xml:space="preserve">جواز النسخ وامتناعه، </w:t>
      </w:r>
      <w:r>
        <w:rPr>
          <w:rStyle w:val="FootnoteAnchor"/>
          <w:rtl w:val="true"/>
        </w:rPr>
        <w:footnoteReference w:id="244"/>
      </w:r>
      <w:r>
        <w:rPr>
          <w:rFonts w:ascii="IRNazanin" w:hAnsi="IRNazanin" w:eastAsia="IRNazanin"/>
          <w:color w:val="111111"/>
          <w:sz w:val="28"/>
          <w:sz w:val="28"/>
          <w:szCs w:val="28"/>
          <w:rtl w:val="true"/>
          <w:lang w:bidi="fa-IR"/>
        </w:rPr>
        <w:t xml:space="preserve">القضاء و القدر، </w:t>
      </w:r>
      <w:r>
        <w:rPr>
          <w:rStyle w:val="FootnoteAnchor"/>
          <w:rtl w:val="true"/>
        </w:rPr>
        <w:footnoteReference w:id="245"/>
      </w:r>
      <w:r>
        <w:rPr>
          <w:rFonts w:ascii="IRNazanin" w:hAnsi="IRNazanin" w:eastAsia="IRNazanin"/>
          <w:color w:val="111111"/>
          <w:sz w:val="28"/>
          <w:sz w:val="28"/>
          <w:szCs w:val="28"/>
          <w:rtl w:val="true"/>
          <w:lang w:bidi="fa-IR"/>
        </w:rPr>
        <w:t xml:space="preserve">الإرادة الإلهیة و الأفعال الظالمة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إلخ،کانت سائدة بین أوساط المتکلّمین المسلمین قبل عصر الترجمة؛ </w:t>
      </w:r>
      <w:r>
        <w:rPr>
          <w:rStyle w:val="FootnoteAnchor"/>
          <w:rtl w:val="true"/>
        </w:rPr>
        <w:footnoteReference w:id="247"/>
      </w:r>
      <w:r>
        <w:rPr>
          <w:rFonts w:ascii="IRNazanin" w:hAnsi="IRNazanin" w:eastAsia="IRNazanin"/>
          <w:color w:val="111111"/>
          <w:sz w:val="28"/>
          <w:sz w:val="28"/>
          <w:szCs w:val="28"/>
          <w:rtl w:val="true"/>
          <w:lang w:bidi="fa-IR"/>
        </w:rPr>
        <w:t>و أنّ تصنیف 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 وتدوین المباحث الکلامیة وفق اسس منظمة وعملیة،وکذا طرح المباحث العامّة کان قد تبلور بعد عصر الترجمة وبتأثیر من الفلسفة المسیحیة</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للإمام علی</w:t>
      </w:r>
      <w:r>
        <w:rPr>
          <w:rFonts w:ascii="IRNazanin" w:hAnsi="IRNazanin" w:eastAsia="IRNazanin"/>
          <w:i/>
          <w:i/>
          <w:iCs/>
          <w:color w:val="111111"/>
          <w:sz w:val="28"/>
          <w:sz w:val="28"/>
          <w:szCs w:val="28"/>
          <w:rtl w:val="true"/>
          <w:lang w:bidi="fa-IR"/>
        </w:rPr>
        <w:t>وبعض الصحابة مثل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رشید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کمیل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میثم،وکذلک الأئمة المعصومون و الشیعة عموماً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سابقة فی المباحث الکلامیة تتقدّم علی أهل السنّة؛إذ ارتبط ظهور المعتزلة فی البصرة ببدایات القرن الثانی الهجری وظهور الأشاعرة بالنصف الثانی من القرن الثالث الهجری </w:t>
      </w:r>
      <w:r>
        <w:rPr>
          <w:rStyle w:val="FootnoteAnchor"/>
          <w:rtl w:val="true"/>
        </w:rPr>
        <w:footnoteReference w:id="249"/>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 حال أنّ المباحث الکلامیة کانت قد راجت بین المسلمین علی ید أمیر المؤمنین</w:t>
      </w:r>
      <w:r>
        <w:rPr>
          <w:rFonts w:ascii="IRNazanin" w:hAnsi="IRNazanin" w:eastAsia="IRNazanin"/>
          <w:color w:val="111111"/>
          <w:sz w:val="28"/>
          <w:sz w:val="28"/>
          <w:szCs w:val="28"/>
          <w:rtl w:val="true"/>
          <w:lang w:bidi="fa-IR"/>
        </w:rPr>
        <w:t xml:space="preserve">وأُشیعت مباشرة بعد رحلة الرسول الأکرم فی العام العاشر للهجرة؛ </w:t>
      </w:r>
      <w:r>
        <w:rPr>
          <w:rStyle w:val="FootnoteAnchor"/>
          <w:rtl w:val="true"/>
        </w:rPr>
        <w:footnoteReference w:id="250"/>
      </w:r>
      <w:r>
        <w:rPr>
          <w:rFonts w:ascii="IRNazanin" w:hAnsi="IRNazanin" w:eastAsia="IRNazanin"/>
          <w:color w:val="111111"/>
          <w:sz w:val="28"/>
          <w:sz w:val="28"/>
          <w:szCs w:val="28"/>
          <w:rtl w:val="true"/>
          <w:lang w:bidi="fa-IR"/>
        </w:rPr>
        <w:t xml:space="preserve">و هذا ما یتضارب والاعتقاد بتأثّر بعض کلام الشیعة بکلام المعتزلة؛ </w:t>
      </w:r>
      <w:r>
        <w:rPr>
          <w:rStyle w:val="FootnoteAnchor"/>
          <w:rtl w:val="true"/>
        </w:rPr>
        <w:footnoteReference w:id="251"/>
      </w:r>
      <w:r>
        <w:rPr>
          <w:rFonts w:ascii="IRNazanin" w:hAnsi="IRNazanin" w:eastAsia="IRNazanin"/>
          <w:color w:val="111111"/>
          <w:sz w:val="28"/>
          <w:sz w:val="28"/>
          <w:szCs w:val="28"/>
          <w:rtl w:val="true"/>
          <w:lang w:bidi="fa-IR"/>
        </w:rPr>
        <w:t>أو نسبته إلی فرقة الإسماعیلیة کما یذهب إلیه</w:t>
      </w:r>
    </w:p>
    <w:p>
      <w:pPr>
        <w:pStyle w:val="BookText"/>
        <w:rPr/>
      </w:pPr>
      <w:r>
        <w:rPr>
          <w:rFonts w:ascii="IRNazanin" w:hAnsi="IRNazanin" w:eastAsia="IRNazanin"/>
          <w:color w:val="111111"/>
          <w:sz w:val="28"/>
          <w:sz w:val="28"/>
          <w:szCs w:val="28"/>
          <w:rtl w:val="true"/>
          <w:lang w:bidi="fa-IR"/>
        </w:rPr>
        <w:t xml:space="preserve">البعض، </w:t>
      </w:r>
      <w:r>
        <w:rPr>
          <w:rStyle w:val="FootnoteAnchor"/>
          <w:rtl w:val="true"/>
        </w:rPr>
        <w:footnoteReference w:id="252"/>
      </w:r>
      <w:r>
        <w:rPr>
          <w:rFonts w:ascii="IRNazanin" w:hAnsi="IRNazanin" w:eastAsia="IRNazanin"/>
          <w:color w:val="111111"/>
          <w:sz w:val="28"/>
          <w:sz w:val="28"/>
          <w:szCs w:val="28"/>
          <w:rtl w:val="true"/>
          <w:lang w:bidi="fa-IR"/>
        </w:rPr>
        <w:t>أو عدم وجود ذکر للکلام الشیعی کما ذهب إلیه البعض</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وبسبب مرافقتهم للنبی الأعظم 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بحاجة إلی تدوین کتاب فی علم الکلام سواء علی مستوی الفروع أو الاُصول،أی أنّه کان متداولاً فی القرن الأوّل؛غیر أنّه لم یکن مدوناً</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بغرس جذور هذا النوع من الفکر أو الصنف من العلوم بعد النبی الأکرم،وتولی توسیعه وتعمیقه،ومن هنا،فهو یعدّ أوّل من ذاع صیته من متکلّمی الإسلام</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ابتدأ تدوین و تنظیم وتبویب الکتب الکلامیة منذ عصر الخلافة الأمویة،أی منذ أواخر القرن الأوّل وأوائل القرن الثانی</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فالکلام الإسلامی فی الحقیقة وعلی الخصوص فی فرقیته المعتزلة و الأشاعرة،کان قد تأثّر بعد عصر الترجمة بالفلسفة المسیحیة و الیونانیة،حیث کان لهذه القضیة أثر بالغ فی نمو علم الکلام فی مباحث العامة،إذ إنّ مطالب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الذی لا یتجزأ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استحالة تداخل الاجسام وأمثالها،کانت قد ابتدأ انتشارها بین المسلمین منذ النصف الثانی للقرن الثانی</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ونشیر فیما یلی إلی بعض أبرز متکلّمی المسلمین</w:t>
      </w:r>
      <w:r>
        <w:rPr>
          <w:rFonts w:eastAsia="IRNazanin" w:cs="IRNazanin"/>
          <w:color w:val="111111"/>
          <w:sz w:val="28"/>
          <w:szCs w:val="28"/>
          <w:rtl w:val="true"/>
          <w:lang w:bidi="fa-IR"/>
        </w:rPr>
        <w:t>:</w:t>
      </w:r>
      <w:bookmarkStart w:id="277" w:name="pg5469_34717"/>
    </w:p>
    <w:p>
      <w:pPr>
        <w:pStyle w:val="Heading5"/>
        <w:numPr>
          <w:ilvl w:val="4"/>
          <w:numId w:val="1"/>
        </w:numPr>
        <w:rPr/>
      </w:pPr>
      <w:bookmarkStart w:id="278" w:name="__RefHeading___Toc2108892_581953129"/>
      <w:bookmarkStart w:id="279" w:name="_Toc107"/>
      <w:bookmarkEnd w:id="277"/>
      <w:bookmarkEnd w:id="278"/>
      <w:r>
        <w:rPr/>
        <w:t>1</w:t>
      </w:r>
      <w:r>
        <w:rPr>
          <w:rtl w:val="true"/>
        </w:rPr>
        <w:t>-</w:t>
      </w:r>
      <w:r>
        <w:rPr>
          <w:rtl w:val="true"/>
        </w:rPr>
        <w:t>هشام بن الحکم</w:t>
      </w:r>
      <w:r>
        <w:rPr>
          <w:rtl w:val="true"/>
        </w:rPr>
        <w:t>(</w:t>
      </w:r>
      <w:r>
        <w:rPr>
          <w:rtl w:val="true"/>
        </w:rPr>
        <w:t xml:space="preserve">ت حدود </w:t>
      </w:r>
      <w:r>
        <w:rPr/>
        <w:t>200</w:t>
      </w:r>
      <w:r>
        <w:rPr>
          <w:rtl w:val="true"/>
        </w:rPr>
        <w:t>ه</w:t>
      </w:r>
      <w:r>
        <w:rPr>
          <w:rtl w:val="true"/>
        </w:rPr>
        <w:t>)</w:t>
      </w:r>
      <w:bookmarkEnd w:id="279"/>
    </w:p>
    <w:p>
      <w:pPr>
        <w:pStyle w:val="BookText"/>
        <w:rPr/>
      </w:pPr>
      <w:r>
        <w:rPr>
          <w:rFonts w:ascii="IRNazanin" w:hAnsi="IRNazanin" w:eastAsia="IRNazanin"/>
          <w:color w:val="111111"/>
          <w:sz w:val="28"/>
          <w:sz w:val="28"/>
          <w:szCs w:val="28"/>
          <w:rtl w:val="true"/>
          <w:lang w:bidi="fa-IR"/>
        </w:rPr>
        <w:t>ولد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شدة أنسه وحبّه لعلی</w:t>
      </w:r>
      <w:r>
        <w:rPr>
          <w:rFonts w:ascii="IRNazanin" w:hAnsi="IRNazanin" w:eastAsia="IRNazanin"/>
          <w:i/>
          <w:i/>
          <w:iCs/>
          <w:color w:val="111111"/>
          <w:sz w:val="28"/>
          <w:sz w:val="28"/>
          <w:szCs w:val="28"/>
          <w:rtl w:val="true"/>
          <w:lang w:bidi="fa-IR"/>
        </w:rPr>
        <w:t>وأولاده إلی الجلوس فی صفوف تلامذة الإمام الصادق</w:t>
      </w:r>
      <w:r>
        <w:rPr>
          <w:rFonts w:ascii="IRNazanin" w:hAnsi="IRNazanin" w:eastAsia="IRNazanin"/>
          <w:color w:val="111111"/>
          <w:sz w:val="28"/>
          <w:sz w:val="28"/>
          <w:szCs w:val="28"/>
          <w:rtl w:val="true"/>
          <w:lang w:bidi="fa-IR"/>
        </w:rPr>
        <w:t>ومن بعده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تلمذه لفترة علی أبی شاکر الدیصانی و الجهم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فنهل من علومهما ممّا ساهم فی بروزه کشخصیة متألقة فی علم الکلام</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فقد تخصص بشکل رئیس فی علم الکلام فنبغ فیه،ولم یجرأ أحد علی مضاهاته ومجاراته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متکلّمی أهل السنّة لم یتباطؤ فی الاستعانة به لیکون حکماً فی مناظراتهم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انصبت أکثر مباحثه فی علم الکلام علی الإمامة والاستدلال علیها وإثباتها بأتقن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فدحض وأفحم فی هذا المجال أعظم المتکلّمین من غیر الشیعة، </w:t>
      </w:r>
      <w:r>
        <w:rPr>
          <w:rStyle w:val="FootnoteAnchor"/>
          <w:rtl w:val="true"/>
        </w:rPr>
        <w:footnoteReference w:id="259"/>
      </w:r>
      <w:r>
        <w:rPr>
          <w:rFonts w:ascii="IRNazanin" w:hAnsi="IRNazanin" w:eastAsia="IRNazanin"/>
          <w:color w:val="111111"/>
          <w:sz w:val="28"/>
          <w:sz w:val="28"/>
          <w:szCs w:val="28"/>
          <w:rtl w:val="true"/>
          <w:lang w:bidi="fa-IR"/>
        </w:rPr>
        <w:t>حیث کان یتولّی إدارة الحلقات الکلامیة للبرامکة فی عهد بنی العباس،العهد الذی کانت فیه المناظرات الکلامیة ساخنة ومحتدمة جدّاً</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تکن الآثار الفلسفیة و المنطقیة للیونان قد نقلت إلی العربیة حینها؛غیر أنّ التراجم السریانیة کانت فی متناول الباحثین،حیث کان یعدّ کتاب یوحنا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کتاب فی المناظرة و الجدال بین المسیحیة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ما یبدو من نقل دسی أولیری عن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حریة البحث و النقد الدینی کانت رائجة فی دمشق فی ذلک العهد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إذ توفرت عن طریق هذه الکتب،مبررات دخول المسائل المرتبطة بالاُمور العامّة فی المباحث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وبالطبع،لم یکن البحث فی الاُمور العامّة من الموارد التی تستقطب اهتمام المتکلّمین المسلمین علی وجه التحدید،و إنّما کانت بمثابة تمهید للولوج فی مسائل الإلهیات بمعناها الأخصّ،کما أنّ بحث المتکلّمین فی</w:t>
      </w:r>
      <w:bookmarkStart w:id="280" w:name="pg5469_34718"/>
    </w:p>
    <w:p>
      <w:pPr>
        <w:pStyle w:val="BookText"/>
        <w:rPr/>
      </w:pPr>
      <w:bookmarkEnd w:id="280"/>
      <w:r>
        <w:rPr>
          <w:rFonts w:ascii="IRNazanin" w:hAnsi="IRNazanin" w:eastAsia="IRNazanin"/>
          <w:color w:val="111111"/>
          <w:sz w:val="28"/>
          <w:sz w:val="28"/>
          <w:szCs w:val="28"/>
          <w:rtl w:val="true"/>
          <w:lang w:bidi="fa-IR"/>
        </w:rPr>
        <w:t>الطبیعیات،لم یکن سوی وسیلة لإثبات أحد الاُصول الدینیة أو الدفاع عنها</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ولقد کان هشام بن الحکم علی تمام الاطّلاع علی هذه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حراسة التعالیم الدینیة و الذب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بنقدها ودراستها من خلال مطالعة وتمحیص الاُمور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أدّی إلی عرضة آراء جدیدة فی هذا المجال تسترعی التأمّل و التدقیق</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ولهشام بن الحکم مؤلّفات عدیدة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المعتزلة،الرد علی المعتزلة فی طلحة و الزبیر،الرد علی من قال بإمامة المفضول،الإمامة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أرسطاطالیس،المعرفة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64"/>
      </w:r>
    </w:p>
    <w:p>
      <w:pPr>
        <w:pStyle w:val="Heading5"/>
        <w:numPr>
          <w:ilvl w:val="4"/>
          <w:numId w:val="1"/>
        </w:numPr>
        <w:rPr/>
      </w:pPr>
      <w:bookmarkStart w:id="281" w:name="__RefHeading___Toc2108894_581953129"/>
      <w:bookmarkStart w:id="282" w:name="_Toc108"/>
      <w:bookmarkEnd w:id="281"/>
      <w:r>
        <w:rPr/>
        <w:t>2</w:t>
      </w:r>
      <w:r>
        <w:rPr>
          <w:rtl w:val="true"/>
        </w:rPr>
        <w:t>-</w:t>
      </w:r>
      <w:r>
        <w:rPr>
          <w:rtl w:val="true"/>
        </w:rPr>
        <w:t>الفضل بن شاذان النیشابوری</w:t>
      </w:r>
      <w:r>
        <w:rPr>
          <w:rtl w:val="true"/>
        </w:rPr>
        <w:t>(</w:t>
      </w:r>
      <w:r>
        <w:rPr>
          <w:rtl w:val="true"/>
        </w:rPr>
        <w:t>ت</w:t>
      </w:r>
      <w:r>
        <w:rPr/>
        <w:t>260</w:t>
      </w:r>
      <w:r>
        <w:rPr>
          <w:rtl w:val="true"/>
        </w:rPr>
        <w:t>ه</w:t>
      </w:r>
      <w:r>
        <w:rPr>
          <w:rtl w:val="true"/>
        </w:rPr>
        <w:t>)</w:t>
      </w:r>
      <w:bookmarkEnd w:id="282"/>
    </w:p>
    <w:p>
      <w:pPr>
        <w:pStyle w:val="BookText"/>
        <w:rPr/>
      </w:pPr>
      <w:r>
        <w:rPr>
          <w:rFonts w:ascii="IRNazanin" w:hAnsi="IRNazanin" w:eastAsia="IRNazanin"/>
          <w:color w:val="111111"/>
          <w:sz w:val="28"/>
          <w:sz w:val="28"/>
          <w:szCs w:val="28"/>
          <w:rtl w:val="true"/>
          <w:lang w:bidi="fa-IR"/>
        </w:rPr>
        <w:t>و هو من أصحاب الإمامین الرضا و الهادی،وأحد أعظم متکلّمی الشیعة فی نهایات القرن الثانی وبدایات القرن الثالث</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ولقد عاش فی وسط کان یعدّ مرکزاً لعلماء الدین وعامّة العلوم و الفنون،حیث کان یتعرّض فیه الشیعة للاضطهاد و التنکیل،ممّا دعاه إلی العودة إلی نیشابور بعد ترحاله بین المدن و البلدان لدراسة العلوم الإسلامیة علی ید کبار الأساتذة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 علی التألیف و التصنیف وترویج مذهب أهل البیت علیهم السلام </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عاصر هذا المتکلّم البارع نزاعاً حاداً جدّاً فی المسائل الفکریة،وذلک بین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الثنویة و الغلات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ذلک للقیام بمسؤولیته فی الدفاع</w:t>
      </w:r>
      <w:bookmarkStart w:id="283" w:name="pg5469_34719"/>
    </w:p>
    <w:p>
      <w:pPr>
        <w:pStyle w:val="BookText"/>
        <w:rPr/>
      </w:pPr>
      <w:bookmarkEnd w:id="283"/>
      <w:r>
        <w:rPr>
          <w:rFonts w:ascii="IRNazanin" w:hAnsi="IRNazanin" w:eastAsia="IRNazanin"/>
          <w:color w:val="111111"/>
          <w:sz w:val="28"/>
          <w:sz w:val="28"/>
          <w:szCs w:val="28"/>
          <w:rtl w:val="true"/>
          <w:lang w:bidi="fa-IR"/>
        </w:rPr>
        <w:t>عن الدین من جهة کونه متکلماً،فجاءت کثیر من مؤلّفاته للرد علی تلک الأفکار،والتی یمکن الإشارة إلی بعضها فیما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أهل التعطیل،الرد علی الثنویة،الرد علی الغالیة المحمّدیة،الرد علی المرجئة و الرد علی الحشویة؛ </w:t>
      </w:r>
      <w:r>
        <w:rPr>
          <w:rStyle w:val="FootnoteAnchor"/>
          <w:rtl w:val="true"/>
        </w:rPr>
        <w:footnoteReference w:id="267"/>
      </w:r>
      <w:r>
        <w:rPr>
          <w:rFonts w:ascii="IRNazanin" w:hAnsi="IRNazanin" w:eastAsia="IRNazanin"/>
          <w:color w:val="111111"/>
          <w:sz w:val="28"/>
          <w:sz w:val="28"/>
          <w:szCs w:val="28"/>
          <w:rtl w:val="true"/>
          <w:lang w:bidi="fa-IR"/>
        </w:rPr>
        <w:t>ولم یقتصر علی ذلک،فقد کانت له کتب اخری فی إثبات وبیان اصول العقائد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الإیضاح،الوعید،الاستطاعة،الخصال فی الإمامة،الإمامة،معرفة الهدی و الضلال،الأعراض و الجواهر،التوحید فی کتاب الله و</w:t>
      </w:r>
      <w:r>
        <w:rPr>
          <w:rFonts w:eastAsia="IRNazanin" w:cs="IRNazanin"/>
          <w:color w:val="111111"/>
          <w:sz w:val="28"/>
          <w:szCs w:val="28"/>
          <w:rtl w:val="true"/>
          <w:lang w:bidi="fa-IR"/>
        </w:rPr>
        <w:t xml:space="preserve">.... </w:t>
      </w:r>
      <w:r>
        <w:rPr>
          <w:rStyle w:val="FootnoteAnchor"/>
          <w:rtl w:val="true"/>
        </w:rPr>
        <w:footnoteReference w:id="268"/>
      </w:r>
    </w:p>
    <w:p>
      <w:pPr>
        <w:pStyle w:val="Heading5"/>
        <w:numPr>
          <w:ilvl w:val="4"/>
          <w:numId w:val="1"/>
        </w:numPr>
        <w:rPr/>
      </w:pPr>
      <w:bookmarkStart w:id="284" w:name="__RefHeading___Toc2108896_581953129"/>
      <w:bookmarkStart w:id="285" w:name="_Toc109"/>
      <w:bookmarkEnd w:id="284"/>
      <w:r>
        <w:rPr/>
        <w:t>3</w:t>
      </w:r>
      <w:r>
        <w:rPr>
          <w:rtl w:val="true"/>
        </w:rPr>
        <w:t>-</w:t>
      </w:r>
      <w:r>
        <w:rPr>
          <w:rtl w:val="true"/>
        </w:rPr>
        <w:t>أبو عبد الله محمد بن محمد بن النعمان الحارثی العسکری البغدادی</w:t>
      </w:r>
      <w:r>
        <w:rPr>
          <w:rtl w:val="true"/>
        </w:rPr>
        <w:t>(</w:t>
      </w:r>
      <w:r>
        <w:rPr>
          <w:rtl w:val="true"/>
        </w:rPr>
        <w:t>ت</w:t>
      </w:r>
      <w:r>
        <w:rPr/>
        <w:t>413</w:t>
      </w:r>
      <w:r>
        <w:rPr>
          <w:rtl w:val="true"/>
        </w:rPr>
        <w:t>ه</w:t>
      </w:r>
      <w:r>
        <w:rPr>
          <w:rtl w:val="true"/>
        </w:rPr>
        <w:t>)</w:t>
      </w:r>
      <w:bookmarkEnd w:id="285"/>
    </w:p>
    <w:p>
      <w:pPr>
        <w:pStyle w:val="BookText"/>
        <w:rPr/>
      </w:pPr>
      <w:r>
        <w:rPr>
          <w:rFonts w:ascii="IRNazanin" w:hAnsi="IRNazanin" w:eastAsia="IRNazanin"/>
          <w:color w:val="111111"/>
          <w:sz w:val="28"/>
          <w:sz w:val="28"/>
          <w:szCs w:val="28"/>
          <w:rtl w:val="true"/>
          <w:lang w:bidi="fa-IR"/>
        </w:rPr>
        <w:t>عُرف بابن المعلم،ولُقب بالمفید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فی محلة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کانت مرکزاً شیعیاً أبان ذلک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واعظاً و إماماً واُستاذاً لمسجد الشهیر من قِبل آل بویة</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أسس طریقة فی علم الکلام جعلته یتبوّء المرکز العلمی الأوّل فی الکلام الشیعی بجدارة، </w:t>
      </w:r>
      <w:r>
        <w:rPr>
          <w:rStyle w:val="FootnoteAnchor"/>
          <w:rtl w:val="true"/>
        </w:rPr>
        <w:footnoteReference w:id="270"/>
      </w:r>
      <w:r>
        <w:rPr>
          <w:rFonts w:ascii="IRNazanin" w:hAnsi="IRNazanin" w:eastAsia="IRNazanin"/>
          <w:color w:val="111111"/>
          <w:sz w:val="28"/>
          <w:sz w:val="28"/>
          <w:szCs w:val="28"/>
          <w:rtl w:val="true"/>
          <w:lang w:bidi="fa-IR"/>
        </w:rPr>
        <w:t>إذ لم یکن علم الکلام معهوداً لدی الشیعة قبل الشیخ المفید،إلّا أنّ هذا العلم لم یتعد مرحلة التألیف وتصنیف متون الکتب وجوانبه الخاصّة،وذلک بسبب التضییق الذی کان یتعرّض له الشیعة،ممّا جعل الکلام الشیعی یعیش حاله من الرکود الشدید قیاساً إلی التطوّر الذی کان یشهده لدی أهل السنّة،هذا و إن کان ذلک المستوی الذی وصل إلیه یعدّ مهماً 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الشیخ المفید علی استثمار الفترة التی عاصرها ومرکزه</w:t>
      </w:r>
      <w:bookmarkStart w:id="286" w:name="pg5469_34720"/>
    </w:p>
    <w:p>
      <w:pPr>
        <w:pStyle w:val="BookText"/>
        <w:rPr/>
      </w:pPr>
      <w:bookmarkEnd w:id="286"/>
      <w:r>
        <w:rPr>
          <w:rFonts w:ascii="IRNazanin" w:hAnsi="IRNazanin" w:eastAsia="IRNazanin"/>
          <w:color w:val="111111"/>
          <w:sz w:val="28"/>
          <w:sz w:val="28"/>
          <w:szCs w:val="28"/>
          <w:rtl w:val="true"/>
          <w:lang w:bidi="fa-IR"/>
        </w:rPr>
        <w:t>المرموق و الحریة الفکریة التی کان یتمتّع بها لتطویر اسلوب الاستدلال و التدوین لهذا العلم ممّا فتح طریق البحث والاستدلال علی مصراعیه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یکتف بنقل مباحث العلماء السابقین،بل مسک بزمام جمیع الأفکار العلمیة،شیعیة کانت أم سنیة،فقد کانوا یلقون بأسلحتهم مفحَمین ومذعنین کلما جری بینهما نقاشاً علمیاً</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فهو یعدّ من أفذاذ الشخصیات العلمیة التی قامت بإحیاء الاُسلوب الکلامی الشیعی وفق تعالیم أهل البیت علیهم السلام ،والدفاع العلمی عن اصول المعارف الإسلامیة وفق المنطق الصحیح و الحجّة العقلیة و النقلیة</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حیث اعتبر الشیخ الصدوق مناقشاته فی النفس و الروح و المشیئة و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بسیطة لتجدیده الاُسلوب الکلامی الشیعی</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قام بتألیف کتب کثیرة فی مجالات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الإشارة إلی ما دونه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 فی المذاهب 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عقائد الصدوق أو 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الفیلسوف فی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الإدارة وغیرها</w:t>
      </w:r>
      <w:r>
        <w:rPr>
          <w:rFonts w:eastAsia="IRNazanin" w:cs="IRNazanin"/>
          <w:color w:val="111111"/>
          <w:sz w:val="28"/>
          <w:szCs w:val="28"/>
          <w:rtl w:val="true"/>
          <w:lang w:bidi="fa-IR"/>
        </w:rPr>
        <w:t xml:space="preserve">. </w:t>
      </w:r>
      <w:r>
        <w:rPr>
          <w:rStyle w:val="FootnoteAnchor"/>
          <w:rtl w:val="true"/>
        </w:rPr>
        <w:footnoteReference w:id="274"/>
      </w:r>
    </w:p>
    <w:p>
      <w:pPr>
        <w:pStyle w:val="Heading5"/>
        <w:numPr>
          <w:ilvl w:val="4"/>
          <w:numId w:val="1"/>
        </w:numPr>
        <w:rPr/>
      </w:pPr>
      <w:bookmarkStart w:id="287" w:name="__RefHeading___Toc2108898_581953129"/>
      <w:bookmarkStart w:id="288" w:name="_Toc110"/>
      <w:bookmarkEnd w:id="287"/>
      <w:r>
        <w:rPr/>
        <w:t>4</w:t>
      </w:r>
      <w:r>
        <w:rPr>
          <w:rtl w:val="true"/>
        </w:rPr>
        <w:t>-</w:t>
      </w:r>
      <w:r>
        <w:rPr>
          <w:rtl w:val="true"/>
        </w:rPr>
        <w:t>أبو حامد محمّد الغزالی</w:t>
      </w:r>
      <w:r>
        <w:rPr>
          <w:rtl w:val="true"/>
        </w:rPr>
        <w:t>(</w:t>
      </w:r>
      <w:r>
        <w:rPr>
          <w:rtl w:val="true"/>
        </w:rPr>
        <w:t xml:space="preserve">ت </w:t>
      </w:r>
      <w:r>
        <w:rPr/>
        <w:t>505</w:t>
      </w:r>
      <w:r>
        <w:rPr>
          <w:rtl w:val="true"/>
        </w:rPr>
        <w:t xml:space="preserve"> </w:t>
      </w:r>
      <w:r>
        <w:rPr>
          <w:rtl w:val="true"/>
        </w:rPr>
        <w:t>ه</w:t>
      </w:r>
      <w:r>
        <w:rPr>
          <w:rtl w:val="true"/>
        </w:rPr>
        <w:t>)</w:t>
      </w:r>
      <w:bookmarkEnd w:id="2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من أبرز متکلّمی أهل السنّة فی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یری أنّ الله تعالی یتکفّل بظهور متکلّمین ینبرون لمساندة الدین ودحض الشبهات المثارة حوله هنا وهناک بالبراهین</w:t>
      </w:r>
      <w:bookmarkStart w:id="289" w:name="pg5469_34721"/>
    </w:p>
    <w:p>
      <w:pPr>
        <w:pStyle w:val="BookText"/>
        <w:rPr/>
      </w:pPr>
      <w:bookmarkEnd w:id="289"/>
      <w:r>
        <w:rPr>
          <w:rFonts w:ascii="IRNazanin" w:hAnsi="IRNazanin" w:eastAsia="IRNazanin"/>
          <w:color w:val="111111"/>
          <w:sz w:val="28"/>
          <w:sz w:val="28"/>
          <w:szCs w:val="28"/>
          <w:rtl w:val="true"/>
          <w:lang w:bidi="fa-IR"/>
        </w:rPr>
        <w:t>العقلیة کلما تزعزع إیمان الناس بسبب اشتداد الخلاف بین الفرق و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الغزالی کلام الأشاعرة إلی الواجهة وأخرجه من حاله الانزواء و الرکود التی کان یعیشها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بالرد علی الفلاسفة،وکان اسلوبه الفکری قائماً علی أنّ وظیفة العقل تتمثّل بعقلنة الإیمان بالاُصول الأساسیة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السؤال عن اعتباریة أو صدق الاُصول التی استتبت من خلال الوحی و التی قام القرآن و السنّة بالتصریح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واتّباعاً للمذهب الأشعری فی العصر الوسیط کان یری بأنّ الوحی بمنزلة منبع ومصدر للحقیقة،فهو الأساس الذی تقوم علیه الأفکار،فینبغی علی العقل التبعیة و التسلیم للوحی بشکل مطلق،وحینما یحدث خلاف فیما بین حکم الوحی وحکم العقل فیجب ترجیح حکم الوحی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الغزالی ضرورة منع العوام من تعلّم المباحث الکلامیة،ولو اضطروا للسؤال أحیاناً عن تفسیر بعض المفاهیم أمثال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البصر،والاستواء علی العرش فیجب جلدهم بالسیاط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الجدیر بالذکر أنّه اعتقد فی مرحلة ما بأنّ مذاهب المتکلّمین لا تمثّل یقیناً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الصحّة ترتکز علی القبول بموضوعاتهم القطعیة الاُولی،والتی تعتمد بدورها علی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أبان تلک الفترة نزاعات المتکلّمین لیست سوی مجادلات لفظیة محضة لا علاقة لها بالدین لا من قریب ولا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أهمّ آثاره،فیمکن الإشارة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الاعتقاد وقواعد العقائد</w:t>
      </w:r>
      <w:r>
        <w:rPr>
          <w:rFonts w:eastAsia="IRNazanin" w:cs="IRNazanin"/>
          <w:color w:val="111111"/>
          <w:sz w:val="28"/>
          <w:szCs w:val="28"/>
          <w:rtl w:val="true"/>
          <w:lang w:bidi="fa-IR"/>
        </w:rPr>
        <w:t xml:space="preserve">. </w:t>
      </w:r>
      <w:r>
        <w:rPr>
          <w:rStyle w:val="FootnoteAnchor"/>
          <w:rtl w:val="true"/>
        </w:rPr>
        <w:footnoteReference w:id="275"/>
      </w:r>
    </w:p>
    <w:p>
      <w:pPr>
        <w:pStyle w:val="Heading5"/>
        <w:numPr>
          <w:ilvl w:val="4"/>
          <w:numId w:val="1"/>
        </w:numPr>
        <w:rPr/>
      </w:pPr>
      <w:bookmarkStart w:id="290" w:name="__RefHeading___Toc2108900_581953129"/>
      <w:bookmarkStart w:id="291" w:name="_Toc111"/>
      <w:bookmarkEnd w:id="290"/>
      <w:r>
        <w:rPr/>
        <w:t>5</w:t>
      </w:r>
      <w:r>
        <w:rPr>
          <w:rtl w:val="true"/>
        </w:rPr>
        <w:t>-</w:t>
      </w:r>
      <w:r>
        <w:rPr>
          <w:rtl w:val="true"/>
        </w:rPr>
        <w:t>فخر الدین الرازی</w:t>
      </w:r>
      <w:r>
        <w:rPr>
          <w:rtl w:val="true"/>
        </w:rPr>
        <w:t>(</w:t>
      </w:r>
      <w:r>
        <w:rPr>
          <w:rtl w:val="true"/>
        </w:rPr>
        <w:t xml:space="preserve">ت </w:t>
      </w:r>
      <w:r>
        <w:rPr/>
        <w:t>606</w:t>
      </w:r>
      <w:r>
        <w:rPr>
          <w:rtl w:val="true"/>
        </w:rPr>
        <w:t xml:space="preserve"> </w:t>
      </w:r>
      <w:r>
        <w:rPr>
          <w:rtl w:val="true"/>
        </w:rPr>
        <w:t>ه</w:t>
      </w:r>
      <w:r>
        <w:rPr>
          <w:rtl w:val="true"/>
        </w:rPr>
        <w:t>)</w:t>
      </w:r>
      <w:bookmarkEnd w:id="2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أوصل الکلام عند أهل السنّة إلی أقصی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تراجع إلی حدّ</w:t>
      </w:r>
      <w:bookmarkStart w:id="292" w:name="pg5469_34722"/>
    </w:p>
    <w:p>
      <w:pPr>
        <w:pStyle w:val="BookText"/>
        <w:rPr/>
      </w:pPr>
      <w:bookmarkEnd w:id="292"/>
      <w:r>
        <w:rPr>
          <w:rFonts w:ascii="IRNazanin" w:hAnsi="IRNazanin" w:eastAsia="IRNazanin"/>
          <w:color w:val="111111"/>
          <w:sz w:val="28"/>
          <w:sz w:val="28"/>
          <w:szCs w:val="28"/>
          <w:rtl w:val="true"/>
          <w:lang w:bidi="fa-IR"/>
        </w:rPr>
        <w:t>بعید بانهیار الخلافة العباسیة الذی حدث بعد خمسین عاماً من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 الإمام الرازی فی کلامه مسائل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البرهانی و العقلی المتعلّقة بالمذهب مع المسائل الإلهیة وأعاد صیاغتها علی شکل علم یمثّل المذهب،و إن کان أدخل الکثیر من المباحث الفلسفیة فیها</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وبسبب نجاحه فی تأسیس الکلام الفلسفی فقد حظی بأهمّیة فائقة فی علم الکلام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تمیزت تصانیف الفخر الرازی الذی کان یتبع الأشاعرة فی اسلوب ومسائل الکلام،بمزایا المرحلتین السابقتین للکلام الإسلامی عند أهل السنّة،حیث ارتقت مرحلته الاُولی من خلال الأسالیب التی اتبعوها ومن خلال بعض النظریات التی طرحها أیضاً،فی الوقت الذی عرفت هذه المرحلة علی أنّها مرحلة المواجهة و المعارضة للفلاسفة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مرحلتة الثانیة التی تمثّل فترة ما بعد الغزالی فقد أصبح فیها الکلام علماً مستقلاً ممّا أفقده الکثیر من طبیعته الدفاعیة و الجدالیة التی کان یتمیز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الإشارة إلی المحصل،والأربعین فی اصول الدین،من بین نماذج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أساس التقدیس،ولوامع البینات،من بین نماذج المرحلة الثانیة</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وبظهور شخصیات أمثال الخواجة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الرزاق اللاهیجی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المرحلة،یکون الکلام الإسلامی قد طوی مراحل متعددة من النکول و التراجع و الإقدام و التقدّم</w:t>
      </w:r>
      <w:r>
        <w:rPr>
          <w:rFonts w:eastAsia="IRNazanin" w:cs="IRNazanin"/>
          <w:color w:val="111111"/>
          <w:sz w:val="28"/>
          <w:szCs w:val="28"/>
          <w:rtl w:val="true"/>
          <w:lang w:bidi="fa-IR"/>
        </w:rPr>
        <w:t>.</w:t>
      </w:r>
    </w:p>
    <w:p>
      <w:pPr>
        <w:pStyle w:val="Heading4"/>
        <w:numPr>
          <w:ilvl w:val="3"/>
          <w:numId w:val="1"/>
        </w:numPr>
        <w:rPr/>
      </w:pPr>
      <w:bookmarkStart w:id="293" w:name="__RefHeading___Toc2108902_581953129"/>
      <w:bookmarkStart w:id="294" w:name="_Toc112"/>
      <w:bookmarkEnd w:id="293"/>
      <w:r>
        <w:rPr>
          <w:rtl w:val="true"/>
        </w:rPr>
        <w:t>ه</w:t>
      </w:r>
      <w:r>
        <w:rPr>
          <w:rtl w:val="true"/>
        </w:rPr>
        <w:t>)</w:t>
      </w:r>
      <w:r>
        <w:rPr>
          <w:rtl w:val="true"/>
        </w:rPr>
        <w:t>الفقه</w:t>
      </w:r>
      <w:bookmarkEnd w:id="294"/>
    </w:p>
    <w:p>
      <w:pPr>
        <w:pStyle w:val="Heading5"/>
        <w:numPr>
          <w:ilvl w:val="4"/>
          <w:numId w:val="1"/>
        </w:numPr>
        <w:rPr/>
      </w:pPr>
      <w:bookmarkStart w:id="295" w:name="__RefHeading___Toc2108904_581953129"/>
      <w:bookmarkStart w:id="296" w:name="_Toc113"/>
      <w:bookmarkEnd w:id="295"/>
      <w:r>
        <w:rPr>
          <w:rtl w:val="true"/>
        </w:rPr>
        <w:t>اشارة</w:t>
      </w:r>
      <w:bookmarkEnd w:id="2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تعنی مفردة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و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تفقه فی الدین،أی تفکّر وتعمق فیه،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أمّا علم الفقه،فهو یعنی العلم بالأحکام الشرعیة أو فروع الدین،حیث إنّه یحدد الموقف العملی للإنسان فی کلّ واقعة،وذلک علی أساس الشریعة ومن خلال الدلیل،ومن هنا،فإنّ عمل الفقیه یتمثّل باستنباط الحکم الشرعی من مظانه عن طریق إقامة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فالفقه الإسلامی یمثّل القوانین العبادیة،وهی لیست القوانین التی یضعها ویقننها الإنسان،و إنّما القوانین التی یعرضها المذهب الإلهی الصادر عن الله؛ولأجل ذلک فإنّ الاجتهاد المطروح علی مستوی القوانین التعبدیة و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وضع القانون من قبل المجتهد الإسلامی،بل بمعنی کشف واستنباط القوانین التی جعلها ووضعها الله تعالی</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لقد مثلت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وسیرة النبی المصدر الأساسی للأحکام الشرعیة فی صدر الإسلام،وکان الجیل الأوّل من علماء وفقهاء الإسلام،و محدثین یستنبطون الأحکام الشرعیة من خلال القرآن و الحدیث لیبینوها للناس، </w:t>
      </w:r>
      <w:r>
        <w:rPr>
          <w:rStyle w:val="FootnoteAnchor"/>
          <w:rtl w:val="true"/>
        </w:rPr>
        <w:footnoteReference w:id="280"/>
      </w:r>
      <w:r>
        <w:rPr>
          <w:rFonts w:ascii="IRNazanin" w:hAnsi="IRNazanin" w:eastAsia="IRNazanin"/>
          <w:color w:val="111111"/>
          <w:sz w:val="28"/>
          <w:sz w:val="28"/>
          <w:szCs w:val="28"/>
          <w:rtl w:val="true"/>
          <w:lang w:bidi="fa-IR"/>
        </w:rPr>
        <w:t>إلّا أنه وبسبب وجود الرسول الأکرم لم تکن هناک حاجة ملحة لهذا النوع من الاستنباط فی ذلک العهد،لکن الأمر تغیر بعد رحلة النبی،حیث أخرج البعض الاجتهاد عن مجراه الأساسی،وأعطوا استنباطهم وآراءهم أهمّیة أکبر من الأحادیث</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ثمة أمثلة عدیدة،تثبت اجتهاد الخلیفة الثانی فی مقابل النصّ،فهو لم یرتضِ المدرسة الحدیثیة من الأساس،حیث کان یعتقد بالاجتهاد الشخصی للخلیفة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الخلفاء الأوائل یصدرون الفتاوی،وکان الکثیر منها یمثل اجتهاداً شخصیاً منهم</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وفی مقابل ذلک،کان اسلوب الإمام علی</w:t>
      </w:r>
      <w:r>
        <w:rPr>
          <w:rFonts w:ascii="IRNazanin" w:hAnsi="IRNazanin" w:eastAsia="IRNazanin"/>
          <w:i/>
          <w:i/>
          <w:iCs/>
          <w:color w:val="111111"/>
          <w:sz w:val="28"/>
          <w:sz w:val="28"/>
          <w:szCs w:val="28"/>
          <w:rtl w:val="true"/>
          <w:lang w:bidi="fa-IR"/>
        </w:rPr>
        <w:t>وأتباعه فی الاستنباط یقوم علی الأحادیث فحسب</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فقد کان یری أنّ الاجتهاد یتوقّف علی عدم وجود حدیث،إلّا أنّ هذا الاجتهاد لیس اجتهاداً قائماً علی الاستنباطات العقلیة الصرفة،و إنّما هو اجتهاد تمتد جذوره إلی الکتاب و السنّة المتمثلة بکلام نبی الإسلام و الإمام علی</w:t>
      </w:r>
      <w:r>
        <w:rPr>
          <w:rFonts w:ascii="IRNazanin" w:hAnsi="IRNazanin" w:eastAsia="IRNazanin"/>
          <w:color w:val="111111"/>
          <w:sz w:val="28"/>
          <w:sz w:val="28"/>
          <w:szCs w:val="28"/>
          <w:rtl w:val="true"/>
          <w:lang w:bidi="fa-IR"/>
        </w:rPr>
        <w:t>الذی کان یأمر القضاة بالعمل بما یوافق کتاب الله وسنة نبیه وقول وفعل الإمام عند اختلافهم فی استنباط الحکم الشرعی</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وکان ذمّه وطعنه فی اختلافات أهل الرأی و القیاس فی الفتوی،یمثل تلقینا غیر مباشر للمسلمین فی کیفیة الاستفادة من الآیات القرآنیة فی استنباط الأحکام</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ارتباط وثیق فیما بین الفقه فی جوانبه العامّة و المنطق،وذلک علی مستوی التعریفات والاستدلالات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أی علم 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علم الاُصول منطق الفقه،إذ إنّ علم الاُصول یتضمّن المزایا التی یتمیز بها المنطق کعلم آلی،ومن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للفقاهة ارتباطاً مبنائیاً بالاُصول،حیث تتحدد فی هذا العلم العناصر الأساسیة للاستنباط التی یتمّ دراسة وتمحیص کلّ منها،لتقوم بدورها وتؤدّی وظیفتها الخاصّة فی الاستدلال الفقهی</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اصول الفقه هو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بالعناصر المشترکة فی عملیة استنباط الحکم الشرعی</w:t>
      </w:r>
      <w:r>
        <w:rPr>
          <w:rFonts w:eastAsia="IRNazanin" w:cs="IRNazanin"/>
          <w:color w:val="111111"/>
          <w:sz w:val="28"/>
          <w:szCs w:val="28"/>
          <w:rtl w:val="true"/>
          <w:lang w:bidi="fa-IR"/>
        </w:rPr>
        <w:t xml:space="preserve">. </w:t>
      </w:r>
      <w:r>
        <w:rPr>
          <w:rStyle w:val="FootnoteAnchor"/>
          <w:rtl w:val="true"/>
        </w:rPr>
        <w:footnoteReference w:id="285"/>
      </w:r>
      <w:bookmarkStart w:id="297" w:name="pg5469_34725"/>
    </w:p>
    <w:p>
      <w:pPr>
        <w:pStyle w:val="BookText"/>
        <w:rPr/>
      </w:pPr>
      <w:bookmarkEnd w:id="297"/>
      <w:r>
        <w:rPr>
          <w:rFonts w:ascii="IRNazanin" w:hAnsi="IRNazanin" w:eastAsia="IRNazanin"/>
          <w:color w:val="111111"/>
          <w:sz w:val="28"/>
          <w:sz w:val="28"/>
          <w:szCs w:val="28"/>
          <w:rtl w:val="true"/>
          <w:lang w:bidi="fa-IR"/>
        </w:rPr>
        <w:t>و قد کان الأئمة علیهم السلام یأمرون تلامذتهم البارزین بالجلوس فی المسجد للإفتاء بعد أن لقنوهم تلک الاُصول،لیس هذا فقط،بل کانوا یرجعون الناس إلیهم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بهذه الطریقة تأسیس علم الفقه الذی مازال قائماً وحیویاً حتّی الیوم</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298" w:name="__RefHeading___Toc2108906_581953129"/>
      <w:bookmarkStart w:id="299" w:name="_Toc114"/>
      <w:bookmarkEnd w:id="298"/>
      <w:r>
        <w:rPr>
          <w:rtl w:val="true"/>
        </w:rPr>
        <w:t>الفقه الشیعی</w:t>
      </w:r>
      <w:bookmarkEnd w:id="299"/>
    </w:p>
    <w:p>
      <w:pPr>
        <w:pStyle w:val="Heading6"/>
        <w:numPr>
          <w:ilvl w:val="5"/>
          <w:numId w:val="1"/>
        </w:numPr>
        <w:rPr/>
      </w:pPr>
      <w:bookmarkStart w:id="300" w:name="__RefHeading___Toc2108908_581953129"/>
      <w:bookmarkStart w:id="301" w:name="_Toc115"/>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إنّ علم الفقه الذی یرتکز علی علم الاُصول،وأصل مسیرته بعد عصر الغیبة الصغری</w:t>
      </w:r>
      <w:r>
        <w:rPr>
          <w:rFonts w:eastAsia="IRNazanin" w:cs="IRNazanin"/>
          <w:color w:val="111111"/>
          <w:sz w:val="28"/>
          <w:szCs w:val="28"/>
          <w:rtl w:val="true"/>
          <w:lang w:bidi="fa-IR"/>
        </w:rPr>
        <w:t>(</w:t>
      </w:r>
      <w:r>
        <w:rPr>
          <w:rFonts w:eastAsia="IRNazanin" w:cs="IRNazanin"/>
          <w:color w:val="111111"/>
          <w:sz w:val="28"/>
          <w:szCs w:val="28"/>
          <w:lang w:bidi="fa-IR"/>
        </w:rPr>
        <w:t>260320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یتوقّف أبداً حتّی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شابت حرکته هذه بعض التراجعات،إلّا أنّه طوی مسیرته التکاملیة بشکل أو آخر، </w:t>
      </w:r>
      <w:r>
        <w:rPr>
          <w:rStyle w:val="FootnoteAnchor"/>
          <w:rtl w:val="true"/>
        </w:rPr>
        <w:footnoteReference w:id="287"/>
      </w:r>
      <w:r>
        <w:rPr>
          <w:rFonts w:ascii="IRNazanin" w:hAnsi="IRNazanin" w:eastAsia="IRNazanin"/>
          <w:color w:val="111111"/>
          <w:sz w:val="28"/>
          <w:sz w:val="28"/>
          <w:szCs w:val="28"/>
          <w:rtl w:val="true"/>
          <w:lang w:bidi="fa-IR"/>
        </w:rPr>
        <w:t>وبما أنّه لیس بإمکاننا الإشارة إلی جمیع الفقهاء الذین ساهموا فی سیره التکاملی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فسنقتصر علی ذکر أهمّ شخصیاتهم فی هذا التقریر الموجز</w:t>
      </w:r>
      <w:r>
        <w:rPr>
          <w:rFonts w:eastAsia="IRNazanin" w:cs="IRNazanin"/>
          <w:color w:val="111111"/>
          <w:sz w:val="28"/>
          <w:szCs w:val="28"/>
          <w:rtl w:val="true"/>
          <w:lang w:bidi="fa-IR"/>
        </w:rPr>
        <w:t>:</w:t>
      </w:r>
    </w:p>
    <w:p>
      <w:pPr>
        <w:pStyle w:val="Heading6"/>
        <w:numPr>
          <w:ilvl w:val="5"/>
          <w:numId w:val="1"/>
        </w:numPr>
        <w:rPr/>
      </w:pPr>
      <w:bookmarkStart w:id="302" w:name="__RefHeading___Toc2108910_581953129"/>
      <w:bookmarkStart w:id="303" w:name="_Toc116"/>
      <w:bookmarkEnd w:id="302"/>
      <w:r>
        <w:rPr/>
        <w:t>1</w:t>
      </w:r>
      <w:r>
        <w:rPr>
          <w:rtl w:val="true"/>
        </w:rPr>
        <w:t>-</w:t>
      </w:r>
      <w:r>
        <w:rPr>
          <w:rtl w:val="true"/>
        </w:rPr>
        <w:t>الشریف المرتضی،علی بن الحسین الموسوی</w:t>
      </w:r>
      <w:r>
        <w:rPr>
          <w:rtl w:val="true"/>
        </w:rPr>
        <w:t>(</w:t>
      </w:r>
      <w:r>
        <w:rPr>
          <w:rtl w:val="true"/>
        </w:rPr>
        <w:t>ت</w:t>
      </w:r>
      <w:r>
        <w:rPr/>
        <w:t>436</w:t>
      </w:r>
      <w:r>
        <w:rPr>
          <w:rtl w:val="true"/>
        </w:rPr>
        <w:t>ه</w:t>
      </w:r>
      <w:r>
        <w:rPr>
          <w:rtl w:val="true"/>
        </w:rPr>
        <w:t>)</w:t>
      </w:r>
      <w:bookmarkEnd w:id="3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العلّامة الحلّی معلماً للشیعة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وتمیز بتمکنه من فنون عدیدة،حیث احتلّ منزلة رفیعة فی تدریس جمیع العلوم الإسلامیة معقولها ومنقولها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زعیماً علمیاً ودینیاً للشیعة بعد استاذه الکبیر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تلمّذ علی یدیه الکثیر من مفاخر العلماء و الفقهاء و المتکلّمین،شیعة وسنّة وفی مقدّمتهم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الطوسی،حیث استمرّ علی تلقی دروسه منه علی مدی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بعد وفاة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تألیفات متعددة یمکن الإشارة إلی بعضها فی مجال الفقه والاُصول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اصول الشریعة ومسائل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العلم و العمل،والمسائل الناصریة فی علم الفقه</w:t>
      </w:r>
      <w:r>
        <w:rPr>
          <w:rFonts w:eastAsia="IRNazanin" w:cs="IRNazanin"/>
          <w:color w:val="111111"/>
          <w:sz w:val="28"/>
          <w:szCs w:val="28"/>
          <w:rtl w:val="true"/>
          <w:lang w:bidi="fa-IR"/>
        </w:rPr>
        <w:t xml:space="preserve">. </w:t>
      </w:r>
      <w:r>
        <w:rPr>
          <w:rStyle w:val="FootnoteAnchor"/>
          <w:rtl w:val="true"/>
        </w:rPr>
        <w:footnoteReference w:id="288"/>
      </w:r>
      <w:bookmarkStart w:id="304" w:name="pg5469_34727"/>
    </w:p>
    <w:p>
      <w:pPr>
        <w:pStyle w:val="Heading6"/>
        <w:numPr>
          <w:ilvl w:val="5"/>
          <w:numId w:val="1"/>
        </w:numPr>
        <w:rPr/>
      </w:pPr>
      <w:bookmarkStart w:id="305" w:name="__RefHeading___Toc2108912_581953129"/>
      <w:bookmarkStart w:id="306" w:name="_Toc117"/>
      <w:bookmarkEnd w:id="304"/>
      <w:bookmarkEnd w:id="305"/>
      <w:r>
        <w:rPr/>
        <w:t>2</w:t>
      </w:r>
      <w:r>
        <w:rPr>
          <w:rtl w:val="true"/>
        </w:rPr>
        <w:t>-</w:t>
      </w:r>
      <w:r>
        <w:rPr>
          <w:rtl w:val="true"/>
        </w:rPr>
        <w:t>الشیخ الطوسی محمّد بن الحسن المعروف بشیخ الطائفة</w:t>
      </w:r>
      <w:r>
        <w:rPr>
          <w:rtl w:val="true"/>
        </w:rPr>
        <w:t>(</w:t>
      </w:r>
      <w:r>
        <w:rPr>
          <w:rtl w:val="true"/>
        </w:rPr>
        <w:t>ت</w:t>
      </w:r>
      <w:r>
        <w:rPr/>
        <w:t>460</w:t>
      </w:r>
      <w:r>
        <w:rPr>
          <w:rtl w:val="true"/>
        </w:rPr>
        <w:t>ه</w:t>
      </w:r>
      <w:r>
        <w:rPr>
          <w:rtl w:val="true"/>
        </w:rPr>
        <w:t>)</w:t>
      </w:r>
      <w:bookmarkEnd w:id="306"/>
    </w:p>
    <w:p>
      <w:pPr>
        <w:pStyle w:val="BookText"/>
        <w:rPr/>
      </w:pPr>
      <w:r>
        <w:rPr>
          <w:rFonts w:ascii="IRNazanin" w:hAnsi="IRNazanin" w:eastAsia="IRNazanin"/>
          <w:color w:val="111111"/>
          <w:sz w:val="28"/>
          <w:sz w:val="28"/>
          <w:szCs w:val="28"/>
          <w:rtl w:val="true"/>
          <w:lang w:bidi="fa-IR"/>
        </w:rPr>
        <w:t>و هو أحد أعظم نوابغ العالم وزعیم الفقهاء و المتکلّمین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انتقلت إلیه زعامة الشیعة العلمیة و الفتوائیة من بعد استاذه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فی بغداد اثنی عشر عاماً بعد السید المرتضی،غیر أنّ الاضطرابات التی حدثت فیها،ونهبت إثرها داره ومکتبته،اضطرته إلی الهجرة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اثنی عشر عاماً من أواخر حیاته إلی جانب مرقد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أدّی إلی تدفق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طلبة وعلماء علی النجف من کلّ حدب وصوب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مؤسساً لحلقات الدرس وللحوزة العلمیة فی النجف بإجماع أهل العلم،الحوزة العلمیة التی أهدت المجتمع الإسلامی علی مدی تسعمئة عام من عمرها الآلاف من الفقهاء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المحدثین المشهورین و الحکماء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الاُدباء و الکتّاب</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ما یدعو إلی التأمّل فی هذه الشخصیة الذائعة الصیت هو أنّها نقلت علم الفقه والاُصول نقلة نوعیة إلی ما یمکن القول عنه أنّها عبرت به من مرحلته التمهیدیة إلی مرحلته التطوریة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أنهی الشیخ الطوسی العصر التمهیدی للعلوم الإسلامیة وأسس العصر العلمی المتطور،ومن هنا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الفقه الشیعی منحصراً فی حدود مضمون الروایات ومسائلها فی الأساس،وذلک قبل أن یقوم بتدوین کتابه المبسوط؛فأدّی تدوینه المبسوط وفتحه طریق الاجتهاد لاستنباط أحکام المسائل المستحدثة التی لم تأت الروایات علی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نشر منهج للاستنباط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أسس قاعدته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بقی مستمراً ومتنامیاً حتّی الیوم</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بثقة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 والاُسلوب الاجتهادی المعاصر هو نفسه الذی بینه</w:t>
      </w:r>
      <w:bookmarkStart w:id="307" w:name="pg5469_34729"/>
    </w:p>
    <w:p>
      <w:pPr>
        <w:pStyle w:val="BookText"/>
        <w:rPr/>
      </w:pPr>
      <w:bookmarkEnd w:id="307"/>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الفقه یقوم علی الاُصول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التحوّل الفقهی الذی حدث علی یدیه کان مرافقاً للتطوّر الذی أحدثه فی الاُصول،و هو ما یتجلی بأبلغ صورة فی کتابه عدّة الأصول</w:t>
      </w:r>
      <w:r>
        <w:rPr>
          <w:rFonts w:eastAsia="IRNazanin" w:cs="IRNazanin"/>
          <w:color w:val="111111"/>
          <w:sz w:val="28"/>
          <w:szCs w:val="28"/>
          <w:rtl w:val="true"/>
          <w:lang w:bidi="fa-IR"/>
        </w:rPr>
        <w:t>.</w:t>
      </w:r>
    </w:p>
    <w:p>
      <w:pPr>
        <w:pStyle w:val="Heading6"/>
        <w:numPr>
          <w:ilvl w:val="5"/>
          <w:numId w:val="1"/>
        </w:numPr>
        <w:rPr/>
      </w:pPr>
      <w:bookmarkStart w:id="308" w:name="__RefHeading___Toc2108914_581953129"/>
      <w:bookmarkStart w:id="309" w:name="_Toc118"/>
      <w:bookmarkEnd w:id="308"/>
      <w:r>
        <w:rPr/>
        <w:t>3</w:t>
      </w:r>
      <w:r>
        <w:rPr>
          <w:rtl w:val="true"/>
        </w:rPr>
        <w:t>-</w:t>
      </w:r>
      <w:r>
        <w:rPr>
          <w:rtl w:val="true"/>
        </w:rPr>
        <w:t>ابن أدریس محمّد بن أحمد</w:t>
      </w:r>
      <w:r>
        <w:rPr>
          <w:rtl w:val="true"/>
        </w:rPr>
        <w:t>(</w:t>
      </w:r>
      <w:r>
        <w:rPr>
          <w:rtl w:val="true"/>
        </w:rPr>
        <w:t xml:space="preserve">ت </w:t>
      </w:r>
      <w:r>
        <w:rPr/>
        <w:t>598</w:t>
      </w:r>
      <w:r>
        <w:rPr>
          <w:rtl w:val="true"/>
        </w:rPr>
        <w:t xml:space="preserve"> </w:t>
      </w:r>
      <w:r>
        <w:rPr>
          <w:rtl w:val="true"/>
        </w:rPr>
        <w:t>ه</w:t>
      </w:r>
      <w:r>
        <w:rPr>
          <w:rtl w:val="true"/>
        </w:rPr>
        <w:t>)</w:t>
      </w:r>
      <w:bookmarkEnd w:id="309"/>
    </w:p>
    <w:p>
      <w:pPr>
        <w:pStyle w:val="BookText"/>
        <w:rPr/>
      </w:pPr>
      <w:r>
        <w:rPr>
          <w:rFonts w:ascii="IRNazanin" w:hAnsi="IRNazanin" w:eastAsia="IRNazanin"/>
          <w:color w:val="111111"/>
          <w:sz w:val="28"/>
          <w:sz w:val="28"/>
          <w:szCs w:val="28"/>
          <w:rtl w:val="true"/>
          <w:lang w:bidi="fa-IR"/>
        </w:rPr>
        <w:t>لقد واجه علم الفقه رکوداً نسبیاً بعد الشیخ الطوسی</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إلی أن بدأ یعود لحرکته المتنامیة بظهور ابن إدریس الذی یعدّ من أعاظم علماء الشیعة الذین عرفوا بحریتهم الفکریة، </w:t>
      </w:r>
      <w:r>
        <w:rPr>
          <w:rStyle w:val="FootnoteAnchor"/>
          <w:rtl w:val="true"/>
        </w:rPr>
        <w:footnoteReference w:id="292"/>
      </w:r>
      <w:r>
        <w:rPr>
          <w:rFonts w:ascii="IRNazanin" w:hAnsi="IRNazanin" w:eastAsia="IRNazanin"/>
          <w:color w:val="111111"/>
          <w:sz w:val="28"/>
          <w:sz w:val="28"/>
          <w:szCs w:val="28"/>
          <w:rtl w:val="true"/>
          <w:lang w:bidi="fa-IR"/>
        </w:rPr>
        <w:t>حیث بث روحاً جدیدة فی جسد الفکر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تألیفه لکتاب السرائر الفقهی مثالاً بارزاً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طرح الشهید محمّد باقر الصدر نقطتین أساسیتین عند مقارنته بین کتاب المبسوط و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الاعتماد علی العناصر الاُصولیة فی حلّ المسائل الفقهیة أکثر فی کتاب السرائر منه فی المبسوط؛الثانیة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الفقهی فی السرائر أکثر تفصیلاً ممّا هو علیه فی کتاب المبسوط</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شهد الفقه الشیعی تطوراً عمیقاً وفائقاً وواصل دورته التکاملیة حتّی الیوم،وذلک من خلال ظهور فقهاء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مکّی العاملی المعروف بالشهید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زین الدین بن علی بن أحمد العاملی المعروف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أحمد أمین الإسترابادی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،والشیخ مرتضی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10" w:name="pg5469_34731"/>
    </w:p>
    <w:p>
      <w:pPr>
        <w:pStyle w:val="BookText"/>
        <w:rPr/>
      </w:pPr>
      <w:bookmarkEnd w:id="310"/>
      <w:r>
        <w:rPr>
          <w:rFonts w:ascii="IRNazanin" w:hAnsi="IRNazanin" w:eastAsia="IRNazanin"/>
          <w:color w:val="111111"/>
          <w:sz w:val="28"/>
          <w:sz w:val="28"/>
          <w:szCs w:val="28"/>
          <w:rtl w:val="true"/>
          <w:lang w:bidi="fa-IR"/>
        </w:rPr>
        <w:t xml:space="preserve">وکان لانتصار الثورة الإسلامیة فی إیران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ممیز فی دخول الدین میدان الاجتماع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ومواجهة الفقه لمسائل مستحدثة ترتبط بالعلاقات،والأحداث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المؤسسات و المنظمات و الأسس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السیاسیة والاقتصادیة التی کانت جمیعها تسیر خارج نطاق تقالیدنا الدینیة من جهة اخری،ومن هنا،فإنّ الإحساس بضرورة إعادة النظر فی اسلوب استنباط الأحکام وتأسیس اصول أغنی عمّا کانت علیه فی المرحلة السابقة للفقه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هذا الوسط،اعتبر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أحد الفقهاء البارزین فی حوزة قم و النجف،الاجتهاد المألوف عاجزاً عن مواجهة مسائل العالم المعاصر وإدارة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وأوصی العلماء و الفقهاء بإصلاح المحتوی الاجتهادی من خلال إدخال عنصری و فی عملیة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یعنی هذا بطبیعة الحال هدم الاجتهاد التقلیدی أو الادّعاء بعدم تأثیر الزمان و المکان فیما اجتهد فیه فقهاؤنا السابقون،و إنّما یعنی طرح وعرض الأحکام الدینیة من خلال کونها جامعة وخالدة،واستلهام السنن القویمة و الأصیلة لحلّ معضلات العصر الحاضر،واعتماد عنصری و بنحو أوسع وأرسخ</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فغدا هذا الاُفق المفتوح منطلقاً لاتساع وتکامل علم الفقه الذی شعت بوادره فی أذهان الفقهاء المعاصرین</w:t>
      </w:r>
      <w:r>
        <w:rPr>
          <w:rFonts w:eastAsia="IRNazanin" w:cs="IRNazanin"/>
          <w:color w:val="111111"/>
          <w:sz w:val="28"/>
          <w:szCs w:val="28"/>
          <w:rtl w:val="true"/>
          <w:lang w:bidi="fa-IR"/>
        </w:rPr>
        <w:t>.</w:t>
      </w:r>
    </w:p>
    <w:p>
      <w:pPr>
        <w:pStyle w:val="Heading5"/>
        <w:numPr>
          <w:ilvl w:val="4"/>
          <w:numId w:val="1"/>
        </w:numPr>
        <w:rPr/>
      </w:pPr>
      <w:bookmarkStart w:id="311" w:name="__RefHeading___Toc2108916_581953129"/>
      <w:bookmarkStart w:id="312" w:name="_Toc119"/>
      <w:bookmarkEnd w:id="311"/>
      <w:r>
        <w:rPr>
          <w:rtl w:val="true"/>
        </w:rPr>
        <w:t>فقه أهل السنّة</w:t>
      </w:r>
      <w:bookmarkEnd w:id="312"/>
    </w:p>
    <w:p>
      <w:pPr>
        <w:pStyle w:val="Heading6"/>
        <w:numPr>
          <w:ilvl w:val="5"/>
          <w:numId w:val="1"/>
        </w:numPr>
        <w:rPr/>
      </w:pPr>
      <w:bookmarkStart w:id="313" w:name="__RefHeading___Toc2108918_581953129"/>
      <w:bookmarkStart w:id="314" w:name="_Toc120"/>
      <w:bookmarkEnd w:id="313"/>
      <w:r>
        <w:rPr>
          <w:rtl w:val="true"/>
        </w:rPr>
        <w:t>اشارة</w:t>
      </w:r>
      <w:bookmarkEnd w:id="3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الفقه السنّی کماله بتأسیس المذاهب الفقهیة الأربعة بین القرن الثانی و الثالث الهجری،حیث کانت الأحکام الفقهیة فی القرن الأوّل تستند فی الغالب إلی رأی الصحابة وتابعیهم؛ولکن مع بدء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المدارس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وتباعد</w:t>
      </w:r>
      <w:bookmarkStart w:id="315" w:name="pg5469_34733"/>
    </w:p>
    <w:p>
      <w:pPr>
        <w:pStyle w:val="BookText"/>
        <w:rPr/>
      </w:pPr>
      <w:bookmarkEnd w:id="315"/>
      <w:r>
        <w:rPr>
          <w:rFonts w:ascii="IRNazanin" w:hAnsi="IRNazanin" w:eastAsia="IRNazanin"/>
          <w:color w:val="111111"/>
          <w:sz w:val="28"/>
          <w:sz w:val="28"/>
          <w:szCs w:val="28"/>
          <w:rtl w:val="true"/>
          <w:lang w:bidi="fa-IR"/>
        </w:rPr>
        <w:t xml:space="preserve">حدود الدولة الإسلامیة والاطّلاع علی ثقافات الشعوب الاُخری؛تضاعفت الحاجة إلی تطویر الفقه، </w:t>
      </w:r>
      <w:r>
        <w:rPr>
          <w:rStyle w:val="FootnoteAnchor"/>
          <w:rtl w:val="true"/>
        </w:rPr>
        <w:footnoteReference w:id="295"/>
      </w:r>
      <w:r>
        <w:rPr>
          <w:rFonts w:ascii="IRNazanin" w:hAnsi="IRNazanin" w:eastAsia="IRNazanin"/>
          <w:color w:val="111111"/>
          <w:sz w:val="28"/>
          <w:sz w:val="28"/>
          <w:szCs w:val="28"/>
          <w:rtl w:val="true"/>
          <w:lang w:bidi="fa-IR"/>
        </w:rPr>
        <w:t>فولدت المذاهب الفقهیة الأربعة</w:t>
      </w:r>
      <w:r>
        <w:rPr>
          <w:rFonts w:eastAsia="IRNazanin" w:cs="IRNazanin"/>
          <w:color w:val="111111"/>
          <w:sz w:val="28"/>
          <w:szCs w:val="28"/>
          <w:rtl w:val="true"/>
          <w:lang w:bidi="fa-IR"/>
        </w:rPr>
        <w:t>:</w:t>
      </w:r>
    </w:p>
    <w:p>
      <w:pPr>
        <w:pStyle w:val="Heading6"/>
        <w:numPr>
          <w:ilvl w:val="5"/>
          <w:numId w:val="1"/>
        </w:numPr>
        <w:rPr/>
      </w:pPr>
      <w:bookmarkStart w:id="316" w:name="__RefHeading___Toc2108920_581953129"/>
      <w:bookmarkStart w:id="317" w:name="_Toc121"/>
      <w:bookmarkEnd w:id="316"/>
      <w:r>
        <w:rPr/>
        <w:t>1</w:t>
      </w:r>
      <w:r>
        <w:rPr>
          <w:rtl w:val="true"/>
        </w:rPr>
        <w:t>-</w:t>
      </w:r>
      <w:r>
        <w:rPr>
          <w:rtl w:val="true"/>
        </w:rPr>
        <w:t>الفقه الحنفی</w:t>
      </w:r>
      <w:bookmarkEnd w:id="317"/>
    </w:p>
    <w:p>
      <w:pPr>
        <w:pStyle w:val="BookText"/>
        <w:rPr/>
      </w:pPr>
      <w:r>
        <w:rPr>
          <w:rFonts w:ascii="IRNazanin" w:hAnsi="IRNazanin" w:eastAsia="IRNazanin"/>
          <w:color w:val="111111"/>
          <w:sz w:val="28"/>
          <w:sz w:val="28"/>
          <w:szCs w:val="28"/>
          <w:rtl w:val="true"/>
          <w:lang w:bidi="fa-IR"/>
        </w:rPr>
        <w:t>أسس هذا المذهب أبو حنیفة النعمان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وأدّت علاقته الوطیدة بالحکام وبعث القضاة إلی المناطق المختلفة إلی انتشاره فیها،حیث شمل العراق ومصر وماوراء النهر و الأناضول وشبه القارة 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ساهم حتّی الیوم تلامذة کثر فی نشر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القاضی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الرازی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الزمخشری وغیرهم</w:t>
      </w:r>
      <w:r>
        <w:rPr>
          <w:rFonts w:eastAsia="IRNazanin" w:cs="IRNazanin"/>
          <w:color w:val="111111"/>
          <w:sz w:val="28"/>
          <w:szCs w:val="28"/>
          <w:rtl w:val="true"/>
          <w:lang w:bidi="fa-IR"/>
        </w:rPr>
        <w:t xml:space="preserve">. </w:t>
      </w:r>
      <w:r>
        <w:rPr>
          <w:rStyle w:val="FootnoteAnchor"/>
          <w:rtl w:val="true"/>
        </w:rPr>
        <w:footnoteReference w:id="296"/>
      </w:r>
    </w:p>
    <w:p>
      <w:pPr>
        <w:pStyle w:val="Heading6"/>
        <w:numPr>
          <w:ilvl w:val="5"/>
          <w:numId w:val="1"/>
        </w:numPr>
        <w:rPr/>
      </w:pPr>
      <w:bookmarkStart w:id="318" w:name="__RefHeading___Toc2108922_581953129"/>
      <w:bookmarkStart w:id="319" w:name="_Toc122"/>
      <w:bookmarkEnd w:id="318"/>
      <w:r>
        <w:rPr/>
        <w:t>2</w:t>
      </w:r>
      <w:r>
        <w:rPr>
          <w:rtl w:val="true"/>
        </w:rPr>
        <w:t>-</w:t>
      </w:r>
      <w:r>
        <w:rPr>
          <w:rtl w:val="true"/>
        </w:rPr>
        <w:t>الفقه المالکی</w:t>
      </w:r>
      <w:bookmarkEnd w:id="319"/>
    </w:p>
    <w:p>
      <w:pPr>
        <w:pStyle w:val="BookText"/>
        <w:rPr/>
      </w:pPr>
      <w:r>
        <w:rPr>
          <w:rFonts w:ascii="IRNazanin" w:hAnsi="IRNazanin" w:eastAsia="IRNazanin"/>
          <w:color w:val="111111"/>
          <w:sz w:val="28"/>
          <w:sz w:val="28"/>
          <w:szCs w:val="28"/>
          <w:rtl w:val="true"/>
          <w:lang w:bidi="fa-IR"/>
        </w:rPr>
        <w:t>أسسه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وقف بوجه ما اعتمده أبوحنیفة من الرأی و القیاس فی استنباط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یری عدم إمکانیة الاستفادة من الرأی و القیاس مع وجود العلم بالدلیل الروائی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الموطأ من أهمّ کتبه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أبرز مشاهیر هذا المذهب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عبد الرحمان بن قاسم؛الأصبغ بن الفرج الأموی؛أسد بن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بن کثیر اللیثی وغیرهم</w:t>
      </w:r>
      <w:r>
        <w:rPr>
          <w:rFonts w:eastAsia="IRNazanin" w:cs="IRNazanin"/>
          <w:color w:val="111111"/>
          <w:sz w:val="28"/>
          <w:szCs w:val="28"/>
          <w:rtl w:val="true"/>
          <w:lang w:bidi="fa-IR"/>
        </w:rPr>
        <w:t xml:space="preserve">. </w:t>
      </w:r>
      <w:r>
        <w:rPr>
          <w:rStyle w:val="FootnoteAnchor"/>
          <w:rtl w:val="true"/>
        </w:rPr>
        <w:footnoteReference w:id="297"/>
      </w:r>
    </w:p>
    <w:p>
      <w:pPr>
        <w:pStyle w:val="Heading6"/>
        <w:numPr>
          <w:ilvl w:val="5"/>
          <w:numId w:val="1"/>
        </w:numPr>
        <w:rPr/>
      </w:pPr>
      <w:bookmarkStart w:id="320" w:name="__RefHeading___Toc2108924_581953129"/>
      <w:bookmarkStart w:id="321" w:name="_Toc123"/>
      <w:bookmarkEnd w:id="320"/>
      <w:r>
        <w:rPr/>
        <w:t>3</w:t>
      </w:r>
      <w:r>
        <w:rPr>
          <w:rtl w:val="true"/>
        </w:rPr>
        <w:t>-</w:t>
      </w:r>
      <w:r>
        <w:rPr>
          <w:rtl w:val="true"/>
        </w:rPr>
        <w:t>الفقه الشافعی</w:t>
      </w:r>
      <w:bookmarkEnd w:id="32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أشاد هذا المذهب أبو عبد الله محمّد بن أدریس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سعی لتأسیس فقه جدید من خلال التقریب بین المبانی الفقهیة للمذهب الحنفی و المالکی،مع أنّه کان من المخالفین للاستحسان الحنفی والاستصلاح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أبو علی بن</w:t>
      </w:r>
      <w:bookmarkStart w:id="322" w:name="pg5469_34735"/>
    </w:p>
    <w:p>
      <w:pPr>
        <w:pStyle w:val="BookText"/>
        <w:rPr/>
      </w:pPr>
      <w:bookmarkEnd w:id="322"/>
      <w:r>
        <w:rPr>
          <w:rFonts w:ascii="IRNazanin" w:hAnsi="IRNazanin" w:eastAsia="IRNazanin"/>
          <w:color w:val="111111"/>
          <w:sz w:val="28"/>
          <w:sz w:val="28"/>
          <w:szCs w:val="28"/>
          <w:rtl w:val="true"/>
          <w:lang w:bidi="fa-IR"/>
        </w:rPr>
        <w:t>الحسین بن علی الکرابیسی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ثور إبراهیم بن خالد بن یمان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الحسن بن أحمد الاصطخری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الجوبقی النفسی من أهمّ فقهاء هذا المذهب</w:t>
      </w:r>
      <w:r>
        <w:rPr>
          <w:rFonts w:eastAsia="IRNazanin" w:cs="IRNazanin"/>
          <w:color w:val="111111"/>
          <w:sz w:val="28"/>
          <w:szCs w:val="28"/>
          <w:rtl w:val="true"/>
          <w:lang w:bidi="fa-IR"/>
        </w:rPr>
        <w:t xml:space="preserve">. </w:t>
      </w:r>
      <w:r>
        <w:rPr>
          <w:rStyle w:val="FootnoteAnchor"/>
          <w:rtl w:val="true"/>
        </w:rPr>
        <w:footnoteReference w:id="298"/>
      </w:r>
    </w:p>
    <w:p>
      <w:pPr>
        <w:pStyle w:val="Heading6"/>
        <w:numPr>
          <w:ilvl w:val="5"/>
          <w:numId w:val="1"/>
        </w:numPr>
        <w:rPr/>
      </w:pPr>
      <w:bookmarkStart w:id="323" w:name="__RefHeading___Toc2108926_581953129"/>
      <w:bookmarkStart w:id="324" w:name="_Toc124"/>
      <w:bookmarkEnd w:id="323"/>
      <w:r>
        <w:rPr/>
        <w:t>4</w:t>
      </w:r>
      <w:r>
        <w:rPr>
          <w:rtl w:val="true"/>
        </w:rPr>
        <w:t>-</w:t>
      </w:r>
      <w:r>
        <w:rPr>
          <w:rtl w:val="true"/>
        </w:rPr>
        <w:t>الفقه الحنبلی</w:t>
      </w:r>
      <w:bookmarkEnd w:id="324"/>
    </w:p>
    <w:p>
      <w:pPr>
        <w:pStyle w:val="BookText"/>
        <w:rPr/>
      </w:pPr>
      <w:r>
        <w:rPr>
          <w:rFonts w:ascii="IRNazanin" w:hAnsi="IRNazanin" w:eastAsia="IRNazanin"/>
          <w:color w:val="111111"/>
          <w:sz w:val="28"/>
          <w:sz w:val="28"/>
          <w:szCs w:val="28"/>
          <w:rtl w:val="true"/>
          <w:lang w:bidi="fa-IR"/>
        </w:rPr>
        <w:t>أقیمت دعائم هذا المذهب علی ید أحمد بن حنبل بن هلال الدهلی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استحسن طریقة أهل الحدیث وسلک الاتجاه الأخباری،وسعی من خلال تدوین کتاب یضمّ ثلاثین ألف حدیث،عرض طریقته فی استنباط الأحکام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أهمّ علماء هذا المذهب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الحجاج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إبراهیم بن عمر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عبد الواحد بن محمّد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الجوزیة وغیرهم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ولم یشهد الفقه تطوّراً فی أوساط السنّة منذ ظهور المذاهب الأربعة وحتّی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اکتفی فقهاء العامّة بشرح وتفسیر آثار هذه المذاهب</w:t>
      </w:r>
      <w:r>
        <w:rPr>
          <w:rFonts w:eastAsia="IRNazanin" w:cs="IRNazanin"/>
          <w:color w:val="111111"/>
          <w:sz w:val="28"/>
          <w:szCs w:val="28"/>
          <w:rtl w:val="true"/>
          <w:lang w:bidi="fa-IR"/>
        </w:rPr>
        <w:t>.</w:t>
      </w:r>
    </w:p>
    <w:p>
      <w:pPr>
        <w:pStyle w:val="Heading4"/>
        <w:numPr>
          <w:ilvl w:val="3"/>
          <w:numId w:val="1"/>
        </w:numPr>
        <w:rPr/>
      </w:pPr>
      <w:bookmarkStart w:id="325" w:name="__RefHeading___Toc2108928_581953129"/>
      <w:bookmarkStart w:id="326" w:name="_Toc125"/>
      <w:bookmarkEnd w:id="325"/>
      <w:r>
        <w:rPr>
          <w:rtl w:val="true"/>
        </w:rPr>
        <w:t>و</w:t>
      </w:r>
      <w:r>
        <w:rPr>
          <w:rtl w:val="true"/>
        </w:rPr>
        <w:t>)</w:t>
      </w:r>
      <w:r>
        <w:rPr>
          <w:rtl w:val="true"/>
        </w:rPr>
        <w:t>التاریخ</w:t>
      </w:r>
      <w:bookmarkEnd w:id="326"/>
    </w:p>
    <w:p>
      <w:pPr>
        <w:pStyle w:val="Heading5"/>
        <w:numPr>
          <w:ilvl w:val="4"/>
          <w:numId w:val="1"/>
        </w:numPr>
        <w:rPr/>
      </w:pPr>
      <w:bookmarkStart w:id="327" w:name="__RefHeading___Toc2108930_581953129"/>
      <w:bookmarkStart w:id="328" w:name="_Toc126"/>
      <w:bookmarkEnd w:id="327"/>
      <w:r>
        <w:rPr>
          <w:rtl w:val="true"/>
        </w:rPr>
        <w:t>اشارة</w:t>
      </w:r>
      <w:bookmarkEnd w:id="3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العرب قبل الإسلام یعیرون أهمّیة خاصّة لعلم الأنساب وللتاریخ أیضاً،ولکن علی نطاق محدود، </w:t>
      </w:r>
      <w:r>
        <w:rPr>
          <w:rStyle w:val="FootnoteAnchor"/>
          <w:rtl w:val="true"/>
        </w:rPr>
        <w:footnoteReference w:id="300"/>
      </w:r>
      <w:r>
        <w:rPr>
          <w:rFonts w:ascii="IRNazanin" w:hAnsi="IRNazanin" w:eastAsia="IRNazanin"/>
          <w:color w:val="111111"/>
          <w:sz w:val="28"/>
          <w:sz w:val="28"/>
          <w:szCs w:val="28"/>
          <w:rtl w:val="true"/>
          <w:lang w:bidi="fa-IR"/>
        </w:rPr>
        <w:t>إلّا أنّ الأهمّیة الفائقة التی أوْلاها القرآن لتاریخ الماضین والاعتبار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اهتمام المسلمین بسیرة النبی وما تمثله من قیمة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لهما الدور البالغ فی نمو علم التاریخ بین المسلمین کشجرة تضرب جذورها فی الأعماق، </w:t>
      </w:r>
      <w:r>
        <w:rPr>
          <w:rStyle w:val="FootnoteAnchor"/>
          <w:rtl w:val="true"/>
        </w:rPr>
        <w:footnoteReference w:id="301"/>
      </w:r>
      <w:r>
        <w:rPr>
          <w:rFonts w:ascii="IRNazanin" w:hAnsi="IRNazanin" w:eastAsia="IRNazanin"/>
          <w:color w:val="111111"/>
          <w:sz w:val="28"/>
          <w:sz w:val="28"/>
          <w:szCs w:val="28"/>
          <w:rtl w:val="true"/>
          <w:lang w:bidi="fa-IR"/>
        </w:rPr>
        <w:t>حیث</w:t>
      </w:r>
      <w:bookmarkStart w:id="329" w:name="pg5469_34737"/>
    </w:p>
    <w:p>
      <w:pPr>
        <w:pStyle w:val="BookText"/>
        <w:rPr/>
      </w:pPr>
      <w:bookmarkEnd w:id="329"/>
      <w:r>
        <w:rPr>
          <w:rFonts w:ascii="IRNazanin" w:hAnsi="IRNazanin" w:eastAsia="IRNazanin"/>
          <w:color w:val="111111"/>
          <w:sz w:val="28"/>
          <w:sz w:val="28"/>
          <w:szCs w:val="28"/>
          <w:rtl w:val="true"/>
          <w:lang w:bidi="fa-IR"/>
        </w:rPr>
        <w:t>اهتمّ فی هذه المرحلة الکثیر من المحدثین بنقل وتدوین أخبار سیرة الرسول الأکرم؛ولأجل هذا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التاریخ کان قد ولد من رحم الحدیث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یفسر نقل الوقائع التاریخیة فی صورتها الاُولی مقرونة بسند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ونلاحظ فی هذا المجال أنّ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یدعو ویحث کثیرا إلی تعلم علم التاریخ إلی جانب الاهتمام الذی کان یولیه لتدوین الحدیث أیضاً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ونشیر فیما یلی إلی بعض مؤرخی المسلمین البارزین الذین سعوا فی طریق حفظ وإحیاء وتطویر هذا العلم</w:t>
      </w:r>
      <w:r>
        <w:rPr>
          <w:rFonts w:eastAsia="IRNazanin" w:cs="IRNazanin"/>
          <w:color w:val="111111"/>
          <w:sz w:val="28"/>
          <w:szCs w:val="28"/>
          <w:rtl w:val="true"/>
          <w:lang w:bidi="fa-IR"/>
        </w:rPr>
        <w:t>:</w:t>
      </w:r>
    </w:p>
    <w:p>
      <w:pPr>
        <w:pStyle w:val="Heading5"/>
        <w:numPr>
          <w:ilvl w:val="4"/>
          <w:numId w:val="1"/>
        </w:numPr>
        <w:rPr/>
      </w:pPr>
      <w:bookmarkStart w:id="330" w:name="__RefHeading___Toc2108932_581953129"/>
      <w:bookmarkStart w:id="331" w:name="_Toc127"/>
      <w:bookmarkEnd w:id="330"/>
      <w:r>
        <w:rPr/>
        <w:t>1</w:t>
      </w:r>
      <w:r>
        <w:rPr>
          <w:rtl w:val="true"/>
        </w:rPr>
        <w:t>-</w:t>
      </w:r>
      <w:r>
        <w:rPr>
          <w:rtl w:val="true"/>
        </w:rPr>
        <w:t>جابر بن یزید الجعفی</w:t>
      </w:r>
      <w:r>
        <w:rPr>
          <w:rtl w:val="true"/>
        </w:rPr>
        <w:t>(</w:t>
      </w:r>
      <w:r>
        <w:rPr>
          <w:rtl w:val="true"/>
        </w:rPr>
        <w:t>ت</w:t>
      </w:r>
      <w:r>
        <w:rPr/>
        <w:t>128</w:t>
      </w:r>
      <w:r>
        <w:rPr>
          <w:rtl w:val="true"/>
        </w:rPr>
        <w:t xml:space="preserve"> </w:t>
      </w:r>
      <w:r>
        <w:rPr>
          <w:rtl w:val="true"/>
        </w:rPr>
        <w:t xml:space="preserve">أو </w:t>
      </w:r>
      <w:r>
        <w:rPr/>
        <w:t>129</w:t>
      </w:r>
      <w:r>
        <w:rPr>
          <w:rtl w:val="true"/>
        </w:rPr>
        <w:t>ه</w:t>
      </w:r>
      <w:r>
        <w:rPr>
          <w:rtl w:val="true"/>
        </w:rPr>
        <w:t>)</w:t>
      </w:r>
      <w:bookmarkEnd w:id="331"/>
    </w:p>
    <w:p>
      <w:pPr>
        <w:pStyle w:val="BookText"/>
        <w:rPr/>
      </w:pPr>
      <w:r>
        <w:rPr>
          <w:rFonts w:ascii="IRNazanin" w:hAnsi="IRNazanin" w:eastAsia="IRNazanin"/>
          <w:color w:val="111111"/>
          <w:sz w:val="28"/>
          <w:sz w:val="28"/>
          <w:szCs w:val="28"/>
          <w:rtl w:val="true"/>
          <w:lang w:bidi="fa-IR"/>
        </w:rPr>
        <w:t>و هو أحد محدثی وکتاب السیرة الشیعیة،وله عدّة کتب فی المقاتل،نقل عن بعضها الطبری ونصر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کتبه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و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أمیر المؤمنین،ومقتل الحسین</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332" w:name="__RefHeading___Toc2108934_581953129"/>
      <w:bookmarkStart w:id="333" w:name="_Toc128"/>
      <w:bookmarkEnd w:id="332"/>
      <w:r>
        <w:rPr/>
        <w:t>2</w:t>
      </w:r>
      <w:r>
        <w:rPr>
          <w:rtl w:val="true"/>
        </w:rPr>
        <w:t>-</w:t>
      </w:r>
      <w:r>
        <w:rPr>
          <w:rtl w:val="true"/>
        </w:rPr>
        <w:t>الأصبغ بن نباته</w:t>
      </w:r>
      <w:bookmarkEnd w:id="333"/>
    </w:p>
    <w:p>
      <w:pPr>
        <w:pStyle w:val="BookText"/>
        <w:rPr/>
      </w:pPr>
      <w:r>
        <w:rPr>
          <w:rFonts w:ascii="IRNazanin" w:hAnsi="IRNazanin" w:eastAsia="IRNazanin"/>
          <w:color w:val="111111"/>
          <w:sz w:val="28"/>
          <w:sz w:val="28"/>
          <w:szCs w:val="28"/>
          <w:rtl w:val="true"/>
          <w:lang w:bidi="fa-IR"/>
        </w:rPr>
        <w:t>کان أحد أصحاب الإمام علی</w:t>
      </w:r>
      <w:r>
        <w:rPr>
          <w:rFonts w:ascii="IRNazanin" w:hAnsi="IRNazanin" w:eastAsia="IRNazanin"/>
          <w:i/>
          <w:i/>
          <w:iCs/>
          <w:color w:val="111111"/>
          <w:sz w:val="28"/>
          <w:sz w:val="28"/>
          <w:szCs w:val="28"/>
          <w:rtl w:val="true"/>
          <w:lang w:bidi="fa-IR"/>
        </w:rPr>
        <w:t>الذین وافاهم الأجل عند بدء القرن الثانی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حفظ ما یربو علی السبعین خطبة من خطب أمیر المؤمنین</w:t>
      </w:r>
      <w:r>
        <w:rPr>
          <w:rFonts w:ascii="IRNazanin" w:hAnsi="IRNazanin" w:eastAsia="IRNazanin"/>
          <w:color w:val="111111"/>
          <w:sz w:val="28"/>
          <w:sz w:val="28"/>
          <w:szCs w:val="28"/>
          <w:rtl w:val="true"/>
          <w:lang w:bidi="fa-IR"/>
        </w:rPr>
        <w:t>،و هو الذی روی عهد أمیر المؤمنین لمالک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کتاب فی مقتل الإمام الحسین</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334" w:name="__RefHeading___Toc2108936_581953129"/>
      <w:bookmarkStart w:id="335" w:name="_Toc129"/>
      <w:bookmarkEnd w:id="334"/>
      <w:r>
        <w:rPr/>
        <w:t>3</w:t>
      </w:r>
      <w:r>
        <w:rPr>
          <w:rtl w:val="true"/>
        </w:rPr>
        <w:t>-</w:t>
      </w:r>
      <w:r>
        <w:rPr>
          <w:rtl w:val="true"/>
        </w:rPr>
        <w:t>أبان بن عثمان الأحمر</w:t>
      </w:r>
      <w:r>
        <w:rPr>
          <w:rtl w:val="true"/>
        </w:rPr>
        <w:t>(</w:t>
      </w:r>
      <w:r>
        <w:rPr>
          <w:rtl w:val="true"/>
        </w:rPr>
        <w:t xml:space="preserve">ت بعد </w:t>
      </w:r>
      <w:r>
        <w:rPr/>
        <w:t>140</w:t>
      </w:r>
      <w:r>
        <w:rPr>
          <w:rtl w:val="true"/>
        </w:rPr>
        <w:t>ه</w:t>
      </w:r>
      <w:r>
        <w:rPr>
          <w:rtl w:val="true"/>
        </w:rPr>
        <w:t>)</w:t>
      </w:r>
      <w:bookmarkEnd w:id="3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من مؤرخی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یاقوت</w:t>
      </w:r>
      <w:bookmarkStart w:id="336" w:name="pg5469_34739"/>
    </w:p>
    <w:p>
      <w:pPr>
        <w:pStyle w:val="BookText"/>
        <w:rPr/>
      </w:pPr>
      <w:bookmarkEnd w:id="336"/>
      <w:r>
        <w:rPr>
          <w:rFonts w:ascii="IRNazanin" w:hAnsi="IRNazanin" w:eastAsia="IRNazanin"/>
          <w:color w:val="111111"/>
          <w:sz w:val="28"/>
          <w:sz w:val="28"/>
          <w:szCs w:val="28"/>
          <w:rtl w:val="true"/>
          <w:lang w:bidi="fa-IR"/>
        </w:rPr>
        <w:t>نقلاً عن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کتابه التاریخ الکبیر کان مشتملاً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و الردة</w:t>
      </w:r>
      <w:r>
        <w:rPr>
          <w:rFonts w:eastAsia="IRNazanin" w:cs="IRNazanin"/>
          <w:color w:val="111111"/>
          <w:sz w:val="28"/>
          <w:szCs w:val="28"/>
          <w:rtl w:val="true"/>
          <w:lang w:bidi="fa-IR"/>
        </w:rPr>
        <w:t xml:space="preserve">. </w:t>
      </w:r>
      <w:r>
        <w:rPr>
          <w:rStyle w:val="FootnoteAnchor"/>
          <w:rtl w:val="true"/>
        </w:rPr>
        <w:footnoteReference w:id="305"/>
      </w:r>
    </w:p>
    <w:p>
      <w:pPr>
        <w:pStyle w:val="Heading5"/>
        <w:numPr>
          <w:ilvl w:val="4"/>
          <w:numId w:val="1"/>
        </w:numPr>
        <w:rPr/>
      </w:pPr>
      <w:bookmarkStart w:id="337" w:name="__RefHeading___Toc2108938_581953129"/>
      <w:bookmarkStart w:id="338" w:name="_Toc130"/>
      <w:bookmarkEnd w:id="337"/>
      <w:r>
        <w:rPr/>
        <w:t>4</w:t>
      </w:r>
      <w:r>
        <w:rPr>
          <w:rtl w:val="true"/>
        </w:rPr>
        <w:t>-</w:t>
      </w:r>
      <w:r>
        <w:rPr>
          <w:rtl w:val="true"/>
        </w:rPr>
        <w:t>محمّد بن إسحاق</w:t>
      </w:r>
      <w:r>
        <w:rPr>
          <w:rtl w:val="true"/>
        </w:rPr>
        <w:t>(</w:t>
      </w:r>
      <w:r>
        <w:rPr>
          <w:rtl w:val="true"/>
        </w:rPr>
        <w:t>ت</w:t>
      </w:r>
      <w:r>
        <w:rPr/>
        <w:t>150</w:t>
      </w:r>
      <w:r>
        <w:rPr>
          <w:rtl w:val="true"/>
        </w:rPr>
        <w:t xml:space="preserve"> </w:t>
      </w:r>
      <w:r>
        <w:rPr>
          <w:rtl w:val="true"/>
        </w:rPr>
        <w:t xml:space="preserve">أو </w:t>
      </w:r>
      <w:r>
        <w:rPr/>
        <w:t>151</w:t>
      </w:r>
      <w:r>
        <w:rPr>
          <w:rtl w:val="true"/>
        </w:rPr>
        <w:t>ه</w:t>
      </w:r>
      <w:r>
        <w:rPr>
          <w:rtl w:val="true"/>
        </w:rPr>
        <w:t>)</w:t>
      </w:r>
      <w:bookmarkEnd w:id="338"/>
    </w:p>
    <w:p>
      <w:pPr>
        <w:pStyle w:val="BookText"/>
        <w:rPr/>
      </w:pPr>
      <w:r>
        <w:rPr>
          <w:rFonts w:ascii="IRNazanin" w:hAnsi="IRNazanin" w:eastAsia="IRNazanin"/>
          <w:color w:val="111111"/>
          <w:sz w:val="28"/>
          <w:sz w:val="28"/>
          <w:szCs w:val="28"/>
          <w:rtl w:val="true"/>
          <w:lang w:bidi="fa-IR"/>
        </w:rPr>
        <w:t>کان شیعیاً بحسب المشهور</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هو أوّل من کتب سیرة جامعة نسبیاً،وترک سیرة مدونة تمیزت ببعدها التاریخی الواضح،حیث لم تتخذ طابعاً دینیاً محضاً</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هذا إضافة إلی أنّه کتب أوّل نموذج لکتابة التاریخ الإسلامی العام،حیث تُدرج أحداث البلاد الإسلامیة فیما یتعارف الآن باُسلوب المفکرة التاریخیة</w:t>
      </w:r>
      <w:r>
        <w:rPr>
          <w:rFonts w:eastAsia="IRNazanin" w:cs="IRNazanin"/>
          <w:color w:val="111111"/>
          <w:sz w:val="28"/>
          <w:szCs w:val="28"/>
          <w:rtl w:val="true"/>
          <w:lang w:bidi="fa-IR"/>
        </w:rPr>
        <w:t>.</w:t>
      </w:r>
    </w:p>
    <w:p>
      <w:pPr>
        <w:pStyle w:val="Heading5"/>
        <w:numPr>
          <w:ilvl w:val="4"/>
          <w:numId w:val="1"/>
        </w:numPr>
        <w:rPr/>
      </w:pPr>
      <w:bookmarkStart w:id="339" w:name="__RefHeading___Toc2108940_581953129"/>
      <w:bookmarkStart w:id="340" w:name="_Toc131"/>
      <w:bookmarkEnd w:id="339"/>
      <w:r>
        <w:rPr/>
        <w:t>5</w:t>
      </w:r>
      <w:r>
        <w:rPr>
          <w:rtl w:val="true"/>
        </w:rPr>
        <w:t>-</w:t>
      </w:r>
      <w:r>
        <w:rPr>
          <w:rtl w:val="true"/>
        </w:rPr>
        <w:t>أبو مِخنف</w:t>
      </w:r>
      <w:r>
        <w:rPr>
          <w:rtl w:val="true"/>
        </w:rPr>
        <w:t>(</w:t>
      </w:r>
      <w:r>
        <w:rPr>
          <w:rtl w:val="true"/>
        </w:rPr>
        <w:t>ت</w:t>
      </w:r>
      <w:r>
        <w:rPr/>
        <w:t>157</w:t>
      </w:r>
      <w:r>
        <w:rPr>
          <w:rtl w:val="true"/>
        </w:rPr>
        <w:t>ه</w:t>
      </w:r>
      <w:r>
        <w:rPr>
          <w:rtl w:val="true"/>
        </w:rPr>
        <w:t>)</w:t>
      </w:r>
      <w:bookmarkEnd w:id="340"/>
    </w:p>
    <w:p>
      <w:pPr>
        <w:pStyle w:val="BookText"/>
        <w:rPr/>
      </w:pPr>
      <w:r>
        <w:rPr>
          <w:rFonts w:ascii="IRNazanin" w:hAnsi="IRNazanin" w:eastAsia="IRNazanin"/>
          <w:color w:val="111111"/>
          <w:sz w:val="28"/>
          <w:sz w:val="28"/>
          <w:szCs w:val="28"/>
          <w:rtl w:val="true"/>
          <w:lang w:bidi="fa-IR"/>
        </w:rPr>
        <w:t>و هو أحد أشهر مؤرخی القرن الثانی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متخصصا فی أحداث العراق حیث دون أفرد کتاباً خاصّاً لکلّ من الحروب المهمّة التی وقعت فی هذه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الکثیر من الوقائع التی تعدّ فریدة من نوعها،ممّا جعل لها أهمّیة 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کتابیه مقتل الحسین و الجمل من الکتب المثیرة للاهتمام</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حفظت بعض کتبه تلک من خلال إیراد الطبری لها فی کتابه تاریخ الطبری</w:t>
      </w:r>
      <w:r>
        <w:rPr>
          <w:rFonts w:eastAsia="IRNazanin" w:cs="IRNazanin"/>
          <w:color w:val="111111"/>
          <w:sz w:val="28"/>
          <w:szCs w:val="28"/>
          <w:rtl w:val="true"/>
          <w:lang w:bidi="fa-IR"/>
        </w:rPr>
        <w:t>.</w:t>
      </w:r>
    </w:p>
    <w:p>
      <w:pPr>
        <w:pStyle w:val="Heading5"/>
        <w:numPr>
          <w:ilvl w:val="4"/>
          <w:numId w:val="1"/>
        </w:numPr>
        <w:rPr/>
      </w:pPr>
      <w:bookmarkStart w:id="341" w:name="__RefHeading___Toc2108942_581953129"/>
      <w:bookmarkStart w:id="342" w:name="_Toc132"/>
      <w:bookmarkEnd w:id="341"/>
      <w:r>
        <w:rPr/>
        <w:t>6</w:t>
      </w:r>
      <w:r>
        <w:rPr>
          <w:rtl w:val="true"/>
        </w:rPr>
        <w:t>-</w:t>
      </w:r>
      <w:r>
        <w:rPr>
          <w:rtl w:val="true"/>
        </w:rPr>
        <w:t>هشام بن محمّد بن سائب الکلبی</w:t>
      </w:r>
      <w:r>
        <w:rPr>
          <w:rtl w:val="true"/>
        </w:rPr>
        <w:t>(</w:t>
      </w:r>
      <w:r>
        <w:rPr>
          <w:rtl w:val="true"/>
        </w:rPr>
        <w:t>ت</w:t>
      </w:r>
      <w:r>
        <w:rPr/>
        <w:t>204</w:t>
      </w:r>
      <w:r>
        <w:rPr>
          <w:rtl w:val="true"/>
        </w:rPr>
        <w:t>ه</w:t>
      </w:r>
      <w:r>
        <w:rPr>
          <w:rtl w:val="true"/>
        </w:rPr>
        <w:t>)</w:t>
      </w:r>
      <w:bookmarkEnd w:id="3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من أعظم مؤرخی المرحلة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 جلّ اهتمامه علی أخبار الجاهلیة وکذا الأخبار المتعلّقة بإیران و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ابن الندیم مؤلّفاته فی ثلاث</w:t>
      </w:r>
      <w:bookmarkStart w:id="343" w:name="pg5469_34741"/>
    </w:p>
    <w:p>
      <w:pPr>
        <w:pStyle w:val="BookText"/>
        <w:rPr/>
      </w:pPr>
      <w:bookmarkEnd w:id="343"/>
      <w:r>
        <w:rPr>
          <w:rFonts w:ascii="IRNazanin" w:hAnsi="IRNazanin" w:eastAsia="IRNazanin"/>
          <w:color w:val="111111"/>
          <w:sz w:val="28"/>
          <w:sz w:val="28"/>
          <w:szCs w:val="28"/>
          <w:rtl w:val="true"/>
          <w:lang w:bidi="fa-IR"/>
        </w:rPr>
        <w:t>صفحات،وممّا یمکن الإشارة إلیه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الأوس و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الأسواق،أخبار نوح وأنسابها،فتوح القرآن وفتوح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صفوة النسابین فی 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أضفی طابعاً علمیاً علی اسلوبه فی کتابة تاریخ الأنساب من خلال توظیفه علم الأنساب فی هذا المجال،ممّا جعله من أهمّ مراجع المؤلّفین اللاحقین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له فی هذا المجال،آثره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الکبیر،وکذا الأصنام،وکتاب نسب معد و الیمن الکبیر</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344" w:name="__RefHeading___Toc2108944_581953129"/>
      <w:bookmarkStart w:id="345" w:name="_Toc133"/>
      <w:bookmarkEnd w:id="344"/>
      <w:r>
        <w:rPr/>
        <w:t>7</w:t>
      </w:r>
      <w:r>
        <w:rPr>
          <w:rtl w:val="true"/>
        </w:rPr>
        <w:t>-</w:t>
      </w:r>
      <w:r>
        <w:rPr>
          <w:rtl w:val="true"/>
        </w:rPr>
        <w:t>محمّد بن عمر الواقدی</w:t>
      </w:r>
      <w:r>
        <w:rPr>
          <w:rtl w:val="true"/>
        </w:rPr>
        <w:t>(</w:t>
      </w:r>
      <w:r>
        <w:rPr>
          <w:rtl w:val="true"/>
        </w:rPr>
        <w:t>ت</w:t>
      </w:r>
      <w:r>
        <w:rPr/>
        <w:t>209</w:t>
      </w:r>
      <w:r>
        <w:rPr>
          <w:rtl w:val="true"/>
        </w:rPr>
        <w:t xml:space="preserve"> </w:t>
      </w:r>
      <w:r>
        <w:rPr>
          <w:rtl w:val="true"/>
        </w:rPr>
        <w:t xml:space="preserve">أو </w:t>
      </w:r>
      <w:r>
        <w:rPr/>
        <w:t>207</w:t>
      </w:r>
      <w:r>
        <w:rPr>
          <w:rtl w:val="true"/>
        </w:rPr>
        <w:t>ه</w:t>
      </w:r>
      <w:r>
        <w:rPr>
          <w:rtl w:val="true"/>
        </w:rPr>
        <w:t>)</w:t>
      </w:r>
      <w:bookmarkEnd w:id="345"/>
    </w:p>
    <w:p>
      <w:pPr>
        <w:pStyle w:val="BookText"/>
        <w:rPr/>
      </w:pPr>
      <w:r>
        <w:rPr>
          <w:rFonts w:ascii="IRNazanin" w:hAnsi="IRNazanin" w:eastAsia="IRNazanin"/>
          <w:color w:val="111111"/>
          <w:sz w:val="28"/>
          <w:sz w:val="28"/>
          <w:szCs w:val="28"/>
          <w:rtl w:val="true"/>
          <w:lang w:bidi="fa-IR"/>
        </w:rPr>
        <w:t>أحد مؤرخی القرن الثانی،اختار التخصص فی غزوات النبی من بین المغازی،وفی فتوحات المسلمین من بین الفتوحات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مدوناته البذرة الأصلیة لکتاب الطبقات الکبری لابن سعد،مع أنّه کان له أیضاً کتاب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تمیزت روایاته التاریخیة بذکر أسانیدها،و إن تداخلت أسانیدها فی بعض الأحایین،الأمر الذی أدّی إلی عدم إمکانیة تحدید أسماء الرواة بشکل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الشام،فتوح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و السقیفة</w:t>
      </w:r>
      <w:r>
        <w:rPr>
          <w:rFonts w:eastAsia="IRNazanin" w:cs="IRNazanin"/>
          <w:color w:val="111111"/>
          <w:sz w:val="28"/>
          <w:szCs w:val="28"/>
          <w:rtl w:val="true"/>
          <w:lang w:bidi="fa-IR"/>
        </w:rPr>
        <w:t xml:space="preserve">. </w:t>
      </w:r>
      <w:r>
        <w:rPr>
          <w:rStyle w:val="FootnoteAnchor"/>
          <w:rtl w:val="true"/>
        </w:rPr>
        <w:footnoteReference w:id="310"/>
      </w:r>
    </w:p>
    <w:p>
      <w:pPr>
        <w:pStyle w:val="Heading5"/>
        <w:numPr>
          <w:ilvl w:val="4"/>
          <w:numId w:val="1"/>
        </w:numPr>
        <w:rPr/>
      </w:pPr>
      <w:bookmarkStart w:id="346" w:name="__RefHeading___Toc2108946_581953129"/>
      <w:bookmarkStart w:id="347" w:name="_Toc134"/>
      <w:bookmarkEnd w:id="346"/>
      <w:r>
        <w:rPr/>
        <w:t>8</w:t>
      </w:r>
      <w:r>
        <w:rPr>
          <w:rtl w:val="true"/>
        </w:rPr>
        <w:t>-</w:t>
      </w:r>
      <w:r>
        <w:rPr>
          <w:rtl w:val="true"/>
        </w:rPr>
        <w:t>ابن سعد</w:t>
      </w:r>
      <w:r>
        <w:rPr>
          <w:rtl w:val="true"/>
        </w:rPr>
        <w:t>(</w:t>
      </w:r>
      <w:r>
        <w:rPr>
          <w:rtl w:val="true"/>
        </w:rPr>
        <w:t>ت</w:t>
      </w:r>
      <w:r>
        <w:rPr/>
        <w:t>231</w:t>
      </w:r>
      <w:r>
        <w:rPr>
          <w:rtl w:val="true"/>
        </w:rPr>
        <w:t>ه</w:t>
      </w:r>
      <w:r>
        <w:rPr>
          <w:rtl w:val="true"/>
        </w:rPr>
        <w:t>)</w:t>
      </w:r>
      <w:bookmarkEnd w:id="34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کاتباً وتلمیذاً للواقدی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کتاب الطبقات من أهمّ کتبه،حیث تضمّن شرح أحوال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یعدّ الکتاب الأوّل الذی أُرخ باُسلوب الطبقات؛ولهذا أصبح مرجعاً مهماً للکتب التاریخیة فی الطبقات من بعده</w:t>
      </w:r>
      <w:r>
        <w:rPr>
          <w:rFonts w:eastAsia="IRNazanin" w:cs="IRNazanin"/>
          <w:color w:val="111111"/>
          <w:sz w:val="28"/>
          <w:szCs w:val="28"/>
          <w:rtl w:val="true"/>
          <w:lang w:bidi="fa-IR"/>
        </w:rPr>
        <w:t xml:space="preserve">. </w:t>
      </w:r>
      <w:r>
        <w:rPr>
          <w:rStyle w:val="FootnoteAnchor"/>
          <w:rtl w:val="true"/>
        </w:rPr>
        <w:footnoteReference w:id="311"/>
      </w:r>
      <w:bookmarkStart w:id="348" w:name="pg5469_34744"/>
    </w:p>
    <w:p>
      <w:pPr>
        <w:pStyle w:val="Heading5"/>
        <w:numPr>
          <w:ilvl w:val="4"/>
          <w:numId w:val="1"/>
        </w:numPr>
        <w:rPr/>
      </w:pPr>
      <w:bookmarkStart w:id="349" w:name="__RefHeading___Toc2108948_581953129"/>
      <w:bookmarkStart w:id="350" w:name="_Toc135"/>
      <w:bookmarkEnd w:id="348"/>
      <w:bookmarkEnd w:id="349"/>
      <w:r>
        <w:rPr/>
        <w:t>9</w:t>
      </w:r>
      <w:r>
        <w:rPr>
          <w:rtl w:val="true"/>
        </w:rPr>
        <w:t>-</w:t>
      </w:r>
      <w:r>
        <w:rPr>
          <w:rtl w:val="true"/>
        </w:rPr>
        <w:t>إبراهیم الثقفی الکوفی</w:t>
      </w:r>
      <w:r>
        <w:rPr>
          <w:rtl w:val="true"/>
        </w:rPr>
        <w:t>(</w:t>
      </w:r>
      <w:r>
        <w:rPr>
          <w:rtl w:val="true"/>
        </w:rPr>
        <w:t>ت</w:t>
      </w:r>
      <w:r>
        <w:rPr/>
        <w:t>283</w:t>
      </w:r>
      <w:r>
        <w:rPr>
          <w:rtl w:val="true"/>
        </w:rPr>
        <w:t>ه</w:t>
      </w:r>
      <w:r>
        <w:rPr>
          <w:rtl w:val="true"/>
        </w:rPr>
        <w:t>)</w:t>
      </w:r>
      <w:bookmarkEnd w:id="350"/>
    </w:p>
    <w:p>
      <w:pPr>
        <w:pStyle w:val="BookText"/>
        <w:rPr/>
      </w:pPr>
      <w:r>
        <w:rPr>
          <w:rFonts w:ascii="IRNazanin" w:hAnsi="IRNazanin" w:eastAsia="IRNazanin"/>
          <w:color w:val="111111"/>
          <w:sz w:val="28"/>
          <w:sz w:val="28"/>
          <w:szCs w:val="28"/>
          <w:rtl w:val="true"/>
          <w:lang w:bidi="fa-IR"/>
        </w:rPr>
        <w:t>و هو من مؤرخی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أثره الغارات،علی اعتداءات جیش معاویة فی العراق و الحجاز فی الشهور المتّصلة بشهادة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تضمّن هذا الکتاب معلومات کثیرة عن حیاة الإمام علی</w:t>
      </w:r>
      <w:r>
        <w:rPr>
          <w:rFonts w:eastAsia="IRNazanin" w:cs="IRNazanin"/>
          <w:color w:val="111111"/>
          <w:sz w:val="28"/>
          <w:szCs w:val="28"/>
          <w:rtl w:val="true"/>
          <w:lang w:bidi="fa-IR"/>
        </w:rPr>
        <w:t xml:space="preserve">*. </w:t>
      </w:r>
      <w:r>
        <w:rPr>
          <w:rStyle w:val="FootnoteAnchor"/>
          <w:rtl w:val="true"/>
        </w:rPr>
        <w:footnoteReference w:id="312"/>
      </w:r>
    </w:p>
    <w:p>
      <w:pPr>
        <w:pStyle w:val="Heading5"/>
        <w:numPr>
          <w:ilvl w:val="4"/>
          <w:numId w:val="1"/>
        </w:numPr>
        <w:rPr/>
      </w:pPr>
      <w:bookmarkStart w:id="351" w:name="__RefHeading___Toc2108950_581953129"/>
      <w:bookmarkStart w:id="352" w:name="_Toc136"/>
      <w:bookmarkEnd w:id="351"/>
      <w:r>
        <w:rPr/>
        <w:t>10</w:t>
      </w:r>
      <w:r>
        <w:rPr>
          <w:rtl w:val="true"/>
        </w:rPr>
        <w:t>-</w:t>
      </w:r>
      <w:r>
        <w:rPr>
          <w:rtl w:val="true"/>
        </w:rPr>
        <w:t>أحمد بن أُبی الیعقوبی</w:t>
      </w:r>
      <w:r>
        <w:rPr>
          <w:rtl w:val="true"/>
        </w:rPr>
        <w:t>(</w:t>
      </w:r>
      <w:r>
        <w:rPr>
          <w:rtl w:val="true"/>
        </w:rPr>
        <w:t>ت</w:t>
      </w:r>
      <w:r>
        <w:rPr/>
        <w:t>284</w:t>
      </w:r>
      <w:r>
        <w:rPr>
          <w:rtl w:val="true"/>
        </w:rPr>
        <w:t>ه</w:t>
      </w:r>
      <w:r>
        <w:rPr>
          <w:rtl w:val="true"/>
        </w:rPr>
        <w:t>)</w:t>
      </w:r>
      <w:bookmarkEnd w:id="352"/>
    </w:p>
    <w:p>
      <w:pPr>
        <w:pStyle w:val="BookText"/>
        <w:rPr/>
      </w:pPr>
      <w:r>
        <w:rPr>
          <w:rFonts w:ascii="IRNazanin" w:hAnsi="IRNazanin" w:eastAsia="IRNazanin"/>
          <w:color w:val="111111"/>
          <w:sz w:val="28"/>
          <w:sz w:val="28"/>
          <w:szCs w:val="28"/>
          <w:rtl w:val="true"/>
          <w:lang w:bidi="fa-IR"/>
        </w:rPr>
        <w:t>و هو أحد مؤرخی الشیعة العلماء،عاش فی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کتابه المهمّ تاریخ الیعقوبی من المصادر القیمة لتاریخ الإسلام التی غلب علی کتابتها الرؤیة العالمیة،والمصنفة ضمن قسم التاریخ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جزؤه الأوّل بتاریخ الاُمم السابقة و الملوک الذین لم تذکرهم المصادر الاُخری،وجزؤه الثانی بالتاریخ العام للمرحلة الإسلامیة</w:t>
      </w:r>
      <w:r>
        <w:rPr>
          <w:rFonts w:eastAsia="IRNazanin" w:cs="IRNazanin"/>
          <w:color w:val="111111"/>
          <w:sz w:val="28"/>
          <w:szCs w:val="28"/>
          <w:rtl w:val="true"/>
          <w:lang w:bidi="fa-IR"/>
        </w:rPr>
        <w:t xml:space="preserve">. </w:t>
      </w:r>
      <w:r>
        <w:rPr>
          <w:rStyle w:val="FootnoteAnchor"/>
          <w:rtl w:val="true"/>
        </w:rPr>
        <w:footnoteReference w:id="313"/>
      </w:r>
    </w:p>
    <w:p>
      <w:pPr>
        <w:pStyle w:val="Heading5"/>
        <w:numPr>
          <w:ilvl w:val="4"/>
          <w:numId w:val="1"/>
        </w:numPr>
        <w:rPr/>
      </w:pPr>
      <w:bookmarkStart w:id="353" w:name="__RefHeading___Toc2108952_581953129"/>
      <w:bookmarkStart w:id="354" w:name="_Toc137"/>
      <w:bookmarkEnd w:id="353"/>
      <w:r>
        <w:rPr/>
        <w:t>11</w:t>
      </w:r>
      <w:r>
        <w:rPr>
          <w:rtl w:val="true"/>
        </w:rPr>
        <w:t>-</w:t>
      </w:r>
      <w:r>
        <w:rPr>
          <w:rtl w:val="true"/>
        </w:rPr>
        <w:t>الطبری،محمد بن جریر</w:t>
      </w:r>
      <w:r>
        <w:rPr>
          <w:rtl w:val="true"/>
        </w:rPr>
        <w:t>(</w:t>
      </w:r>
      <w:r>
        <w:rPr>
          <w:rtl w:val="true"/>
        </w:rPr>
        <w:t>ت</w:t>
      </w:r>
      <w:r>
        <w:rPr/>
        <w:t>310</w:t>
      </w:r>
      <w:r>
        <w:rPr>
          <w:rtl w:val="true"/>
        </w:rPr>
        <w:t>ه</w:t>
      </w:r>
      <w:r>
        <w:rPr>
          <w:rtl w:val="true"/>
        </w:rPr>
        <w:t>)</w:t>
      </w:r>
      <w:bookmarkEnd w:id="354"/>
    </w:p>
    <w:p>
      <w:pPr>
        <w:pStyle w:val="BookText"/>
        <w:rPr/>
      </w:pPr>
      <w:r>
        <w:rPr>
          <w:rFonts w:ascii="IRNazanin" w:hAnsi="IRNazanin" w:eastAsia="IRNazanin"/>
          <w:color w:val="111111"/>
          <w:sz w:val="28"/>
          <w:sz w:val="28"/>
          <w:szCs w:val="28"/>
          <w:rtl w:val="true"/>
          <w:lang w:bidi="fa-IR"/>
        </w:rPr>
        <w:t>ویعدّ من أبرز المؤرخین،حیث حظی کتابه المهم تاریخ الرسل و الملوک بشهرة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خصص قسم کبیر من هذا الکتاب لتاریخ الإسلام،حیث دونت حوادث ما بعد الهجرة حتّی عام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شکل تقویم سنوی وبحسب تسلسلها الزمنی</w:t>
      </w:r>
      <w:r>
        <w:rPr>
          <w:rFonts w:eastAsia="IRNazanin" w:cs="IRNazanin"/>
          <w:color w:val="111111"/>
          <w:sz w:val="28"/>
          <w:szCs w:val="28"/>
          <w:rtl w:val="true"/>
          <w:lang w:bidi="fa-IR"/>
        </w:rPr>
        <w:t xml:space="preserve">. </w:t>
      </w:r>
      <w:r>
        <w:rPr>
          <w:rStyle w:val="FootnoteAnchor"/>
          <w:rtl w:val="true"/>
        </w:rPr>
        <w:footnoteReference w:id="314"/>
      </w:r>
    </w:p>
    <w:p>
      <w:pPr>
        <w:pStyle w:val="Heading5"/>
        <w:numPr>
          <w:ilvl w:val="4"/>
          <w:numId w:val="1"/>
        </w:numPr>
        <w:rPr/>
      </w:pPr>
      <w:bookmarkStart w:id="355" w:name="__RefHeading___Toc2108954_581953129"/>
      <w:bookmarkStart w:id="356" w:name="_Toc138"/>
      <w:bookmarkEnd w:id="355"/>
      <w:r>
        <w:rPr/>
        <w:t>12</w:t>
      </w:r>
      <w:r>
        <w:rPr>
          <w:rtl w:val="true"/>
        </w:rPr>
        <w:t>-</w:t>
      </w:r>
      <w:r>
        <w:rPr>
          <w:rtl w:val="true"/>
        </w:rPr>
        <w:t>علی بن الحسین المسعودی</w:t>
      </w:r>
      <w:r>
        <w:rPr>
          <w:rtl w:val="true"/>
        </w:rPr>
        <w:t>(</w:t>
      </w:r>
      <w:r>
        <w:rPr>
          <w:rtl w:val="true"/>
        </w:rPr>
        <w:t>ت</w:t>
      </w:r>
      <w:r>
        <w:rPr/>
        <w:t>346</w:t>
      </w:r>
      <w:r>
        <w:rPr>
          <w:rtl w:val="true"/>
        </w:rPr>
        <w:t>ه</w:t>
      </w:r>
      <w:r>
        <w:rPr>
          <w:rtl w:val="true"/>
        </w:rPr>
        <w:t>)</w:t>
      </w:r>
      <w:bookmarkEnd w:id="35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 المسعودی خطوات جدیدة فی تطویر علم التاریخ،حیث أدخل اسلوب البحث المیدانی فی کتابة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بسیاحته فی البلدان غیر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کالصین و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لجمع المعلومات و الأخبار حول الاُمم الاُخری،الأمر الذی یعتبر إنجازاً مهمّاً له</w:t>
      </w:r>
      <w:r>
        <w:rPr>
          <w:rFonts w:eastAsia="IRNazanin" w:cs="IRNazanin"/>
          <w:color w:val="111111"/>
          <w:sz w:val="28"/>
          <w:szCs w:val="28"/>
          <w:rtl w:val="true"/>
          <w:lang w:bidi="fa-IR"/>
        </w:rPr>
        <w:t>.</w:t>
      </w:r>
      <w:bookmarkStart w:id="357" w:name="pg5469_34746"/>
    </w:p>
    <w:p>
      <w:pPr>
        <w:pStyle w:val="BookText"/>
        <w:rPr/>
      </w:pPr>
      <w:bookmarkEnd w:id="357"/>
      <w:r>
        <w:rPr>
          <w:rFonts w:ascii="IRNazanin" w:hAnsi="IRNazanin" w:eastAsia="IRNazanin"/>
          <w:color w:val="111111"/>
          <w:sz w:val="28"/>
          <w:sz w:val="28"/>
          <w:szCs w:val="28"/>
          <w:rtl w:val="true"/>
          <w:lang w:bidi="fa-IR"/>
        </w:rPr>
        <w:t>ویعدّ کتابه مروج الذهب ومعادن الجواهر من أهمّ الکتب التاریخیة التی دونها،و قد کتب العلماء الأجانب مقالات متعددة حول الأعمال التاریخیة للمسعودی وآرائه</w:t>
      </w:r>
      <w:r>
        <w:rPr>
          <w:rFonts w:eastAsia="IRNazanin" w:cs="IRNazanin"/>
          <w:color w:val="111111"/>
          <w:sz w:val="28"/>
          <w:szCs w:val="28"/>
          <w:rtl w:val="true"/>
          <w:lang w:bidi="fa-IR"/>
        </w:rPr>
        <w:t xml:space="preserve">. </w:t>
      </w:r>
      <w:r>
        <w:rPr>
          <w:rStyle w:val="FootnoteAnchor"/>
          <w:rtl w:val="true"/>
        </w:rPr>
        <w:footnoteReference w:id="315"/>
      </w:r>
    </w:p>
    <w:p>
      <w:pPr>
        <w:pStyle w:val="Heading5"/>
        <w:numPr>
          <w:ilvl w:val="4"/>
          <w:numId w:val="1"/>
        </w:numPr>
        <w:rPr/>
      </w:pPr>
      <w:bookmarkStart w:id="358" w:name="__RefHeading___Toc2108956_581953129"/>
      <w:bookmarkStart w:id="359" w:name="_Toc139"/>
      <w:bookmarkEnd w:id="358"/>
      <w:r>
        <w:rPr/>
        <w:t>13</w:t>
      </w:r>
      <w:r>
        <w:rPr>
          <w:rtl w:val="true"/>
        </w:rPr>
        <w:t>-</w:t>
      </w:r>
      <w:r>
        <w:rPr>
          <w:rtl w:val="true"/>
        </w:rPr>
        <w:t>مسکویه احمد بن محمد بن یعقوب الرازی</w:t>
      </w:r>
      <w:r>
        <w:rPr>
          <w:rtl w:val="true"/>
        </w:rPr>
        <w:t>(</w:t>
      </w:r>
      <w:r>
        <w:rPr>
          <w:rtl w:val="true"/>
        </w:rPr>
        <w:t>ت</w:t>
      </w:r>
      <w:r>
        <w:rPr/>
        <w:t>421</w:t>
      </w:r>
      <w:r>
        <w:rPr>
          <w:rtl w:val="true"/>
        </w:rPr>
        <w:t>ه</w:t>
      </w:r>
      <w:r>
        <w:rPr>
          <w:rtl w:val="true"/>
        </w:rPr>
        <w:t>)</w:t>
      </w:r>
      <w:bookmarkEnd w:id="359"/>
    </w:p>
    <w:p>
      <w:pPr>
        <w:pStyle w:val="BookText"/>
        <w:rPr/>
      </w:pPr>
      <w:r>
        <w:rPr>
          <w:rFonts w:ascii="IRNazanin" w:hAnsi="IRNazanin" w:eastAsia="IRNazanin"/>
          <w:color w:val="111111"/>
          <w:sz w:val="28"/>
          <w:sz w:val="28"/>
          <w:szCs w:val="28"/>
          <w:rtl w:val="true"/>
          <w:lang w:bidi="fa-IR"/>
        </w:rPr>
        <w:t>کان کتابه تجارب الاُمم من أهمّ کتبه التاریخیة،حیث تمیز بنظرته العمیقة واتجاهه الحیادی فی ذکر الأحداث السیاسیة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کثیراً بالأحوال الإداریة و المالیة و التشکیلات العسکریة</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360" w:name="__RefHeading___Toc2108958_581953129"/>
      <w:bookmarkStart w:id="361" w:name="_Toc140"/>
      <w:bookmarkEnd w:id="360"/>
      <w:r>
        <w:rPr/>
        <w:t>14</w:t>
      </w:r>
      <w:r>
        <w:rPr>
          <w:rtl w:val="true"/>
        </w:rPr>
        <w:t>-</w:t>
      </w:r>
      <w:r>
        <w:rPr>
          <w:rtl w:val="true"/>
        </w:rPr>
        <w:t>الخطیب البغدادی</w:t>
      </w:r>
      <w:r>
        <w:rPr>
          <w:rtl w:val="true"/>
        </w:rPr>
        <w:t>(</w:t>
      </w:r>
      <w:r>
        <w:rPr>
          <w:rtl w:val="true"/>
        </w:rPr>
        <w:t>ت</w:t>
      </w:r>
      <w:r>
        <w:rPr/>
        <w:t>463</w:t>
      </w:r>
      <w:r>
        <w:rPr>
          <w:rtl w:val="true"/>
        </w:rPr>
        <w:t>ه</w:t>
      </w:r>
      <w:r>
        <w:rPr>
          <w:rtl w:val="true"/>
        </w:rPr>
        <w:t>)</w:t>
      </w:r>
      <w:bookmarkEnd w:id="361"/>
    </w:p>
    <w:p>
      <w:pPr>
        <w:pStyle w:val="BookText"/>
        <w:rPr/>
      </w:pPr>
      <w:r>
        <w:rPr>
          <w:rFonts w:ascii="IRNazanin" w:hAnsi="IRNazanin" w:eastAsia="IRNazanin"/>
          <w:color w:val="111111"/>
          <w:sz w:val="28"/>
          <w:sz w:val="28"/>
          <w:szCs w:val="28"/>
          <w:rtl w:val="true"/>
          <w:lang w:bidi="fa-IR"/>
        </w:rPr>
        <w:t>وله تاریخ بغداد ذلک الکتاب القیم الذی عرض فیه مطالب قیمة فی مجال الثقافة و الحضارة الإسلامیة ومظاهرها فی تلک المرحلة</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هؤلاء أهمّ وأبرز مؤرخی المسلمین فی تلک المرحلة الذین لهم الأثر فی تطویر علم التاریخ وتدوین تاریخ العالم الإسلامی وتقدمه،وبعد هؤلاء جاء مؤرخون فتحوا آفاقاً جدیدة فی علم التاریخ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وأضرابهم</w:t>
      </w:r>
      <w:r>
        <w:rPr>
          <w:rFonts w:eastAsia="IRNazanin" w:cs="IRNazanin"/>
          <w:color w:val="111111"/>
          <w:sz w:val="28"/>
          <w:szCs w:val="28"/>
          <w:rtl w:val="true"/>
          <w:lang w:bidi="fa-IR"/>
        </w:rPr>
        <w:t>.</w:t>
      </w:r>
    </w:p>
    <w:p>
      <w:pPr>
        <w:pStyle w:val="Heading3"/>
        <w:numPr>
          <w:ilvl w:val="2"/>
          <w:numId w:val="1"/>
        </w:numPr>
        <w:rPr/>
      </w:pPr>
      <w:bookmarkStart w:id="362" w:name="__RefHeading___Toc2108960_581953129"/>
      <w:bookmarkStart w:id="363" w:name="_Toc141"/>
      <w:bookmarkEnd w:id="362"/>
      <w:r>
        <w:rPr>
          <w:rtl w:val="true"/>
        </w:rPr>
        <w:t>الخلاصة</w:t>
      </w:r>
      <w:bookmarkEnd w:id="3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السهل تقصی مظاهر الثقافة و الحضارة الإسلامیة،وما ذلک إلّا لسعتها وعمقها،فمن المستحسن الاقتصار علی ذکر موجز لأبعادها فی 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المراکز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المؤسسات و الفنّ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العلوم الإسلامیة المتبلورة بالتفسیر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التاریخ و التی تعتبر بمثابة اسس ورکائز للثقافة الإسلامیة،تعدّ من أهمّ مظاهر الحضارة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سعی المفکرون و العلماء المسلمون جادین فی جمع وتدوین وتفسیر آیات القرآن الکریم،حیث یعدّ تفسیر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العیاشی،تفسیر القمّی،التبیان،معالم التنزیل،مجمع البیان،الکشاف ومفاتیح الغیب،من الآثار القیمة و البارزة للحضارة الإسلامیة فی القرون الستّة الاُولی للعالم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المکانة التی یحتلّها الحدیث فی بیان أرکان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الحدیث الذی غدا أحد علومها المهمّة،یعدّ عینة باهرة فی الحضارة الإسلامیة،حیث یمکن تقسیم تاریخ هذا العلم علی مستوی الشیعة،وذلک من أوائل القرن الأوّل الهجری وحتّی القرن السادس إلی ثلاث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تمّ تدوین بعض الکتب فی هذه القرون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والاستبصار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مستوی السنّة،فقد بدأ هذا العلم منذ أوائل القرن الثانی وذلک فی عهد حکومة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الترمذی وسنن النسائی فی القرن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 وجامع المسانید فی القرن الرابع و الخامس و السادس من أهمّ آثار أهل السنّة علی هذا الصعید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اکتست الفلسفة حلة جدیدة من خلال استلهامها لآیات القرآن وروایات المعصومین علیهم السلام والاستفادة من التعالیم الیونانیة،ممّا مکنها من صب هذا العلم فی قالب جدید أفاد البشریة جمعاء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شدت الفلسفة الإسلامیة أحزمتها من خلال اعتمادها العقل القدسی المتجذر فی تعالیم القرآن و المعارف الروائیة للإسلام،لتنهض بعملیة التصدّی للفلسفات الاُخری</w:t>
      </w:r>
      <w:r>
        <w:rPr>
          <w:rFonts w:eastAsia="IRNazanin" w:cs="IRNazanin"/>
          <w:color w:val="111111"/>
          <w:sz w:val="28"/>
          <w:szCs w:val="28"/>
          <w:rtl w:val="true"/>
          <w:lang w:bidi="fa-IR"/>
        </w:rPr>
        <w:t>.</w:t>
      </w:r>
      <w:bookmarkStart w:id="364" w:name="pg5469_34750"/>
    </w:p>
    <w:p>
      <w:pPr>
        <w:pStyle w:val="BookText"/>
        <w:rPr/>
      </w:pPr>
      <w:bookmarkEnd w:id="364"/>
      <w:r>
        <w:rPr>
          <w:rFonts w:ascii="IRNazanin" w:hAnsi="IRNazanin" w:eastAsia="IRNazanin"/>
          <w:color w:val="111111"/>
          <w:sz w:val="28"/>
          <w:sz w:val="28"/>
          <w:szCs w:val="28"/>
          <w:rtl w:val="true"/>
          <w:lang w:bidi="fa-IR"/>
        </w:rPr>
        <w:t>وکان للکندی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الدین الرازی نصیباً وافراً فی الاتساع الکمی و الکیفی الذی حظیت به الفلسفة فی القرون الستّة الاُولی،حیث کان لأفکارهم آثار عمیقة علی فلاسفة المشرق و المغرب علی السواء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علم الکلام الذی یتولّی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وتنسیق المعارف الدینیة و الدفاع عنها،دوراً هامّاً فی الحضارة الإسلامیة باعتباره أحد مظاهرها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أضاف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الفخر الرازی الذین یمثلون أبرز علمائه عمقاً جدیداً لهذا العلم فی القرون الستّة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الفقه الذی یمثّل علم الأحکام الشرعیة أو فروع الدین،فقد ولد من رحم التعالیم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ساهم هذا العلم الذی قام بتعزیزه وتطویره فقهاء أمثال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وابن إدریس علی المستوی الشیعی مساهمة فعالة فی غنی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الفقه السنّی فقد تکامل بین القرن الثانی و الثالث من خلال تأسیس المذاهب الفقهیة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ساهم المسلمون فی إنضاج علم التاریخ ونشره فی العالم الإسلامی،من خلال استلهامهم ما أولاه القرآن و المعصومون علیهم السلام من عنایة واهتمام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الثقفی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وأضرابهم دوراً رائداً فی هذا المجال</w:t>
      </w:r>
      <w:r>
        <w:rPr>
          <w:rFonts w:eastAsia="IRNazanin" w:cs="IRNazanin"/>
          <w:color w:val="111111"/>
          <w:sz w:val="28"/>
          <w:szCs w:val="28"/>
          <w:rtl w:val="true"/>
          <w:lang w:bidi="fa-IR"/>
        </w:rPr>
        <w:t>.</w:t>
      </w:r>
    </w:p>
    <w:p>
      <w:pPr>
        <w:pStyle w:val="Heading3"/>
        <w:numPr>
          <w:ilvl w:val="2"/>
          <w:numId w:val="1"/>
        </w:numPr>
        <w:rPr/>
      </w:pPr>
      <w:bookmarkStart w:id="365" w:name="__RefHeading___Toc2108962_581953129"/>
      <w:bookmarkStart w:id="366" w:name="_Toc142"/>
      <w:bookmarkEnd w:id="365"/>
      <w:r>
        <w:rPr>
          <w:rtl w:val="true"/>
        </w:rPr>
        <w:t>الأسئلة</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ما یمکن عدّه مظاهر للثقافة و الحضارة الإسلامیة؟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العلوم الإسلامیة؟وما الدور الذی لعبته فی الثقافة و الحضارة الإسلامیة؟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أهمّیة علم التفسیر فی الحضارة الإسلامیة؟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کیفیة تطوّر علم الحدیث فی القرون الستّة الاُولی لدی الشیعة و السنّة،ومکانته فی الحضارة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الممکن القول بأنّ الفلسفة الإسلامیة قد ولدت فی نطاق التعالیم الدینیة؟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الدور الذی لعبه کلّ من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الفارابی،ابن سینا فی نشر وهدایة الفلسفة الإسلامیة؟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فرق بین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و اللاهوت؟ولماذا؟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المراحل التی مرّ بها علم الکلام منذ القرن الأوّل وحتّی القرن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الدور الذی قام به علم الفقه فی نضج الحضارة الإسلامیة؟ومن کان له الأثر الموفور فی هذا الاتجاه،وکیف؟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مدی قام المؤرخون المسلمون فی تطویر علم التاریخ نوعیاً وکمیاً؟</w:t>
      </w:r>
      <w:bookmarkStart w:id="367" w:name="pg5469_34754"/>
    </w:p>
    <w:p>
      <w:pPr>
        <w:pStyle w:val="Heading2"/>
        <w:numPr>
          <w:ilvl w:val="1"/>
          <w:numId w:val="1"/>
        </w:numPr>
        <w:rPr/>
      </w:pPr>
      <w:bookmarkStart w:id="368" w:name="__RefHeading___Toc2108964_581953129"/>
      <w:bookmarkStart w:id="369" w:name="_Toc143"/>
      <w:bookmarkEnd w:id="367"/>
      <w:bookmarkEnd w:id="368"/>
      <w:r>
        <w:rPr/>
        <w:t>5</w:t>
      </w:r>
      <w:r>
        <w:rPr>
          <w:rtl w:val="true"/>
        </w:rPr>
        <w:t xml:space="preserve">- </w:t>
      </w:r>
      <w:r>
        <w:rPr>
          <w:rtl w:val="true"/>
        </w:rPr>
        <w:t>العلوم غیر الإسلامیة و المراکز العلمیة</w:t>
      </w:r>
      <w:r>
        <w:rPr>
          <w:rtl w:val="true"/>
        </w:rPr>
        <w:t>-</w:t>
      </w:r>
      <w:r>
        <w:rPr>
          <w:rtl w:val="true"/>
        </w:rPr>
        <w:t>الثقافیة</w:t>
      </w:r>
      <w:bookmarkEnd w:id="369"/>
    </w:p>
    <w:p>
      <w:pPr>
        <w:pStyle w:val="Heading3"/>
        <w:numPr>
          <w:ilvl w:val="2"/>
          <w:numId w:val="1"/>
        </w:numPr>
        <w:rPr/>
      </w:pPr>
      <w:bookmarkStart w:id="370" w:name="__RefHeading___Toc2108966_581953129"/>
      <w:bookmarkStart w:id="371" w:name="_Toc144"/>
      <w:bookmarkEnd w:id="370"/>
      <w:r>
        <w:rPr>
          <w:rtl w:val="true"/>
        </w:rPr>
        <w:t>أ</w:t>
      </w:r>
      <w:r>
        <w:rPr>
          <w:rtl w:val="true"/>
        </w:rPr>
        <w:t>)</w:t>
      </w:r>
      <w:r>
        <w:rPr>
          <w:rtl w:val="true"/>
        </w:rPr>
        <w:t>العلوم غیر الإسلامیة</w:t>
      </w:r>
      <w:bookmarkEnd w:id="371"/>
    </w:p>
    <w:p>
      <w:pPr>
        <w:pStyle w:val="Heading4"/>
        <w:numPr>
          <w:ilvl w:val="3"/>
          <w:numId w:val="1"/>
        </w:numPr>
        <w:rPr/>
      </w:pPr>
      <w:bookmarkStart w:id="372" w:name="__RefHeading___Toc2108968_581953129"/>
      <w:bookmarkStart w:id="373" w:name="_Toc145"/>
      <w:bookmarkEnd w:id="372"/>
      <w:r>
        <w:rPr>
          <w:rtl w:val="true"/>
        </w:rPr>
        <w:t>اشارة</w:t>
      </w:r>
      <w:bookmarkEnd w:id="373"/>
    </w:p>
    <w:p>
      <w:pPr>
        <w:pStyle w:val="BookText"/>
        <w:rPr/>
      </w:pP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العلوم غیر الإسلامیة إحدی الذخائر التی تجود علی البشریة،وإحدی الأرکان المهمّة للحضارة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ساهمت کلّ الحضارات فی ابتکارها وفی نقلها أیضاً،فحظیت من خلال ذلک بأهمّیة خاصّة میزتها عن غیرها فی جمیع حضارات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یمکن استثناء أی حضارة من هذا الابتکار و هذه المیزة الخاصّة التی أطرتها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ظهور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فیه القرآن لیدعو الناس إلی البحث و التفکّر و التعلّم و الإحاطة بجمیع المعلومات التی یمکن للعقل إنتاجها، </w:t>
      </w:r>
      <w:r>
        <w:rPr>
          <w:rStyle w:val="FootnoteAnchor"/>
          <w:rtl w:val="true"/>
        </w:rPr>
        <w:footnoteReference w:id="319"/>
      </w:r>
      <w:r>
        <w:rPr>
          <w:rFonts w:ascii="IRNazanin" w:hAnsi="IRNazanin" w:eastAsia="IRNazanin"/>
          <w:color w:val="111111"/>
          <w:sz w:val="28"/>
          <w:sz w:val="28"/>
          <w:szCs w:val="28"/>
          <w:rtl w:val="true"/>
          <w:lang w:bidi="fa-IR"/>
        </w:rPr>
        <w:t>الأمر الذی دفع علماء من المسلمین إلی التأمّل فی الحضارات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الخصوص الهند و الیونان وإیران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ونقدها من خلال توظیف العلوم غیر الإسلامیة فی هذا المجال،والوصول إلی إنجازات باهرة کانت فی بعضها أعلی کعباً ممّا وصلت إلیه عقائد وأفکار أصحابها الأوائل،إضافة</w:t>
      </w:r>
      <w:bookmarkStart w:id="374" w:name="pg5469_34756"/>
    </w:p>
    <w:p>
      <w:pPr>
        <w:pStyle w:val="BookText"/>
        <w:rPr/>
      </w:pPr>
      <w:bookmarkEnd w:id="374"/>
      <w:r>
        <w:rPr>
          <w:rFonts w:ascii="IRNazanin" w:hAnsi="IRNazanin" w:eastAsia="IRNazanin"/>
          <w:color w:val="111111"/>
          <w:sz w:val="28"/>
          <w:sz w:val="28"/>
          <w:szCs w:val="28"/>
          <w:rtl w:val="true"/>
          <w:lang w:bidi="fa-IR"/>
        </w:rPr>
        <w:t>إلی توصلهم إلی اختراع بعض العلوم الاُخری کالکیمیاء مثلا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فالعلوم غیر الإسلامیة فی الحقیقة أخذت فی إضفاء صبغة جدیدة علیها،وذلک من خلال البحوث المبتکرة للمفکّرین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بالتطوّر وفقاً للمقتضیات الظرفیة وبالتناغم مع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استنهض الغربیین لأجل اقتباس العلوم الیونانیة،واضطرارهم إلی ترجمة قسم کبیر ممّا توصل إلیه المسلمون من اللغة العربیة ذات النکهة الإسلامیة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وسنحاول فی هذا السیاق إلقاء نظرة عابرة علی علوم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و الریاضیات وذلک من القرن الأوّل إلی السادس الهجری</w:t>
      </w:r>
      <w:r>
        <w:rPr>
          <w:rFonts w:eastAsia="IRNazanin" w:cs="IRNazanin"/>
          <w:color w:val="111111"/>
          <w:sz w:val="28"/>
          <w:szCs w:val="28"/>
          <w:rtl w:val="true"/>
          <w:lang w:bidi="fa-IR"/>
        </w:rPr>
        <w:t>:</w:t>
      </w:r>
    </w:p>
    <w:p>
      <w:pPr>
        <w:pStyle w:val="Heading4"/>
        <w:numPr>
          <w:ilvl w:val="3"/>
          <w:numId w:val="1"/>
        </w:numPr>
        <w:rPr/>
      </w:pPr>
      <w:bookmarkStart w:id="375" w:name="__RefHeading___Toc2108970_581953129"/>
      <w:bookmarkStart w:id="376" w:name="_Toc146"/>
      <w:bookmarkEnd w:id="375"/>
      <w:r>
        <w:rPr/>
        <w:t>1</w:t>
      </w:r>
      <w:r>
        <w:rPr>
          <w:rtl w:val="true"/>
        </w:rPr>
        <w:t>-</w:t>
      </w:r>
      <w:r>
        <w:rPr>
          <w:rtl w:val="true"/>
        </w:rPr>
        <w:t>الکیمیاء</w:t>
      </w:r>
      <w:bookmarkEnd w:id="3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خالد بن یزید الملقّب بحکیم آل مروان أوّل من بحث فی هذا الفرع من العلوم،حیث ترک بعض المقالات فیه، </w:t>
      </w:r>
      <w:r>
        <w:rPr>
          <w:rStyle w:val="FootnoteAnchor"/>
          <w:rtl w:val="true"/>
        </w:rPr>
        <w:footnoteReference w:id="323"/>
      </w:r>
      <w:r>
        <w:rPr>
          <w:rFonts w:ascii="IRNazanin" w:hAnsi="IRNazanin" w:eastAsia="IRNazanin"/>
          <w:color w:val="111111"/>
          <w:sz w:val="28"/>
          <w:sz w:val="28"/>
          <w:szCs w:val="28"/>
          <w:rtl w:val="true"/>
          <w:lang w:bidi="fa-IR"/>
        </w:rPr>
        <w:t xml:space="preserve">أمّا أوّل من قام بفصل المعادن عن بعضها وأسس علم الکیمیاء </w:t>
      </w:r>
      <w:r>
        <w:rPr>
          <w:rStyle w:val="FootnoteAnchor"/>
          <w:rtl w:val="true"/>
        </w:rPr>
        <w:footnoteReference w:id="324"/>
      </w:r>
      <w:r>
        <w:rPr>
          <w:rFonts w:ascii="IRNazanin" w:hAnsi="IRNazanin" w:eastAsia="IRNazanin"/>
          <w:color w:val="111111"/>
          <w:sz w:val="28"/>
          <w:sz w:val="28"/>
          <w:szCs w:val="28"/>
          <w:rtl w:val="true"/>
          <w:lang w:bidi="fa-IR"/>
        </w:rPr>
        <w:t xml:space="preserve">بمفهومه الرائج فهو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اشتهر بالطوسی وبالکوفی أیضاً لانحداره من أهل خراسان ومن أهل الکوفة،و هو یعدّ</w:t>
      </w:r>
    </w:p>
    <w:p>
      <w:pPr>
        <w:pStyle w:val="BookText"/>
        <w:rPr/>
      </w:pPr>
      <w:r>
        <w:rPr>
          <w:rFonts w:ascii="IRNazanin" w:hAnsi="IRNazanin" w:eastAsia="IRNazanin"/>
          <w:color w:val="111111"/>
          <w:sz w:val="28"/>
          <w:sz w:val="28"/>
          <w:szCs w:val="28"/>
          <w:rtl w:val="true"/>
          <w:lang w:bidi="fa-IR"/>
        </w:rPr>
        <w:t>من خاصّة تلامذة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جابر بکتابة آثار کثیرة فی العلوم بأنواعها،وعلی الخصوص فی الکیمیاء،حیث بقی علم الکیمیاء مرتبطاً باسمه لدی المسلمین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یعدّ الوجه البارز و المرجع الأساس لهذا العلم علی مستوی التاریخ الإسلامی و العالمی</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الکیمیاء غیرت وجهها الصناعی الخرافی بظهوره،إلی وجهها العلمی التجربی المختبری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قام باستخلاص کاربونات الرصاص،وفصل الزرنیخ وعنصر الأنتیمون عن الکبریت،وقام بشرح کیفیة تصفیة الفلزات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إنتاج الفولاذ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القماش و الجلد،وتقطیر الخل للحصول علی أسید الأستیک الغلیظ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یری أنّ الاختلاف فیما بین الفلزات الستّة المعروفة ناشئ من النسب المختلفة للکبریت و الزئبق فیها</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ولأجل ذلک أطلق جورج سارتون علی النصف الثانی من القرن الثامن المیلادی عصر جابر بن حیان</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ولم تظل اکتشافات جابر بن حیان وتعالیمه فی علم الکیمیاء حبیسة العالم الإسلامی؛بل امتد أثرها إلی العالم الغربی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فآثاره مبثوثة فی مکتبات 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ألمانیا وإیطالیا ضمن الثلاثمئة کتاب التی ترتبط باالفروع المختلفة للکیمیاء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ثمانون کتاباً یحفل بها المتحف البریطانی تتعلّق باکتشافاته التی ترجمها علماء الکیمیاء إلی اللغة الإنجلیزیة</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الشخصیة البارزة الاُخری تمثلت فی أبی بکر محمّد بن زکریا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علماء القرن الرابع،حیث تجاوز الجانب الرمزی للخیمیاء لیحوله إلی جانبه الکیمیاوی</w:t>
      </w:r>
      <w:r>
        <w:rPr>
          <w:rFonts w:eastAsia="IRNazanin" w:cs="IRNazanin"/>
          <w:color w:val="111111"/>
          <w:sz w:val="28"/>
          <w:szCs w:val="28"/>
          <w:rtl w:val="true"/>
          <w:lang w:bidi="fa-IR"/>
        </w:rPr>
        <w:t>.</w:t>
      </w:r>
      <w:bookmarkStart w:id="377" w:name="pg5469_34759"/>
    </w:p>
    <w:p>
      <w:pPr>
        <w:pStyle w:val="BookText"/>
        <w:rPr/>
      </w:pPr>
      <w:bookmarkEnd w:id="377"/>
      <w:r>
        <w:rPr>
          <w:rFonts w:ascii="IRNazanin" w:hAnsi="IRNazanin" w:eastAsia="IRNazanin"/>
          <w:color w:val="111111"/>
          <w:sz w:val="28"/>
          <w:sz w:val="28"/>
          <w:szCs w:val="28"/>
          <w:rtl w:val="true"/>
          <w:lang w:bidi="fa-IR"/>
        </w:rPr>
        <w:t>وینبغی الالتفات إلی أنّ کتابه سر الأسرار یعدّ فی الحقیقة کتاباً فی مجال علم الکیمیاء و إن بدت اصطلاحاته خیمیائیة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اعتنی الرازی بالاستهلاکات الطبیة للترکیبات الکیمیاویة أیضاً،فهو ممّن استخدم علم الکیمیاء فی المجالات الطبیة</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الجدیر ذکره أنّ هناک بعض علماء المسلمین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الجلدکی وغیرهم،ساهموا من بعد ذینک العلمین فی تقویة وتنمیة هذا الفرع من العلوم</w:t>
      </w:r>
      <w:r>
        <w:rPr>
          <w:rFonts w:eastAsia="IRNazanin" w:cs="IRNazanin"/>
          <w:color w:val="111111"/>
          <w:sz w:val="28"/>
          <w:szCs w:val="28"/>
          <w:rtl w:val="true"/>
          <w:lang w:bidi="fa-IR"/>
        </w:rPr>
        <w:t xml:space="preserve">. </w:t>
      </w:r>
      <w:r>
        <w:rPr>
          <w:rStyle w:val="FootnoteAnchor"/>
          <w:rtl w:val="true"/>
        </w:rPr>
        <w:footnoteReference w:id="330"/>
      </w:r>
    </w:p>
    <w:p>
      <w:pPr>
        <w:pStyle w:val="Heading4"/>
        <w:numPr>
          <w:ilvl w:val="3"/>
          <w:numId w:val="1"/>
        </w:numPr>
        <w:rPr/>
      </w:pPr>
      <w:bookmarkStart w:id="378" w:name="__RefHeading___Toc2108972_581953129"/>
      <w:bookmarkStart w:id="379" w:name="_Toc147"/>
      <w:bookmarkEnd w:id="378"/>
      <w:r>
        <w:rPr/>
        <w:t>2</w:t>
      </w:r>
      <w:r>
        <w:rPr>
          <w:rtl w:val="true"/>
        </w:rPr>
        <w:t>-</w:t>
      </w:r>
      <w:r>
        <w:rPr>
          <w:rtl w:val="true"/>
        </w:rPr>
        <w:t>النجوم</w:t>
      </w:r>
      <w:bookmarkEnd w:id="379"/>
    </w:p>
    <w:p>
      <w:pPr>
        <w:pStyle w:val="BookText"/>
        <w:rPr/>
      </w:pPr>
      <w:r>
        <w:rPr>
          <w:rFonts w:ascii="IRNazanin" w:hAnsi="IRNazanin" w:eastAsia="IRNazanin"/>
          <w:color w:val="111111"/>
          <w:sz w:val="28"/>
          <w:sz w:val="28"/>
          <w:szCs w:val="28"/>
          <w:rtl w:val="true"/>
          <w:lang w:bidi="fa-IR"/>
        </w:rPr>
        <w:t>تقوم النجوم بدور استثنائی فی إجراء المراسم و الشعائر الدینیة فی الإسلام،کتحدید جهة القبلة،تعیین أوقات الصلاة،وقت الصوم و الإفطار فی شهر رمضان ممّا دعا المسلمین وشجعهم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إضافة إلی ترغیب الإسلام فی 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الاتجاه نحو مطالعة التأمّل فی السماء ومطالعة النجوم منذ ظهور الإسلام ومن دون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واستغل علم النجوم الإسلامی فی هذا المجال التقالید البابلیة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الهندیة و العربیة القدیمة،فقام بترکیبها وتألیفها لیصل إلی حسابات وأسالیب جدیدة لم تکن معهودة لدی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مهد الطریق لتأسیس هذا العلم علی اسس أوسع ممّا کانت علیه سابقاً</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المسلمون قد استقوا معلوماتهم النجومیة من الکتب الهندیة و الیونانیة،حیث بدؤوا بترجمة نصوصها منذ عهد المنصور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أدّی إلی بروزهم فی هذا الفرع من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لترجمة علماء المسلمیین الکتب الهندیة و الیونانیة من أجل استیعاب العلوم</w:t>
      </w:r>
    </w:p>
    <w:p>
      <w:pPr>
        <w:pStyle w:val="BookText"/>
        <w:rPr/>
      </w:pPr>
      <w:r>
        <w:rPr>
          <w:rFonts w:ascii="IRNazanin" w:hAnsi="IRNazanin" w:eastAsia="IRNazanin"/>
          <w:color w:val="111111"/>
          <w:sz w:val="28"/>
          <w:sz w:val="28"/>
          <w:szCs w:val="28"/>
          <w:rtl w:val="true"/>
          <w:lang w:bidi="fa-IR"/>
        </w:rPr>
        <w:t>وتعالیم الثقافات و الحضارات للاُمم الاُخری،أثراً بالغاً فی تعریف المسلمین بعلم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یظلّ هذا العلم علی الصعید الإسلامی أسیر الترجمة بالطبع،بل إنّه ومن خلال القیام بشرح وتفسیر الآثار المترجمة ومن ثَمّ طرح بعض النظریات،تقدّم خطوات إلی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فنشأت علی سبیل المثال بعض المذاهب فی العالم الإسلامی تختصّ برصد النجوم وإعداد تقاویمها اعتماداً علی شروح وتفاسیر کتاب المجسطی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أهمّ کتب بطلیموس فی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أصبح الرصد و الإسطرلاب سبباً فی إعداد بیانات نجومیة أکثر دقّة،حیث یعدّ تحدید طول السنة الشمسیة ومعرفة المواقیت علی سبیل المثال من النماذج البارزة علی هذا التطوّر،أو کما فی خصوص نظریة بطلیموس حول مرکز الأرض،حیث خالفها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ریحان البیرونی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والخواجة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أوردوا إشکالات متعددة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النشاطات العلمیة للمنجمین الإسلامیین باهرة وممیزة،حیث تعدّ صناعة أنواع الساعات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الإسطرلاب وأنواع آلات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الأدوات المیکانیکیة لتحدید الوقت و القباب السماویة نماذج بسیطة لها</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ونشیر فیما یلی إلی بعض علماء علم النجوم المسلمین حتّی القرن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إبراهیم حبیب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أکابر العلماء فی عهد المنصور العباسی،کان عالماً شیعیاً مشهوراً فی علم النجوم فی القرن الثانی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بترجمة کتاب سند الهند الکبیر لبراهما غوبتا حول عالم الأفلاک من الهندیة إلی الفارسیة بأمر من المنصور</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إبراهیم بن حبیب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استخدم</w:t>
      </w:r>
    </w:p>
    <w:p>
      <w:pPr>
        <w:pStyle w:val="BookText"/>
        <w:rPr/>
      </w:pPr>
      <w:r>
        <w:rPr>
          <w:rFonts w:ascii="IRNazanin" w:hAnsi="IRNazanin" w:eastAsia="IRNazanin"/>
          <w:color w:val="111111"/>
          <w:sz w:val="28"/>
          <w:sz w:val="28"/>
          <w:szCs w:val="28"/>
          <w:rtl w:val="true"/>
          <w:lang w:bidi="fa-IR"/>
        </w:rPr>
        <w:t>الإسطرلاب فی الإسلام</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قام بتألیف کتابین حول العمل بالإسطرلابات ذوات الحلق و العمل بالإسطرلاب المسطح</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موسی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أعد مجموعة من التقاویم سمّیت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زالت هذه الجداول موجودة،وعدت أوّل أثر نجومی إسلامی من نوعه</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البتّانی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حدود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أهمّ علماء النجوم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بإعادة حساب الحرکة التقویمیة للاعتدالین من مرصده فی 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البحر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فنظم مجموعة جدیدة من الجداول النجومیة</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تعدّ إنجازاته النجومیة ذات قیمة رفیعة،وترک کتباً عدیدة فی علم النجوم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مقالات فی أحکام علم النجوم ومعرفة مطالع البروج فی ما بین أرباع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الوثائق التاریخیة فقد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کوبرنیک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تیکو براهه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وغالیلو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بآثاره وأفکاره</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ریحان البیرونی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أبرز علماء عالم النجوم ساهم مساهمة فعالة فی تکامل هذا العلم فی العالم الإسلامی من خلال تألیفه کتباً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الوجوه الممکنة فی صنعة الإسطرلاب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أنواع الإسطرلابات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المستقر لتحقیق معنی الممر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الآلة المسمّاة السدس الفخری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آلة السدس النجومیة الفخریة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Style w:val="FootnoteAnchor"/>
          <w:rtl w:val="true"/>
        </w:rPr>
        <w:footnoteReference w:id="339"/>
      </w:r>
      <w:bookmarkStart w:id="380" w:name="pg5469_34765"/>
    </w:p>
    <w:p>
      <w:pPr>
        <w:pStyle w:val="Heading4"/>
        <w:numPr>
          <w:ilvl w:val="3"/>
          <w:numId w:val="1"/>
        </w:numPr>
        <w:rPr/>
      </w:pPr>
      <w:bookmarkStart w:id="381" w:name="__RefHeading___Toc2108974_581953129"/>
      <w:bookmarkStart w:id="382" w:name="_Toc148"/>
      <w:bookmarkEnd w:id="380"/>
      <w:bookmarkEnd w:id="381"/>
      <w:r>
        <w:rPr/>
        <w:t>3</w:t>
      </w:r>
      <w:r>
        <w:rPr>
          <w:rtl w:val="true"/>
        </w:rPr>
        <w:t>-</w:t>
      </w:r>
      <w:r>
        <w:rPr>
          <w:rtl w:val="true"/>
        </w:rPr>
        <w:t>الطب</w:t>
      </w:r>
      <w:bookmarkEnd w:id="382"/>
    </w:p>
    <w:p>
      <w:pPr>
        <w:pStyle w:val="BookText"/>
        <w:rPr/>
      </w:pPr>
      <w:r>
        <w:rPr>
          <w:rFonts w:ascii="IRNazanin" w:hAnsi="IRNazanin" w:eastAsia="IRNazanin"/>
          <w:color w:val="111111"/>
          <w:sz w:val="28"/>
          <w:sz w:val="28"/>
          <w:szCs w:val="28"/>
          <w:rtl w:val="true"/>
          <w:lang w:bidi="fa-IR"/>
        </w:rPr>
        <w:t xml:space="preserve">یعود تعرف المسلمین علی علم الطب فی الحقیقة إلی المساعدات التی قدمها لهم السریانیون و الإیرانیون،إلّا أنّ الکتب الیونانیة التی أُعدت فی مرحلة تألق مدارس أثینا إلی انتهاء الحیاة العلمیة للإسکندریة کانت تمثّل المصادر الأساسیة و الحقیقیة لممارساتهم فی هذا المجال، </w:t>
      </w:r>
      <w:r>
        <w:rPr>
          <w:rStyle w:val="FootnoteAnchor"/>
          <w:rtl w:val="true"/>
        </w:rPr>
        <w:footnoteReference w:id="340"/>
      </w:r>
      <w:r>
        <w:rPr>
          <w:rFonts w:ascii="IRNazanin" w:hAnsi="IRNazanin" w:eastAsia="IRNazanin"/>
          <w:color w:val="111111"/>
          <w:sz w:val="28"/>
          <w:sz w:val="28"/>
          <w:szCs w:val="28"/>
          <w:rtl w:val="true"/>
          <w:lang w:bidi="fa-IR"/>
        </w:rPr>
        <w:t xml:space="preserve">حیث ترجمت بعض النصوص المتعلّقة بالطب إلی العربیة فی عهد المنصور، </w:t>
      </w:r>
      <w:r>
        <w:rPr>
          <w:rStyle w:val="FootnoteAnchor"/>
          <w:rtl w:val="true"/>
        </w:rPr>
        <w:footnoteReference w:id="341"/>
      </w:r>
      <w:r>
        <w:rPr>
          <w:rFonts w:ascii="IRNazanin" w:hAnsi="IRNazanin" w:eastAsia="IRNazanin"/>
          <w:color w:val="111111"/>
          <w:sz w:val="28"/>
          <w:sz w:val="28"/>
          <w:szCs w:val="28"/>
          <w:rtl w:val="true"/>
          <w:lang w:bidi="fa-IR"/>
        </w:rPr>
        <w:t xml:space="preserve">غیر أنّه لم تمض فترة طویلة حتّی وصلت أهمّیة هذا إلی أن یصطف إلی جانب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أنّ علم الطب بفروعه المتنوعة،لم یظلّ فی الحدود التی تمّت ترجمته منها،و إنّما اضیفت إلیه مسائل مهمّة،وذلک من خلال البحوث العمیقة التی قام بها علماء المسلمین،ففی کتاب الجامع لمفردات الأدویة و الأغذیة لابن بیطار علی سبیل المثال،ازداد تعداد خواص الأدویة من خمسمئة عشب التی ذکرها کتاب الحشائش لدیوسکوریدس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الیونانی فی القرن الثانی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ألف وأربعمئة عشب،أو أنّ دراسات الأمراض وطرق علاجها التی جاءت فی کتاب ابن زکریا الرازی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أکثر ممّا ذکره جالینوس وبقراط فی کتبهما الطبیة،هذا إضافة إلی ما یلاحظ من نقود لآرائهم فی آثار الطب الإسلامی؛وکذا نقد الفارابی لترکیبة أعضاء بدن الإنسان فی آراء جالینوس،أو نقد الرازی لرأی جالینوس فی خصوص النظر و السمع،وکذلک رأی ابن النفیس الطبیب الدمشقی البارز فی القرن السادس الهجری فی مجال دوران الدم فی الرئة الذی کان علی النقیض من رأی</w:t>
      </w:r>
    </w:p>
    <w:p>
      <w:pPr>
        <w:pStyle w:val="BookText"/>
        <w:rPr/>
      </w:pP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رأی جالینوس،أنّ الدم یدخل البطین الأیمن عن طریق الشریان،ویدخل البطین الأیسر عن طریق منطقة توجد بین البطین الأیمن و الأیسر لیصل إلی الرئة من خلال الورید،وبعد أن یمتزج بالهواء فی الورید ینتقل إلی البطین الأیسر من خلال ورید آخر لیتوزع علی أجزاء البدن کافة،لکن ابن النفیس کان یعتقد بأنّ الدم یرِد الرئة من البطین الأیمن عن طریق الورید،وبعد أن یمتزج بالهواء فی الورید یدخل البطین الأیسر عن طریق ورید آخر لیتوزع من بعدها علی جمیع أجزاء البدن،الرأی الذی أیده الجمیع فی عالم الطب الیوم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ونشیر فیما یلی إلی شخصیتین بارزتین فی هذا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محمّد بن زکریا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الإسلامی البارز فی القرن الرابع الهجری،حیث یعدّ أعظم طبیب فی العالم الإسلامی،بل یعدّ أعظم طبیب فی العالم فی القرون المیلادیة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المنصوری فی الطب و الحاوی،بأهمّیة رفیعة فی علم الطب،غیر أنّ أکثر ما أثار انتباه الغربیین تجاهه هو کتابه الجدری و الحصبة؛إلی الحد الذی تمّ طبع ترجمته إلی اللاتینیة ما یقارب الأربعین مرّة فی الفترة بین عام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الرازی أوّل من میز بین الجدری</w:t>
      </w:r>
    </w:p>
    <w:p>
      <w:pPr>
        <w:pStyle w:val="BookText"/>
        <w:rPr/>
      </w:pPr>
      <w:r>
        <w:rPr>
          <w:rFonts w:ascii="IRNazanin" w:hAnsi="IRNazanin" w:eastAsia="IRNazanin"/>
          <w:color w:val="111111"/>
          <w:sz w:val="28"/>
          <w:sz w:val="28"/>
          <w:szCs w:val="28"/>
          <w:rtl w:val="true"/>
          <w:lang w:bidi="fa-IR"/>
        </w:rPr>
        <w:t>والحصبة حیث قدم شرحاً حولهما یضاهی البحوث المعاصرة</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ارتبط ازدهار الطب الإسلامی فی المرحلة اللاحقة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أضاف تعالیم کثیرة لهذا العلم لم تکن معهودة قبله،وربّما لأجل هذا قیل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جالینوس بإحیاء الطب،والرازی بجمعه،وابن سینا بتکمیله</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بدأ تعرفه علی الطب من خلال رجل مسیحی یدعی عیسی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تجاوز سنة السادسة عشر حتّی حظی بشهرة عظیمة فیه،فکان یقصده کلّ من یطلب هذا العلم لیرتشفوا من منبعه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یقتصر ابن سینا علی المباحث النظریة فی علم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یعود المرضی لیجری تجاربه علیهم ویتابع سیر المرض ومدی تأثیر علاجه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یحوی کتابه القانون فی الطب الذی یضم خمسة أجزاء الکثیر من الفنون و التعالیم و الجمل و المقالات و الفصول،ومجموعة من جمیع العلوم الإسلامیة و القدیمة،حیث یعدّ أحد أعظم إنجازات الثقافة و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أصبح هذا الکتاب منهجاً دراسیاً لدراسة الطب فی الجامعات الاُوروبیة واستمرّ تدریسه فی مدارس لیون ومونت بلیر </w:t>
      </w:r>
      <w:r>
        <w:rPr>
          <w:rStyle w:val="FootnoteAnchor"/>
          <w:rtl w:val="true"/>
        </w:rPr>
        <w:footnoteReference w:id="346"/>
      </w:r>
      <w:r>
        <w:rPr>
          <w:rFonts w:ascii="IRNazanin" w:hAnsi="IRNazanin" w:eastAsia="IRNazanin"/>
          <w:color w:val="111111"/>
          <w:sz w:val="28"/>
          <w:sz w:val="28"/>
          <w:szCs w:val="28"/>
          <w:rtl w:val="true"/>
          <w:lang w:bidi="fa-IR"/>
        </w:rPr>
        <w:t xml:space="preserve">حتّی عام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هذا الکتاب فی روما عام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م وفی الهند عام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أصبح الطب الإسلامی الذی أسسه وروجه ابن سینا أساساً للطب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وصل اعتماد الطب الغربی علی الطب الإسلامی درجة دفعت شخصیة متمردة مثل باراسلوس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بإحراق کتاب القانون فی الطب لابن سینا فی مدینة بال السویسریة حینما أراد الانتفاض علی الأسالیب الطبیة التقلیدیة وتأسیس علم طبی جدید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یتحدّث الدکتور زیغرید هونکه فی خصوص مکانه طب ابن سینا فی الغرب،حیث یقول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نجح ابن سینا ولوقت طویل فی حجب شهرة جالینوس و الیونان القدیمة عامة،فهو یقف إلی جانب ابن زکریا الرازی علی أعالی جدار قاعة طلبة الطب فی باریس لینظرا إلی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ثمة معلم للطب الاُوروبی علی مدی سبعمئة عام أعظم من ابن سینا</w:t>
      </w:r>
      <w:r>
        <w:rPr>
          <w:rFonts w:eastAsia="IRNazanin" w:cs="IRNazanin"/>
          <w:color w:val="111111"/>
          <w:sz w:val="28"/>
          <w:szCs w:val="28"/>
          <w:rtl w:val="true"/>
          <w:lang w:bidi="fa-IR"/>
        </w:rPr>
        <w:t>.</w:t>
      </w:r>
      <w:bookmarkStart w:id="383" w:name="pg5469_34771"/>
    </w:p>
    <w:p>
      <w:pPr>
        <w:pStyle w:val="BookText"/>
        <w:rPr/>
      </w:pPr>
      <w:bookmarkEnd w:id="383"/>
      <w:r>
        <w:rPr>
          <w:rStyle w:val="FootnoteAnchor"/>
          <w:rtl w:val="true"/>
        </w:rPr>
        <w:footnoteReference w:id="349"/>
      </w:r>
      <w:r>
        <w:rPr>
          <w:rFonts w:ascii="IRNazanin" w:hAnsi="IRNazanin" w:eastAsia="IRNazanin"/>
          <w:color w:val="111111"/>
          <w:sz w:val="28"/>
          <w:sz w:val="28"/>
          <w:szCs w:val="28"/>
          <w:rtl w:val="true"/>
          <w:lang w:bidi="fa-IR"/>
        </w:rPr>
        <w:t>ما یستحق الإشارة هو ظهور المستشفیات فی العالم الإسلامی إلی جانب نمو علم الطب،إذ کانت حدیث العامّة و الخاصّة حیث یمکن الإشارة إلی المستشفیات التالیة،وذلک حتّی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مستشفی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بغداد و التی غدت أنموذجاً للمستشفیات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مستشفی أحمد بن طولون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الفسطاط فی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مستشفی العضدی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بغداد فی 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مستشفی نور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الشام فی القرن الخامس الهجری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مستشفی المنصور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المغرب فی القرن السادس الهجری</w:t>
      </w:r>
      <w:r>
        <w:rPr>
          <w:rFonts w:eastAsia="IRNazanin" w:cs="IRNazanin"/>
          <w:color w:val="111111"/>
          <w:sz w:val="28"/>
          <w:szCs w:val="28"/>
          <w:rtl w:val="true"/>
          <w:lang w:bidi="fa-IR"/>
        </w:rPr>
        <w:t xml:space="preserve">. </w:t>
      </w:r>
      <w:r>
        <w:rPr>
          <w:rStyle w:val="FootnoteAnchor"/>
          <w:rtl w:val="true"/>
        </w:rPr>
        <w:footnoteReference w:id="350"/>
      </w:r>
    </w:p>
    <w:p>
      <w:pPr>
        <w:pStyle w:val="Heading4"/>
        <w:numPr>
          <w:ilvl w:val="3"/>
          <w:numId w:val="1"/>
        </w:numPr>
        <w:rPr/>
      </w:pPr>
      <w:bookmarkStart w:id="384" w:name="__RefHeading___Toc2108976_581953129"/>
      <w:bookmarkStart w:id="385" w:name="_Toc149"/>
      <w:bookmarkEnd w:id="384"/>
      <w:r>
        <w:rPr/>
        <w:t>4</w:t>
      </w:r>
      <w:r>
        <w:rPr>
          <w:rtl w:val="true"/>
        </w:rPr>
        <w:t>-</w:t>
      </w:r>
      <w:r>
        <w:rPr>
          <w:rtl w:val="true"/>
        </w:rPr>
        <w:t>الریاضیات</w:t>
      </w:r>
      <w:bookmarkEnd w:id="385"/>
    </w:p>
    <w:p>
      <w:pPr>
        <w:pStyle w:val="BookText"/>
        <w:rPr/>
      </w:pPr>
      <w:r>
        <w:rPr>
          <w:rFonts w:ascii="IRNazanin" w:hAnsi="IRNazanin" w:eastAsia="IRNazanin"/>
          <w:color w:val="111111"/>
          <w:sz w:val="28"/>
          <w:sz w:val="28"/>
          <w:szCs w:val="28"/>
          <w:rtl w:val="true"/>
          <w:lang w:bidi="fa-IR"/>
        </w:rPr>
        <w:t>أَولی المفکّرون الإسلامییون أهمّیة خاصّة إلی الریاضیات وفروعها عامّة کالحساب و الهندسة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أخذوا هذا العلم عن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البابلیین و المصریین،بید أنّهم أضافوا علیه فی ذات الوقت من المطالب ما نال إعجاب علماء الغرب،هذا علاوة علی ما اکتشفوه من أقسام متعددة وجدیدة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الجبر الذی أبدعه الخوارزمی</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وکانت تمثّل إحدی فروع الریاضیات التی نمت علی ید المسلمین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قام الریاضیون المسلمون ولأوّل مرة بتنسیق التوابع المثلثیة الستّة التی احتفظت حتّی الیوم بلونها وعلامتها العربیة الأصیلة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 xml:space="preserve">&lt; </w:t>
      </w:r>
      <w:r>
        <w:rPr>
          <w:rFonts w:eastAsia="Times New Roman" w:cs="Times New Roman" w:ascii="Times New Roman" w:hAnsi="Times New Roman"/>
          <w:color w:val="111111"/>
          <w:sz w:val="28"/>
          <w:szCs w:val="28"/>
          <w:lang w:val="en-US" w:bidi="en-US"/>
        </w:rPr>
        <w:t>sinus</w:t>
      </w:r>
      <w:r>
        <w:rPr>
          <w:rFonts w:eastAsia="Times New Roman" w:cs="Times New Roman" w:ascii="Times New Roman" w:hAnsi="Times New Roman"/>
          <w:color w:val="111111"/>
          <w:sz w:val="28"/>
          <w:szCs w:val="28"/>
          <w:rtl w:val="true"/>
          <w:lang w:val="en-US" w:bidi="en-US"/>
        </w:rPr>
        <w:t xml:space="preserve">&lt; </w:t>
      </w:r>
      <w:r>
        <w:rPr>
          <w:rFonts w:ascii="IRNazanin" w:hAnsi="IRNazanin" w:eastAsia="IRNazanin"/>
          <w:color w:val="111111"/>
          <w:sz w:val="28"/>
          <w:sz w:val="28"/>
          <w:szCs w:val="28"/>
          <w:rtl w:val="true"/>
          <w:lang w:bidi="fa-IR"/>
        </w:rPr>
        <w:t>إنّما هی ترجمة لمصطلح العربی</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الإشارة فیما یلی إلی الوجوه البارزة للریاضیین الکبار حتّی القرن السادس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محمّد بن موسی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أبرز علماء المسلمین وأعظم علماء عصره فی مجال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النجوم،التاریخ،الجغرافیة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کتابه الجبر و المقابلة من أهمّ آثار علم الریاضیات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یحظی بأهمّیة فائقة لدی الاُوروبین فی القرون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المهمّ الآخر له علی هذا الصعید تمثل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الهند،والذی لم یتبق منه سوی ترجمته اللاتینیة التی تمّت فی القرن الرابع عشر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 کتاب کان له الأثر البالغ فی انتشار الحساب الهندی فی البلدان الإسلامیة والاُوروبیة</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وحسن بن موسی بن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من الریاضیین المهمّین فی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أهمّ آثارهم فتمثّلت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مساحة الأشکال البسیطة و 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له أثر کبیر علی فکر علماء الهندسة الغربیین فی القرون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تعرف هؤلاء علی اسلوب الرسم البیضوی بالخیط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یمسکوا بخیط طوله ضعف المسافة بین مرکزین بیضویین،فی مرکز ثابت لیرسموا شکلاً بیضویاً بقلم یوضع فی حلقة الخیط</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أبوریحان البیرونی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عدّة کتب فی مجال الحساب و الهندسة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استخراج الأوتار بخواص الخطّ المنحنی الساقط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فی استخراج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الطرق السائدة فی معرفة أوتار الدائرة و الأضلاع ما وراء من مراتب الحساب</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وإضافة إلی هذه المجموعة فقد قام بتعیین الطول و العرض الجغرافی بدقّة نسبیة من خلال مقیاس الأرض،وأخرج الوزن الخاصّ بالأحجار الثمینة،</w:t>
      </w:r>
      <w:bookmarkStart w:id="386" w:name="pg5469_34775"/>
    </w:p>
    <w:p>
      <w:pPr>
        <w:pStyle w:val="BookText"/>
        <w:rPr/>
      </w:pPr>
      <w:bookmarkEnd w:id="386"/>
      <w:r>
        <w:rPr>
          <w:rFonts w:ascii="IRNazanin" w:hAnsi="IRNazanin" w:eastAsia="IRNazanin"/>
          <w:color w:val="111111"/>
          <w:sz w:val="28"/>
          <w:sz w:val="28"/>
          <w:szCs w:val="28"/>
          <w:rtl w:val="true"/>
          <w:lang w:bidi="fa-IR"/>
        </w:rPr>
        <w:t>وعلی أساس کون الماء متساوی السطوح فی الطرق المائیة المترابطة،فقد بین طریقة عمل العیون الطبیعیة و الآبار الفوارة،وکتب وصفاً واضحاً لنواح من الهند وأهلها،وألف أیضاً أفضل رسالة فی القرن الوسیط حول الأرقام الهندیة</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أبو الفتح عمر بن إبراهیم الخیام 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نفسه الشهیر،أحد ریاضیی القرن الخامس و السادس البارزین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وتعدّ مقالة الجبر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شرح ما أشکل من مصادرات أقلیدوس،فی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فی قسمة ربع الدائرة،فی التحلیل الهندسی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آثاره الریاضیة</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الخواجة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فی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ممّن یتوجب إلحاقه بمجال علم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قیمة فی الریاضیات و المثلثات و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حظی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البدیهیة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تستطیح الأرض وتربیع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مساحة الأشکال البسیطة و الکریة،فی الجبر و المقابلة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الشکل القطاع،بمنزلة خاصّة فی هذا المجال،إذ قام العلماء الغربیین بترجمتها إلی اللغة اللاتینیة و الفرنسیة و الإنجلیزیة واستفادوا من معلوماته فی باب المثلثات</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387" w:name="__RefHeading___Toc2108978_581953129"/>
      <w:bookmarkStart w:id="388" w:name="_Toc150"/>
      <w:bookmarkEnd w:id="387"/>
      <w:r>
        <w:rPr>
          <w:rtl w:val="true"/>
        </w:rPr>
        <w:t>ب</w:t>
      </w:r>
      <w:r>
        <w:rPr>
          <w:rtl w:val="true"/>
        </w:rPr>
        <w:t>)</w:t>
      </w:r>
      <w:r>
        <w:rPr>
          <w:rtl w:val="true"/>
        </w:rPr>
        <w:t>المراکز العلمیة</w:t>
      </w:r>
      <w:r>
        <w:rPr>
          <w:rtl w:val="true"/>
        </w:rPr>
        <w:t>-</w:t>
      </w:r>
      <w:r>
        <w:rPr>
          <w:rtl w:val="true"/>
        </w:rPr>
        <w:t>الثقافیة</w:t>
      </w:r>
      <w:bookmarkEnd w:id="388"/>
    </w:p>
    <w:p>
      <w:pPr>
        <w:pStyle w:val="Heading4"/>
        <w:numPr>
          <w:ilvl w:val="3"/>
          <w:numId w:val="1"/>
        </w:numPr>
        <w:rPr/>
      </w:pPr>
      <w:bookmarkStart w:id="389" w:name="__RefHeading___Toc2108980_581953129"/>
      <w:bookmarkStart w:id="390" w:name="_Toc151"/>
      <w:bookmarkEnd w:id="389"/>
      <w:r>
        <w:rPr/>
        <w:t>1</w:t>
      </w:r>
      <w:r>
        <w:rPr>
          <w:rtl w:val="true"/>
        </w:rPr>
        <w:t>-</w:t>
      </w:r>
      <w:r>
        <w:rPr>
          <w:rtl w:val="true"/>
        </w:rPr>
        <w:t>المساجد</w:t>
      </w:r>
      <w:bookmarkEnd w:id="3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وضع المساجد فی عداد اولی المراکز التعلیمیة و التربویة الإسلامیة،حیث</w:t>
      </w:r>
    </w:p>
    <w:p>
      <w:pPr>
        <w:pStyle w:val="BookText"/>
        <w:rPr/>
      </w:pPr>
      <w:r>
        <w:rPr>
          <w:rFonts w:ascii="IRNazanin" w:hAnsi="IRNazanin" w:eastAsia="IRNazanin"/>
          <w:color w:val="111111"/>
          <w:sz w:val="28"/>
          <w:sz w:val="28"/>
          <w:szCs w:val="28"/>
          <w:rtl w:val="true"/>
          <w:lang w:bidi="fa-IR"/>
        </w:rPr>
        <w:t>کان النبی الأکرم أوّل من اتّخذها مرکزاً للتربیة الدینیة و الفکریة بتأسیسة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ومن المعلوم أنّ المسجد الحرام یعدّ الأقدم و المفضل علی بقیة المساجد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فغدت من أروع المؤسّسات التعلیمیة منذ ظهور الإسلام وحتّی العصر الأموی و النصف الأوّل من العصر العباسی</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وطوی مسجد الکوفة الجامع مسیرته التصاعدیة باعتباره مرکزاً 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ثقافیاً،وأصبح فی بدایة عهد الدولة العباسیة من المراکز المهمّة للحل و العقد و العلوم و المعارف الإسلامیة،وکان ینافس مسجد البصرة الجامع فی ذلک،حیث کان للتبادل و التفاعل العلمی و الأدبی بین هذین المرکزین الدینیین و الإسلامیین تأثیر کبیر فی صناعة ونشر العلوم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شبّه العلّامة الاُستاذ مسجدی الکوفة و البصرة من الناحیة العلمیة و الأدبیة و المنافسة و التبادل العلمی الذی کان قائماً بینهما،بجامعتین إنجلیزیتین کبیرتین وعریقتین وهما أکسفورد وکمبریدج</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مساجد مهمّة اخری کانت قد اتّخذت للتربیة و التعلیم إلی جانب أداء المناسک العبادیة،أمثال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دمشق</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 الهجری</w:t>
      </w:r>
      <w:r>
        <w:rPr>
          <w:rFonts w:eastAsia="IRNazanin" w:cs="IRNazanin"/>
          <w:color w:val="111111"/>
          <w:sz w:val="28"/>
          <w:szCs w:val="28"/>
          <w:rtl w:val="true"/>
          <w:lang w:bidi="fa-IR"/>
        </w:rPr>
        <w:t>).</w:t>
      </w:r>
      <w:bookmarkStart w:id="391" w:name="pg5469_34779"/>
    </w:p>
    <w:p>
      <w:pPr>
        <w:pStyle w:val="Heading4"/>
        <w:numPr>
          <w:ilvl w:val="3"/>
          <w:numId w:val="1"/>
        </w:numPr>
        <w:rPr/>
      </w:pPr>
      <w:bookmarkStart w:id="392" w:name="__RefHeading___Toc2108982_581953129"/>
      <w:bookmarkStart w:id="393" w:name="_Toc152"/>
      <w:bookmarkEnd w:id="391"/>
      <w:bookmarkEnd w:id="392"/>
      <w:r>
        <w:rPr/>
        <w:t>2</w:t>
      </w:r>
      <w:r>
        <w:rPr>
          <w:rtl w:val="true"/>
        </w:rPr>
        <w:t>-</w:t>
      </w:r>
      <w:r>
        <w:rPr>
          <w:rtl w:val="true"/>
        </w:rPr>
        <w:t>بیت الحکمة</w:t>
      </w:r>
      <w:bookmarkEnd w:id="393"/>
    </w:p>
    <w:p>
      <w:pPr>
        <w:pStyle w:val="BookText"/>
        <w:rPr/>
      </w:pPr>
      <w:r>
        <w:rPr>
          <w:rFonts w:ascii="IRNazanin" w:hAnsi="IRNazanin" w:eastAsia="IRNazanin"/>
          <w:color w:val="111111"/>
          <w:sz w:val="28"/>
          <w:sz w:val="28"/>
          <w:szCs w:val="28"/>
          <w:rtl w:val="true"/>
          <w:lang w:bidi="fa-IR"/>
        </w:rPr>
        <w:t xml:space="preserve">المرکز الآخر الذی کان له دور ممیز فی نقل وتدوین العلوم فی الحضارة الإسلامیة هو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هذا المرکز ملتقیً 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الفضل و الأدب ومترجمی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بدأت نهضة الترجمة منذ زمن المنصور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العباسی ، </w:t>
      </w:r>
      <w:r>
        <w:rPr>
          <w:rStyle w:val="FootnoteAnchor"/>
          <w:rtl w:val="true"/>
        </w:rPr>
        <w:footnoteReference w:id="363"/>
      </w:r>
      <w:r>
        <w:rPr>
          <w:rFonts w:ascii="IRNazanin" w:hAnsi="IRNazanin" w:eastAsia="IRNazanin"/>
          <w:color w:val="111111"/>
          <w:sz w:val="28"/>
          <w:sz w:val="28"/>
          <w:szCs w:val="28"/>
          <w:rtl w:val="true"/>
          <w:lang w:bidi="fa-IR"/>
        </w:rPr>
        <w:t>النهضة التی اضطلع بیت الحکمة بدور بالغ الأهمّیة فی تنامیها کماً وکیفاً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ویعتقد البعض أنّ تأسیس بیت الحکمة قد تمّ فی عهد هارون الرشید وجری إکماله فی عهد المأمون،بید أنّ البعض الآخر یعتقد بأنّه کان علی عهد المأمون</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وکما یبدو من تسمیة بیت الحکمة،فقد غلب علی هذا المرکز العلمی الاختصاص فی مجال الکتب العلمیة و الفلسفیة قبل أن یشمل سائر الکتب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یتّبع نظاماً خاصّاً،حیث کان هناک رئیساً للمترجمین،وتقتصر مهمّة البعض فیه علی عرض الکتب فحسب،ویطلق علی رئیسه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 عمل هذا المرکز العلمی حتّی عصر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بعض الأقوال حتّی هجوم المغول علی بغداد عام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أمّا رواد الترجمة البارزین فی العالم الإسلامی من الذین عملوا فی هذا المرکز العلمی و الثقافی الکبیر،فهم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ماسرجویه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طبیب سریانی یهودی کان مترجماً لعمر بن عبد العزیز فی أواخر القرن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 بن عبدالله بن ناعمة الحمصی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بترجمة کتب الأغالیط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السوفسطیقا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تاسوعات أفلوطین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 المأمون رئیساً لدار الحکمة أو بیت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بترجمة الکتب المنطقیة لأرسطو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المغالطات و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وقسم من ما بعد الطبیعة،وجزء من جمهوریة أفلاطون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بترجمة التوراة الیونانیة تحت عنوان السبعینیة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 خلافة المعتمد و المعتضد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خطی أبیه فی السعی بجد فی الترجمة و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الکتب السوفسطائیة لأفلاطون وما بعد الطبیعة و النفس و الکون و الفساد لأرسطو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أشهر علماء الصابئة فی العهد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نابغة فی الطب و الریاضیات و الفلک و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وضلیعاً باللغة الیونانیة و السریانیة و العبریة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کتاباً فی الجبر و الهندسة،وقام بتصحیح الترجمة العربیة لکتاب المجسطی لبطلیموس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 بن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الأصل ولد فی بعلبک؛ولأجل ذلک اشتهر بالبعلبکی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استدعاه المستعین بالله الخلیفة العباسی إلی بغداد وکلّفه بالترجمة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ضمن تراجمه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الأسکندر الأفرودیسی لکتاب السماع الطبیعی لأرسطو،وکذلک شرح الأسکندر علی الکون و الفساد لأرسطو وأسرار الفلاسفة المنسوب إلی أفلوطرخس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عدی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أنّه کان مدرساً للغة السریانیة و العربیة فقد قام بقراءة الکتب الیونانیة لأبی نصر الفارابی وأبی بشیر متی بن یونس وترجمتها</w:t>
      </w:r>
      <w:r>
        <w:rPr>
          <w:rFonts w:eastAsia="IRNazanin" w:cs="IRNazanin"/>
          <w:color w:val="111111"/>
          <w:sz w:val="28"/>
          <w:szCs w:val="28"/>
          <w:rtl w:val="true"/>
          <w:lang w:bidi="fa-IR"/>
        </w:rPr>
        <w:t xml:space="preserve">. </w:t>
      </w:r>
      <w:r>
        <w:rPr>
          <w:rStyle w:val="FootnoteAnchor"/>
          <w:rtl w:val="true"/>
        </w:rPr>
        <w:footnoteReference w:id="366"/>
      </w:r>
      <w:bookmarkStart w:id="394" w:name="pg5469_34783"/>
    </w:p>
    <w:p>
      <w:pPr>
        <w:pStyle w:val="BookText"/>
        <w:rPr/>
      </w:pPr>
      <w:bookmarkEnd w:id="394"/>
      <w:r>
        <w:rPr>
          <w:rFonts w:ascii="IRNazanin" w:hAnsi="IRNazanin" w:eastAsia="IRNazanin"/>
          <w:color w:val="111111"/>
          <w:sz w:val="28"/>
          <w:sz w:val="28"/>
          <w:szCs w:val="28"/>
          <w:rtl w:val="true"/>
          <w:lang w:bidi="fa-IR"/>
        </w:rPr>
        <w:t>ما یستحقّ التنویه علیه هو الدور الممتاز الذی قام به مریدو الإمام علی</w:t>
      </w:r>
      <w:r>
        <w:rPr>
          <w:rFonts w:ascii="IRNazanin" w:hAnsi="IRNazanin" w:eastAsia="IRNazanin"/>
          <w:i/>
          <w:i/>
          <w:iCs/>
          <w:color w:val="111111"/>
          <w:sz w:val="28"/>
          <w:sz w:val="28"/>
          <w:szCs w:val="28"/>
          <w:rtl w:val="true"/>
          <w:lang w:bidi="fa-IR"/>
        </w:rPr>
        <w:t>فی نهضة الترجمة وبیت الحکمة،وذلک تأسیاً بما کان یراه من ضرورة عرض الثقافة الإسلامیة علی مختلف شعوب العالم واستثمار علوم الاُمم الاُخری لنشرها،حیث یمکن الإشارة من بینهم إلی الذی یعدّ من محبی علی</w:t>
      </w:r>
      <w:r>
        <w:rPr>
          <w:rFonts w:ascii="IRNazanin" w:hAnsi="IRNazanin" w:eastAsia="IRNazanin"/>
          <w:color w:val="111111"/>
          <w:sz w:val="28"/>
          <w:sz w:val="28"/>
          <w:szCs w:val="28"/>
          <w:rtl w:val="true"/>
          <w:lang w:bidi="fa-IR"/>
        </w:rPr>
        <w:t xml:space="preserve">وأهل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بترجمة کتاب فی حرکات النجوم من اللغة الهندیة إلی العربیة عام</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بتوصیة من المنصور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المعروف بالتشیع فی عصر الرشید و المأمون الذی قام وبالتعاون مع بیت الحکمة بترجمة الکثیر من کتب الحکمة الفارسیة إلی العربیة</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395" w:name="__RefHeading___Toc2108984_581953129"/>
      <w:bookmarkStart w:id="396" w:name="_Toc153"/>
      <w:bookmarkEnd w:id="395"/>
      <w:r>
        <w:rPr/>
        <w:t>3</w:t>
      </w:r>
      <w:r>
        <w:rPr>
          <w:rtl w:val="true"/>
        </w:rPr>
        <w:t>-</w:t>
      </w:r>
      <w:r>
        <w:rPr>
          <w:rtl w:val="true"/>
        </w:rPr>
        <w:t>جامع الأزهر</w:t>
      </w:r>
      <w:bookmarkEnd w:id="396"/>
    </w:p>
    <w:p>
      <w:pPr>
        <w:pStyle w:val="BookText"/>
        <w:rPr/>
      </w:pPr>
      <w:r>
        <w:rPr>
          <w:rFonts w:ascii="IRNazanin" w:hAnsi="IRNazanin" w:eastAsia="IRNazanin"/>
          <w:color w:val="111111"/>
          <w:sz w:val="28"/>
          <w:sz w:val="28"/>
          <w:szCs w:val="28"/>
          <w:rtl w:val="true"/>
          <w:lang w:bidi="fa-IR"/>
        </w:rPr>
        <w:t>لقد تألق جامع الأزهر الذی یعدّ ثمرة اخری من ثمار ونهج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سماء الحضارة الإسلامیة کمرکز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 هو من موالی المعز الفاطمی</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ببنائه بالتزامن مع بناء مدینة القاهرة واکتمل بناؤه فی رمضان عام</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أنّ القاضی أبو الحسن بن النعمان کان قد أملی الکتاب الفقهی المختصر لأبیه المعروف الاختصار فی هذا المرکز،غیر أنّ هذه المؤسّسة العلمیة لم تظهر علی شکل جامعة حقیقیة إلّا فی عام</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فی زمن الخلیفة الفاطمی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الفاطمیین الذی کانوا یعتقدون بانتسابهم إلی الصدیقة فاطمة سلام الله علیها قاموا بتأسیس</w:t>
      </w:r>
    </w:p>
    <w:p>
      <w:pPr>
        <w:pStyle w:val="BookText"/>
        <w:rPr/>
      </w:pPr>
      <w:r>
        <w:rPr>
          <w:rFonts w:ascii="IRNazanin" w:hAnsi="IRNazanin" w:eastAsia="IRNazanin"/>
          <w:color w:val="111111"/>
          <w:sz w:val="28"/>
          <w:sz w:val="28"/>
          <w:szCs w:val="28"/>
          <w:rtl w:val="true"/>
          <w:lang w:bidi="fa-IR"/>
        </w:rPr>
        <w:t>مذهب السبعة الإمامی فی مصر،وکانوا یرون أنّهم الخلفاء الحقیقیین لأولاد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وبتأسیسهم جامعة الأزهر وتربیتهم للدعاة و المبلغین الإسماعیلیین،فقد جعلوا من القاهرة ملجأ وملاذاً لمخالفی العباسیین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ترویج الفقه الشیعی الإسماعیلی وکیفیة محاربة الخلافة العباسیة محوراً لسیاستهم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وغدت هذه المؤسسة مرکزاً لبیان اسس الثقافة الشیعیة المستلهمة من کلام الإمام علی</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حیث أُعد منهجه التعلیمی بأمر من الفاطمی،وقصر الاستفادة منه علی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أساتذة الفقه بالهدایا و الإعانات المالیة وابتاع لهم دوراً للسکن تقع إلی جانب هذا المرکز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للأزهر موقوفات واسعة فی زمن الفاطمیین،حیث تدفع من أرباحها النفقات المتعلّقة به</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ومع مجیء حکومة الأیوبیین عام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الشیعة سیطرتهم الفعلیة علی هذه المجموعة، </w:t>
      </w:r>
      <w:r>
        <w:rPr>
          <w:rStyle w:val="FootnoteAnchor"/>
          <w:rtl w:val="true"/>
        </w:rPr>
        <w:footnoteReference w:id="372"/>
      </w:r>
      <w:r>
        <w:rPr>
          <w:rFonts w:ascii="IRNazanin" w:hAnsi="IRNazanin" w:eastAsia="IRNazanin"/>
          <w:color w:val="111111"/>
          <w:sz w:val="28"/>
          <w:sz w:val="28"/>
          <w:szCs w:val="28"/>
          <w:rtl w:val="true"/>
          <w:lang w:bidi="fa-IR"/>
        </w:rPr>
        <w:t>ولکن ما یکفی أتباع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 فخراً،هو أنّهم استطاعوا من خلال اتّباعه والاقتداء به،تأسیس مؤسسة علمیة قال عنها بایارد داج</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ظلّت هذه المؤسّسة علی مدی قرن عدیدة مأویً للعبادة وملاذاً ومأمناً للمظلومین و المحرومین،ومرکزاً للتعلیم،فحینما أفل نجم بغداد فی المشرق وقرطبة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الأزهر رافعاً سراج المعرفة وضاء،ففی تلک الأیام التی کان الإسلام یتعرّض لتهدیدات الصلیبیین و المغول،کان الأزهر یبث الشجاعة و الجرأة و الصمود فی قلوب المسلمین</w:t>
      </w:r>
      <w:r>
        <w:rPr>
          <w:rFonts w:eastAsia="IRNazanin" w:cs="IRNazanin"/>
          <w:color w:val="111111"/>
          <w:sz w:val="28"/>
          <w:szCs w:val="28"/>
          <w:rtl w:val="true"/>
          <w:lang w:bidi="fa-IR"/>
        </w:rPr>
        <w:t xml:space="preserve">. </w:t>
      </w:r>
      <w:r>
        <w:rPr>
          <w:rStyle w:val="FootnoteAnchor"/>
          <w:rtl w:val="true"/>
        </w:rPr>
        <w:footnoteReference w:id="373"/>
      </w:r>
      <w:bookmarkStart w:id="397" w:name="pg5469_34787"/>
    </w:p>
    <w:p>
      <w:pPr>
        <w:pStyle w:val="Heading4"/>
        <w:numPr>
          <w:ilvl w:val="3"/>
          <w:numId w:val="1"/>
        </w:numPr>
        <w:rPr/>
      </w:pPr>
      <w:bookmarkStart w:id="398" w:name="__RefHeading___Toc2108986_581953129"/>
      <w:bookmarkStart w:id="399" w:name="_Toc154"/>
      <w:bookmarkEnd w:id="397"/>
      <w:bookmarkEnd w:id="398"/>
      <w:r>
        <w:rPr/>
        <w:t>4</w:t>
      </w:r>
      <w:r>
        <w:rPr>
          <w:rtl w:val="true"/>
        </w:rPr>
        <w:t>-</w:t>
      </w:r>
      <w:r>
        <w:rPr>
          <w:rtl w:val="true"/>
        </w:rPr>
        <w:t>دار العلم</w:t>
      </w:r>
      <w:bookmarkEnd w:id="399"/>
    </w:p>
    <w:p>
      <w:pPr>
        <w:pStyle w:val="BookText"/>
        <w:rPr/>
      </w:pPr>
      <w:r>
        <w:rPr>
          <w:rFonts w:ascii="IRNazanin" w:hAnsi="IRNazanin" w:eastAsia="IRNazanin"/>
          <w:color w:val="111111"/>
          <w:sz w:val="28"/>
          <w:sz w:val="28"/>
          <w:szCs w:val="28"/>
          <w:rtl w:val="true"/>
          <w:lang w:bidi="fa-IR"/>
        </w:rPr>
        <w:t>لقد أسست دور متنوعة للتعلیم و التربیة علی مدی التاریخ الإسلامی،غیر أنّ المکتبات مثلت البذرة الفکریة الاُولی لهذه المراکز التی کانت تلقی الخطب وتقام الملتقیات العلمیة و الأدبیة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تصطبغ المجموعة الاُولی من دور العلم الإسلامیة بأی لون مذهبی،إلّا أنّ الوزیر الشیعی للبوهیین الذی کان رائداً فی تأسیس هذه المراکز،حینما قام ببناء دار العلم خاصّته فی أحد الأزقة التی کان یقطنها شیعة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الکرخ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کمرکز مهم للمذهب الشیعی لم تمض فترة طویلة حتّی اتّخذت دار العلم هذه طابعاً شیعیاً بحتاً،وغدت أفضل وسیلة لنشر مذهب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یمض کثیر من الوقت حتّی أصبحت دور العلم قدوة للفاطمیین فی مصر،إذ بعد مضی ثلاثة عشر عاماً علی تأسیس دار العلم الشیعیة فی بغداد علی ید ،قام الخلیفة الفاطمی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ببناء أکبر دار للعلم من نوعه فی مدینة القاهرة،وذلک عام</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یتحدّث المقریزی فی خططه عن أمیر مختار المسیحی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الأعمال التی تمّ إنجازها فی هذا المرکز العلمی بقیت علی مدی التاریخ مثالاً للأعمال الجیدة التی لم یطالها النسیان،أمّا الرواتب التی کان یتقاضها الفقهاء و الأساتذة المأذون لهم بالتدریس فیه وکذا سائر الموظفین،فهی ممّا لم یعهد لها نظیرا فی مکان آخر،أضف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الطبقات الشعبیة المختلفة للمطالعة أو لاستنساخ الکتب أو البحث فی مکتبة هذا المرکز وما یهیئ لهم من وسائل الکتابة من قبیل الحبر وأنواع القراطیس</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دار العلم النجفیة التی أسسها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العلم المسمّاة باسم ابن أبی البقاء التی بناها أبو الفرج بن أبی البقاء البصری ومحمّد بن عبید</w:t>
      </w:r>
      <w:bookmarkStart w:id="400" w:name="pg5469_34789"/>
    </w:p>
    <w:p>
      <w:pPr>
        <w:pStyle w:val="BookText"/>
        <w:rPr/>
      </w:pPr>
      <w:bookmarkEnd w:id="400"/>
      <w:r>
        <w:rPr>
          <w:rFonts w:ascii="IRNazanin" w:hAnsi="IRNazanin" w:eastAsia="IRNazanin"/>
          <w:color w:val="111111"/>
          <w:sz w:val="28"/>
          <w:sz w:val="28"/>
          <w:szCs w:val="28"/>
          <w:rtl w:val="true"/>
          <w:lang w:bidi="fa-IR"/>
        </w:rPr>
        <w:t>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 العلم المسمّاة باسم ابن المارستانیة التی أسسها عبید الله بن علی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دور العلم فی هذه المرحلة</w:t>
      </w:r>
      <w:r>
        <w:rPr>
          <w:rFonts w:eastAsia="IRNazanin" w:cs="IRNazanin"/>
          <w:color w:val="111111"/>
          <w:sz w:val="28"/>
          <w:szCs w:val="28"/>
          <w:rtl w:val="true"/>
          <w:lang w:bidi="fa-IR"/>
        </w:rPr>
        <w:t>.</w:t>
      </w:r>
    </w:p>
    <w:p>
      <w:pPr>
        <w:pStyle w:val="Heading4"/>
        <w:numPr>
          <w:ilvl w:val="3"/>
          <w:numId w:val="1"/>
        </w:numPr>
        <w:rPr/>
      </w:pPr>
      <w:bookmarkStart w:id="401" w:name="__RefHeading___Toc2108988_581953129"/>
      <w:bookmarkStart w:id="402" w:name="_Toc155"/>
      <w:bookmarkEnd w:id="401"/>
      <w:r>
        <w:rPr/>
        <w:t>5</w:t>
      </w:r>
      <w:r>
        <w:rPr>
          <w:rtl w:val="true"/>
        </w:rPr>
        <w:t>-</w:t>
      </w:r>
      <w:r>
        <w:rPr>
          <w:rtl w:val="true"/>
        </w:rPr>
        <w:t>حوزة النجف العلمیة</w:t>
      </w:r>
      <w:bookmarkEnd w:id="402"/>
    </w:p>
    <w:p>
      <w:pPr>
        <w:pStyle w:val="BookText"/>
        <w:rPr/>
      </w:pPr>
      <w:r>
        <w:rPr>
          <w:rFonts w:ascii="IRNazanin" w:hAnsi="IRNazanin" w:eastAsia="IRNazanin"/>
          <w:color w:val="111111"/>
          <w:sz w:val="28"/>
          <w:sz w:val="28"/>
          <w:szCs w:val="28"/>
          <w:rtl w:val="true"/>
          <w:lang w:bidi="fa-IR"/>
        </w:rPr>
        <w:t>أُسست الجامعة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الدینیة فی النجف الأشرف علی ید الشیخ أبو جعفر بن الحسن الطوسی إثر فراره من بغداد ولجوئه إلی النجف الأشرف عام</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أضحت هذه المدینة بعد هذا التاریخ مرکزاً لتدریس الفقه الجعفری وجمیع العلوم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وأجری آل بویة رواتب شهریة للشیخ الطوسی وتلامذته وخصص لهم نفقات کافیة لشؤون الدراسة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عاد الشیخ الطوسی مرّة اخری إلی النجف الأشرف لیصل بهذا المرکز العلمی خلال هذه الفترة إلی ذروة رقیه،وذلک بعد أن انتقل منها للتدریس فی الحلّة ومن ثَمّ فی کربلاء</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لقد أصبحت النجف الأشرف فی القرن و النصف الأخیر مرکزاً لمراجع التقلید الشیعة الذین تهافتوا علیها منذ القدم لدراسة العلوم الإسلامیة،حیث قدموا من مختلف بقاع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الهند وإیران وأفغانستان وسوریة و القفقاز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ساهم طلبة هذه الحوزة مساهمة فعالة فی نشر المعارف و الثقافة الدینیة الشیعیة،حیث تخطی عدد طلاب العلوم الدینیة فی هذه المدینة العشرة آلاف طالب وذلک قبل زمن طویل من نشوب حرب عام</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403" w:name="__RefHeading___Toc2108990_581953129"/>
      <w:bookmarkStart w:id="404" w:name="_Toc156"/>
      <w:bookmarkEnd w:id="403"/>
      <w:r>
        <w:rPr/>
        <w:t>6</w:t>
      </w:r>
      <w:r>
        <w:rPr>
          <w:rtl w:val="true"/>
        </w:rPr>
        <w:t>-</w:t>
      </w:r>
      <w:r>
        <w:rPr>
          <w:rtl w:val="true"/>
        </w:rPr>
        <w:t>النظامیة</w:t>
      </w:r>
      <w:bookmarkEnd w:id="4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أواسط القرن الخامس ظهور سلسلة من المدارس العلمیة الکبری اشتهرت</w:t>
      </w:r>
      <w:bookmarkStart w:id="405" w:name="pg5469_34791"/>
    </w:p>
    <w:p>
      <w:pPr>
        <w:pStyle w:val="BookText"/>
        <w:rPr/>
      </w:pPr>
      <w:bookmarkEnd w:id="405"/>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المدارس النظامیة بمثابة جامعات کبری انتشرت فی بعض المدن الإسلامیة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وبغداد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ویتفق المؤرخون علی أنّ هذا الجامعات قد بنیت بأمر من الخواجة نظام الملک الطوسی وزیر السلطان ملک شاه السلجوقی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نظامیة بغداد تمثّل أهمّ هذه النظامیات وأکثرها اعتباراً،والتی أنفق الخواجة نظام الملک ما یقارب الستمئة ألف دینار لبنائها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بالتدریس فیها علماء کبار،أمثال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فضلان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أُنشأت هذه الجامعة علی ید أبی سعید الصوفی عام</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ضفة نهر الفرات،و قد نقش علی واجهتها اسم نظام الملک</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وکانت تحوی فضاءً واسعاً وشُرفاً واسعة مخصصة لإقامة الفقهاء و المدرسین،ومسجداً ومکتبة وغیرها من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اختصّت فی بدایة تأسیسها فی تدریس فروع الفقه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وقراءة القرآن،لکنّها تجاوزت ذلک بالتدریج فأخذت بتدریس الفقه والاُصول و التفسیر وعلوم القرآن و الکلام و الریاضیات و الطب و العلوم الأدبیة أیضاً</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406" w:name="__RefHeading___Toc2108992_581953129"/>
      <w:bookmarkStart w:id="407" w:name="_Toc157"/>
      <w:bookmarkEnd w:id="406"/>
      <w:r>
        <w:rPr/>
        <w:t>7</w:t>
      </w:r>
      <w:r>
        <w:rPr>
          <w:rtl w:val="true"/>
        </w:rPr>
        <w:t>-</w:t>
      </w:r>
      <w:r>
        <w:rPr>
          <w:rtl w:val="true"/>
        </w:rPr>
        <w:t>المکتبات</w:t>
      </w:r>
      <w:bookmarkEnd w:id="40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ثقافة تألیف الکتب ومطالعتها وعلم المکتبات إحدی المظاهر الأساسیة لأی 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تمیزت به الحضارة الإسلامیة کذلک،فاحتلّت هذه الثقافة مکانة رفیعة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الانتهاء من تدوین القرآن الکریم،بدأ العمل فی تدوین الکتب الحدیثة،والذی استمرّ حتّی شمل تدوین الکتب التاریخیة و الأدبیة و النَسَبیة،فمع تطوّر</w:t>
      </w:r>
    </w:p>
    <w:p>
      <w:pPr>
        <w:pStyle w:val="BookText"/>
        <w:rPr/>
      </w:pPr>
      <w:r>
        <w:rPr>
          <w:rFonts w:ascii="IRNazanin" w:hAnsi="IRNazanin" w:eastAsia="IRNazanin"/>
          <w:color w:val="111111"/>
          <w:sz w:val="28"/>
          <w:sz w:val="28"/>
          <w:szCs w:val="28"/>
          <w:rtl w:val="true"/>
          <w:lang w:bidi="fa-IR"/>
        </w:rPr>
        <w:t>العلوم أخذت عملیة التدوین تدبّ شیئاً فشیئاً لتتطوّر وتشمل المجالات کافة،وتتطوّر إثرها ثقافة مطالعة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 وعلم المکتبات،وتقف علی رأس هذه المکتبات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المکتبات الحکومیة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التخصصیة وأمثالها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أدّی إلی ظهور مؤسّسات وحرف جدیدة،حیث یمکن الإشارة إلی صناعة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التجلید کأهمّ هذه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فأدّت مجموع هذه التطوّرات إلی أن یصبح علم المکتبات وإدارتها فریضة دینیة فی عرف الفکر الإسلامی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 عن نطاق الطبقات الخاصّة ونخب المجتمع ولتکون ساحة تتسع کافة الفئات ولجمیع أنواع الاستفادة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ویحتفظ لنا التاریخ بأقدم مکتبة عمومیة فی هذه المرحلة الإسلامیة ألّا وهی مکتبة خالد بن یزید بن معاویة الذی وقف عمره علی مطالعة العلوم الیونانیة وعلی الخصوص الطبیة و الکیمیائیة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أعقب هذا التطوّر أن أصبحت مطالعة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استعارتها من الاُمور متداولة فی أرجاء العالم الإسلامی،حیث أُنشأت مکتبة فی کلّ مدینة کبیرة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وانتشرت فی المساجد وفی بیوت أهل العلم أو إلی جوارها أو فی أماکن سکن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ذکر مکتبة الخلفاء الفخمة فی عهد الولید بن عبد الملک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أنشأ مکتبة عظیمة إلی جوار المسجد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شمل بناء المکتبات مختلف المدن علی مدی القرون الخمسة الاُولی للإسلام،إلّا أنّ القرن الرابع قد شهد رواج صناعة المکتبات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کاتجاه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فقط فی أوساط العلماء، </w:t>
      </w:r>
      <w:r>
        <w:rPr>
          <w:rStyle w:val="FootnoteAnchor"/>
          <w:rtl w:val="true"/>
        </w:rPr>
        <w:footnoteReference w:id="381"/>
      </w:r>
      <w:r>
        <w:rPr>
          <w:rFonts w:ascii="IRNazanin" w:hAnsi="IRNazanin" w:eastAsia="IRNazanin"/>
          <w:color w:val="111111"/>
          <w:sz w:val="28"/>
          <w:sz w:val="28"/>
          <w:szCs w:val="28"/>
          <w:rtl w:val="true"/>
          <w:lang w:bidi="fa-IR"/>
        </w:rPr>
        <w:t>بل علی أیدی الاُمراء و الوزراء،حیث وضعت إمکانات مالیة هائلة تحت تصرف الوزراء المولعین بالثقافة،فوجهوا تلک الأموال باتجاه نشر المکتبات إلی جانب استقطاب</w:t>
      </w:r>
      <w:bookmarkStart w:id="408" w:name="pg5469_34794"/>
    </w:p>
    <w:p>
      <w:pPr>
        <w:pStyle w:val="BookText"/>
        <w:rPr/>
      </w:pPr>
      <w:bookmarkEnd w:id="408"/>
      <w:r>
        <w:rPr>
          <w:rFonts w:ascii="IRNazanin" w:hAnsi="IRNazanin" w:eastAsia="IRNazanin"/>
          <w:color w:val="111111"/>
          <w:sz w:val="28"/>
          <w:sz w:val="28"/>
          <w:szCs w:val="28"/>
          <w:rtl w:val="true"/>
          <w:lang w:bidi="fa-IR"/>
        </w:rPr>
        <w:t>العلماء إلی بلاطهم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افتتحت فی فارس،ثُمّ انتقلت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معز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وغیرها،من جملة المکتبات المهمّة فی الحضارة الإسلامیة</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ویعدّ المشروع العظیم لعلم الکتاب فی العالم الإسلامی الأثر الخالد الفهرست الذی کتبه محمّد بن إسحاق المعروف بابن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القرن الرابع الهجری،شاهداً بارزاً علی المکانة التی احتلّها الکتاب و المکتبة فی الحضارة الإسلامیة</w:t>
      </w:r>
      <w:r>
        <w:rPr>
          <w:rFonts w:eastAsia="IRNazanin" w:cs="IRNazanin"/>
          <w:color w:val="111111"/>
          <w:sz w:val="28"/>
          <w:szCs w:val="28"/>
          <w:rtl w:val="true"/>
          <w:lang w:bidi="fa-IR"/>
        </w:rPr>
        <w:t xml:space="preserve">. </w:t>
      </w:r>
      <w:r>
        <w:rPr>
          <w:rStyle w:val="FootnoteAnchor"/>
          <w:rtl w:val="true"/>
        </w:rPr>
        <w:footnoteReference w:id="383"/>
      </w:r>
    </w:p>
    <w:p>
      <w:pPr>
        <w:pStyle w:val="Heading3"/>
        <w:numPr>
          <w:ilvl w:val="2"/>
          <w:numId w:val="1"/>
        </w:numPr>
        <w:rPr/>
      </w:pPr>
      <w:bookmarkStart w:id="409" w:name="__RefHeading___Toc2108994_581953129"/>
      <w:bookmarkStart w:id="410" w:name="_Toc158"/>
      <w:bookmarkEnd w:id="409"/>
      <w:r>
        <w:rPr>
          <w:rtl w:val="true"/>
        </w:rPr>
        <w:t>الخلاصة</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مثلت العلوم غیر الإسلامیة أو الأجنبیة مظهراً آخر للحضارة الإسلامیة،حیث ازدهرت فی العالم الإسلامی وألقت بظلالها علی النظریات العلمیة للشرق و الغرب علی السواء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علم الکیمیاء،لاحظنا مساعی جابر بن حیان وأبو زکریا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للفصل بین الجانب المادی وغیر الرمزی عن المواد المعدنیة،الأمر الذی یعدّ تأسیساً لعلم الکیمیاء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یکتفِ علماء المسلمین بترجمة وشرح آراء الاُمم الاُخری،بل لعبوا دوراً ممیزاً فی نقدها ودراستها وعرض نظریات جدیدة أیضاً لتکمیل وتطویر علم النجوم</w:t>
      </w:r>
      <w:r>
        <w:rPr>
          <w:rFonts w:eastAsia="IRNazanin" w:cs="IRNazanin"/>
          <w:color w:val="111111"/>
          <w:sz w:val="28"/>
          <w:szCs w:val="28"/>
          <w:rtl w:val="true"/>
          <w:lang w:bidi="fa-IR"/>
        </w:rPr>
        <w:t>.</w:t>
      </w:r>
      <w:bookmarkStart w:id="411" w:name="pg5469_34797"/>
    </w:p>
    <w:p>
      <w:pPr>
        <w:pStyle w:val="BookText"/>
        <w:rPr/>
      </w:pPr>
      <w:bookmarkEnd w:id="41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وینطبق ذات الأمر علی علم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أضاف تعمق علماء المسلمین فی البحوث المرتبطة به مطالب مهمّة إلیه،إلی جانب ما ساهمت فیه ترجمة الآثار العلمیة للحضارات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فبرزت فیه شخصیتان مهمّتان أبو زکریا الرازی وابن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ناهیک عمّا کان لتأسیس مستشفیات کبری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 المغرب من أثر بالغ فی انتشار علم الطب فی العالم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للریاضیین المسلمین إبداعات واکتشافات کثیرة فی علم الریاضیات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ریحان البیرونی و الخواجة نصیر الدین الطوسی من العلماء الذین یشار إلیهم بالبنان فی هذا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وأدّت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العلمیة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النظامیات و المکتبات دوراً أساسیاً فی نشر وتقویم وانتقال العلوم و الثقافات باعتبارها مراکز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ثقافیة،إضافة إلی کونها مظاهر للحضارة الإسلامیة</w:t>
      </w:r>
      <w:r>
        <w:rPr>
          <w:rFonts w:eastAsia="IRNazanin" w:cs="IRNazanin"/>
          <w:color w:val="111111"/>
          <w:sz w:val="28"/>
          <w:szCs w:val="28"/>
          <w:rtl w:val="true"/>
          <w:lang w:bidi="fa-IR"/>
        </w:rPr>
        <w:t>.</w:t>
      </w:r>
    </w:p>
    <w:p>
      <w:pPr>
        <w:pStyle w:val="Heading3"/>
        <w:numPr>
          <w:ilvl w:val="2"/>
          <w:numId w:val="1"/>
        </w:numPr>
        <w:rPr/>
      </w:pPr>
      <w:bookmarkStart w:id="412" w:name="__RefHeading___Toc2108996_581953129"/>
      <w:bookmarkStart w:id="413" w:name="_Toc159"/>
      <w:bookmarkEnd w:id="412"/>
      <w:r>
        <w:rPr>
          <w:rtl w:val="true"/>
        </w:rPr>
        <w:t>الأسئلة</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الأسباب التی دعت المسلمین للإقبال علی العلوم غیر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إلی مدی مساهمة نظریات علماء المسلمین فی علم النجوم وعلم الطب عالمیاً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أبرز شخصیات علم الریاضیات وما هی أهمّ آثارهم؟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الفارق بین علم الکیمیاء و الخیمیاء؟ومن الذی عمل علی الفصل بینهما؟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الدور الذی قامت به المراکز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الثقافیة فی الحضارة الإسلامیة؟حلل ذلک تحلیلاً استدلالیاً من خلال ذکر نموذج لها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أهمّ ثلاثة دور للعلم وأهمّ ثلاثة مکتبات</w:t>
      </w:r>
      <w:r>
        <w:rPr>
          <w:rFonts w:eastAsia="IRNazanin" w:cs="IRNazanin"/>
          <w:color w:val="111111"/>
          <w:sz w:val="28"/>
          <w:szCs w:val="28"/>
          <w:rtl w:val="true"/>
          <w:lang w:bidi="fa-IR"/>
        </w:rPr>
        <w:t>.</w:t>
      </w:r>
      <w:bookmarkStart w:id="414" w:name="pg5469_34801"/>
    </w:p>
    <w:p>
      <w:pPr>
        <w:pStyle w:val="Heading2"/>
        <w:numPr>
          <w:ilvl w:val="1"/>
          <w:numId w:val="1"/>
        </w:numPr>
        <w:rPr/>
      </w:pPr>
      <w:bookmarkStart w:id="415" w:name="__RefHeading___Toc2108998_581953129"/>
      <w:bookmarkStart w:id="416" w:name="_Toc160"/>
      <w:bookmarkEnd w:id="414"/>
      <w:bookmarkEnd w:id="415"/>
      <w:r>
        <w:rPr/>
        <w:t>6</w:t>
      </w:r>
      <w:r>
        <w:rPr>
          <w:rtl w:val="true"/>
        </w:rPr>
        <w:t xml:space="preserve">- </w:t>
      </w:r>
      <w:r>
        <w:rPr>
          <w:rtl w:val="true"/>
        </w:rPr>
        <w:t>المؤسّسات و الفنّ</w:t>
      </w:r>
      <w:bookmarkEnd w:id="416"/>
    </w:p>
    <w:p>
      <w:pPr>
        <w:pStyle w:val="Heading3"/>
        <w:numPr>
          <w:ilvl w:val="2"/>
          <w:numId w:val="1"/>
        </w:numPr>
        <w:rPr/>
      </w:pPr>
      <w:bookmarkStart w:id="417" w:name="__RefHeading___Toc2109000_581953129"/>
      <w:bookmarkStart w:id="418" w:name="_Toc161"/>
      <w:bookmarkEnd w:id="417"/>
      <w:r>
        <w:rPr>
          <w:rtl w:val="true"/>
        </w:rPr>
        <w:t>أ</w:t>
      </w:r>
      <w:r>
        <w:rPr>
          <w:rtl w:val="true"/>
        </w:rPr>
        <w:t>)</w:t>
      </w:r>
      <w:r>
        <w:rPr>
          <w:rtl w:val="true"/>
        </w:rPr>
        <w:t>المؤسّسات</w:t>
      </w:r>
      <w:bookmarkEnd w:id="418"/>
    </w:p>
    <w:p>
      <w:pPr>
        <w:pStyle w:val="Heading4"/>
        <w:numPr>
          <w:ilvl w:val="3"/>
          <w:numId w:val="1"/>
        </w:numPr>
        <w:rPr/>
      </w:pPr>
      <w:bookmarkStart w:id="419" w:name="__RefHeading___Toc2109002_581953129"/>
      <w:bookmarkStart w:id="420" w:name="_Toc162"/>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تعدّ المؤسّسات إحدی مظاهر الثقافة و الحضارة الإسلامیة التی طالما مرّت بظروف استثنائیة عبر العصور،الأمر الذی یجعل من المتعذر التعرّض له بشکل مفصل فی تقریرنا الموجز هذا،ومن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فسنقتصر علی التطرّق بنحو إجمالی لتلک المؤسّسات المتمثلة بالمؤسّسة السیاسیة والاقتصادیة و القضائیة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التنبیه إلی أنّ ما سنأتی علی ذکره فی بحثنا هذا یمثّل عصارة النظام المؤسّساتی الذی کان رائجاً وفعالاً فی المجتمع الإسلامی،ولکن یبقی ثمة سؤال مهم یتطلّب التأمّل و التفکیر الواسع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المؤسسات کانت منسجمة ومتساوقة وروح الثقافة الإسلامیة؟</w:t>
      </w:r>
    </w:p>
    <w:p>
      <w:pPr>
        <w:pStyle w:val="Heading4"/>
        <w:numPr>
          <w:ilvl w:val="3"/>
          <w:numId w:val="1"/>
        </w:numPr>
        <w:rPr/>
      </w:pPr>
      <w:bookmarkStart w:id="421" w:name="__RefHeading___Toc2109004_581953129"/>
      <w:bookmarkStart w:id="422" w:name="_Toc163"/>
      <w:bookmarkEnd w:id="421"/>
      <w:r>
        <w:rPr/>
        <w:t>1</w:t>
      </w:r>
      <w:r>
        <w:rPr>
          <w:rtl w:val="true"/>
        </w:rPr>
        <w:t>-</w:t>
      </w:r>
      <w:r>
        <w:rPr>
          <w:rtl w:val="true"/>
        </w:rPr>
        <w:t>المؤسسة السیاسیة</w:t>
      </w:r>
      <w:bookmarkEnd w:id="422"/>
    </w:p>
    <w:p>
      <w:pPr>
        <w:pStyle w:val="Heading5"/>
        <w:numPr>
          <w:ilvl w:val="4"/>
          <w:numId w:val="1"/>
        </w:numPr>
        <w:rPr/>
      </w:pPr>
      <w:bookmarkStart w:id="423" w:name="__RefHeading___Toc2109006_581953129"/>
      <w:bookmarkStart w:id="424" w:name="_Toc164"/>
      <w:bookmarkEnd w:id="423"/>
      <w:r>
        <w:rPr>
          <w:rtl w:val="true"/>
        </w:rPr>
        <w:t>أ</w:t>
      </w:r>
      <w:r>
        <w:rPr>
          <w:rtl w:val="true"/>
        </w:rPr>
        <w:t>)</w:t>
      </w:r>
      <w:r>
        <w:rPr>
          <w:rtl w:val="true"/>
        </w:rPr>
        <w:t>الخلافة و السلطنة</w:t>
      </w:r>
      <w:bookmarkEnd w:id="424"/>
    </w:p>
    <w:p>
      <w:pPr>
        <w:pStyle w:val="Heading6"/>
        <w:numPr>
          <w:ilvl w:val="5"/>
          <w:numId w:val="1"/>
        </w:numPr>
        <w:rPr/>
      </w:pPr>
      <w:bookmarkStart w:id="425" w:name="__RefHeading___Toc2109008_581953129"/>
      <w:bookmarkStart w:id="426" w:name="_Toc165"/>
      <w:bookmarkEnd w:id="425"/>
      <w:r>
        <w:rPr>
          <w:rtl w:val="true"/>
        </w:rPr>
        <w:t>اشارة</w:t>
      </w:r>
      <w:bookmarkEnd w:id="4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مثلث الخلافة نوعاً من أنواع الحکومات التی ظهرت فی ظلّ التعالیم الدینیة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والخلافة فی ذات کونها نوعاً من الحکومات الشمولیة المطلقة،فإنّها کانت تمارس دور الإشراف علی الاُمور الدنیویة المرتبطة بالمجتمع،وکذا وضع القوانین</w:t>
      </w:r>
    </w:p>
    <w:p>
      <w:pPr>
        <w:pStyle w:val="BookText"/>
        <w:rPr/>
      </w:pPr>
      <w:r>
        <w:rPr>
          <w:rFonts w:ascii="IRNazanin" w:hAnsi="IRNazanin" w:eastAsia="IRNazanin"/>
          <w:color w:val="111111"/>
          <w:sz w:val="28"/>
          <w:sz w:val="28"/>
          <w:szCs w:val="28"/>
          <w:rtl w:val="true"/>
          <w:lang w:bidi="fa-IR"/>
        </w:rPr>
        <w:t>والمقررات الشرعیة للمسلمین</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ویعتقد الشیعة بأنّ منصب الخلافة هو من الاُمور التوقیفیة التی تدخل فی إطار النصّ،حیث قام النبی الأکرم بتعیین خلیفته یوم الغدیر بأمر من الله،وقام علی</w:t>
      </w:r>
      <w:r>
        <w:rPr>
          <w:rFonts w:ascii="IRNazanin" w:hAnsi="IRNazanin" w:eastAsia="IRNazanin"/>
          <w:i/>
          <w:i/>
          <w:iCs/>
          <w:color w:val="111111"/>
          <w:sz w:val="28"/>
          <w:sz w:val="28"/>
          <w:szCs w:val="28"/>
          <w:rtl w:val="true"/>
          <w:lang w:bidi="fa-IR"/>
        </w:rPr>
        <w:t>بدوره أیضاً بنصب ولده الأکبر الإمام الحسن</w:t>
      </w:r>
      <w:r>
        <w:rPr>
          <w:rFonts w:ascii="IRNazanin" w:hAnsi="IRNazanin" w:eastAsia="IRNazanin"/>
          <w:color w:val="111111"/>
          <w:sz w:val="28"/>
          <w:sz w:val="28"/>
          <w:szCs w:val="28"/>
          <w:rtl w:val="true"/>
          <w:lang w:bidi="fa-IR"/>
        </w:rPr>
        <w:t>إماماً وخلیفة تنفیذاً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رأی الشیعة أنّ العصمة تعدّ شرطاً أساسیاً من شروط الإمامة</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أمّا الفرق الاُخری فقد وضعت أربعة شروط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الکفاءة،الصحة النفسیة و البدنیة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 بعض القرشیین أنّ ثمة شرط خامس یستندون فیه إلی حدیث عن النبی الأکرم یذکر فیه أنّ الخلافة من بعده فی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وصلت الخلافة العباسیة إلی أقصی درجات الضعف فی آخر عهدها،لم یدّعِ أی من الذین تمردوا وخرجوا علیها،الخلافة لأنفسهم،و إنّما اکتفوا بتلقیب أنفسهم بالسلطان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وأمثالها من الألقاب،حیث اقتصروا علی انتزاع الحکومة الدنیویة من الخلیفة،ولم یتعرّضوا للمنصب المذهبی للخلیفة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ضمن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الدیالمة و الغزنویون و السلاجقة و الطاهریون الذی تحکموا بالخلیفة،إلّا أنّهم أبقوا علی عنوان الخلافة وجعلوا من أنفسهم حکاماً منصبین من قِبله، </w:t>
      </w:r>
      <w:r>
        <w:rPr>
          <w:rStyle w:val="FootnoteAnchor"/>
          <w:rtl w:val="true"/>
        </w:rPr>
        <w:footnoteReference w:id="386"/>
      </w:r>
      <w:r>
        <w:rPr>
          <w:rFonts w:ascii="IRNazanin" w:hAnsi="IRNazanin" w:eastAsia="IRNazanin"/>
          <w:color w:val="111111"/>
          <w:sz w:val="28"/>
          <w:sz w:val="28"/>
          <w:szCs w:val="28"/>
          <w:rtl w:val="true"/>
          <w:lang w:bidi="fa-IR"/>
        </w:rPr>
        <w:t>فصلاح الدین الأیوبی علی سبیل المثال،کان یعتبر نفسه نائباً للخلیفة الفاطمی،إلی قام بحذف اسم الخلیفة الفاطمی من خطبه لیضع مکانه اسم الخلیفة العباسی،غیر أنّه کان الملک الحقیقی و المطلق لمصر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الشکل من الحکومة کان ینعقد فی زمن الخلفاء الراشدین من خلال شوری أهل الحلّ و العقد حیناً،ومن خلال البیعة حیناً آخر،أی أنّ شکل الحکومة کان فی</w:t>
      </w:r>
    </w:p>
    <w:p>
      <w:pPr>
        <w:pStyle w:val="BookText"/>
        <w:rPr/>
      </w:pPr>
      <w:r>
        <w:rPr>
          <w:rFonts w:ascii="IRNazanin" w:hAnsi="IRNazanin" w:eastAsia="IRNazanin"/>
          <w:color w:val="111111"/>
          <w:sz w:val="28"/>
          <w:sz w:val="28"/>
          <w:szCs w:val="28"/>
          <w:rtl w:val="true"/>
          <w:lang w:bidi="fa-IR"/>
        </w:rPr>
        <w:t>الحقیقة شکلاً یرتکز علی رکنین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 الملأ،والبیعة،حیث وصل الخلفاء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سدة الحکم عن طریق الشوری وعن طریق البیعة أیضاً؛وذلک علی خلاف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أصبح خلیفة من دون إقامة مثل هکذا مراسم</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وتمثّل البیعة عهداً ینعقد بین الحاکم و الرعیة تعطی الرعیة فیه کامل الصلاحیة للأوّل للتصرّف فی مقدراتها،وتتعهد بإطاعة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فی مصلحتها أم فی ضررها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التمرد و الخروج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 هی مصدر فعل وتعنی البیع،فکما أنّ البائع و المشتری یصفُق کلّ منهما علی ید الآخر علامة علی الرضا بتبادل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الحاکم و الرعیة یفعلان الشیء ذاته فی البیعة</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وکانت بیعة العقبة التی انعقدت مع النبی وبقی قَسَمها متبعاً فی أخذ البیعة بین الخلفاء،أوّل بیعة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شمل قَسَمها جمیع أنواع القَسَم</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ما هو جدیر بالاهتمام أن النساء کان لهنّ دور معترف به فی الحیاة الاجتماعیة و السیاسیة للإسلام،حیث تمّت مبایعتهنّ للنبی وفق شروط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مبایعة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یعنی ثبوت حق لهنّ فی اختیار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یدلّ علی اهتمام الإسلام بإشراک النساء فی تولیفة المجتمع الإسلامی وقضیة الحاکمیة</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تغییر شکل الحکومة من الخلافة إلی السلطنة و الذی سنتحدّث عنه قریباً،لم تحافظ علی شفافیتها وبساطتها،بل ترافقت مع الضغط و الإجبار من جهة،ومع</w:t>
      </w:r>
      <w:bookmarkStart w:id="427" w:name="pg5469_34807"/>
    </w:p>
    <w:p>
      <w:pPr>
        <w:pStyle w:val="BookText"/>
        <w:rPr/>
      </w:pPr>
      <w:bookmarkEnd w:id="427"/>
      <w:r>
        <w:rPr>
          <w:rFonts w:ascii="IRNazanin" w:hAnsi="IRNazanin" w:eastAsia="IRNazanin"/>
          <w:color w:val="111111"/>
          <w:sz w:val="28"/>
          <w:sz w:val="28"/>
          <w:szCs w:val="28"/>
          <w:rtl w:val="true"/>
          <w:lang w:bidi="fa-IR"/>
        </w:rPr>
        <w:t>إقامة مراسم متکلفة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عهد العباسیین علی سبیل المثال کانت البیعة التی تتمّ من قِبل قادة الجیش وقضاة بغداد أکثر صرامة من بیعة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یقدَّم متولی الجیش ویدعو الجند بأسمائهم ویقْسم،ثُمّ یتقدّم الوزیر أو نائبه لیضع العمامة علی رأس الخلیفة ویلبسه البرد،وحینما تنتهی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الألقاب علی الخلیفة لیختار لقباً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هذه الألقاب حدیثة العهد فی الإسلام وظلّت بسیطة حتّی عهد هارون الرشید حیث اقتصرت علی ألقاب أمثال الأمین و المأمون و الرشید؛إلّا أنّه حینما حلّ عهد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إضافة اسم الله إلی تلک الألقاب،کالمعتصم بالله،وحینما تتمّ مراسم البیعة یأتی الفرسان وهم یمتطون جیادهم بألبستهم الفاخرة لیقلّوا الخلیفة ویصحبوه إلی دار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ویصطف الجیش علی جانبی الطریق ویسیر أحد الرجال المسلحین أمام الخلیفة،ویحضر ممثلی الأمصار و العاصمة فی دار الخلافة أو دار العامة لتهنئة الخلیفة</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ثُمّ إنّ البیعة کانت تقتصر علی إلقاء کلمة ارتجالیة موجزة فی بدایة الأمر،لکنّها تحولّت تدریجیاً إلی نصّ مفصل،ومن ثَمّ إلی نصّ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بمطالب طویلة وعبارات مهیبة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أن یکون شفویاً وارتجالیاً،بحیث إنّ نصّ بیعة الحاکم بأمر الله العباسی التی أجریت فی مصر أواسط القرن الثامن الهجری شملت أربع صفحات کبیرة و أنّ معاویة علی سبیل المثال لم تتمّ بیعته وانتخابه لمنصب الخلافة بشکل قانونی،فقد قام ببیعته مجموعة من جهلة الشام بالخروج علی خلیفة المسلمین الشرعی و القانونی،وذلک من خلال قیامه بتغریر جنده،وانتهی الأمر إلی هجومه علی العراق،الأمر الذی اضطر الخلیفة القانونی،أی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التخلی عن الخلافة</w:t>
      </w:r>
      <w:r>
        <w:rPr>
          <w:rFonts w:eastAsia="IRNazanin" w:cs="IRNazanin"/>
          <w:color w:val="111111"/>
          <w:sz w:val="28"/>
          <w:szCs w:val="28"/>
          <w:rtl w:val="true"/>
          <w:lang w:bidi="fa-IR"/>
        </w:rPr>
        <w:t>.</w:t>
      </w:r>
    </w:p>
    <w:p>
      <w:pPr>
        <w:pStyle w:val="Heading6"/>
        <w:numPr>
          <w:ilvl w:val="5"/>
          <w:numId w:val="1"/>
        </w:numPr>
        <w:rPr/>
      </w:pPr>
      <w:bookmarkStart w:id="428" w:name="__RefHeading___Toc2109010_581953129"/>
      <w:bookmarkStart w:id="429" w:name="_Toc166"/>
      <w:bookmarkEnd w:id="428"/>
      <w:r>
        <w:rPr>
          <w:rtl w:val="true"/>
        </w:rPr>
        <w:t>تحوّل الخلافة إلی سلطنة</w:t>
      </w:r>
      <w:bookmarkEnd w:id="4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لکلمة السلطنة تداعیات سیئة فی أذهان مسلمی صدر الإسلام،إذ إنّهم کانوا</w:t>
      </w:r>
    </w:p>
    <w:p>
      <w:pPr>
        <w:pStyle w:val="BookText"/>
        <w:rPr/>
      </w:pPr>
      <w:r>
        <w:rPr>
          <w:rFonts w:ascii="IRNazanin" w:hAnsi="IRNazanin" w:eastAsia="IRNazanin"/>
          <w:color w:val="111111"/>
          <w:sz w:val="28"/>
          <w:sz w:val="28"/>
          <w:szCs w:val="28"/>
          <w:rtl w:val="true"/>
          <w:lang w:bidi="fa-IR"/>
        </w:rPr>
        <w:t>قد عایشوا تجربة سلطنة 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غساسنة الشام وملوک الیمن التی ترافقت مع الارستقراطیة و الظلم،و هو ما جعلهم یتبرمون من السلطنة و الملوکیة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معاویة الذی یمکن اعتباره مؤسساً لحکومة الأمویین هو الذی قام بتغییر شکل الدولة من الخلافة إلی السلطنة،فلم یکن معاویة ینظر إلی تجربة ملوک آل غسان فی الشام بعین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بعین الرضا الأمر الذی أهاج رغباته لإنشاء بلاطه وفق مقاییس بلاط اولئک الملوک،و قد عدّ نفسه أوّل ملک،حتّی أخذ بعض الصحابة بمخاطبته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طعناً فیه</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ولو راجعنا ممارسات الخلفاء السابقین للاحظنا قیامهم باستشارة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أغلب الاُمور،وکان للناس حقّ انتقادهم ونصحهم،وللاحظنا اجتنابهم بناء القصور وتحرجهم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حیال أموال بیت المال،لکن الأمر یختلف فی السلطنة،حیث إنّ لها مفهوماً واسعاً یتضمّن کلّ شیء إلّا الخلافة،إذ إنّ الملک یعتبر بیت المال ملکاً خاصّاً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ما یقوم به من بناء للقصور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استحداث للبلاطات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للحجبة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الناس من 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مشاورة أهل الخبرة،من الاُمور التی تنبأ عن عدم انبثاق الحکومة من أوساط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الخلفاء الذین أعقبوا معاویة أبعد منه فی إفراطهم فی هذا المجال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الأمویین ومن خلال إبداعهم السلطنه وتحویل الخلافة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 الوراثة من أهمّ الطرق لاختیار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اختار معاویة ابنه یزید الذی ملأ فسقه وفجوره الخافقین خلیفة من بعده،وجاء من بعد یزید ابنه معاویة الثانی الذی تخلّی عن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أهل الشام الذین اعتادوا مسألة التوریث بتنصیب مروان خلیفة باعتباره أسن بنی أمیة،ثُمّ تبعه أولاده وأحفاده فی الجلوس علی مسند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الوراثة هی الأساس فی الحکم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الأصل الذی سار علیه العباسیون و الأمراء،فی حین لم یکن له أی جذور إسلامیة أو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سبق وأن لمحنا،أنّ تغییر طبیعة البیعة وماهیتها کان من الأسباب المهمّة لتبدیل الخلافة إلی سلطنة،فکانت البیعة فی عهد بنی امیة وما بعدهم تتوقّف علی اختیار وریث الخلیفة المتوفّی،حیث یصبح الناس مکلّفین بمبایعته الأمر الذی یعنی الرضا بخلافته وعدم مخالفته،فهو بمثابة عهد یؤخذ من الناس کی یعتبروا أنفسهم مکلّفین بحمایة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قاموا بمساندة الخارجین علی الحکومة فإنّ ذلک یعنی نقضهم لبیعتهم،ممّا یخول الحکومة قتلهم بتهمة نقض البیعة،فهم یجبرون الناس علی البیعة من جهة،ولم یعطوا الحقّ لأحد فی التنصل منها من جهة اخری،فحینما قام أهل المدینة بالخروج علی یزید،دخلها جیشه عنوة وقام باستباحتها وأخذ البیعة من أهلها علی أنّهم عبید لیزید وتمّ قتل من رفض البیعة</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قد أوغلوا فی هذا الانحراف إلی درجة أصبح الخلفاء یأخذون البیعة أثناء حیاتهم لأولادهم أو أرحامهم،ویقیمون مراسم وإجراءات لبیعتهم کتلک التی تقام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الخلفاء فی أغلب الحالات یستشیرون کبار القوم حول الموضوع،فحینما أراد المنصور أخذ البیعة لولده المهدی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کبار الاُسرة العباسیة إبداء وجهة نظرهم فی ذلک،فاعترض جعفر علی ذلک واعتبر أنّ الخلافة حقّه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فرتّب المنصور مجلساً للخطباء و الشعراء وطرح فیه قضیة استخلاف المهدی،فأطری وأثنی أغلب الشعراء علی المهدی فکان ذلک ذریعة له لترجیح المهدی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 أحیاناً ولدواعی مختلفة أخذ البیعة للأرحام المقربین أو أنّها تؤخذ لمجموعة</w:t>
      </w:r>
      <w:bookmarkStart w:id="430" w:name="pg5469_34813"/>
    </w:p>
    <w:p>
      <w:pPr>
        <w:pStyle w:val="BookText"/>
        <w:rPr/>
      </w:pPr>
      <w:bookmarkEnd w:id="430"/>
      <w:r>
        <w:rPr>
          <w:rFonts w:ascii="IRNazanin" w:hAnsi="IRNazanin" w:eastAsia="IRNazanin"/>
          <w:color w:val="111111"/>
          <w:sz w:val="28"/>
          <w:sz w:val="28"/>
          <w:szCs w:val="28"/>
          <w:rtl w:val="true"/>
          <w:lang w:bidi="fa-IR"/>
        </w:rPr>
        <w:t>من الأولاد علی التوالی،فقد جعل هارون علی سبیل المثال ولده الأمین ولیاً للعهد و القاسم ولیاً لعهد الأمین وجعل للمأمون الاختیار فی عزل القاسم أو الإبقاء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الخلیفة أو سکرتیره الخاصّ یتولّی کتابة میثاق ولایة العهد،ومن ثَمّ الختم علیه،لیقوم کبار العائلة من بعده بالختم علیه أیضاً،ومن یسلموه ولایة العهد أو أمناءه لتنفیذه عند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ویحفظ هذا المیثاق عادة فی محلّ آمن کالمسجد أو الخزانة أو الکعبة؛کما هو الحال فی میثاق ولایة عهد الأمین و القاسم و المأمون فقد حفظه هارون فی الکعبة</w:t>
      </w:r>
      <w:r>
        <w:rPr>
          <w:rFonts w:eastAsia="IRNazanin" w:cs="IRNazanin"/>
          <w:color w:val="111111"/>
          <w:sz w:val="28"/>
          <w:szCs w:val="28"/>
          <w:rtl w:val="true"/>
          <w:lang w:bidi="fa-IR"/>
        </w:rPr>
        <w:t>.</w:t>
      </w:r>
    </w:p>
    <w:p>
      <w:pPr>
        <w:pStyle w:val="Heading6"/>
        <w:numPr>
          <w:ilvl w:val="5"/>
          <w:numId w:val="1"/>
        </w:numPr>
        <w:rPr/>
      </w:pPr>
      <w:bookmarkStart w:id="431" w:name="__RefHeading___Toc2109012_581953129"/>
      <w:bookmarkStart w:id="432" w:name="_Toc167"/>
      <w:bookmarkEnd w:id="431"/>
      <w:r>
        <w:rPr>
          <w:rtl w:val="true"/>
        </w:rPr>
        <w:t>علامات الخلافة</w:t>
      </w:r>
      <w:bookmarkEnd w:id="432"/>
    </w:p>
    <w:p>
      <w:pPr>
        <w:pStyle w:val="BookText"/>
        <w:rPr/>
      </w:pP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 للخلافة بعض العلامات کرموز تمیز منصب الخلیفة عن غیره من المناصب،حیث یمکن الإشارة إلیها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ارتداها النبی لمدّة فعدّها الشاعر المشهور کعب بن زهیر بن أبی سلمی علامة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بقیت هذه البردة عند أقرباء کعب حتّی ابتاعها معاویة أیام خلافته بأربعین ألف درهم وتوارثها الأمویین حتّی وصلت إلی العباسیین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الخاتم الذی استخدمه الرسول الأکرم أوّل خاتم فی المؤسّسات السیاسیة فی الإسلام،حیث استخدمه لأوّل مرّة فی الرسائل التی أملاها لشاه إیران وإمبراطور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الخلفاء من بعد النبی باستخدامه کأحد علامات الخلافة،فکانوا یختمون بالطین أو الحبر فی أعلی أو أسفل الرسالة واستمرّ الحال کذلک إلی عهد معاویة،حیث أخذوا بطی الرسالة وختم رأسها بالشمع کی لا تطالها ید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و الی العراق زیاد اتّباعاً لطریقة الإیرانیین باستحداث دیوان الرئاسة أو دائرة الأختام،وظلّ دیوان الأختام أو الرئاسة قائماً منذ زمن معاویة حتّی أواسط عهد العباسیین الذی تمّ إلغاءه فیه،لأنّهم خولوا الوزراء و الأمراء و الحکام وأمثالهم فی القیام علی شؤون الأختام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ظهرت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السلاطین بجعل علامة لهم کالخلفاء وسمّوها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والطغراء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غلیظة وجمیلة تحمل ألقاب السلطان وتستعمل بدل ختمه فی أوامره ورسائله،وغالباً ما یحمل خاتم الخلفاء عبارات تمجید الله و السلام علی الأنبیاء واسم الخلیفة وما إلی ذلک،حیث خط علی عبارة نعم القادر الله؛و کفی بالموت واعظا یا عمر،و لتبصرن أو لتندمن،و الملک لله،و عبد الله یؤمن بالله مخلصاً،و علی الله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توضع عصا الخلافة فی ید کلّ خلیفة یجلس علی مسند الحکومة و الخلافة،وذلک منذ زمن الأمویین و العباسیین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وتمثل الخطبة إحدی العلامات المهمّة للخلافة و التی یدعو فیها من علی المنبر حین الصلاة،وکانت العادة جاربة فی البدایة بأن یصبح الخلیفة إماماً للجماعة ویدعو بعد الصلاة للنبی وأتباعه ویصلّی علیهم،وحینما فتح خلفاء الإسلام البلدان أخذ ولاة الخلیفة فی باقی البلدان بالدعاء للخلیفة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عبد الله بن عباس أوّل والٍ دعا لخلیفة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کان و الیاً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البصرة رقی المنبر،وقال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أصبح هذا الرسم متبعاً فکان الدعاء للخلیفة یمثل علامة لقدرته وقوته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الثوب،وکانت هذه العلامة متداولة فی إیران وروما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عبد الملک بن مروان الخلیفة الأموی أوّل خلیفة قام بإجراء رسم الطراز الإسلامی بعد الإسلام،إذ اتسم الخلفاء الراشدون بالبساطة وعدم التکلّف فی تحرکاتهم،بید أنّ الخلفاء الأمویین الذین خالطوا الروم و الإیرانیین قاموا باقتباس الکثیر من رسومهم البلاطیة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فابتدأ استعمال الطراز أوّل ما ابتدأ باستخدام موظفی الدولة الخطوط الرومیة فی نقش اسم السلطان أو علامة الدولة الخاصّة علی ألبستهم الحریریة و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أغلب الطرز وعلی الخصوص القرطاس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الکاغذ</w:t>
      </w:r>
      <w:bookmarkStart w:id="433" w:name="pg5469_34817"/>
    </w:p>
    <w:p>
      <w:pPr>
        <w:pStyle w:val="BookText"/>
        <w:rPr/>
      </w:pPr>
      <w:bookmarkEnd w:id="433"/>
      <w:r>
        <w:rPr>
          <w:rFonts w:ascii="IRNazanin" w:hAnsi="IRNazanin" w:eastAsia="IRNazanin"/>
          <w:color w:val="111111"/>
          <w:sz w:val="28"/>
          <w:sz w:val="28"/>
          <w:szCs w:val="28"/>
          <w:rtl w:val="true"/>
          <w:lang w:bidi="fa-IR"/>
        </w:rPr>
        <w:t>الملّون بالنقوش و الکتابة المصریة تزین به الظروف و الألبسة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تصنع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عبد العزیز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بتغییر محتواه وخطوطه بأمر من أخیه عبد الملک واستبدلها بالطراز الإسلامی،فکان یکتب علی هذه الطرز اسم ولقب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العلامات علی قدر من الأهمّیة إلی الدرجة التی یدلّ بقاؤها فی ألبسة الموظفین و الأعلام علی رسمیة الحکومة وسلطة الخلیفة وزوالها علی زوال حکومة الخلیفة أو علی الخروج علیه،فحینما علم المأمون بنقض أخیه الأمین للعهد أمر بمحو طراز خلافته من الأعلام و الألبسة الرسمیة فی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أنشأ الخلفاء دوائر واسعة لإعداد الطراز سمّیت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مهام مدیر الطراز تسدید اجرة عمّال 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المطارز أقصی عظمتها وجلالها فی العهدین الأموی و العباسی،حیث کان یتمّ انتخاب مدیر الطراز من بین موظفی الدولة الأقرب للخلیفة وخاصّة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أنشأ الخلفاء الفاطمیون فی مصر وأمراء البلاد الإسلامیة فی إیران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مطارز متکاملة وباهرة</w:t>
      </w:r>
      <w:r>
        <w:rPr>
          <w:rFonts w:eastAsia="IRNazanin" w:cs="IRNazanin"/>
          <w:color w:val="111111"/>
          <w:sz w:val="28"/>
          <w:szCs w:val="28"/>
          <w:rtl w:val="true"/>
          <w:lang w:bidi="fa-IR"/>
        </w:rPr>
        <w:t>.</w:t>
      </w:r>
    </w:p>
    <w:p>
      <w:pPr>
        <w:pStyle w:val="Heading5"/>
        <w:numPr>
          <w:ilvl w:val="4"/>
          <w:numId w:val="1"/>
        </w:numPr>
        <w:rPr/>
      </w:pPr>
      <w:bookmarkStart w:id="434" w:name="__RefHeading___Toc2109014_581953129"/>
      <w:bookmarkStart w:id="435" w:name="_Toc168"/>
      <w:bookmarkEnd w:id="434"/>
      <w:r>
        <w:rPr>
          <w:rtl w:val="true"/>
        </w:rPr>
        <w:t>ب</w:t>
      </w:r>
      <w:r>
        <w:rPr>
          <w:rtl w:val="true"/>
        </w:rPr>
        <w:t>)</w:t>
      </w:r>
      <w:r>
        <w:rPr>
          <w:rtl w:val="true"/>
        </w:rPr>
        <w:t>النظام الإداری</w:t>
      </w:r>
      <w:bookmarkEnd w:id="4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یأتی الکلام عن النظام الإداری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فترة زمنیة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ألّا یتبادر إلی أذهاننا التصّور المعهود عنه فی زماننا هذا،إذ لم تکن الأعمال فی ذلک الوقت متمایزة عن بعضها البعض،حیث کانت حیاة الناس عبارة عن حیاة بدائیة وبسیطة بکلّ معنی الکلمة،فکانت مساعی الرسول الأکرم لتحدید وظائف الأفراد وتنظیم الاُمور ملفتة فی هذا المجال،حیث اختار صلی الله علیه وآله وسلم علی سبیل المثال أفرادا ککتاب له وعهد إلی کلّ منهم بمسؤولیة تختلف عن مسؤولیة الآخر،فکان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 لآیات القرآن النازلة وکتب الصلح و المواثیق،وزید بن ثابت وعبد الله بن الأرقم کاتبین لرسائله إلی الملوک إضافة إلی کتابة الوحی،والزبیر و الجهم بن</w:t>
      </w:r>
      <w:bookmarkStart w:id="436" w:name="pg5469_34819"/>
    </w:p>
    <w:p>
      <w:pPr>
        <w:pStyle w:val="BookText"/>
        <w:rPr/>
      </w:pPr>
      <w:bookmarkEnd w:id="436"/>
      <w:r>
        <w:rPr>
          <w:rFonts w:ascii="IRNazanin" w:hAnsi="IRNazanin" w:eastAsia="IRNazanin"/>
          <w:color w:val="111111"/>
          <w:sz w:val="28"/>
          <w:sz w:val="28"/>
          <w:szCs w:val="28"/>
          <w:rtl w:val="true"/>
          <w:lang w:bidi="fa-IR"/>
        </w:rPr>
        <w:t>الصلت کاتبین للصدقات؛ومعیقب بن أبی فاطمة کاتباً للغنائم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فکان الرسول الأکرم یحاول أن یحدد لکلّ شخص وظائفه الکتابیة ونظام عمله الإداری،کإرسال الجباة لجبایة الزکاة وصرفها فی الموارد التی قررها القرآن،استخلاف أحد الأفراد مکانه عند خروجه للحرب،تعیین بعض الأفراد للإشراف و الرقابة علی السوق کسعد بن سعید بن العاص الذی جعله ناظراً علی سوق مکّة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یحکی عن تأسیس نظام منسجم وجامع لإدارة الحکومة</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إلّا أنّ الفتوحات الواسعة للمسلمین بعد رحیل النبی الأکرم کشفت عن الحاجة الماسة إلی نظام مقتدر،و هو ما أدّی بالحضارة الإسلامیة إلی إنتاج نظام حکومی یتکوّن من عدّة أنظمة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متناسقة ومتناغمة فی ذات الوقت وتحت إشراف الحاکم</w:t>
      </w:r>
      <w:r>
        <w:rPr>
          <w:rFonts w:eastAsia="IRNazanin" w:cs="IRNazanin"/>
          <w:color w:val="111111"/>
          <w:sz w:val="28"/>
          <w:szCs w:val="28"/>
          <w:rtl w:val="true"/>
          <w:lang w:bidi="fa-IR"/>
        </w:rPr>
        <w:t>.</w:t>
      </w:r>
    </w:p>
    <w:p>
      <w:pPr>
        <w:pStyle w:val="Heading5"/>
        <w:numPr>
          <w:ilvl w:val="4"/>
          <w:numId w:val="1"/>
        </w:numPr>
        <w:rPr/>
      </w:pPr>
      <w:bookmarkStart w:id="437" w:name="__RefHeading___Toc2109016_581953129"/>
      <w:bookmarkStart w:id="438" w:name="_Toc169"/>
      <w:bookmarkEnd w:id="437"/>
      <w:r>
        <w:rPr>
          <w:rtl w:val="true"/>
        </w:rPr>
        <w:t>ج</w:t>
      </w:r>
      <w:r>
        <w:rPr>
          <w:rtl w:val="true"/>
        </w:rPr>
        <w:t>)</w:t>
      </w:r>
      <w:r>
        <w:rPr>
          <w:rtl w:val="true"/>
        </w:rPr>
        <w:t>الوزارات</w:t>
      </w:r>
      <w:bookmarkEnd w:id="4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البحث یرتبط بتعریف الوزیر،فهو المشاور و المعاون للحاکم العام،والذی کان موجوداً منذ صدر الإسلام،لکن إذا کان یرتبط بمسألة بدایة ظهور مثل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البحث عن ذلک فی عهد بنی العبّاس،حیث اتسع نطاق الإمبراطوریة الإسلامیة ممّا أدّی اکتساب إدارة الدولة أهمّیة فائقة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فاستحدث منذ ذلک الحین مقام یتکفّل بالقیام بوظائف الخلیفة التی تتضمّن الرقابة علی دیوان الحسابات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أحکام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الإشراف علی إرسال الکتب من جهة حفظ أسرار الخلیفة وأمثالها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فالوزیر فی حقیقته یحمل السیف فی ید و القلم فی الاُخری</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وکان أبو سلمة حفص بن سلیمان الهمدانی وزیر بنی العبّاس،أوّل وزیر للدولة الإسلامیة حینما أصبح وزیراً للسفّاح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یعرف أحد علی أنّه وزیر فی الدول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دولة الأمویین ولا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أبی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یسمون أبی سلمة الهمدانی بوزیر آل محمّد،وأبی مسلم الخراسانی بأمیر آل محمّد،وکان الاثنان إیرانیین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العبّاسیون أوّل الحکام فی الإسلام الذین أسسو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وعهدوا بها إلی الإیرانیین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آل برمک من أهمّ وزراء العبّاسیین الذین وصل نفوذهم واستبدادهم فی الدولة حدّاً اضطر معه هارون الرشید إلی استئصالهم من الجذور بالشکل الذی أصبحوا معه مثالاً للشقاء</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وکانت الوزارة فی البلدان الإسلامیة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تفویضیة ووزارة تنفیذیة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 المفوض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یتمّ إجراء جمیع الأعمال وفقاً لرأیه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التصرّف التامّ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المواضیع الثلاثة أدناه التی کانت وقفاً علی الخلیفة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ولی العهد،فهو من اختصاص الخلیفة ولا یحقّ للوزیر التدخل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 الخلیفة عزل أی وزیر،لکن الوزیر لیس له مثل هذا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الخلیفة إعفاء نفسه من الإمامة،غیر أنّ الوزیر لا یتمتّع بهذا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الوزراء البرامکة کیحیی بن أکثم وابن فرات من الوزراء المفوضین فی الدولة العبّاسیة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الوزیر التنفیذی فلم یکن یتمتّع باختیار،حیث تقتصر مهمّته علی تنفیذ أوامر الخلیفة وحسب،فهو فی الحقیقة بمثابة واسطة بین الناس و الخلیفة،یقوم بإیصال مطالبهم إلیه أو بتبلیغ عزل وتنصیب الموظفین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ویستطیع الخلیفة اتّخاذ وزیرین تنفیذیین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للاُمور المالیة و الآخر للاُمور القضائیة،لکن الوزیر التفویضی کان واحدا فی کلّ الأحوال</w:t>
      </w:r>
      <w:r>
        <w:rPr>
          <w:rFonts w:eastAsia="IRNazanin" w:cs="IRNazanin"/>
          <w:color w:val="111111"/>
          <w:sz w:val="28"/>
          <w:szCs w:val="28"/>
          <w:rtl w:val="true"/>
          <w:lang w:bidi="fa-IR"/>
        </w:rPr>
        <w:t xml:space="preserve">. </w:t>
      </w:r>
      <w:r>
        <w:rPr>
          <w:rStyle w:val="FootnoteAnchor"/>
          <w:rtl w:val="true"/>
        </w:rPr>
        <w:footnoteReference w:id="399"/>
      </w:r>
      <w:bookmarkStart w:id="439" w:name="pg5469_34823"/>
    </w:p>
    <w:p>
      <w:pPr>
        <w:pStyle w:val="BookText"/>
        <w:rPr/>
      </w:pPr>
      <w:bookmarkEnd w:id="439"/>
      <w:r>
        <w:rPr>
          <w:rFonts w:ascii="IRNazanin" w:hAnsi="IRNazanin" w:eastAsia="IRNazanin"/>
          <w:color w:val="111111"/>
          <w:sz w:val="28"/>
          <w:sz w:val="28"/>
          <w:szCs w:val="28"/>
          <w:rtl w:val="true"/>
          <w:lang w:bidi="fa-IR"/>
        </w:rPr>
        <w:t>أمّا مرتبات الوزراء فهی تختلف باختلاف الأشخاص ومقتضیات الزمان،إلّا أنّ الملفت هو أنّ المقربین للوزیر کانوا یستلمون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الوزیر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من الخلیفة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عهد الخلفاء الفاطمیین علی سبیل المثال،کان الوزیر یستلم خمسة آلاف دینار شهریاً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 أبنائه وإخوانه مئتین إلی ثلاثمائة دینار شهریاً،وکلّ واحد من وکلائه ثلاثمائة إلی خمسمائة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تجاوزنا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الوزراء وأقرباءهم ومقربیهم کانوا یقتطعون الأملاک لأنفسهم ویقبضون العیدیة و الخُلَع و الهدایات فی المناسبات،إلی درجة أنّ أحد الوزراء جنی مع أقربائه فی سنة واحدة أکثر من مئة ألف دینار نقداً</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قد حدثت بعض التغییرات فی وضع الوزارات فی العهد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فأضیف عنوان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إسماعیل بن أبی الحسن عباد بن عبّاس وزیر مؤید الدولة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وزیر أُسبغ علیه عنوان ثُمّ أُعطی هذا العنوان إلی وزراء آخرین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ویرتبط نفوذ الوزراء وسلطتهم بطبیعة الحال بنفوذ وسلطة الخلفاء،فکلّ ما یجعل الخلفاء عاجزین یؤدّی إلی فقد الوزراء مناصبهم،وتسنم أقرباء آخرین للسلطة و الوزارة،حیث یلقبونهم بلقب </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فلو اجریت دراسة حول أوضاع الخلافة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سنکتشف بوضوح بأنّ تأسیس منصب الوزارة بالذات کان أحد أسباب سقوطها،إذ إنّ الخلیفة یعهد بجمیع أعماله إلی الوزراء ویتنحی جانباً الأمر الذی یؤدّی به بالتدریج إلی العجز عن إدارة امور الدولة</w:t>
      </w:r>
      <w:r>
        <w:rPr>
          <w:rFonts w:eastAsia="IRNazanin" w:cs="IRNazanin"/>
          <w:color w:val="111111"/>
          <w:sz w:val="28"/>
          <w:szCs w:val="28"/>
          <w:rtl w:val="true"/>
          <w:lang w:bidi="fa-IR"/>
        </w:rPr>
        <w:t>.</w:t>
      </w:r>
    </w:p>
    <w:p>
      <w:pPr>
        <w:pStyle w:val="Heading5"/>
        <w:numPr>
          <w:ilvl w:val="4"/>
          <w:numId w:val="1"/>
        </w:numPr>
        <w:rPr/>
      </w:pPr>
      <w:bookmarkStart w:id="440" w:name="__RefHeading___Toc2109018_581953129"/>
      <w:bookmarkStart w:id="441" w:name="_Toc170"/>
      <w:bookmarkEnd w:id="440"/>
      <w:r>
        <w:rPr>
          <w:rtl w:val="true"/>
        </w:rPr>
        <w:t>د</w:t>
      </w:r>
      <w:r>
        <w:rPr>
          <w:rtl w:val="true"/>
        </w:rPr>
        <w:t>)</w:t>
      </w:r>
      <w:r>
        <w:rPr>
          <w:rtl w:val="true"/>
        </w:rPr>
        <w:t>الدیوان</w:t>
      </w:r>
      <w:bookmarkEnd w:id="4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تشبه دولة الخلفاء إلی حد ما اتّحادیة تتشکل من عدّة ولایات،حیث تختلف</w:t>
      </w:r>
      <w:bookmarkStart w:id="442" w:name="pg5469_34825"/>
    </w:p>
    <w:p>
      <w:pPr>
        <w:pStyle w:val="BookText"/>
        <w:rPr/>
      </w:pPr>
      <w:bookmarkEnd w:id="442"/>
      <w:r>
        <w:rPr>
          <w:rFonts w:ascii="IRNazanin" w:hAnsi="IRNazanin" w:eastAsia="IRNazanin"/>
          <w:color w:val="111111"/>
          <w:sz w:val="28"/>
          <w:sz w:val="28"/>
          <w:szCs w:val="28"/>
          <w:rtl w:val="true"/>
          <w:lang w:bidi="fa-IR"/>
        </w:rPr>
        <w:t>درجة ارتباط کلّ واحدة من الولایات مع جهاز الخلافة،ولم تکن علاقة السلطة المرکزیة بتلک الولایات علی نحو أنّها تمثّل الإدارة المرکزیة لها،و إنّما کان لکلّ منها دیوان خاصّ مستقر فی بغداد یتکفّل بمتابعة شؤونها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ویتکوّن هذا الدیوان من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و هو الرئیس،حیث یختصّ بالتعینیات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ونقل الضرائب إلی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الإشراف علی المصادر المالیة ودعمها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یسمّی الزمام أو دیوان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وبدمج دواوین الولایات مع بعضها البعض فی عهد المعتضد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الأقوی فی القرن الثالث،تشکّل أو و الذی یشمل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المغرب ودیوان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تخضع جمیع هذه الدواوین لرئیس واحد،ففی عام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جمیع الاُمور تحت تصرّف رئیس واحد وقُسّمت مؤسسة الدولة إلی دیوانین کبیرین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الاُصول و هو یناظر وزارة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ودیوان الأزمات و هو یشابه وزارة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ویتضمّن کلّ من هذین الدیوانین دواوین اخری خاصّة بالنواحی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الوزیر یتسلم مسؤولیة إدارة دیوان العراق باعتباره رئیس الحکومة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دواوین ولایة بغداد تخضع فی حقیقتها إلی حکومة إدارة البلاد،ولم یکن للدواوین فی مؤسسة الحکومة الإسلامیة حدوداً معینة ودقیقة،ولکن بالإمکان فی الوقت نفسه الإشارة إلی بعض الدواوین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البرید،دیوان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02"/>
      </w:r>
    </w:p>
    <w:p>
      <w:pPr>
        <w:pStyle w:val="Heading4"/>
        <w:numPr>
          <w:ilvl w:val="3"/>
          <w:numId w:val="1"/>
        </w:numPr>
        <w:rPr/>
      </w:pPr>
      <w:bookmarkStart w:id="443" w:name="__RefHeading___Toc2109020_581953129"/>
      <w:bookmarkStart w:id="444" w:name="_Toc171"/>
      <w:bookmarkEnd w:id="443"/>
      <w:r>
        <w:rPr/>
        <w:t>2</w:t>
      </w:r>
      <w:r>
        <w:rPr>
          <w:rtl w:val="true"/>
        </w:rPr>
        <w:t>-</w:t>
      </w:r>
      <w:r>
        <w:rPr>
          <w:rtl w:val="true"/>
        </w:rPr>
        <w:t>المؤسسة الاقتصادیة</w:t>
      </w:r>
      <w:bookmarkEnd w:id="44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النظام و البناء الاقتصادی فی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غیره من المؤسسات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 وجزر یحتاج الخوض فیه بالتفصیل إلی اطروحة خاصّة به،ویعد</w:t>
      </w:r>
    </w:p>
    <w:p>
      <w:pPr>
        <w:pStyle w:val="BookText"/>
        <w:rPr/>
      </w:pP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الضرائب فی الإسلام شاهداً صادقاً علی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قوانین الضرائب فی الإسلام تنعکس بشکل شفاف وبسیط فی کتب الفقهاء ابتداء من أبی یوسف إلی الماوردی،وکذا فی المجامیع الحدیثة،إلّا أنّها کانت فی الحقیقة معقدة وکثیرة الحواشی،فلو أراد الباحث فهم الاختلاف بین المقررات المالیة للمسلمین وغیر المسلمین،فإنّ مجرّد البحث فی النظم الإیرانیة و الرومیة غیر کافٍ بحد ذاته،إذ إنّ القوانین التی کانت سائدة فی الشام ومصر وشمال أفریقیا قبل الإسلام تختلف عن بعضها البعض؛کما أنّ المقررات المالیة لکلّ من العراق وخراسان وجنوب إیران کانت مختلفة أیضاً</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ویمکن عموماً فی ذات الوقت استقصاء المؤسّسة المالیة فی الحضارة الإسلامیة فی مجالی مصادر الدخل و النفقات،حیث تتمثّل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بدأ العمل بها من السنة التاسعة الهجریة،وتتعلّق الزکاة ببعض أموال الناس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الأنعام،الذهب و الفضة،الفاکهة و المنتجات الزراعیة،وذلک وفق شروط خاصّة وبنحو سنوی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وتشمل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الأموال المنقولة التی یغنمها المسلمون فی الفتوحات و الحروب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الأموال التی تؤخذ من الکّفار من دون حرب وتحشد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الضریبة التی تؤخذ بدل الزکاة من أهل الکتاب المتمثلین بالنصاری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المجوس الذین یعیشون فی ظلّ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ینتهی العمل بها بمجرّد دخولهم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 أخذها سنویاً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عدد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تختلف بحسب زمانها ومکانها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ویتمثّل هذا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بضرائب الأراضی،حیث استمرّت</w:t>
      </w:r>
    </w:p>
    <w:p>
      <w:pPr>
        <w:pStyle w:val="BookText"/>
        <w:rPr/>
      </w:pPr>
      <w:r>
        <w:rPr>
          <w:rFonts w:ascii="IRNazanin" w:hAnsi="IRNazanin" w:eastAsia="IRNazanin"/>
          <w:color w:val="111111"/>
          <w:sz w:val="28"/>
          <w:sz w:val="28"/>
          <w:szCs w:val="28"/>
          <w:rtl w:val="true"/>
          <w:lang w:bidi="fa-IR"/>
        </w:rPr>
        <w:t>أیضاً فی ظلّ قبول الدخول فی الإسلام،فکان السلطان یستوفی ضریبة الأرض ومحصولها من مالکها باعتقاده أنّه مالک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أُجریت بعض التغییرات علی هذا المصدر المالی عام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عبد الملک،وذلک حسب الشکل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ضریبة العشر علی الأرض الموات التی أحیاها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ضریبة العشر من الأراضی التی أسلم علیها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ضریبة العشر من الأراضی المفتوحة عنوة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من الأراضی التی صالح أهلها المسلمون وفق ما تمّ الاتفاق علیه فی میثاق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ضریبة اخری تؤخذ من مختلف الناس بنحو متفاوت،فیؤخذ العشر نقداً أو جنساً علی سبیل المثال،علی بضائع کلّ سفینة تعبر حدود المیاه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الخمس علی المعادن المستخرجة کالنحاس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بالمئة من دار سک النقود،والعشر من التجار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وتحفظ هذه المصادر فی أی المحلّ الذی توجد فیه أموال الدولة ومنقولاتها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ویعود تأسیس إلی عهد النبی الأکرم،إلّا أنّه لم یتمّ بناء بیت المال بشکل رسمی إلّا ببدء الفتوحات الواسعة للمسلمین وتنامی المصادر المالیة فی عهد أبی بکر،وبعد تأسیس الدواوین فی العهود اللاحقة أصبح لدیوان بیت المال المسؤولیة الأساسیة فی جمع وحفظ وتوزیع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من أهمّ الدواوین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وتخضع التقاریر و الحسابات المتعلّقة ببیت المال لمطالعة وتدقیق کاتب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ثمة دیوان رئیس فی مرکز الخلافة یقابل کلّ واحد من دواوین الولایات،حیث یقوم بمحاسبة واستجواب مسؤولی بیت المال لکلّ ولایة</w:t>
      </w:r>
      <w:r>
        <w:rPr>
          <w:rFonts w:eastAsia="IRNazanin" w:cs="IRNazanin"/>
          <w:color w:val="111111"/>
          <w:sz w:val="28"/>
          <w:szCs w:val="28"/>
          <w:rtl w:val="true"/>
          <w:lang w:bidi="fa-IR"/>
        </w:rPr>
        <w:t xml:space="preserve">. </w:t>
      </w:r>
      <w:r>
        <w:rPr>
          <w:rStyle w:val="FootnoteAnchor"/>
          <w:rtl w:val="true"/>
        </w:rPr>
        <w:footnoteReference w:id="404"/>
      </w:r>
      <w:bookmarkStart w:id="445" w:name="pg5469_34831"/>
    </w:p>
    <w:p>
      <w:pPr>
        <w:pStyle w:val="BookText"/>
        <w:rPr/>
      </w:pPr>
      <w:bookmarkEnd w:id="445"/>
      <w:r>
        <w:rPr>
          <w:rFonts w:ascii="IRNazanin" w:hAnsi="IRNazanin" w:eastAsia="IRNazanin"/>
          <w:color w:val="111111"/>
          <w:sz w:val="28"/>
          <w:sz w:val="28"/>
          <w:szCs w:val="28"/>
          <w:rtl w:val="true"/>
          <w:lang w:bidi="fa-IR"/>
        </w:rPr>
        <w:t>ویتمّ صرف هذه المصادر المالیة فی موارد متعددة،فعلی سبیل المثال،تصرّف الصدقة و الزکاة المختصّة بالفقراء و المساکین فی شراء العبید وتحریرهم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دین الغارمین و المجاهدین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المسافرین الذی لم یتبق لهم نفقة لیعودوا إلی وطنهم،والجباة الذین یجمعونها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الغنیمة فقد قسمت فی البدایة إلی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منها سهم المقاتلین،والخمس الباقی سهم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ویعطی السهم الأکبر من بین المجموعة الاُولی لمن هو أقرب للنبی؛فعائشة علی سبیل المثال کانت تستلم اثنی عشر ألف درهم فی العام،حیث یعدّ النصیب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من بعدها بنو هاشم و الآخرین،ثُمّ المهاجرون ومن بعدهم الأنصار وهکذا بالنسبة للنساء و الموالی وغیرهم الذین یتسلم کلّ منهم مئتی درهم فی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تراعی العدالة من تقسیم الغنائم فی بدایة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ازداد التمییز بین الأفراد فی عهد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الخلیفة الثالث ومن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فرضوا سهماً أکبر لأشراف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الجدیر بالذکر أن عدم مراعاة العدالة وصلت ذروتها فی عهد الأمویین و العباسیین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تصرّف أکثر المصادر المالیة فی المؤسّسة الاقتصادیة للحضارة الإسلامیة،علی رواتب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الموظفین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 الجیش،وشقّ الطرق وتعبیدها،ومنظومة الخلافة</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446" w:name="__RefHeading___Toc2109022_581953129"/>
      <w:bookmarkStart w:id="447" w:name="_Toc172"/>
      <w:bookmarkEnd w:id="446"/>
      <w:r>
        <w:rPr/>
        <w:t>3</w:t>
      </w:r>
      <w:r>
        <w:rPr>
          <w:rtl w:val="true"/>
        </w:rPr>
        <w:t>-</w:t>
      </w:r>
      <w:r>
        <w:rPr>
          <w:rtl w:val="true"/>
        </w:rPr>
        <w:t>المؤسّسة القضائیة</w:t>
      </w:r>
      <w:bookmarkEnd w:id="4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تخطر علی بال المسلمین وحتّی المسیحیین فی تلک العهود،مسألة الفصل بین السلطة التنفیذیة و السلطة القضائیة إلّا نادراً،حیث تجسد النظام القضائی فی</w:t>
      </w:r>
    </w:p>
    <w:p>
      <w:pPr>
        <w:pStyle w:val="BookText"/>
        <w:rPr/>
      </w:pPr>
      <w:r>
        <w:rPr>
          <w:rFonts w:ascii="IRNazanin" w:hAnsi="IRNazanin" w:eastAsia="IRNazanin"/>
          <w:color w:val="111111"/>
          <w:sz w:val="28"/>
          <w:sz w:val="28"/>
          <w:szCs w:val="28"/>
          <w:rtl w:val="true"/>
          <w:lang w:bidi="fa-IR"/>
        </w:rPr>
        <w:t>الحضارة الإسلامیة فی شخص واحد و هو الرسول الأکرم،فقد کان یمثّل القاضی الأعلی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النبی بنصب بعض الأفراد کعلی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وعتاب بن أسیر بصفة قاض فی مدینتین من المدن الکبری لذلک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الیمن ومکّة،وکان یبعث أیضا للقضاء بین جنده المتواجدین فی المناطق النائیة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معاذ بن جبل قاضیاً لجیشه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وباتساع نطاق الدولة الإسلامیة فی عهد عمر وتراکم أعمال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اضطروا لتعیین قضاة متفرغین للقضاء،فقام عمر علی سبیل المثال،بتنصیب أبی الدرداء قاضیاً للمدینة،وشریح للبصرة،وأبی موسی للکوفة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القضاة یمارسون وظائفهم کنوع من النیابة عن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ثمة تعریف محدد لسلطات القاضی مقارنة مع الوظائف و التصرّفات التی کان یتمتّع بها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الوالی یحتفظ لنفسه بهذا الحقّ حینما لم یستطع القاضی أصدار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للقاضی من بُد سوی نقض حکمه والاستقالة فیما لو لم یرتضِ الوالی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فسعی عمر من خلال تعیینه أحد الأفراد لقضاء مرکز الخلافة،الفصل بین الشؤون الحکومیة و القضائیة لزعیم المجتمع الإسلامی،واستمرّت الأمر علی حاله إلی حد ما حتّی عهد الأمویین،إلّا أنّ ثمة شواهد علی انتقال مسألة مسؤولیة عزل ونصب ونقل القضاة إلی الوالی،وذلک فی عهد الأمویین ومنذ حکومة زیاد بن أبیه فی العراق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قام زیاد علی سبیل المثال،بنقل شریح القاضی من الکوفة إلی البصرة لمدّة سنة،مع أنّه لم یصدر أمر من الخلیفة فی هذا الخصوص</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واستُحدث فی عهد العباسیین منصب حمل عنوان ،حیث یعدّ ذلک منعطفاً حاسماً فی النظام القضائی للحضارة الإسلامیة،فقد نصب هارون الرشید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کأوّل قاضٍ للقضاة فی الدولة الإسلامیة،وأوکل</w:t>
      </w:r>
    </w:p>
    <w:p>
      <w:pPr>
        <w:pStyle w:val="BookText"/>
        <w:rPr/>
      </w:pPr>
      <w:r>
        <w:rPr>
          <w:rFonts w:ascii="IRNazanin" w:hAnsi="IRNazanin" w:eastAsia="IRNazanin"/>
          <w:color w:val="111111"/>
          <w:sz w:val="28"/>
          <w:sz w:val="28"/>
          <w:szCs w:val="28"/>
          <w:rtl w:val="true"/>
          <w:lang w:bidi="fa-IR"/>
        </w:rPr>
        <w:t>إلیه تعیین وعزل جمیع القضاة فی حدود الدولة الإسلامیة،و قد قام أبو یوسف بإلزام القضاة بلبس لباس خاصّ حین ممارستهم القضاء،فأخذت أهمّیة القاضی بالازدیاد منذ ذلک الوقت،حیث أصبح من المعتاد حضور الولاة مجلس القاضی لا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فحینما أصبح محمّد بن مسروق الکندی قاضیاً لمصر عام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،أرسل إلیه الأمیر عبدالله بن المسیب یأمره بحضور مجلسه،فقال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تقدّمت إلیه فی هذا لفعلت به وفعلت 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عن القضاة منذ ذلک الحین لزوم الحضور لدی الأمیر</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وتتمثّل وظیفة القضاة الأساسیة فی حلّ وفصل الدعاوی،ثُمّ أُضیفت إلیها رئاسة دیوان 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مصارف الموقوفات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الوصایا وتزویج من لیس لها قیم من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بها بعد مدّة قلیلة الإشراف علی المبانی العامّة و الطرق أیضاً،وتمّ دمج القضاء و الوزارة فی مرحلة لاحقة،فقد نصب الخلیفة الفاطمی عام</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البازوری قاضیاً علی مصر وسنّمه الوزارة أیضاً،واستمرّ من بعده هذا الدمج</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محلّ القضاء فقد اقتصر علی المساجد فی بدایة الأمر،ثُمّ تحوّل إلی أماکن أُخر،وکان القضاة یعتمدون نسبیاً علی الکتاب و الروایات بحسب المذاهب و الفرق المتنوعة،واعتمد البعض الآخر علی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،فحینما تسنّم القاضی أبو یوسف منصب قاضی القضاة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 المذهب الحنفی علی مدی خمسمئة عام من الحکم العباسی،إذ إّنه کان من تلامذة أبی حنیفة البارزین ممّا جعله یتوخی تعیین من یتبع مبانی أبی حنیفة فی الأحکام الشرعیة للقضاء،الأمر الذی أدّی إلی دخول فقهاء کبار فی المذهب الحنیفی طمعاً فی هذا المنصب</w:t>
      </w:r>
      <w:bookmarkStart w:id="448" w:name="pg5469_34837"/>
    </w:p>
    <w:p>
      <w:pPr>
        <w:pStyle w:val="BookText"/>
        <w:rPr/>
      </w:pPr>
      <w:bookmarkEnd w:id="448"/>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استمرّت هذه الحال فی أغلب عهود بنی العباس</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قد أُنشأ فی عهد عبد الملک بن مروان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المظالم الذی یختصّ بالنظر فی الشکاوی الواردة علی القضاة،حیث ینظر الخلیفة مع ابن إدریس قاضی الشام فی شکاوی الناس،ومن ثَمّ یصدر القاضی أحکامها لیقوم الخلیفة بتنفیذها،و قد اختلّ هذا النظام بعد وفاة 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عهد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المهدی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والهادی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عهد المأمون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باتباع ذلک النظام فی العهد العبّاسی</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449" w:name="__RefHeading___Toc2109024_581953129"/>
      <w:bookmarkStart w:id="450" w:name="_Toc173"/>
      <w:bookmarkEnd w:id="449"/>
      <w:r>
        <w:rPr>
          <w:rtl w:val="true"/>
        </w:rPr>
        <w:t>ب</w:t>
      </w:r>
      <w:r>
        <w:rPr>
          <w:rtl w:val="true"/>
        </w:rPr>
        <w:t>)</w:t>
      </w:r>
      <w:r>
        <w:rPr>
          <w:rtl w:val="true"/>
        </w:rPr>
        <w:t>الفن</w:t>
      </w:r>
      <w:bookmarkEnd w:id="450"/>
    </w:p>
    <w:p>
      <w:pPr>
        <w:pStyle w:val="Heading4"/>
        <w:numPr>
          <w:ilvl w:val="3"/>
          <w:numId w:val="1"/>
        </w:numPr>
        <w:rPr/>
      </w:pPr>
      <w:bookmarkStart w:id="451" w:name="__RefHeading___Toc2109026_581953129"/>
      <w:bookmarkStart w:id="452" w:name="_Toc174"/>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تزامن اهتمام المسلمین بالفنّ مع ظهور الإسلام،ثُمّ طوی مراحله التطویریة و التکاملیة تدریجیاً خلال القرون اللاحقة،وأدّی تنامی العلاقات مع الاُمم الاُخری إثر اتساع دائرة النفوذ الإسلامی،إلی ازدیاد رغبة وتوجّه المسلمین نحو الفروع الفنیة المتنوعة نظراً لما کانوا یطلعون علیه من الإنجازات الفنیة لتلک الاُمم،فاستثمر المسلمون تلک الإنجازات الفنیة لتوظیفها فی الارتقاء بالفنّ الإسلامی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وتمثّلت المساعی الأساسیة للفنانین المسلمین الملتزمین فی استخدام الفنّ کوسیلة وأداة لبیان الثقافة الإسلامیة ممّا یساهم فی تبلیغها وترویجها،و قد حالت هذه الرؤیة</w:t>
      </w:r>
      <w:bookmarkStart w:id="453" w:name="pg5469_34839"/>
    </w:p>
    <w:p>
      <w:pPr>
        <w:pStyle w:val="BookText"/>
        <w:rPr/>
      </w:pPr>
      <w:bookmarkEnd w:id="453"/>
      <w:r>
        <w:rPr>
          <w:rFonts w:ascii="IRNazanin" w:hAnsi="IRNazanin" w:eastAsia="IRNazanin"/>
          <w:color w:val="111111"/>
          <w:sz w:val="28"/>
          <w:sz w:val="28"/>
          <w:szCs w:val="28"/>
          <w:rtl w:val="true"/>
          <w:lang w:bidi="fa-IR"/>
        </w:rPr>
        <w:t>دون مساس الاقتباسات الفنیة بهویة الفنّ الإسلامی،و هو ما جعل الفنّ الإسلامی یتّخذ طابعاً ذاتیاً خاصّاً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تجلی الفنّ الإسلامی فی وجوه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السرامیک و القرمدة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التزیین بالمرایا و البلور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الخزف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 النثر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الزخرفة و الترصیع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وسنقصر ونوجز الحدیث عن العمارة و الشعر اللذین یعدّان من أبرز مظاهر الحضارة الإسلامیة علی الصعید الفنی</w:t>
      </w:r>
      <w:r>
        <w:rPr>
          <w:rFonts w:eastAsia="IRNazanin" w:cs="IRNazanin"/>
          <w:color w:val="111111"/>
          <w:sz w:val="28"/>
          <w:szCs w:val="28"/>
          <w:rtl w:val="true"/>
          <w:lang w:bidi="fa-IR"/>
        </w:rPr>
        <w:t>.</w:t>
      </w:r>
    </w:p>
    <w:p>
      <w:pPr>
        <w:pStyle w:val="Heading4"/>
        <w:numPr>
          <w:ilvl w:val="3"/>
          <w:numId w:val="1"/>
        </w:numPr>
        <w:rPr/>
      </w:pPr>
      <w:bookmarkStart w:id="454" w:name="__RefHeading___Toc2109028_581953129"/>
      <w:bookmarkStart w:id="455" w:name="_Toc175"/>
      <w:bookmarkEnd w:id="454"/>
      <w:r>
        <w:rPr/>
        <w:t>1</w:t>
      </w:r>
      <w:r>
        <w:rPr>
          <w:rtl w:val="true"/>
        </w:rPr>
        <w:t>-</w:t>
      </w:r>
      <w:r>
        <w:rPr>
          <w:rtl w:val="true"/>
        </w:rPr>
        <w:t>العمارة</w:t>
      </w:r>
      <w:bookmarkEnd w:id="455"/>
    </w:p>
    <w:p>
      <w:pPr>
        <w:pStyle w:val="Heading5"/>
        <w:numPr>
          <w:ilvl w:val="4"/>
          <w:numId w:val="1"/>
        </w:numPr>
        <w:rPr/>
      </w:pPr>
      <w:bookmarkStart w:id="456" w:name="__RefHeading___Toc2109030_581953129"/>
      <w:bookmarkStart w:id="457" w:name="_Toc176"/>
      <w:bookmarkEnd w:id="456"/>
      <w:r>
        <w:rPr>
          <w:rtl w:val="true"/>
        </w:rPr>
        <w:t>اشارة</w:t>
      </w:r>
      <w:bookmarkEnd w:id="4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برزت العمارة الإسلامیة بصورة رئیسة فی المساجد و القصور و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امتدت فی العهود اللاحقة إلی المراقد و المقابر و المزارات وإلی تنظیم المدن الإسلامیة أیضاً،حیث مثل المسجد فی الحیاة المضطربة و الصاخبة للمدینة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ملاذاً وملجأً للمؤمن للاختلاء و التأمل فیما یوصل إلی السعادة الخالدة فی ذات الوقت الذی یلتقی فیه صحبه وأبناء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أن یکون بناء وعمارة المساجد بنحو ییسّر للمؤمن مناجاة معبوده و التوسّل إلیه،فالتتابع الممتد و المتواصل للأقواس و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من الفضاءات المتقاربة و المتداخلة التی تتخللها فسحة للانطلاق الروحی و العروج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للزینة التی تؤطر بناءه من الداخل من أثر مهمّ أیضاً فی التجلّی الباطنی الآنف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ویمتاز التنظیم الإسلامی لذلک البناء وعلی عکس ما قد یتصوّر من انشداد الناظر إلی جنبات وأجواء المکان وابتعاده عن الأجواء الروحیة،بمساعدته للمسلم علی إزالة الکثیر من الرکام عن ذهنه وفتح آفاق الکشف و الشهود و الرؤیة الباطنیة أمام روحه وعقله،و إنّ السفر و التطواف فی عالم المسجد المرصع و المطعم بأنواع النقوش و الخطوط بمثابة السحابة التی تحمل المرء وتحلق به لیستجلی العوالم الروحانیة المترامیة،ویلج من بین تعشقاتها وتشابکاتها ساحة الوحدة الإلهیة ویذیب فی روحه أبعادها الإیمانیة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مسجد قبّة الصخرة،الذی تمّ انتهاء العمل فیه عام</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شُرِع فیه عام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رائعاً للعمارة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الولید بن عبد الملک قد أصدر أوامره 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لتوسیع المسجد الحرام وتجدید بنائه وإضافة السقوف علی الأروقة المحاذیة له لترتفع علی أساطین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بولغ فی تزیین تلک الأساطین حتّی تمّ استخدام ماء الذهب فی بعض نقاطها،وقام أیضاً بهدم مسجد النبی وإعادة بنائه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مد ید العون إلی قیصر ملک الروم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وتمیز بناء مسجد النبی ببعض المزایا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غلفت أساطینه الحجریة بمنحوتات فلزیة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وجُصصت وقُرمدت جدرانه العالیة ببعض النقوش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وزخرفت وزینت سقوفه بخشب الصاج،وزینت جدرانه کذلک ببعض الآیات القرآنیة أیضاً،فلم یر فی الجزیرة العربیة بناء مثله فی ذلک العهد،ویعدّ المسجد الأموی فی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المسجد الأقصی فی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المسجد الکبیر فی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المسجد الجامع فی قرطبة،والمسجد الجامع فی إصفهان من النماذج البدیعة لتلک العمارة</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أمّا مسألة هل هذه المساجد تتوافق وتنسجم مع روح التعالیم الإسلامیة أو لا؟فهذه مسألة اخری ینبغی نقدها ودراستها فی مظانها</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العمارة الإسلامیة التی استخدمت فی القصور،إنّما کان القصد منها شدّ الأنظار لسلطة وجبروت السلاطین،ولأجل هذا فقد استخدمت کافة أنواع وأسالیب العمارة فیها،أی أنّ القصور قد اتُّخذ فی بنائها أشکال وأسالیب معماریة اخری تستوعب الکیفیة التی تتطلبها الأجنحة المخصصة لسکن الحکام،هذا إضافة إلی الأسالیب المعماریة المعهودة</w:t>
      </w:r>
      <w:r>
        <w:rPr>
          <w:rFonts w:eastAsia="IRNazanin" w:cs="IRNazanin"/>
          <w:color w:val="111111"/>
          <w:sz w:val="28"/>
          <w:szCs w:val="28"/>
          <w:rtl w:val="true"/>
          <w:lang w:bidi="fa-IR"/>
        </w:rPr>
        <w:t>.</w:t>
      </w:r>
      <w:bookmarkStart w:id="458" w:name="pg5469_34843"/>
    </w:p>
    <w:p>
      <w:pPr>
        <w:pStyle w:val="BookText"/>
        <w:rPr/>
      </w:pPr>
      <w:bookmarkEnd w:id="458"/>
      <w:r>
        <w:rPr>
          <w:rFonts w:ascii="IRNazanin" w:hAnsi="IRNazanin" w:eastAsia="IRNazanin"/>
          <w:color w:val="111111"/>
          <w:sz w:val="28"/>
          <w:sz w:val="28"/>
          <w:szCs w:val="28"/>
          <w:rtl w:val="true"/>
          <w:lang w:bidi="fa-IR"/>
        </w:rPr>
        <w:t>یتابع القرآن الکریم ویکرر ذکر الجنة فی أغلب صفحاته 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الأنهار؛غرف من فوقها غرف مبنیة،فی سدر مخضود وطلح منضود وظل ممدود،ولمن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عینان تجریان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من کلّ فاکهة 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علی رفرف خضر وعبقری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الجنة الیوم 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وأزواجهم علی الأرائک متکئون</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فیبدو أنّ العمارة الإسلامیة قد استلهمت مثل هذه الآیات فی بنائها وعمارتها للقصور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حاول السلاطین عکس عالم اللذة و الهناء للعالم الآخر بنحو رائق ومائق فی الأجنحة الداخلیة لقصورهم،وذلک من خلال تفجیر ینابیع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أفنیة واسعة،وأبنیة تنتصب علی البرک و الأحواض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قصر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المشتّی،ومدینة الزهراء فی العهد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أبو القوارة فی العهد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للطراز المعماری المتعدد الأشکال فی الإسلام</w:t>
      </w:r>
      <w:r>
        <w:rPr>
          <w:rFonts w:eastAsia="IRNazanin" w:cs="IRNazanin"/>
          <w:color w:val="111111"/>
          <w:sz w:val="28"/>
          <w:szCs w:val="28"/>
          <w:rtl w:val="true"/>
          <w:lang w:bidi="fa-IR"/>
        </w:rPr>
        <w:t xml:space="preserve">. </w:t>
      </w:r>
      <w:r>
        <w:rPr>
          <w:rStyle w:val="FootnoteAnchor"/>
          <w:rtl w:val="true"/>
        </w:rPr>
        <w:footnoteReference w:id="413"/>
      </w:r>
    </w:p>
    <w:p>
      <w:pPr>
        <w:pStyle w:val="Heading5"/>
        <w:numPr>
          <w:ilvl w:val="4"/>
          <w:numId w:val="1"/>
        </w:numPr>
        <w:rPr/>
      </w:pPr>
      <w:bookmarkStart w:id="459" w:name="__RefHeading___Toc2109032_581953129"/>
      <w:bookmarkStart w:id="460" w:name="_Toc177"/>
      <w:bookmarkEnd w:id="459"/>
      <w:r>
        <w:rPr>
          <w:rtl w:val="true"/>
        </w:rPr>
        <w:t>تنبیهات</w:t>
      </w:r>
      <w:bookmarkEnd w:id="460"/>
    </w:p>
    <w:p>
      <w:pPr>
        <w:pStyle w:val="BookText"/>
        <w:rPr/>
      </w:pPr>
      <w:r>
        <w:rPr>
          <w:rFonts w:ascii="IRNazanin" w:hAnsi="IRNazanin" w:eastAsia="IRNazanin"/>
          <w:color w:val="111111"/>
          <w:sz w:val="28"/>
          <w:sz w:val="28"/>
          <w:szCs w:val="28"/>
          <w:rtl w:val="true"/>
          <w:lang w:bidi="fa-IR"/>
        </w:rPr>
        <w:t>من الضروری التنویه إلی بعض التنبیهات فی موضوع العمارة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اقتُبست عمارة المدرسة و الکتاتیب من المسجد و القصر،ومن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وجود نوع من التناغم فی الطراز المعماری بین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الکتاتیب و المساجد و القصور</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أدّت بعض العوامل نظیر التباعد الجغرافی بین بلدان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مساحة</w:t>
      </w:r>
    </w:p>
    <w:p>
      <w:pPr>
        <w:pStyle w:val="BookText"/>
        <w:rPr/>
      </w:pPr>
      <w:r>
        <w:rPr>
          <w:rFonts w:ascii="IRNazanin" w:hAnsi="IRNazanin" w:eastAsia="IRNazanin"/>
          <w:color w:val="111111"/>
          <w:sz w:val="28"/>
          <w:sz w:val="28"/>
          <w:szCs w:val="28"/>
          <w:rtl w:val="true"/>
          <w:lang w:bidi="fa-IR"/>
        </w:rPr>
        <w:t>الفتوحات الإسلامیة وتقادم الزمان،لظهور الاختلاف فی مجال الطراز و الطبیعیة المعماریة فی الاُمة الإسلامیة،وذلک منذ القرن الثانی و الثالث الهجری فما بعد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تأثرت العمارة الإسلامیة ومن جهات مختلفة بالطبیعة المحلّیة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فالمحراب و المنارة علی سبیل المثال تمّت إضافتهما إلی المساجد بعد حین،حیث لم تکن فی مسجد النبی منارة أو محراب،أو کما هو الحال فی المسجد الجامع بدمشق حیث بُنی فی محلّ هیکل جویبر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آلهة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عامی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ه،وذلک فی عهد الولید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المسجد یختلف عن المساجد الاُولی فی کونها لم تتضمّن محراباً ولا زخرفة،فی حین أنّ معماریی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القسطنطینیة قاموا باستبدال الهیکل بالمنارة،وأقاموا محراباً داخل المسجد وزینوه بالمرمر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استخدمت أمثال هذه الطرق فی أرجاء العالم الإسلامی کافة وفی المساجد المنتشرة فی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الالتفات إلی مسألة تحویل الکنائس إلی مساجد فی بعض الحالات التی یسلم فیها المسیحیون،الأمر الذی ینطبق علی معابد النار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وتسبب هذا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تبدیل الکنیسة إلی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إلی انتقال بعض أشکال العمارة المسیحیة إلی العالم الإسلامی</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ظهرت بعض الفنون من خلال بناء المساجد و القصور و المقابر،حیث تشیر الاستفادة من القرمید المعرَّق و المزخرف بنقوش جذابة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التجصیص</w:t>
      </w:r>
      <w:bookmarkStart w:id="461" w:name="pg5469_34846"/>
    </w:p>
    <w:p>
      <w:pPr>
        <w:pStyle w:val="BookText"/>
        <w:rPr/>
      </w:pPr>
      <w:bookmarkEnd w:id="461"/>
      <w:r>
        <w:rPr>
          <w:rFonts w:ascii="IRNazanin" w:hAnsi="IRNazanin" w:eastAsia="IRNazanin"/>
          <w:color w:val="111111"/>
          <w:sz w:val="28"/>
          <w:sz w:val="28"/>
          <w:szCs w:val="28"/>
          <w:rtl w:val="true"/>
          <w:lang w:bidi="fa-IR"/>
        </w:rPr>
        <w:t>والسیرامیک فی تزیین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المدارس و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الخطّ الرسم و التصاویر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النقش و التنمیم فی الحجر و المرمر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القصور منذ القرن الرابع وما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تطوّر وتکامل الفنّ فی العالم الإسلامی</w:t>
      </w:r>
      <w:r>
        <w:rPr>
          <w:rFonts w:eastAsia="IRNazanin" w:cs="IRNazanin"/>
          <w:color w:val="111111"/>
          <w:sz w:val="28"/>
          <w:szCs w:val="28"/>
          <w:rtl w:val="true"/>
          <w:lang w:bidi="fa-IR"/>
        </w:rPr>
        <w:t xml:space="preserve">. </w:t>
      </w:r>
      <w:r>
        <w:rPr>
          <w:rStyle w:val="FootnoteAnchor"/>
          <w:rtl w:val="true"/>
        </w:rPr>
        <w:footnoteReference w:id="417"/>
      </w:r>
    </w:p>
    <w:p>
      <w:pPr>
        <w:pStyle w:val="Heading4"/>
        <w:numPr>
          <w:ilvl w:val="3"/>
          <w:numId w:val="1"/>
        </w:numPr>
        <w:rPr/>
      </w:pPr>
      <w:bookmarkStart w:id="462" w:name="__RefHeading___Toc2109034_581953129"/>
      <w:bookmarkStart w:id="463" w:name="_Toc178"/>
      <w:bookmarkEnd w:id="462"/>
      <w:r>
        <w:rPr/>
        <w:t>2</w:t>
      </w:r>
      <w:r>
        <w:rPr>
          <w:rtl w:val="true"/>
        </w:rPr>
        <w:t>-</w:t>
      </w:r>
      <w:r>
        <w:rPr>
          <w:rtl w:val="true"/>
        </w:rPr>
        <w:t>الشعر</w:t>
      </w:r>
      <w:bookmarkEnd w:id="463"/>
    </w:p>
    <w:p>
      <w:pPr>
        <w:pStyle w:val="BookText"/>
        <w:rPr/>
      </w:pPr>
      <w:r>
        <w:rPr>
          <w:rFonts w:ascii="IRNazanin" w:hAnsi="IRNazanin" w:eastAsia="IRNazanin"/>
          <w:color w:val="111111"/>
          <w:sz w:val="28"/>
          <w:sz w:val="28"/>
          <w:szCs w:val="28"/>
          <w:rtl w:val="true"/>
          <w:lang w:bidi="fa-IR"/>
        </w:rPr>
        <w:t>تلعب الأدبیات دوراً خطیراً فی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واستفزاز الأفکار و المشاعر وتبادلها،الأمر الذی جعلها تتمتّع بمنزلة مرموقة فی الثقافة و 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نقصد من الأدبیات فی بحثنا هذا المفهوم العام لها،و إنّما فرع الأدب منها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النظم الذی یتسم بجانب فنی،فإذا ما أُرید تزویق الکلام وإعطاؤه سمة جمالیة زائدة علی مجرّد البیان،فإنّه یقال لمثل هذا الکلام و المقال کتابة 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فالأدبیات المنظومة تتشکل من مجموع أمثال هذه الکتابات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لظهور الإسلام وشیوع الثقافة الإسلامیة و التعالیم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مؤثّراً فی حدوث تغییرات عمیقة فی النظم الأدبی من بین الأدبیات الرائجة لدی العرب و الفرس،فقد ساهم القرآن الکریم ونهج البلاغة من بین المصادر الإسلامیة،مساهمة فعالة فی الرقی الشعری،حیث کانت مساعی الأدباء منصبة علی اصطیاد جواهر ولآلئ هذین الکنزین المرصّعین و المکتنزین بهما،لیزینوا بها أشعارهم،فقلّما تجد تعبیراً أدبیاً لا یبدأ بالأدعیة القرآنیة و التمجید و الإطراء علی النبی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طال الکثیر من الألفاظ الجاهلیة من تغییر تدریجی فی محتواها،ففتح الطریق لاستخدام کلمات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السخاء،الشجاعة</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ولا یمکن للمرء فی هذا الإطار أن یتغافل عمّا أحدثته کلمات أمیر المؤمنین علی</w:t>
      </w:r>
      <w:r>
        <w:rPr>
          <w:rFonts w:ascii="IRNazanin" w:hAnsi="IRNazanin" w:eastAsia="IRNazanin"/>
          <w:i/>
          <w:i/>
          <w:iCs/>
          <w:color w:val="111111"/>
          <w:sz w:val="28"/>
          <w:sz w:val="28"/>
          <w:szCs w:val="28"/>
          <w:rtl w:val="true"/>
          <w:lang w:bidi="fa-IR"/>
        </w:rPr>
        <w:t>من أثر علی الأدب و الشعر علی وجه التحدید</w:t>
      </w:r>
      <w:r>
        <w:rPr>
          <w:rFonts w:eastAsia="IRNazanin" w:cs="IRNazanin"/>
          <w:i/>
          <w:iCs/>
          <w:color w:val="111111"/>
          <w:sz w:val="28"/>
          <w:szCs w:val="28"/>
          <w:rtl w:val="true"/>
          <w:lang w:bidi="fa-IR"/>
        </w:rPr>
        <w:t xml:space="preserve">. </w:t>
      </w:r>
      <w:r>
        <w:rPr>
          <w:rStyle w:val="FootnoteAnchor"/>
          <w:rtl w:val="true"/>
        </w:rPr>
        <w:footnoteReference w:id="419"/>
      </w:r>
      <w:r>
        <w:rPr>
          <w:rFonts w:ascii="IRNazanin" w:hAnsi="IRNazanin" w:eastAsia="IRNazanin"/>
          <w:i/>
          <w:i/>
          <w:iCs/>
          <w:color w:val="111111"/>
          <w:sz w:val="28"/>
          <w:sz w:val="28"/>
          <w:szCs w:val="28"/>
          <w:rtl w:val="true"/>
          <w:lang w:bidi="fa-IR"/>
        </w:rPr>
        <w:t>وبحسب تعبیر جورج جرداق المسیحی،لقد نفذ علی</w:t>
      </w:r>
      <w:r>
        <w:rPr>
          <w:rFonts w:ascii="IRNazanin" w:hAnsi="IRNazanin" w:eastAsia="IRNazanin"/>
          <w:color w:val="111111"/>
          <w:sz w:val="28"/>
          <w:sz w:val="28"/>
          <w:szCs w:val="28"/>
          <w:rtl w:val="true"/>
          <w:lang w:bidi="fa-IR"/>
        </w:rPr>
        <w:t>من طرق متعددة وکثیرة إلی الأدب العربی،حیث أغناه من کلّ طریق نفذ منه إلیه،حتّی وصل تأثیره إلی حدّ کانت کلماته فیه بمثابة روح للأدب العربی</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وبما أنّ الکلام العلوی کان ینزع نحو محاربة الظلم وإقامة العدل فی ذات فصاحته وبلاغته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تأثّر الأدب العربی بهذه الحرکة وتطوّر تطوراً عظیماً،حیث ولد الأدب الثوری الذی یقف فی وجهه الظلم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أشعار الکمیت بن زید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عبد الملک بن مروان ودعبل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تعرّضه لحکومة بنی العبّاس،وأبو العلاء المعری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ذمّه للخضوع لحکم الظلم والاستبداد،تنحو منحی کلام وتعابیر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استخدم البلاغة و الفصاحة للرقی بالإنسان و الإنسانیة وصیانتهما من کلّ ما یعکر صفوهما</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یقتصر الشعر العربی علی مجال التعالیم الدینیة و المذهبیة فی طیه لمراحل التطوّر و الکمال،بل برزت مواهبه ورقیه من خلال تأثّره أیضاً بالتوجهات العامّة للثقافة الإسلامیة فی مجالاتها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فبرز البحتری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الشعر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شعر الحکمة و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المدیح و الرثاء،وابن الفارض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الشعر العرفانی</w:t>
      </w:r>
      <w:r>
        <w:rPr>
          <w:rFonts w:eastAsia="IRNazanin" w:cs="IRNazanin"/>
          <w:color w:val="111111"/>
          <w:sz w:val="28"/>
          <w:szCs w:val="28"/>
          <w:rtl w:val="true"/>
          <w:lang w:bidi="fa-IR"/>
        </w:rPr>
        <w:t xml:space="preserve">. </w:t>
      </w:r>
      <w:r>
        <w:rPr>
          <w:rStyle w:val="FootnoteAnchor"/>
          <w:rtl w:val="true"/>
        </w:rPr>
        <w:footnoteReference w:id="422"/>
      </w:r>
      <w:bookmarkStart w:id="464" w:name="pg5469_34850"/>
    </w:p>
    <w:p>
      <w:pPr>
        <w:pStyle w:val="BookText"/>
        <w:rPr/>
      </w:pPr>
      <w:bookmarkEnd w:id="464"/>
      <w:r>
        <w:rPr>
          <w:rFonts w:ascii="IRNazanin" w:hAnsi="IRNazanin" w:eastAsia="IRNazanin"/>
          <w:color w:val="111111"/>
          <w:sz w:val="28"/>
          <w:sz w:val="28"/>
          <w:szCs w:val="28"/>
          <w:rtl w:val="true"/>
          <w:lang w:bidi="fa-IR"/>
        </w:rPr>
        <w:t>وکان للثقافة الإسلامیة أثراً عمیقاً علی الشعر الفارسی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ساهم اتساع دائرة الفتوحات الإسلامیة وإقامة الحکومة الدینیة فی بلاد إیران،فی استخدام شعراء کبار مضامین شعریة تنضح وتضج بالتعالیم الدینیة،وتسخیرهم إیاها لخدمة الأهداف المثلی باستخدام التعابیر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المعنویة و الأخلاقیة،شعراء أمثال،أبو عبد الله جعفر بن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الفرخی 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 القبادیانی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والخواجة حافظ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اللافت أنّه کان لعلی</w:t>
      </w:r>
      <w:r>
        <w:rPr>
          <w:rFonts w:ascii="IRNazanin" w:hAnsi="IRNazanin" w:eastAsia="IRNazanin"/>
          <w:i/>
          <w:i/>
          <w:iCs/>
          <w:color w:val="111111"/>
          <w:sz w:val="28"/>
          <w:sz w:val="28"/>
          <w:szCs w:val="28"/>
          <w:rtl w:val="true"/>
          <w:lang w:bidi="fa-IR"/>
        </w:rPr>
        <w:t>تأثیر عجیب علی الشعر الفارسی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حیث استلهم الکثیر من الشعر الفارسی مضامین کلامه وتعابیره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Heading3"/>
        <w:numPr>
          <w:ilvl w:val="2"/>
          <w:numId w:val="1"/>
        </w:numPr>
        <w:rPr/>
      </w:pPr>
      <w:bookmarkStart w:id="465" w:name="__RefHeading___Toc2109036_581953129"/>
      <w:bookmarkStart w:id="466" w:name="_Toc179"/>
      <w:bookmarkEnd w:id="465"/>
      <w:r>
        <w:rPr>
          <w:rtl w:val="true"/>
        </w:rPr>
        <w:t>الخلاصة</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المؤسّسات السیاسیة للخلافة و السلطنة المتمثلة بالخلافة و الوزارة و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طوت مراحل متعددة من التبدل و التغییر فی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هذه المؤسّسات تتماشی وروح الثقافة الإسلامیة،إلّا أنّها أسست مؤسسة قویة فی إدارة شؤون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شملت دائرة واسعة من الأقوام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الاُمم و الثقافات و الآداب و التقالید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 مظهراً من مظاهر الحضارة الإسلامیة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المؤسّسات الاقتصادیة بنظامها الخاصّ وهیکلتها المنسجمة تعتمد علی</w:t>
      </w:r>
    </w:p>
    <w:p>
      <w:pPr>
        <w:pStyle w:val="BookText"/>
        <w:rPr/>
      </w:pPr>
      <w:r>
        <w:rPr>
          <w:rFonts w:ascii="IRNazanin" w:hAnsi="IRNazanin" w:eastAsia="IRNazanin"/>
          <w:color w:val="111111"/>
          <w:sz w:val="28"/>
          <w:sz w:val="28"/>
          <w:szCs w:val="28"/>
          <w:rtl w:val="true"/>
          <w:lang w:bidi="fa-IR"/>
        </w:rPr>
        <w:t>مصادر مالیة تمثّلت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 و الضرائب،حیث تُصرف فی وجوه محددة وبحصة وسهم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مارست هذه المؤسّسة وظیفتها وإلی حد کبیر بادئ ذی بدء علی أساس 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ابتعدت عنه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فی عهد الأمویین و العباسیین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ساهمت مساهمة فعالة فی الازدهار الاقتصادی للحضارة الإسلامیة الذی عم البلدان الإسلامیة قاطبة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سعی النظام القضائی فی فضاء ازدادت فیه المجتمعات وتعقدت خلاله العلاقات الاجتماعیة،لئن یکون مؤسّسة راقیة ومتجددة من خلال القوانین و الأحکام التی استمدها من الآیات و الروایات واجتهاد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ساهم بالتدریج فی نمو المؤسّسة القضائیة کماً ونوعاً باعتبارها أحد مظاهر الحضارة الإسلامیة،و هو ما یشهد له الفصل التدریجی بین سلطة القاضی و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السلطة القضائیة عن التنفیذیة واستحداث دیوان المظالم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الاهتمام بالفنّ فی أوساط المسلمین بالتزامن مع ظهور الإسلام،واجتاز مراحل رقیه وتکامله شیئاً فشیئاً فی القرون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وتمثّلت نقطة الارتکاز فی المساعی الی بذلها الفنانون المسلمون فی استخدام الفنّ کوسیلة لبیان ونشر الثقافة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وتعدّ العمارة الإسلامیة من أثری الفنون التی راجت فی العالم،فهی إضافة إلی کونها ملفتة من جهة إنجازاتها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عکست أیضاً فی ذات الوقت الثقافة الإسلامیة وعقائد المسلمین،حیث أبدع المسلمون روائع معماریة لم تزل شاخصة تشد أنظار متذوقی الفنّ وفنانی العالم حتّی الیوم،مستلهمین فیها التعالیم الدینیة ومستفیدین من فنون العالم فی تلک العهود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 الروم وإیران و الهند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الشعر أحد المصادیق البارزة للفنّ الإسلامی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 مستوی العرب أو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تطوّر تطوراً عمیقاً من خلال استلهامه التعالیم الدینیة،حیث تمکن من نقل المضمون الراقی للثقافة الإسلامیة إلی الأجیال اللاحقة</w:t>
      </w:r>
      <w:r>
        <w:rPr>
          <w:rFonts w:eastAsia="IRNazanin" w:cs="IRNazanin"/>
          <w:color w:val="111111"/>
          <w:sz w:val="28"/>
          <w:szCs w:val="28"/>
          <w:rtl w:val="true"/>
          <w:lang w:bidi="fa-IR"/>
        </w:rPr>
        <w:t>.</w:t>
      </w:r>
      <w:bookmarkStart w:id="467" w:name="pg5469_34854"/>
    </w:p>
    <w:p>
      <w:pPr>
        <w:pStyle w:val="Heading3"/>
        <w:numPr>
          <w:ilvl w:val="2"/>
          <w:numId w:val="1"/>
        </w:numPr>
        <w:rPr/>
      </w:pPr>
      <w:bookmarkStart w:id="468" w:name="__RefHeading___Toc2109038_581953129"/>
      <w:bookmarkStart w:id="469" w:name="_Toc180"/>
      <w:bookmarkEnd w:id="467"/>
      <w:bookmarkEnd w:id="468"/>
      <w:r>
        <w:rPr>
          <w:rtl w:val="true"/>
        </w:rPr>
        <w:t>الأسئلة</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استُبدلت الخلافة بالسلطة فی المؤسّسة السیاسیة للدولة الإسلامیة؟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علامات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المجالات التی اختلفت فیها وزارة التتفویض عن وزارة التنفیذ؟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الدور الذی قامت به الدواوین فی النظام السیاسی للعالم الإسلامی؟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إلی المصادر المالیة التی اعتمدت علیها المؤسّسة الاقتصادیة فی الحضارة الإسلامیة؟واذکر بعض المصادر الاُخری إن استطعت؟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المراحل التی مرّت بها المؤسّسة القضائیة فی الدولة الإسلامیة؟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الإسلام فی الفنّ؟قدم بحثاً فی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دور العمارة الإسلامیة فی رقی الحضارة الإسلامیة؟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أهمّ الآثار التی ترکتها الثقافة الإسلامیة علی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المنابع التی استقی منها فی هذا المضمار؟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تأثیر الإسلام علی باقی الفنون</w:t>
      </w:r>
      <w:r>
        <w:rPr>
          <w:rFonts w:eastAsia="IRNazanin" w:cs="IRNazanin"/>
          <w:color w:val="111111"/>
          <w:sz w:val="28"/>
          <w:szCs w:val="28"/>
          <w:rtl w:val="true"/>
          <w:lang w:bidi="fa-IR"/>
        </w:rPr>
        <w:t>.</w:t>
      </w:r>
      <w:bookmarkStart w:id="470" w:name="pg5469_34856"/>
    </w:p>
    <w:p>
      <w:pPr>
        <w:pStyle w:val="Heading2"/>
        <w:numPr>
          <w:ilvl w:val="1"/>
          <w:numId w:val="1"/>
        </w:numPr>
        <w:rPr/>
      </w:pPr>
      <w:bookmarkStart w:id="471" w:name="__RefHeading___Toc2109040_581953129"/>
      <w:bookmarkStart w:id="472" w:name="_Toc181"/>
      <w:bookmarkEnd w:id="470"/>
      <w:bookmarkEnd w:id="471"/>
      <w:r>
        <w:rPr/>
        <w:t>7</w:t>
      </w:r>
      <w:r>
        <w:rPr>
          <w:rtl w:val="true"/>
        </w:rPr>
        <w:t xml:space="preserve">- </w:t>
      </w:r>
      <w:r>
        <w:rPr>
          <w:rtl w:val="true"/>
        </w:rPr>
        <w:t>تأثیر الحضارة الإسلامیة علی الحضارة الغربیة</w:t>
      </w:r>
      <w:bookmarkEnd w:id="472"/>
    </w:p>
    <w:p>
      <w:pPr>
        <w:pStyle w:val="Heading3"/>
        <w:numPr>
          <w:ilvl w:val="2"/>
          <w:numId w:val="1"/>
        </w:numPr>
        <w:rPr/>
      </w:pPr>
      <w:bookmarkStart w:id="473" w:name="__RefHeading___Toc2109042_581953129"/>
      <w:bookmarkStart w:id="474" w:name="_Toc182"/>
      <w:bookmarkEnd w:id="473"/>
      <w:r>
        <w:rPr>
          <w:rtl w:val="true"/>
        </w:rPr>
        <w:t>العلاقة بین الحضارات</w:t>
      </w:r>
      <w:bookmarkEnd w:id="474"/>
    </w:p>
    <w:p>
      <w:pPr>
        <w:pStyle w:val="BookText"/>
        <w:rPr/>
      </w:pPr>
      <w:r>
        <w:rPr>
          <w:rFonts w:ascii="IRNazanin" w:hAnsi="IRNazanin" w:eastAsia="IRNazanin"/>
          <w:color w:val="111111"/>
          <w:sz w:val="28"/>
          <w:sz w:val="28"/>
          <w:szCs w:val="28"/>
          <w:rtl w:val="true"/>
          <w:lang w:bidi="fa-IR"/>
        </w:rPr>
        <w:t>تعدّ العلاقة بین الحضارات أحد أهمّ موضوعات علم الحضارة،وأکثرها عرضة للبحث و النقاش،حیث تطرح ثلاث نظریات فی حقیقة وجود مثل تلک العلاقة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حقیقة مدی تأثیر بعضها علی 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ترابط وعلاقة بین جمیع الحضارات 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وتأثیر وتأثر فیما بینها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تأثّر وتأثیر فیما بینها،إذ اختلف ظهور بعضها عن البعض مکانیاً وزمانیاً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نفی العلاقة و التأثیر فیما بین الحضارات بنحو مطلق،أو إثباتهما بنحو عام</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لدی البعض من الحضارات القابلیة علی التأثر ببعض الحضارات الاُخری،غیر أنّ هذا التأثّر بحاجة إلی دراسة أوسع من حیث حجمه ومقداره،إلّا أنّ ما هو مؤکّد،هو عدم إمکانیة الإغماض بصفة عامّة عن وجود علاقة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أی حضارة تتصف بمزایا أساسیة تتمثّل بالثبات و التجدد والانتقال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جانب آخر،فإنّه یمکن للدارس ملاحظة وجود تشابه فیما بینها من بعض الجهات،ممّا</w:t>
      </w:r>
      <w:bookmarkStart w:id="475" w:name="pg5469_34858"/>
    </w:p>
    <w:p>
      <w:pPr>
        <w:pStyle w:val="BookText"/>
        <w:rPr/>
      </w:pPr>
      <w:bookmarkEnd w:id="475"/>
      <w:r>
        <w:rPr>
          <w:rFonts w:ascii="IRNazanin" w:hAnsi="IRNazanin" w:eastAsia="IRNazanin"/>
          <w:color w:val="111111"/>
          <w:sz w:val="28"/>
          <w:sz w:val="28"/>
          <w:szCs w:val="28"/>
          <w:rtl w:val="true"/>
          <w:lang w:bidi="fa-IR"/>
        </w:rPr>
        <w:t>لا یستلزم ولادة إحداها من الاُخری علی سبیل الجزم و القطع،أو أن یکون تأثّرها وتأثیرها شمولی یعمّ جوانبها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العامّة تجری فیما نحن بصدده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العلاقة بین الحضارة الإسلامیة و الحضارة الغربیة،أو تأثّر الحضارة الغربیة بالحضارة الإسلامیة،إذ إنّ نفی أی تأثیر هو علی السواء مع إثبات التأثیر المطلق و العام و الشامل،فی کونهما محض خطأ واشتباه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فالشواهد التاریخیة المتناثرة هنا وهناک تشیر إلی انشداد الإنسان الغربی للحضارة الإسلامیة وانبهاره بها،وذلک لأجل المزایا الخاصّة التی اقترنت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انتفع فی بعض الموارد بمزایاها وسماتها البارزة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صورت لنا بعض البحوث السابقة تأثیر بعض مظاهر الحضارة الإسلامیة فی الغرب بنحو متفرق ومتفاوت، </w:t>
      </w:r>
      <w:r>
        <w:rPr>
          <w:rStyle w:val="FootnoteAnchor"/>
          <w:rtl w:val="true"/>
        </w:rPr>
        <w:footnoteReference w:id="426"/>
      </w:r>
      <w:r>
        <w:rPr>
          <w:rFonts w:ascii="IRNazanin" w:hAnsi="IRNazanin" w:eastAsia="IRNazanin"/>
          <w:color w:val="111111"/>
          <w:sz w:val="28"/>
          <w:sz w:val="28"/>
          <w:szCs w:val="28"/>
          <w:rtl w:val="true"/>
          <w:lang w:bidi="fa-IR"/>
        </w:rPr>
        <w:t>لکنّنا سنسعی لإکمال البحث فی هذا الموضوع بشکل مرکّز ومتابعته ضمن العناوین أدناه</w:t>
      </w:r>
      <w:r>
        <w:rPr>
          <w:rFonts w:eastAsia="IRNazanin" w:cs="IRNazanin"/>
          <w:color w:val="111111"/>
          <w:sz w:val="28"/>
          <w:szCs w:val="28"/>
          <w:rtl w:val="true"/>
          <w:lang w:bidi="fa-IR"/>
        </w:rPr>
        <w:t>:</w:t>
      </w:r>
    </w:p>
    <w:p>
      <w:pPr>
        <w:pStyle w:val="Heading3"/>
        <w:numPr>
          <w:ilvl w:val="2"/>
          <w:numId w:val="1"/>
        </w:numPr>
        <w:rPr/>
      </w:pPr>
      <w:bookmarkStart w:id="476" w:name="__RefHeading___Toc2109044_581953129"/>
      <w:bookmarkStart w:id="477" w:name="_Toc183"/>
      <w:bookmarkEnd w:id="476"/>
      <w:r>
        <w:rPr>
          <w:rtl w:val="true"/>
        </w:rPr>
        <w:t>أصالة التأثیر</w:t>
      </w:r>
      <w:bookmarkEnd w:id="477"/>
    </w:p>
    <w:p>
      <w:pPr>
        <w:pStyle w:val="BookText"/>
        <w:rPr/>
      </w:pPr>
      <w:r>
        <w:rPr>
          <w:rFonts w:ascii="IRNazanin" w:hAnsi="IRNazanin" w:eastAsia="IRNazanin"/>
          <w:color w:val="111111"/>
          <w:sz w:val="28"/>
          <w:sz w:val="28"/>
          <w:szCs w:val="28"/>
          <w:rtl w:val="true"/>
          <w:lang w:bidi="fa-IR"/>
        </w:rPr>
        <w:t>ینفی البعض لدواعی وأسباب مختلفة،تأثیر الحضارة الإسلامیة علی الحضارة الغربیة بنحو مطلق،ولکی یتّضح أنّ ذلک مجرّد خیال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نعرض آراء بعض العلماء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الدکتور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الحضارة الإسلامیة التی أطلقها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تنقذ التراث الیونانی من الاضمحلال و النسیان وتعطیه زخماً تنظیمیاً وتهبه لأوروبا فحسب،بل إنّها تعدّ المؤسّس الحقیقی للکیمیاء المختبریة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الفیزیاء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الحساب بمفهومه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المثلثات الفضائیة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طبقات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أهدت الحضارة الإسلامیة الغرب اکتشافات واختراعات قیمة وکثیرة شملت</w:t>
      </w:r>
    </w:p>
    <w:p>
      <w:pPr>
        <w:pStyle w:val="BookText"/>
        <w:rPr/>
      </w:pPr>
      <w:r>
        <w:rPr>
          <w:rFonts w:ascii="IRNazanin" w:hAnsi="IRNazanin" w:eastAsia="IRNazanin"/>
          <w:color w:val="111111"/>
          <w:sz w:val="28"/>
          <w:sz w:val="28"/>
          <w:szCs w:val="28"/>
          <w:rtl w:val="true"/>
          <w:lang w:bidi="fa-IR"/>
        </w:rPr>
        <w:t>کافّة أقسام العلوم التجربیة،والتی قام الکتّاب الأوروبیین بسرقتها فیما بعد لیسجلوها فی منجزاتهم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 الاختراع الأمثل و الأنفس منها هو منهج البحث فی علم الطبیعیات،المنهج الذی عبدت خطوات المسلمین فیه الطریق لأوروبا لمعرفة قوانین الطبیعة و التحکّم بها و السیطرة علیها</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ویقول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أنّنا نحن الغربییون مدینون للإسلام ثقافیاً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ینافی استقلالنا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یشکل هاجس ضعف بالنسبة إلینا،الأمر الذی یدعونا أحیاناً إلی التقلیل من شأن سعة وأهمّیة نفوذ وتأثیر الإسلام فی تراثنا الثقافی،أو أنّنا نغض الطرف بشکل مطلق أحیاناً عن ذلک،فلأجل إقامة علاقات حسنة مع المسلمین یلزمنا الاعتراف دون مواربة بأنّنا مدینون للثقافة الإسلامیة،حیث لا یعبّر السعی إلی إخفاء أو إنکار ذلک سوی عن نشوة الکبر و الزهو ممّا هو غیر حقیقی</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ویذکر المتخصص فی الحضارة الفارسیة البروفسور الأسبانی من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تأثیر فلاسفة إیران وحتّی شعرائها و الفلسفة الإسلامیة علی اوروبا کان علی درجة من القوة أدّت إلی تغییر آدابها فی سائر بلدانها،فنحن الأوروبیون لم نکن نعرف 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وسقراط لولا فضل المسلمین،فقد قام التجار العرب بتقدیم التراث الفلسفی الإیرانی إلی الأوروبیین علی طبق من ذهب</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أمّا البروفیسور فیکتب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نعود إلی الوراء ونلقی نظرة علی الماضی،نری أنّ العلوم و الأدبیات الشرقیة کانت بمثابة الخمرة للحضارة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نفذت أضواء الروحیة و الفکر الشرقی فی الروح المدلهمة لشعوب الغرب فی القرون الماضیة،وفتح لها الآفاق</w:t>
      </w:r>
      <w:bookmarkStart w:id="478" w:name="pg5469_34862"/>
    </w:p>
    <w:p>
      <w:pPr>
        <w:pStyle w:val="BookText"/>
        <w:rPr/>
      </w:pPr>
      <w:bookmarkEnd w:id="478"/>
      <w:r>
        <w:rPr>
          <w:rFonts w:ascii="IRNazanin" w:hAnsi="IRNazanin" w:eastAsia="IRNazanin"/>
          <w:color w:val="111111"/>
          <w:sz w:val="28"/>
          <w:sz w:val="28"/>
          <w:szCs w:val="28"/>
          <w:rtl w:val="true"/>
          <w:lang w:bidi="fa-IR"/>
        </w:rPr>
        <w:t>إلی عالم أرحب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تُدرَس اللغة و الأدب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 و الفارسی علی وجه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البلدان الغربیة لینهلوا من نبعها الفیاض</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ویری الدکتور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هطلت علوم الشرق کأمطار الرحمة علی أرض اوروبا الیباب فأغدقت ثماراً عجاب</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بنت أیادی المسلمین الماهرة قصر حضارتنا بالعلم و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 وجد شعب أوروبی ومسیحی فهو مدین للمسلمین</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فمثل هذه التصریحات الصریحة و الملیحة لعلماء الغرب البارزین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لنا مجالا لئن نتجاهل مبدأ تأثیر الحضارة الإسلامیة علی العلم و الفکر و الحضارة الغربیة</w:t>
      </w:r>
      <w:r>
        <w:rPr>
          <w:rFonts w:eastAsia="IRNazanin" w:cs="IRNazanin"/>
          <w:color w:val="111111"/>
          <w:sz w:val="28"/>
          <w:szCs w:val="28"/>
          <w:rtl w:val="true"/>
          <w:lang w:bidi="fa-IR"/>
        </w:rPr>
        <w:t>.</w:t>
      </w:r>
    </w:p>
    <w:p>
      <w:pPr>
        <w:pStyle w:val="Heading3"/>
        <w:numPr>
          <w:ilvl w:val="2"/>
          <w:numId w:val="1"/>
        </w:numPr>
        <w:rPr/>
      </w:pPr>
      <w:bookmarkStart w:id="479" w:name="__RefHeading___Toc2109046_581953129"/>
      <w:bookmarkStart w:id="480" w:name="_Toc184"/>
      <w:bookmarkEnd w:id="479"/>
      <w:r>
        <w:rPr>
          <w:rtl w:val="true"/>
        </w:rPr>
        <w:t>طرق الانتقال</w:t>
      </w:r>
      <w:bookmarkEnd w:id="480"/>
    </w:p>
    <w:p>
      <w:pPr>
        <w:pStyle w:val="Heading4"/>
        <w:numPr>
          <w:ilvl w:val="3"/>
          <w:numId w:val="1"/>
        </w:numPr>
        <w:rPr/>
      </w:pPr>
      <w:bookmarkStart w:id="481" w:name="__RefHeading___Toc2109048_581953129"/>
      <w:bookmarkStart w:id="482" w:name="_Toc185"/>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لقد انتقل المظهر المادی الملموس للثقافة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الغرب وأثر علیه بطرق متعددة إلیکم أهمّها</w:t>
      </w:r>
      <w:r>
        <w:rPr>
          <w:rFonts w:eastAsia="IRNazanin" w:cs="IRNazanin"/>
          <w:color w:val="111111"/>
          <w:sz w:val="28"/>
          <w:szCs w:val="28"/>
          <w:rtl w:val="true"/>
          <w:lang w:bidi="fa-IR"/>
        </w:rPr>
        <w:t>:</w:t>
      </w:r>
    </w:p>
    <w:p>
      <w:pPr>
        <w:pStyle w:val="Heading4"/>
        <w:numPr>
          <w:ilvl w:val="3"/>
          <w:numId w:val="1"/>
        </w:numPr>
        <w:rPr/>
      </w:pPr>
      <w:bookmarkStart w:id="483" w:name="__RefHeading___Toc2109050_581953129"/>
      <w:bookmarkStart w:id="484" w:name="_Toc186"/>
      <w:bookmarkEnd w:id="483"/>
      <w:r>
        <w:rPr>
          <w:rtl w:val="true"/>
        </w:rPr>
        <w:t>أ</w:t>
      </w:r>
      <w:r>
        <w:rPr>
          <w:rtl w:val="true"/>
        </w:rPr>
        <w:t>)</w:t>
      </w:r>
      <w:r>
        <w:rPr>
          <w:rtl w:val="true"/>
        </w:rPr>
        <w:t>الترجمة</w:t>
      </w:r>
      <w:bookmarkEnd w:id="4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ما تتکفّل الترجمة نقل الأفکار و المعارف من مکان إلی آخر ومن أرض إلی اخری لتسری وتنفذ من حضارة إلی حضارة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ولاریب فی أنّ الترجمة تمثّل أوضح وأوثق طریق یمکن اتّخاذه لنقل وتبادل الأفکار،و هو ما یبین مسألة تعاطی</w:t>
      </w:r>
    </w:p>
    <w:p>
      <w:pPr>
        <w:pStyle w:val="BookText"/>
        <w:rPr/>
      </w:pPr>
      <w:r>
        <w:rPr>
          <w:rFonts w:ascii="IRNazanin" w:hAnsi="IRNazanin" w:eastAsia="IRNazanin"/>
          <w:color w:val="111111"/>
          <w:sz w:val="28"/>
          <w:sz w:val="28"/>
          <w:szCs w:val="28"/>
          <w:rtl w:val="true"/>
          <w:lang w:bidi="fa-IR"/>
        </w:rPr>
        <w:t>وتفاعل الثقافات فی المجتمعات البشریة بشکل أجلی وأقوی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کانت بعض نماذج ومظاهر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کالمحال التعلیمیة و المشافی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تعرف علیه المسیحیون بعد الحروب الصلیبیة،ثُمّ أخذوا من بعد ذلک بالعبور إلی الجذور و الطبقات البنیویة لهذه الحضارة و التی انبثّت فی الکتب المرصوصة فی المکتبات الکبری للعالم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ساهم بدوره فی جرهم إلی الخوض فی ترجمة الکتب الإسلامیة،الأمر الذی أدّی أیضاً إلی سهولة تعرفهم علی المفاد الأصلی لثقافتهم الغابرة،وذلک من خلال الشروح و التفاسیر الدقیقة التی سطرها المسلمون علی تراث علماء الیونان البارزین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بطلیموس وجالینوس،حیث إنّ التأمّل فی مجموع تراجم الآثار العربیة إلی اللغة اللاتینیة،یمکن أن یکون بمثابة مرشد ودلیل لکیفیة حدوث انتقال أفکار ونظریات الحضارة الإسلامیة ومدی مساهمات المفکّرین و العلماء المسلمین فی الحضارة الغربیة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فطبقاً للوثائق المتوفرة و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فی البدایة إرجاع ثمانیة کتب لأرسطو فی العلوم الطبیعیة و الفیزیاء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وتسعة عشر کتاباً فی مجال تاریخ حیاة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الفضاء وعلم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اللغة العربیة إلی اللغات الاُوروبیة،ثُمّ النصوص المدونة بالیونانیة إلی اللغة اللاتینیة ومنها إلی اللغات الاُوروبیة</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إذ انصبت جمیع مساعی الاُوروبیین منذ القرن الحادی عشر علی ترجمة آثار الفلاسفة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عدم قدرة اللغات الاُوروبیة علی استیعاب المضمون العلمی و الفلسفی آنذاک،فلم تکن سوی لغات حواریة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اقتصروا علی الترجمة إلی اللاتینیة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بین الکتب التی تمّ ترجمتها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لموسی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مساحة الأشکال لابن موسی بن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 لأبی معشر البلخی ومحمّد بن جابر التبانی،الهیئة وللفرغانی،الصور لعبد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الصوفی الإصفهانی،المناظر و المرایا ورسالة الریح و المطر لیعقوب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المشتاق لإدریس و هو فی الجغرافیا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البلدان لأبی الفداء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کامل الصناعة فی حلب،وکتباً اخری لعلی بن عباس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الخاصّ لعضد الدولة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البیطار وکتاب الحاوی فی الطب محمّد بن زکریا الرازی القانون 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الجراحة وکتاب التریاق لأبی القاسم الزهراوی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الکلیات لابن رشد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للفارابی و فی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الفلاسفة للغزالی وکثیر غیرها</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یقول جرجی زیدان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ترجم الأوروبیون خلال هذه الفترة ثلاثمئة کتاب مهّم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 کتاباً فی الفلسفة و الطبیعیات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کتاباً فی الریاضیات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تسعین کتاباً فی الطب وأربعین کتاباً 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الآداب و الأدب العربی الإسلامی و التاریخ و الجغرافیا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وقامت جمیع دور العلم الاُوروبیة علی مدی خمسمائة وست وثلاثین عاماً بترجمة کتب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بإرجاع أکثر الکتب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الفیزیائیة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المیکانیکیة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الجغرافیة وغیرها إلی اللغات الاُوروبیة</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الإشارة إلی المترجمین الأوائل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الأسقف جربروورنی</w:t>
      </w:r>
      <w:r>
        <w:rPr>
          <w:rFonts w:eastAsia="IRNazanin" w:cs="IRNazanin"/>
          <w:color w:val="111111"/>
          <w:sz w:val="28"/>
          <w:szCs w:val="28"/>
          <w:rtl w:val="true"/>
          <w:lang w:bidi="fa-IR"/>
        </w:rPr>
        <w:t>(</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 الأفریقی</w:t>
      </w:r>
      <w:r>
        <w:rPr>
          <w:rFonts w:eastAsia="IRNazanin" w:cs="IRNazanin"/>
          <w:color w:val="111111"/>
          <w:sz w:val="28"/>
          <w:szCs w:val="28"/>
          <w:rtl w:val="true"/>
          <w:lang w:bidi="fa-IR"/>
        </w:rPr>
        <w:t>(</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،اجدارد الإیطالی</w:t>
      </w:r>
      <w:r>
        <w:rPr>
          <w:rFonts w:eastAsia="IRNazanin" w:cs="IRNazanin"/>
          <w:color w:val="111111"/>
          <w:sz w:val="28"/>
          <w:szCs w:val="28"/>
          <w:rtl w:val="true"/>
          <w:lang w:bidi="fa-IR"/>
        </w:rPr>
        <w:t>(</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سکوت</w:t>
      </w:r>
      <w:r>
        <w:rPr>
          <w:rFonts w:eastAsia="IRNazanin" w:cs="IRNazanin"/>
          <w:color w:val="111111"/>
          <w:sz w:val="28"/>
          <w:szCs w:val="28"/>
          <w:rtl w:val="true"/>
          <w:lang w:bidi="fa-IR"/>
        </w:rPr>
        <w:t>(</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رَبی أنتولی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عشر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،صاموئیل بن تیبون،ویهودا بن سالمون کوهن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 التغاضی هنا عن الدور الفعال لألمانیا</w:t>
      </w:r>
      <w:bookmarkStart w:id="485" w:name="pg5469_34868"/>
    </w:p>
    <w:p>
      <w:pPr>
        <w:pStyle w:val="BookText"/>
        <w:rPr/>
      </w:pPr>
      <w:bookmarkEnd w:id="485"/>
      <w:r>
        <w:rPr>
          <w:rFonts w:ascii="IRNazanin" w:hAnsi="IRNazanin" w:eastAsia="IRNazanin"/>
          <w:color w:val="111111"/>
          <w:sz w:val="28"/>
          <w:sz w:val="28"/>
          <w:szCs w:val="28"/>
          <w:rtl w:val="true"/>
          <w:lang w:bidi="fa-IR"/>
        </w:rPr>
        <w:t>وشخص الإمبراطور فریدریک الثانی</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عهد بکتب الکیمیاء،الأدویة و الطب إلی الیهود،وکتب الفروع الاُخری إلی الأخصائین فیها،لتتمّ ترجمتها بدقّة وبلغة علمیة وحتّی شعبیة لیتمکّن من قراءتها بسطاء الناس إضافة إلی أهل العلم،فأحدثت هذه الحرکة الجدیدة تطوّراً عمیقاً لدی الألمان،ممّا جعلهم أعلی کعباً مقارنة بباقی الشعوب و القومیات الاُوروبیة</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486" w:name="__RefHeading___Toc2109052_581953129"/>
      <w:bookmarkStart w:id="487" w:name="_Toc187"/>
      <w:bookmarkEnd w:id="486"/>
      <w:r>
        <w:rPr>
          <w:rtl w:val="true"/>
        </w:rPr>
        <w:t>ب</w:t>
      </w:r>
      <w:r>
        <w:rPr>
          <w:rtl w:val="true"/>
        </w:rPr>
        <w:t>)</w:t>
      </w:r>
      <w:r>
        <w:rPr>
          <w:rtl w:val="true"/>
        </w:rPr>
        <w:t>الحروب الصلیبیة</w:t>
      </w:r>
      <w:bookmarkEnd w:id="487"/>
    </w:p>
    <w:p>
      <w:pPr>
        <w:pStyle w:val="BookText"/>
        <w:rPr/>
      </w:pPr>
      <w:r>
        <w:rPr>
          <w:rFonts w:ascii="IRNazanin" w:hAnsi="IRNazanin" w:eastAsia="IRNazanin"/>
          <w:color w:val="111111"/>
          <w:sz w:val="28"/>
          <w:sz w:val="28"/>
          <w:szCs w:val="28"/>
          <w:rtl w:val="true"/>
          <w:lang w:bidi="fa-IR"/>
        </w:rPr>
        <w:t>لقد أدّی تواجد المسلمین فی أسبانیا وسیشیل من القرن الثامن وما بعده،والتواجد الأوروبی فی الشرق أبان الحروب الصلیبیة</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حدوث شراکة ثقافیة فیما بینهما،وبعبارة أدق،إلی تقبل الاُوروبیون للکثیر من میزات الثقافة الإسلامیة</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ویصوغ ذلک بهذا النحو</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بدأت الحروب الصلیبیة عام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واستمرّت لأکثر من قرن ونصف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هذه الحروب مجرّد حرب بین مذهبین ونزاع بین الصلیب المسیحی و الهلال الإسلامی،و إنّما وکما قال البروفیسور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ترولیان المؤرخ المعروف عنها</w:t>
      </w:r>
      <w:r>
        <w:rPr>
          <w:rFonts w:eastAsia="IRNazanin" w:cs="IRNazanin"/>
          <w:color w:val="111111"/>
          <w:sz w:val="28"/>
          <w:szCs w:val="28"/>
          <w:rtl w:val="true"/>
          <w:lang w:bidi="fa-IR"/>
        </w:rPr>
        <w:t>:</w:t>
      </w:r>
      <w:bookmarkStart w:id="488" w:name="pg5469_34870"/>
    </w:p>
    <w:p>
      <w:pPr>
        <w:pStyle w:val="BookText"/>
        <w:rPr/>
      </w:pPr>
      <w:bookmarkEnd w:id="488"/>
      <w:r>
        <w:rPr>
          <w:rFonts w:ascii="IRNazanin" w:hAnsi="IRNazanin" w:eastAsia="IRNazanin"/>
          <w:color w:val="111111"/>
          <w:sz w:val="28"/>
          <w:sz w:val="28"/>
          <w:szCs w:val="28"/>
          <w:rtl w:val="true"/>
          <w:lang w:bidi="fa-IR"/>
        </w:rPr>
        <w:t>فحینما واجه المسیحیون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 و العلوم الباهرة للإسلام أثناء الحروب الصلیبیة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بذلوا غایة جهودهم للتوصّل إلی کشف أسرار وغوامض أبعاد هذا التطوّر،وذلک من خلال تنمیة وتقویة روحیة حبّ الاستطلاع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المسالمة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الرفاه،الاستثمار المعقول للذخائر العلمیة و 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وللاُمم و الثقافات و الحضارات المختلفة وکثیر من الموارد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استثمار نتائج جمیع الاُسس والاُصول التی جعلت من الإسلام قوة 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روعة الثقافة و الحضارة الإسلامیة کانت علی قدر من التألق،بحیث أدّت إلی استقطاب باقی الحضارات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ویکتب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نر امة فی التاریخ امتد تأثیرها فی الآخرین بهذا المستوی من الامتداد کالعرب و المسلمین،فقد خضعت لحضارتهم جمیع الاُمم التی مدّت بنحو من الأنحاء جسور العلاقة معهم</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489" w:name="__RefHeading___Toc2109054_581953129"/>
      <w:bookmarkStart w:id="490" w:name="_Toc188"/>
      <w:bookmarkEnd w:id="489"/>
      <w:r>
        <w:rPr>
          <w:rtl w:val="true"/>
        </w:rPr>
        <w:t>ج</w:t>
      </w:r>
      <w:r>
        <w:rPr>
          <w:rtl w:val="true"/>
        </w:rPr>
        <w:t>)</w:t>
      </w:r>
      <w:r>
        <w:rPr>
          <w:rtl w:val="true"/>
        </w:rPr>
        <w:t>الطرق الاُخری</w:t>
      </w:r>
      <w:bookmarkEnd w:id="4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طرق اخری أیضاً ساهمت فی هذا الانتقال و التأثیر سوی الترجمة و الحروب الصلیبیة اللتین تعدان من أهمّ ممهدات وعوامل ووسائل انتقال الحضارة الإسلامیة إلی الغرب،وتمثّلت هذه الطرق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أقوام المغرب الإسلامی إلی ما خلف سلسلة جبال بیرنه،وفی رحلات البحث و التحقیق العلمی لمشاهیر الرحالة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سکوت،وادلارد باثی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خلال الکتب التی تضمها المکتبات الاُوروبیة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ثلث مکتبة لینینغراد وستالینغراد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الشیوخ الأمریکی وبریطانیا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w:t>
      </w:r>
      <w:bookmarkStart w:id="491" w:name="pg5469_34872"/>
    </w:p>
    <w:p>
      <w:pPr>
        <w:pStyle w:val="BookText"/>
        <w:rPr/>
      </w:pPr>
      <w:bookmarkEnd w:id="491"/>
      <w:r>
        <w:rPr>
          <w:rFonts w:ascii="IRNazanin" w:hAnsi="IRNazanin" w:eastAsia="IRNazanin"/>
          <w:color w:val="111111"/>
          <w:sz w:val="28"/>
          <w:sz w:val="28"/>
          <w:szCs w:val="28"/>
          <w:rtl w:val="true"/>
          <w:lang w:bidi="fa-IR"/>
        </w:rPr>
        <w:t>الکتب الشرقیة وفقاً لأحد التقاریر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طریق الأسفار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ساعد علی انتقالها وتأثیرها علی الحضارة الغربیة</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492" w:name="__RefHeading___Toc2109056_581953129"/>
      <w:bookmarkStart w:id="493" w:name="_Toc189"/>
      <w:bookmarkEnd w:id="492"/>
      <w:r>
        <w:rPr>
          <w:rtl w:val="true"/>
        </w:rPr>
        <w:t>دائرة التأثیر</w:t>
      </w:r>
      <w:bookmarkEnd w:id="493"/>
    </w:p>
    <w:p>
      <w:pPr>
        <w:pStyle w:val="Heading4"/>
        <w:numPr>
          <w:ilvl w:val="3"/>
          <w:numId w:val="1"/>
        </w:numPr>
        <w:rPr/>
      </w:pPr>
      <w:bookmarkStart w:id="494" w:name="__RefHeading___Toc2109058_581953129"/>
      <w:bookmarkStart w:id="495" w:name="_Toc190"/>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لقد شمل تأثیر الحضارة الإسلامیة علی الحضارة الغربیة دائرة واسعة تمثّلت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الملاحة وغیرها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أثرت تأثیراً عمیقاً علی الحضارة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للعالم الإسلامی نفوذاً متعدد الوجوه فی العالم المسیحی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استلهمت وأخذت اوروبا من دیار الإسلام الغذاء و العصائر و الدواء و العلاج و الأسلحة و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الذوق و المزاج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الأدوات و الآداب و الصناعة و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الملاحة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وغالباً ما کانت تقتبس لغات المسلمین أیضاً</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ووفق قول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لازالت اللغة الأسبانیة تتضمّن بعض الألفاظ التی تشیر إلی تولی العرب المسؤولیة الأساسیة فی بناء الدور و العمارة فی أسبانیا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فالألفاظ المعماریة التی انتقلت إلی اللغة الأسبانیة من اللغة العربیة یمکن تلمسها فی ألفاظ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و القلعة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alcazar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غرفة النوم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alcoboc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القرمید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azukjo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مطرقة الباب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aldab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وقفل الباب و النافذة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falleba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وبحسب تصریحات خبیر فی المراجع الأثریة الاُوروبیة،فإنّها تشیر إلی حقیقة أنّ تأثیر التراث العربی کان أکبر بکثیر من تأثیر التراث الیونانی،فقد ورد اسم ابن سینا ثلاثة آلاف مرّة واسم الغالون وزکریا ألف مرّة بینما لم یرد اسم هیباکرتیس سوی مئة مرّة،وذلک فی آثار فراری دغرادو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الخلاصة،أنّ الطب الاُوروبی فی القرنین الخامس عشر و السادس عشر لم یکن سوی امتدادا للطب العربی</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جهود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الشرقیین و الإسلامیین و الإیرانیین 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تصنیف وتسمیة الحیوانات لم یکن لیظهر علم البیئة الحدیث الذی ارتکز علی مبدأ التعمیمات الواسعة للتطوّریین،حیث أعطت أعمالهم زخما للّاحقین فی الوصول إلی صورة جامعة وواضحة للطبیعة الحیة</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أمّا المؤرخ البارز فی تاریخ العلم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أصبح ابن الرشد من المراجع المعتمدة و المعتبرة فی جامعات جنوب إیطالیا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باریس وأکسفورد فی القرن السابع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تعبیر روجر بیکن ودانز سکوتس،فإنّه کان جدیراً بأن یحتلّ مکانه إلی جانب أرسطو کاُستاذ لعلم البرهان</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التعرّف علی دائرة التأثیر هذه نشیر باختصار إلی بعض مجالاتها</w:t>
      </w:r>
      <w:r>
        <w:rPr>
          <w:rFonts w:eastAsia="IRNazanin" w:cs="IRNazanin"/>
          <w:color w:val="111111"/>
          <w:sz w:val="28"/>
          <w:szCs w:val="28"/>
          <w:rtl w:val="true"/>
          <w:lang w:bidi="fa-IR"/>
        </w:rPr>
        <w:t>:</w:t>
      </w:r>
      <w:bookmarkStart w:id="496" w:name="pg5469_34876"/>
    </w:p>
    <w:p>
      <w:pPr>
        <w:pStyle w:val="Heading4"/>
        <w:numPr>
          <w:ilvl w:val="3"/>
          <w:numId w:val="1"/>
        </w:numPr>
        <w:rPr/>
      </w:pPr>
      <w:bookmarkStart w:id="497" w:name="__RefHeading___Toc2109060_581953129"/>
      <w:bookmarkStart w:id="498" w:name="_Toc191"/>
      <w:bookmarkEnd w:id="496"/>
      <w:bookmarkEnd w:id="497"/>
      <w:r>
        <w:rPr>
          <w:rtl w:val="true"/>
        </w:rPr>
        <w:t>أ</w:t>
      </w:r>
      <w:r>
        <w:rPr>
          <w:rtl w:val="true"/>
        </w:rPr>
        <w:t>)</w:t>
      </w:r>
      <w:r>
        <w:rPr>
          <w:rtl w:val="true"/>
        </w:rPr>
        <w:t>الفلسفة</w:t>
      </w:r>
      <w:bookmarkEnd w:id="498"/>
    </w:p>
    <w:p>
      <w:pPr>
        <w:pStyle w:val="BookText"/>
        <w:rPr/>
      </w:pPr>
      <w:r>
        <w:rPr>
          <w:rFonts w:ascii="IRNazanin" w:hAnsi="IRNazanin" w:eastAsia="IRNazanin"/>
          <w:color w:val="111111"/>
          <w:sz w:val="28"/>
          <w:sz w:val="28"/>
          <w:szCs w:val="28"/>
          <w:rtl w:val="true"/>
          <w:lang w:bidi="fa-IR"/>
        </w:rPr>
        <w:t>ویمکن وصف التأثیر فی هذا المجال بالنحو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آثار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،وتأثیره العمیق علی موسی بن میمون واسبینوزا المفکّرین الفلسفیین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آثار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أواسط القرن السادس الهجری و الثانی عشر المیلادی من الأسبانیة إلی اللاتینیة وتأثیره الهائل علی آراء ألبرت الکبیر وتوماس الأکوینی اللذین یعدّان من أبرز فلاسفة الغرب فی القرون الوسطی</w:t>
      </w:r>
      <w:r>
        <w:rPr>
          <w:rFonts w:eastAsia="IRNazanin" w:cs="IRNazanin"/>
          <w:color w:val="111111"/>
          <w:sz w:val="28"/>
          <w:szCs w:val="28"/>
          <w:rtl w:val="true"/>
          <w:lang w:bidi="fa-IR"/>
        </w:rPr>
        <w:t>.</w:t>
      </w:r>
    </w:p>
    <w:p>
      <w:pPr>
        <w:pStyle w:val="Heading4"/>
        <w:numPr>
          <w:ilvl w:val="3"/>
          <w:numId w:val="1"/>
        </w:numPr>
        <w:rPr/>
      </w:pPr>
      <w:bookmarkStart w:id="499" w:name="__RefHeading___Toc2109062_581953129"/>
      <w:bookmarkStart w:id="500" w:name="_Toc192"/>
      <w:bookmarkEnd w:id="499"/>
      <w:r>
        <w:rPr>
          <w:rtl w:val="true"/>
        </w:rPr>
        <w:t>ب</w:t>
      </w:r>
      <w:r>
        <w:rPr>
          <w:rtl w:val="true"/>
        </w:rPr>
        <w:t>)</w:t>
      </w:r>
      <w:r>
        <w:rPr>
          <w:rtl w:val="true"/>
        </w:rPr>
        <w:t>الطب</w:t>
      </w:r>
      <w:bookmarkEnd w:id="500"/>
    </w:p>
    <w:p>
      <w:pPr>
        <w:pStyle w:val="BookText"/>
        <w:rPr/>
      </w:pPr>
      <w:r>
        <w:rPr>
          <w:rFonts w:ascii="IRNazanin" w:hAnsi="IRNazanin" w:eastAsia="IRNazanin"/>
          <w:color w:val="111111"/>
          <w:sz w:val="28"/>
          <w:sz w:val="28"/>
          <w:szCs w:val="28"/>
          <w:rtl w:val="true"/>
          <w:lang w:bidi="fa-IR"/>
        </w:rPr>
        <w:t>ویمکن ذکر تراجم بعض الآثار فی هذا المجال،من 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آثار جابر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روبرت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غراردوی کرمونایی وریتشارد روسل،ترجمة کتاب الجدری و الحصبة لمحمّد بن زکریا الرازی إلی اللاتینیة علی ید بارج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الیونانیة بواسطة جان غوبی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الإنجلیزیة علی ید جان جنینغ وإلی الفرنسیة بواسطة ج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w:t>
      </w:r>
      <w:r>
        <w:rPr>
          <w:rFonts w:eastAsia="IRNazanin" w:cs="IRNazanin"/>
          <w:color w:val="111111"/>
          <w:sz w:val="28"/>
          <w:szCs w:val="28"/>
          <w:rtl w:val="true"/>
          <w:lang w:bidi="fa-IR"/>
        </w:rPr>
        <w:t>.</w:t>
      </w:r>
    </w:p>
    <w:p>
      <w:pPr>
        <w:pStyle w:val="Heading4"/>
        <w:numPr>
          <w:ilvl w:val="3"/>
          <w:numId w:val="1"/>
        </w:numPr>
        <w:rPr/>
      </w:pPr>
      <w:bookmarkStart w:id="501" w:name="__RefHeading___Toc2109064_581953129"/>
      <w:bookmarkStart w:id="502" w:name="_Toc193"/>
      <w:bookmarkEnd w:id="501"/>
      <w:r>
        <w:rPr>
          <w:rtl w:val="true"/>
        </w:rPr>
        <w:t>ج</w:t>
      </w:r>
      <w:r>
        <w:rPr>
          <w:rtl w:val="true"/>
        </w:rPr>
        <w:t>)</w:t>
      </w:r>
      <w:r>
        <w:rPr>
          <w:rtl w:val="true"/>
        </w:rPr>
        <w:t>الریاضیات</w:t>
      </w:r>
      <w:bookmarkEnd w:id="502"/>
    </w:p>
    <w:p>
      <w:pPr>
        <w:pStyle w:val="BookText"/>
        <w:rPr/>
      </w:pPr>
      <w:r>
        <w:rPr>
          <w:rFonts w:ascii="IRNazanin" w:hAnsi="IRNazanin" w:eastAsia="IRNazanin"/>
          <w:color w:val="111111"/>
          <w:sz w:val="28"/>
          <w:sz w:val="28"/>
          <w:szCs w:val="28"/>
          <w:rtl w:val="true"/>
          <w:lang w:bidi="fa-IR"/>
        </w:rPr>
        <w:t>وکان لآثارها المترجمة تأثیراً فی هذا المجال أیضاً،فمن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آثار محمّد بن موسی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الجبر،وترجمة آثار الخواجة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تسطیح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 المقابلة،وغیرها إلی اللغات اللاتینیة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الفرنسیة و الإنجلیزیة</w:t>
      </w:r>
      <w:r>
        <w:rPr>
          <w:rFonts w:eastAsia="IRNazanin" w:cs="IRNazanin"/>
          <w:color w:val="111111"/>
          <w:sz w:val="28"/>
          <w:szCs w:val="28"/>
          <w:rtl w:val="true"/>
          <w:lang w:bidi="fa-IR"/>
        </w:rPr>
        <w:t>.</w:t>
      </w:r>
    </w:p>
    <w:p>
      <w:pPr>
        <w:pStyle w:val="Heading4"/>
        <w:numPr>
          <w:ilvl w:val="3"/>
          <w:numId w:val="1"/>
        </w:numPr>
        <w:rPr/>
      </w:pPr>
      <w:bookmarkStart w:id="503" w:name="__RefHeading___Toc2109066_581953129"/>
      <w:bookmarkStart w:id="504" w:name="_Toc194"/>
      <w:bookmarkEnd w:id="503"/>
      <w:r>
        <w:rPr>
          <w:rtl w:val="true"/>
        </w:rPr>
        <w:t>د</w:t>
      </w:r>
      <w:r>
        <w:rPr>
          <w:rtl w:val="true"/>
        </w:rPr>
        <w:t>)</w:t>
      </w:r>
      <w:r>
        <w:rPr>
          <w:rtl w:val="true"/>
        </w:rPr>
        <w:t>علم النجوم</w:t>
      </w:r>
      <w:bookmarkEnd w:id="5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الإشارة فی هذا القسم إلی ترجمة آثار أحمد بن کثیر الفرغانی وما أحدثته من تأثیر،فبحسب قول ویل دیورانت،فإنّ کتابه الحرکات فی السماویة</w:t>
      </w:r>
      <w:bookmarkStart w:id="505" w:name="pg5469_34878"/>
    </w:p>
    <w:p>
      <w:pPr>
        <w:pStyle w:val="BookText"/>
        <w:rPr/>
      </w:pPr>
      <w:bookmarkEnd w:id="505"/>
      <w:r>
        <w:rPr>
          <w:rFonts w:ascii="IRNazanin" w:hAnsi="IRNazanin" w:eastAsia="IRNazanin"/>
          <w:color w:val="111111"/>
          <w:sz w:val="28"/>
          <w:sz w:val="28"/>
          <w:szCs w:val="28"/>
          <w:rtl w:val="true"/>
          <w:lang w:bidi="fa-IR"/>
        </w:rPr>
        <w:t xml:space="preserve">وجوامع علم النجوم ظلّ مرجعاً فی آسیا الغربیة واُوروبا علی مدی سبعة قرون، </w:t>
      </w:r>
      <w:r>
        <w:rPr>
          <w:rStyle w:val="FootnoteAnchor"/>
          <w:rtl w:val="true"/>
        </w:rPr>
        <w:footnoteReference w:id="445"/>
      </w:r>
      <w:r>
        <w:rPr>
          <w:rFonts w:ascii="IRNazanin" w:hAnsi="IRNazanin" w:eastAsia="IRNazanin"/>
          <w:color w:val="111111"/>
          <w:sz w:val="28"/>
          <w:sz w:val="28"/>
          <w:szCs w:val="28"/>
          <w:rtl w:val="true"/>
          <w:lang w:bidi="fa-IR"/>
        </w:rPr>
        <w:t>کما أنّ ترجمة آثار البتّانی أمثال الزیج الصابی إلی اللاتینیة کان لها تأثیر کبیر أیضاً،حیث بقیت من الکتب الأساسیة للنجوم فی الغرب حتّی عصر النهضة</w:t>
      </w:r>
      <w:r>
        <w:rPr>
          <w:rFonts w:eastAsia="IRNazanin" w:cs="IRNazanin"/>
          <w:color w:val="111111"/>
          <w:sz w:val="28"/>
          <w:szCs w:val="28"/>
          <w:rtl w:val="true"/>
          <w:lang w:bidi="fa-IR"/>
        </w:rPr>
        <w:t>.</w:t>
      </w:r>
    </w:p>
    <w:p>
      <w:pPr>
        <w:pStyle w:val="Heading4"/>
        <w:numPr>
          <w:ilvl w:val="3"/>
          <w:numId w:val="1"/>
        </w:numPr>
        <w:rPr/>
      </w:pPr>
      <w:bookmarkStart w:id="506" w:name="__RefHeading___Toc2109068_581953129"/>
      <w:bookmarkStart w:id="507" w:name="_Toc195"/>
      <w:bookmarkEnd w:id="506"/>
      <w:r>
        <w:rPr>
          <w:rtl w:val="true"/>
        </w:rPr>
        <w:t>ه</w:t>
      </w:r>
      <w:r>
        <w:rPr>
          <w:rtl w:val="true"/>
        </w:rPr>
        <w:t>-)</w:t>
      </w:r>
      <w:r>
        <w:rPr>
          <w:rtl w:val="true"/>
        </w:rPr>
        <w:t>العمارة</w:t>
      </w:r>
      <w:bookmarkEnd w:id="507"/>
    </w:p>
    <w:p>
      <w:pPr>
        <w:pStyle w:val="BookText"/>
        <w:rPr/>
      </w:pPr>
      <w:r>
        <w:rPr>
          <w:rFonts w:ascii="IRNazanin" w:hAnsi="IRNazanin" w:eastAsia="IRNazanin"/>
          <w:color w:val="111111"/>
          <w:sz w:val="28"/>
          <w:sz w:val="28"/>
          <w:szCs w:val="28"/>
          <w:rtl w:val="true"/>
          <w:lang w:bidi="fa-IR"/>
        </w:rPr>
        <w:t>و قد تأثّر الغرب أیضاً بالعمارة التی جاء بها المسلمون،ومن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منائر المساجد الإسلامیة فی بناء أبراج کنائس ،أو تأثیر الطراز المعماری الإسلامی فی بناء القریب من لشبونة،أو القصر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أسبانیا،أو کنیسة مدینة ماغلن فی فرنسا،وکنیسة حیث زینت بوابتها بالنقوش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لقد أوضح الموجز المتقدّم علی مدی تأثیر الحضارة الإسلامیة علی الحضارة الغربیة،حقیقة أنّ الحضارة الإسلامیة قد أثرت وفی أبعاد متعددة علی الحضارة الغربیة،ممّا لا یبقی مجالاً للتغاضی عن أصل هذا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طبیعته وانتقاله وسعته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الجدیر بالذکر هو أنّ هذا التأثیر والانتقال قد طال بنحو أساسی وبارز منطقتین،إحداهما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أسبانیا والاُخری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سیشیل</w:t>
      </w:r>
      <w:r>
        <w:rPr>
          <w:rFonts w:eastAsia="IRNazanin" w:cs="IRNazanin"/>
          <w:color w:val="111111"/>
          <w:sz w:val="28"/>
          <w:szCs w:val="28"/>
          <w:rtl w:val="true"/>
          <w:lang w:bidi="fa-IR"/>
        </w:rPr>
        <w:t xml:space="preserve">. </w:t>
      </w:r>
      <w:r>
        <w:rPr>
          <w:rStyle w:val="FootnoteAnchor"/>
          <w:rtl w:val="true"/>
        </w:rPr>
        <w:footnoteReference w:id="447"/>
      </w:r>
    </w:p>
    <w:p>
      <w:pPr>
        <w:pStyle w:val="Heading3"/>
        <w:numPr>
          <w:ilvl w:val="2"/>
          <w:numId w:val="1"/>
        </w:numPr>
        <w:rPr/>
      </w:pPr>
      <w:bookmarkStart w:id="508" w:name="__RefHeading___Toc2109070_581953129"/>
      <w:bookmarkStart w:id="509" w:name="_Toc196"/>
      <w:bookmarkEnd w:id="508"/>
      <w:r>
        <w:rPr>
          <w:rtl w:val="true"/>
        </w:rPr>
        <w:t>الخلاصة</w:t>
      </w:r>
      <w:bookmarkEnd w:id="50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ثلاث نظریات فی خصوص علاقة الحضارات ببعضها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محدودة</w:t>
      </w:r>
      <w:r>
        <w:rPr>
          <w:rFonts w:eastAsia="IRNazanin" w:cs="IRNazanin"/>
          <w:color w:val="111111"/>
          <w:sz w:val="28"/>
          <w:szCs w:val="28"/>
          <w:rtl w:val="true"/>
          <w:lang w:bidi="fa-IR"/>
        </w:rPr>
        <w:t>.</w:t>
      </w:r>
      <w:bookmarkStart w:id="510" w:name="pg5469_34880"/>
    </w:p>
    <w:p>
      <w:pPr>
        <w:pStyle w:val="BookText"/>
        <w:rPr/>
      </w:pPr>
      <w:bookmarkEnd w:id="51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لقبول النظریة الثالثة فی خصوص العلاقة بین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الحضارة الغربیة قد تأثّرت بالحضارة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التأثیر لم یکن مطلقا ولا شاملاً ولا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شواهد مختلفة جاءت عن بعض علماء ومؤرخی التاریخ الغربی تدلل ولو بصفة عامة وبما لا یقبل الشکّ علی تأثّر الحضارة الغربیة بالحضارة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انتقال الثقافة و الحضارة الإسلامیة إلی الغرب فی الأساس عن طریق ترجمة الکتب العربیة إلی اللغات الاُوروبیة،وعن طریق الحروب الصلیبیة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للرحلات العلمیة و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السبایا المسلمات وانتشار أقوام المغرب الإسلامیة علی الجانب الاُوروبی تأثیرا فی هذا السیاق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اتسعت دائرة تأثیر الحضارة الإسلامیة علی الحضارة الغربیة علی نحو کبیر جدّاً،فشملت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511" w:name="__RefHeading___Toc2109072_581953129"/>
      <w:bookmarkStart w:id="512" w:name="_Toc197"/>
      <w:bookmarkEnd w:id="511"/>
      <w:r>
        <w:rPr>
          <w:rtl w:val="true"/>
        </w:rPr>
        <w:t>الأسئلة</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النظریات المختلفة فی مجال علاقة الحضارات ببعضها الآخر مقروناً بالدلیل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کانت ثمة علاقة بین الحضارة الإسلامیة و الحضارة الغربیة؟ما هی حدود هذه العلاقة وما هی أسبابها؟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یمکنک إثبات أصل تأثّر الحضارة الغربیة بالحضارة الإسلامیة؟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وجه وشکل ساهمت الترجمة و الحروب الصلیبیة فی تأثیر الحضارة الإسلامیة علی الحضارة الغربیة؟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مدی الدور والاعتبار الذی تتمتّع به طرق انتقال الحضارة الإسلامیة إلی الغرب؟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بالدلیل دائرة تأثّر الحضارة الغربیة و الحضارة الإسلامیة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بحثاً حول دور الأندلس وسیشیل فی هذا الإطار</w:t>
      </w:r>
      <w:r>
        <w:rPr>
          <w:rFonts w:eastAsia="IRNazanin" w:cs="IRNazanin"/>
          <w:color w:val="111111"/>
          <w:sz w:val="28"/>
          <w:szCs w:val="28"/>
          <w:rtl w:val="true"/>
          <w:lang w:bidi="fa-IR"/>
        </w:rPr>
        <w:t>.</w:t>
      </w:r>
      <w:bookmarkStart w:id="513" w:name="pg5469_34884"/>
    </w:p>
    <w:p>
      <w:pPr>
        <w:pStyle w:val="Heading2"/>
        <w:numPr>
          <w:ilvl w:val="1"/>
          <w:numId w:val="1"/>
        </w:numPr>
        <w:rPr/>
      </w:pPr>
      <w:bookmarkStart w:id="514" w:name="__RefHeading___Toc2109074_581953129"/>
      <w:bookmarkStart w:id="515" w:name="_Toc198"/>
      <w:bookmarkEnd w:id="513"/>
      <w:bookmarkEnd w:id="514"/>
      <w:r>
        <w:rPr/>
        <w:t>8</w:t>
      </w:r>
      <w:r>
        <w:rPr>
          <w:rtl w:val="true"/>
        </w:rPr>
        <w:t xml:space="preserve">- </w:t>
      </w:r>
      <w:r>
        <w:rPr>
          <w:rtl w:val="true"/>
        </w:rPr>
        <w:t>عوامل افول الحضارة الإسلامیة</w:t>
      </w:r>
      <w:bookmarkEnd w:id="515"/>
    </w:p>
    <w:p>
      <w:pPr>
        <w:pStyle w:val="Heading3"/>
        <w:numPr>
          <w:ilvl w:val="2"/>
          <w:numId w:val="1"/>
        </w:numPr>
        <w:rPr/>
      </w:pPr>
      <w:bookmarkStart w:id="516" w:name="__RefHeading___Toc2109076_581953129"/>
      <w:bookmarkStart w:id="517" w:name="_Toc199"/>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لا تکاد تجد حضارة بزغت علی مسرح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یعروها التدهور و الضعف أو الاندثار والاضمحلال بعد عهود حافلة بالرقی والازدهار،و هذا ما یستدعی وقفة للسؤال عن العوامل التی تسوق الحضارات نحو الضعف والانهیار؟و هذا السؤال المهمّ یتطلّب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أنّنا نبحث فی أسباب أفول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التطرّق ابتداء وبإیجاز إلی العوامل الأصلیة لانحطاط الحضارات عامة،لنلم من خلالها بالعوامل الأساسیة لأفول الحضارة الإسلامیة خاصّة</w:t>
      </w:r>
      <w:r>
        <w:rPr>
          <w:rFonts w:eastAsia="IRNazanin" w:cs="IRNazanin"/>
          <w:color w:val="111111"/>
          <w:sz w:val="28"/>
          <w:szCs w:val="28"/>
          <w:rtl w:val="true"/>
          <w:lang w:bidi="fa-IR"/>
        </w:rPr>
        <w:t>.</w:t>
      </w:r>
    </w:p>
    <w:p>
      <w:pPr>
        <w:pStyle w:val="Heading3"/>
        <w:numPr>
          <w:ilvl w:val="2"/>
          <w:numId w:val="1"/>
        </w:numPr>
        <w:rPr/>
      </w:pPr>
      <w:bookmarkStart w:id="518" w:name="__RefHeading___Toc2109078_581953129"/>
      <w:bookmarkStart w:id="519" w:name="_Toc200"/>
      <w:bookmarkEnd w:id="518"/>
      <w:r>
        <w:rPr>
          <w:rtl w:val="true"/>
        </w:rPr>
        <w:t>عوامل ضعف أو انهیار الحضارات</w:t>
      </w:r>
      <w:bookmarkEnd w:id="519"/>
    </w:p>
    <w:p>
      <w:pPr>
        <w:pStyle w:val="Heading4"/>
        <w:numPr>
          <w:ilvl w:val="3"/>
          <w:numId w:val="1"/>
        </w:numPr>
        <w:rPr/>
      </w:pPr>
      <w:bookmarkStart w:id="520" w:name="__RefHeading___Toc2109080_581953129"/>
      <w:bookmarkStart w:id="521" w:name="_Toc201"/>
      <w:bookmarkEnd w:id="520"/>
      <w:r>
        <w:rPr>
          <w:rtl w:val="true"/>
        </w:rPr>
        <w:t>اشارة</w:t>
      </w:r>
      <w:bookmarkEnd w:id="52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تقوم الحضارات عامة علی بعض الدعائم والاُسس التی ولدت وترعرعت فیها،الأمر الذی یلمح للوهلة الاُولی إلی ارتباط انهیار الحضارات بعوامل ظهورها، </w:t>
      </w:r>
      <w:r>
        <w:rPr>
          <w:rStyle w:val="FootnoteAnchor"/>
          <w:rtl w:val="true"/>
        </w:rPr>
        <w:footnoteReference w:id="448"/>
      </w:r>
      <w:r>
        <w:rPr>
          <w:rFonts w:ascii="IRNazanin" w:hAnsi="IRNazanin" w:eastAsia="IRNazanin"/>
          <w:color w:val="111111"/>
          <w:sz w:val="28"/>
          <w:sz w:val="28"/>
          <w:szCs w:val="28"/>
          <w:rtl w:val="true"/>
          <w:lang w:bidi="fa-IR"/>
        </w:rPr>
        <w:t>فإذا ضعفت أو انهارت تلک العوامل،فإنّ الحضارة أیضاً سیصیبها ما أصاب أسسها شاءت ذلک أم أبت،ولکن ثمة بعض العوامل فی ذات الوقت تلعب دوراً أهمّ وأبرز من جهات اخری فی ظهور الحضارة وسقوطها،إضافة إلی أنّ هناک عوامل خارجیة قد</w:t>
      </w:r>
      <w:bookmarkStart w:id="522" w:name="pg5469_34885"/>
    </w:p>
    <w:p>
      <w:pPr>
        <w:pStyle w:val="BookText"/>
        <w:rPr/>
      </w:pPr>
      <w:bookmarkEnd w:id="522"/>
      <w:r>
        <w:rPr>
          <w:rFonts w:ascii="IRNazanin" w:hAnsi="IRNazanin" w:eastAsia="IRNazanin"/>
          <w:color w:val="111111"/>
          <w:sz w:val="28"/>
          <w:sz w:val="28"/>
          <w:szCs w:val="28"/>
          <w:rtl w:val="true"/>
          <w:lang w:bidi="fa-IR"/>
        </w:rPr>
        <w:t>تتسبب فی انهیار حضارة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فیمکننا من خلال ذلک أن نتلمس عوامل انحطاط الحضارات فی 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وعام،داخلی وخارجی</w:t>
      </w:r>
      <w:r>
        <w:rPr>
          <w:rFonts w:eastAsia="IRNazanin" w:cs="IRNazanin"/>
          <w:color w:val="111111"/>
          <w:sz w:val="28"/>
          <w:szCs w:val="28"/>
          <w:rtl w:val="true"/>
          <w:lang w:bidi="fa-IR"/>
        </w:rPr>
        <w:t>.</w:t>
      </w:r>
    </w:p>
    <w:p>
      <w:pPr>
        <w:pStyle w:val="Heading4"/>
        <w:numPr>
          <w:ilvl w:val="3"/>
          <w:numId w:val="1"/>
        </w:numPr>
        <w:rPr/>
      </w:pPr>
      <w:bookmarkStart w:id="523" w:name="__RefHeading___Toc2109082_581953129"/>
      <w:bookmarkStart w:id="524" w:name="_Toc202"/>
      <w:bookmarkEnd w:id="523"/>
      <w:r>
        <w:rPr>
          <w:rtl w:val="true"/>
        </w:rPr>
        <w:t>أ</w:t>
      </w:r>
      <w:r>
        <w:rPr>
          <w:rtl w:val="true"/>
        </w:rPr>
        <w:t>)</w:t>
      </w:r>
      <w:r>
        <w:rPr>
          <w:rtl w:val="true"/>
        </w:rPr>
        <w:t>العوامل الداخلیة</w:t>
      </w:r>
      <w:bookmarkEnd w:id="524"/>
    </w:p>
    <w:p>
      <w:pPr>
        <w:pStyle w:val="Heading5"/>
        <w:numPr>
          <w:ilvl w:val="4"/>
          <w:numId w:val="1"/>
        </w:numPr>
        <w:rPr/>
      </w:pPr>
      <w:bookmarkStart w:id="525" w:name="__RefHeading___Toc2109084_581953129"/>
      <w:bookmarkStart w:id="526" w:name="_Toc203"/>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وتتسم ثلاثة عوامل بأهمّیة قصوی فی هذا المجال،وهی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الإنسانی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Heading5"/>
        <w:numPr>
          <w:ilvl w:val="4"/>
          <w:numId w:val="1"/>
        </w:numPr>
        <w:rPr/>
      </w:pPr>
      <w:bookmarkStart w:id="527" w:name="__RefHeading___Toc2109086_581953129"/>
      <w:bookmarkStart w:id="528" w:name="_Toc204"/>
      <w:bookmarkEnd w:id="527"/>
      <w:r>
        <w:rPr/>
        <w:t>1</w:t>
      </w:r>
      <w:r>
        <w:rPr>
          <w:rtl w:val="true"/>
        </w:rPr>
        <w:t>-</w:t>
      </w:r>
      <w:r>
        <w:rPr>
          <w:rtl w:val="true"/>
        </w:rPr>
        <w:t>الثقافة</w:t>
      </w:r>
      <w:bookmarkEnd w:id="528"/>
    </w:p>
    <w:p>
      <w:pPr>
        <w:pStyle w:val="BookText"/>
        <w:rPr/>
      </w:pPr>
      <w:r>
        <w:rPr>
          <w:rFonts w:ascii="IRNazanin" w:hAnsi="IRNazanin" w:eastAsia="IRNazanin"/>
          <w:color w:val="111111"/>
          <w:sz w:val="28"/>
          <w:sz w:val="28"/>
          <w:szCs w:val="28"/>
          <w:rtl w:val="true"/>
          <w:lang w:bidi="fa-IR"/>
        </w:rPr>
        <w:t>فکما سبق وأن جاء فی المقال الأوّل،فإنّ للثقافة دوراً أساسیاً فی بزوغ الحضارة إلی الحد الذی یمکن القول معه أنّ الحضارة ولیدة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فالثقافة کالروح التی تسری وتدب فی هیکل الحضارة المادی ومکونها المعنوی لتضمن نموها ونشاطها،فکلما بقیت هذه الروح سالمة حیة وحیویة،فإنّ جمیع الأرصدة و الذخائر المادیة و المعنویة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بمنأی عن مخاطر الفساد والاضمحلال،لکن إذا ما أصابها الفساد وعراها الانهیار شیئاً فشیئاً،فإنّ ذلک سیؤدّی إلی تصدع وتهاوی قالبها المادی و المعنوی تحت وطأة ذلک،فإذا تعرّضت الأرکان الثلاثة للثقافة للنقص و الفساد،فإنّه ستشرع تلک الحضارة التی ولدت من رحم تلک الثقافة بالاحتضار،حیث إنّ ابتعاد الدعائم الأساسیة للثقافة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المعارف والاعتقادات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القیم و التوجّهات ونظام السلوک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الثبات و 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الشمولیة و التنظیم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علی نعی تلک الحضارة ووداعها</w:t>
      </w:r>
      <w:r>
        <w:rPr>
          <w:rFonts w:eastAsia="IRNazanin" w:cs="IRNazanin"/>
          <w:color w:val="111111"/>
          <w:sz w:val="28"/>
          <w:szCs w:val="28"/>
          <w:rtl w:val="true"/>
          <w:lang w:bidi="fa-IR"/>
        </w:rPr>
        <w:t>.</w:t>
      </w:r>
    </w:p>
    <w:p>
      <w:pPr>
        <w:pStyle w:val="Heading5"/>
        <w:numPr>
          <w:ilvl w:val="4"/>
          <w:numId w:val="1"/>
        </w:numPr>
        <w:rPr/>
      </w:pPr>
      <w:bookmarkStart w:id="529" w:name="__RefHeading___Toc2109088_581953129"/>
      <w:bookmarkStart w:id="530" w:name="_Toc205"/>
      <w:bookmarkEnd w:id="529"/>
      <w:r>
        <w:rPr/>
        <w:t>2</w:t>
      </w:r>
      <w:r>
        <w:rPr>
          <w:rtl w:val="true"/>
        </w:rPr>
        <w:t>-</w:t>
      </w:r>
      <w:r>
        <w:rPr>
          <w:rtl w:val="true"/>
        </w:rPr>
        <w:t>العامل الإنسانی</w:t>
      </w:r>
      <w:bookmarkEnd w:id="53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ذکرنا فی المقال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الإنسان یلعب دوراً حیویاً فی إحیاء وقبول</w:t>
      </w:r>
      <w:bookmarkStart w:id="531" w:name="pg5469_34888"/>
    </w:p>
    <w:p>
      <w:pPr>
        <w:pStyle w:val="BookText"/>
        <w:rPr/>
      </w:pPr>
      <w:bookmarkEnd w:id="531"/>
      <w:r>
        <w:rPr>
          <w:rFonts w:ascii="IRNazanin" w:hAnsi="IRNazanin" w:eastAsia="IRNazanin"/>
          <w:color w:val="111111"/>
          <w:sz w:val="28"/>
          <w:sz w:val="28"/>
          <w:szCs w:val="28"/>
          <w:rtl w:val="true"/>
          <w:lang w:bidi="fa-IR"/>
        </w:rPr>
        <w:t>وحفظ ونقل الحضارة،فلو تعرض هذا اللاعب ولعوامل مختلفة إلی الفتور و الضعف وضمور الحافز و الفساد الأخلاقی و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الابتعاد عن الرقی و النمو و التفکّر و الإبداع،فإنّه لیس بإمکانه حینذاک أن یکون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وحافظا وناقلا لحضارته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تناسی الإنسان حراسة وصیانة میزات حضارته یکون فی الحقیقة قد حفر بیدیه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أنّ الإنسان لو استشری فیه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یحول دون استمرار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یفقد القوة اللازمة للدفاع علی حضارته من أی اعتداء،فإذا أُفرغ العامل الإنسانی من میزاته الضروریة، </w:t>
      </w:r>
      <w:r>
        <w:rPr>
          <w:rStyle w:val="FootnoteAnchor"/>
          <w:rtl w:val="true"/>
        </w:rPr>
        <w:footnoteReference w:id="449"/>
      </w:r>
      <w:r>
        <w:rPr>
          <w:rFonts w:ascii="IRNazanin" w:hAnsi="IRNazanin" w:eastAsia="IRNazanin"/>
          <w:color w:val="111111"/>
          <w:sz w:val="28"/>
          <w:sz w:val="28"/>
          <w:szCs w:val="28"/>
          <w:rtl w:val="true"/>
          <w:lang w:bidi="fa-IR"/>
        </w:rPr>
        <w:t>فلا ریب فی أنّ ذلک سیؤدّی إلی موت حضارته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عد الإمبراطوریة الرومانیة النموذج الأبرز فی هذا المجال،فالظروف التی رکع فیها الروم أمام جحافل الغازین،کان فیها حکامهم سکاری من نبیذ الزهو بانتصاراتهم،مفترشین بساط اللهو و الفجور،حیث امتد الفساد الأخلاقی ورسخ فی جمیع الدعائم الأساسیة للمجتمع</w:t>
      </w:r>
      <w:r>
        <w:rPr>
          <w:rFonts w:eastAsia="IRNazanin" w:cs="IRNazanin"/>
          <w:color w:val="111111"/>
          <w:sz w:val="28"/>
          <w:szCs w:val="28"/>
          <w:rtl w:val="true"/>
          <w:lang w:bidi="fa-IR"/>
        </w:rPr>
        <w:t>.</w:t>
      </w:r>
    </w:p>
    <w:p>
      <w:pPr>
        <w:pStyle w:val="Heading5"/>
        <w:numPr>
          <w:ilvl w:val="4"/>
          <w:numId w:val="1"/>
        </w:numPr>
        <w:rPr/>
      </w:pPr>
      <w:bookmarkStart w:id="532" w:name="__RefHeading___Toc2109090_581953129"/>
      <w:bookmarkStart w:id="533" w:name="_Toc206"/>
      <w:bookmarkEnd w:id="532"/>
      <w:r>
        <w:rPr/>
        <w:t>3</w:t>
      </w:r>
      <w:r>
        <w:rPr>
          <w:rtl w:val="true"/>
        </w:rPr>
        <w:t>-</w:t>
      </w:r>
      <w:r>
        <w:rPr>
          <w:rtl w:val="true"/>
        </w:rPr>
        <w:t>الظلم</w:t>
      </w:r>
      <w:bookmarkEnd w:id="533"/>
    </w:p>
    <w:p>
      <w:pPr>
        <w:pStyle w:val="BookText"/>
        <w:rPr/>
      </w:pPr>
      <w:r>
        <w:rPr>
          <w:rFonts w:ascii="IRNazanin" w:hAnsi="IRNazanin" w:eastAsia="IRNazanin"/>
          <w:color w:val="111111"/>
          <w:sz w:val="28"/>
          <w:sz w:val="28"/>
          <w:szCs w:val="28"/>
          <w:rtl w:val="true"/>
          <w:lang w:bidi="fa-IR"/>
        </w:rPr>
        <w:t xml:space="preserve">یتمثّل أحد أسباب انهیار الحضارات بالأصل الذی یقول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الأصل یمثل المعنی الحقیقی للظلم والاستکبار الذی تذهب الآیات القرآنیة إلی أنّه عامل اندثار الحضارات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فَکَأَیِّنْ مِنْ قَرْیَةٍ أَهْلَکْناها وَ هِیَ ظالِمَةٌ</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ویصوغ العلّامة محمد تقی جعفری المصادیق المتنوعة للظلم الذی یتسبب باندثار الحضارات بالشکل التالی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تغاضی عن نداء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للنفس</w:t>
      </w:r>
      <w:r>
        <w:rPr>
          <w:rFonts w:eastAsia="IRNazanin" w:cs="IRNazanin"/>
          <w:color w:val="111111"/>
          <w:sz w:val="28"/>
          <w:szCs w:val="28"/>
          <w:rtl w:val="true"/>
          <w:lang w:bidi="fa-IR"/>
        </w:rPr>
        <w:t>.</w:t>
      </w:r>
      <w:bookmarkStart w:id="534" w:name="pg5469_34890"/>
    </w:p>
    <w:p>
      <w:pPr>
        <w:pStyle w:val="BookText"/>
        <w:rPr/>
      </w:pPr>
      <w:bookmarkEnd w:id="53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السماح بأدنی تجاوز للآخرین علی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تدنّی قیمة العمل و النشاط،ونتاج الجهد البشری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التسبب فی إیجاد ظروف تدفع بالإنسان إلی عدم الاهتمام بحق العمل و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 إن کان المظلوم ینظر بعین الرضا و السرور إلی تلک الظروف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عوامل الاضطراب و الجمود الفکری لدی الآخرین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التضییق علی حریة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خلال تحریف معنی الحریة وکسب رضا من ضُیق علی حریته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طلب تصنعی لدی الناس للإقبال علی استهلاک السلع أو علی الأفکار المفروضة التی لا قیمة لها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التلاعب بأفکار ومشاعر الناس لفرض المطالب الأنانیة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استغلال أذهان الناس للتظاهر بالوقوف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علی شخصیة الإنسان وظلم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 للمسؤولیة السیاسیة للمجتمع من دون السیطرة علی هوی النفس و الأنانیة والاستئثار وعبادة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اعتداء وظلم للمجتمع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 بالسلطة و القدرة التی باستطاعتها علاج آلام الناس وتقلیل مصائبهم،ممّا یزیح الهموم عن کواهلهم ویسهم فی تحسین حیاتهم المادیة 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أفظع ظلم للبشریة</w:t>
      </w:r>
      <w:r>
        <w:rPr>
          <w:rFonts w:eastAsia="IRNazanin" w:cs="IRNazanin"/>
          <w:color w:val="111111"/>
          <w:sz w:val="28"/>
          <w:szCs w:val="28"/>
          <w:rtl w:val="true"/>
          <w:lang w:bidi="fa-IR"/>
        </w:rPr>
        <w:t xml:space="preserve">.... </w:t>
      </w:r>
      <w:r>
        <w:rPr>
          <w:rStyle w:val="FootnoteAnchor"/>
          <w:rtl w:val="true"/>
        </w:rPr>
        <w:footnoteReference w:id="451"/>
      </w:r>
    </w:p>
    <w:p>
      <w:pPr>
        <w:pStyle w:val="Heading4"/>
        <w:numPr>
          <w:ilvl w:val="3"/>
          <w:numId w:val="1"/>
        </w:numPr>
        <w:rPr/>
      </w:pPr>
      <w:bookmarkStart w:id="535" w:name="__RefHeading___Toc2109092_581953129"/>
      <w:bookmarkStart w:id="536" w:name="_Toc207"/>
      <w:bookmarkEnd w:id="535"/>
      <w:r>
        <w:rPr>
          <w:rtl w:val="true"/>
        </w:rPr>
        <w:t>ب</w:t>
      </w:r>
      <w:r>
        <w:rPr>
          <w:rtl w:val="true"/>
        </w:rPr>
        <w:t>)</w:t>
      </w:r>
      <w:r>
        <w:rPr>
          <w:rtl w:val="true"/>
        </w:rPr>
        <w:t>العوامل الخارجیة</w:t>
      </w:r>
      <w:bookmarkEnd w:id="536"/>
    </w:p>
    <w:p>
      <w:pPr>
        <w:pStyle w:val="Heading5"/>
        <w:numPr>
          <w:ilvl w:val="4"/>
          <w:numId w:val="1"/>
        </w:numPr>
        <w:rPr/>
      </w:pPr>
      <w:bookmarkStart w:id="537" w:name="__RefHeading___Toc2109094_581953129"/>
      <w:bookmarkStart w:id="538" w:name="_Toc208"/>
      <w:bookmarkEnd w:id="537"/>
      <w:r>
        <w:rPr>
          <w:rtl w:val="true"/>
        </w:rPr>
        <w:t>اشارة</w:t>
      </w:r>
      <w:bookmarkEnd w:id="53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غزو الاُمم و السیطرة علی حضاراتها من أهمّ العرامل الخارجیة لسقوط</w:t>
      </w:r>
      <w:bookmarkStart w:id="539" w:name="pg5469_34892"/>
    </w:p>
    <w:p>
      <w:pPr>
        <w:pStyle w:val="BookText"/>
        <w:rPr/>
      </w:pPr>
      <w:bookmarkEnd w:id="539"/>
      <w:r>
        <w:rPr>
          <w:rFonts w:ascii="IRNazanin" w:hAnsi="IRNazanin" w:eastAsia="IRNazanin"/>
          <w:color w:val="111111"/>
          <w:sz w:val="28"/>
          <w:sz w:val="28"/>
          <w:szCs w:val="28"/>
          <w:rtl w:val="true"/>
          <w:lang w:bidi="fa-IR"/>
        </w:rPr>
        <w:t>الحضارات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لهذا الغزو و هذه السیطرة أن تتخذ أشکالاً متعددة وتتمّ بوسائل مختلفة،ولکنّه یتمظهر فی الأساس فی ثلاث صور</w:t>
      </w:r>
      <w:r>
        <w:rPr>
          <w:rFonts w:eastAsia="IRNazanin" w:cs="IRNazanin"/>
          <w:color w:val="111111"/>
          <w:sz w:val="28"/>
          <w:szCs w:val="28"/>
          <w:rtl w:val="true"/>
          <w:lang w:bidi="fa-IR"/>
        </w:rPr>
        <w:t>:</w:t>
      </w:r>
    </w:p>
    <w:p>
      <w:pPr>
        <w:pStyle w:val="Heading5"/>
        <w:numPr>
          <w:ilvl w:val="4"/>
          <w:numId w:val="1"/>
        </w:numPr>
        <w:rPr/>
      </w:pPr>
      <w:bookmarkStart w:id="540" w:name="__RefHeading___Toc2109096_581953129"/>
      <w:bookmarkStart w:id="541" w:name="_Toc209"/>
      <w:bookmarkEnd w:id="540"/>
      <w:r>
        <w:rPr/>
        <w:t>1</w:t>
      </w:r>
      <w:r>
        <w:rPr>
          <w:rtl w:val="true"/>
        </w:rPr>
        <w:t>-</w:t>
      </w:r>
      <w:r>
        <w:rPr>
          <w:rtl w:val="true"/>
        </w:rPr>
        <w:t>الغزو العسکری</w:t>
      </w:r>
      <w:bookmarkEnd w:id="541"/>
    </w:p>
    <w:p>
      <w:pPr>
        <w:pStyle w:val="BookText"/>
        <w:rPr/>
      </w:pPr>
      <w:r>
        <w:rPr>
          <w:rFonts w:ascii="IRNazanin" w:hAnsi="IRNazanin" w:eastAsia="IRNazanin"/>
          <w:color w:val="111111"/>
          <w:sz w:val="28"/>
          <w:sz w:val="28"/>
          <w:szCs w:val="28"/>
          <w:rtl w:val="true"/>
          <w:lang w:bidi="fa-IR"/>
        </w:rPr>
        <w:t>حیث یتمّ فی الأساس بشکل مادی محسوس ملموس من خلال السیطرة علی النقاط المهمّة والاستراتیجیة لأمة ما،والذی یترافق مع القضاء علی تراثها المادی و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غزو الإسکندر أو المغول لإیران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أمثلة مثل هذا الغزو العسکری</w:t>
      </w:r>
      <w:r>
        <w:rPr>
          <w:rFonts w:eastAsia="IRNazanin" w:cs="IRNazanin"/>
          <w:color w:val="111111"/>
          <w:sz w:val="28"/>
          <w:szCs w:val="28"/>
          <w:rtl w:val="true"/>
          <w:lang w:bidi="fa-IR"/>
        </w:rPr>
        <w:t>.</w:t>
      </w:r>
    </w:p>
    <w:p>
      <w:pPr>
        <w:pStyle w:val="Heading5"/>
        <w:numPr>
          <w:ilvl w:val="4"/>
          <w:numId w:val="1"/>
        </w:numPr>
        <w:rPr/>
      </w:pPr>
      <w:bookmarkStart w:id="542" w:name="__RefHeading___Toc2109098_581953129"/>
      <w:bookmarkStart w:id="543" w:name="_Toc210"/>
      <w:bookmarkEnd w:id="542"/>
      <w:r>
        <w:rPr/>
        <w:t>2</w:t>
      </w:r>
      <w:r>
        <w:rPr>
          <w:rtl w:val="true"/>
        </w:rPr>
        <w:t>-</w:t>
      </w:r>
      <w:r>
        <w:rPr>
          <w:rtl w:val="true"/>
        </w:rPr>
        <w:t>الغزو الاقتصادی</w:t>
      </w:r>
      <w:bookmarkEnd w:id="543"/>
    </w:p>
    <w:p>
      <w:pPr>
        <w:pStyle w:val="BookText"/>
        <w:rPr/>
      </w:pPr>
      <w:r>
        <w:rPr>
          <w:rFonts w:ascii="IRNazanin" w:hAnsi="IRNazanin" w:eastAsia="IRNazanin"/>
          <w:color w:val="111111"/>
          <w:sz w:val="28"/>
          <w:sz w:val="28"/>
          <w:szCs w:val="28"/>
          <w:rtl w:val="true"/>
          <w:lang w:bidi="fa-IR"/>
        </w:rPr>
        <w:t>و هو غالباً ما یتمّ لأجل نهب الثروات و السیطرة علی المصادر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یؤدّی إلی زعزعة الرصید و الذخیرة المالیة للحضارة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ترافق هذا الغزو فی الماضی مع الغزو العسکری</w:t>
      </w:r>
      <w:r>
        <w:rPr>
          <w:rFonts w:eastAsia="IRNazanin" w:cs="IRNazanin"/>
          <w:color w:val="111111"/>
          <w:sz w:val="28"/>
          <w:szCs w:val="28"/>
          <w:rtl w:val="true"/>
          <w:lang w:bidi="fa-IR"/>
        </w:rPr>
        <w:t>.</w:t>
      </w:r>
    </w:p>
    <w:p>
      <w:pPr>
        <w:pStyle w:val="Heading5"/>
        <w:numPr>
          <w:ilvl w:val="4"/>
          <w:numId w:val="1"/>
        </w:numPr>
        <w:rPr/>
      </w:pPr>
      <w:bookmarkStart w:id="544" w:name="__RefHeading___Toc2109100_581953129"/>
      <w:bookmarkStart w:id="545" w:name="_Toc211"/>
      <w:bookmarkEnd w:id="544"/>
      <w:r>
        <w:rPr/>
        <w:t>3</w:t>
      </w:r>
      <w:r>
        <w:rPr>
          <w:rtl w:val="true"/>
        </w:rPr>
        <w:t>-</w:t>
      </w:r>
      <w:r>
        <w:rPr>
          <w:rtl w:val="true"/>
        </w:rPr>
        <w:t>الغزو الثقافی</w:t>
      </w:r>
      <w:bookmarkEnd w:id="545"/>
    </w:p>
    <w:p>
      <w:pPr>
        <w:pStyle w:val="BookText"/>
        <w:rPr/>
      </w:pPr>
      <w:r>
        <w:rPr>
          <w:rFonts w:ascii="IRNazanin" w:hAnsi="IRNazanin" w:eastAsia="IRNazanin"/>
          <w:color w:val="111111"/>
          <w:sz w:val="28"/>
          <w:sz w:val="28"/>
          <w:szCs w:val="28"/>
          <w:rtl w:val="true"/>
          <w:lang w:bidi="fa-IR"/>
        </w:rPr>
        <w:t>و هو أخطر وأوجع من الغزوین الآنفین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یتجاور إلی جذور الحضارة ومنبتها،بالنحو الذی یأتی علی بنیان حضارة تلک الاُمة من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أن تخضع الاُمم للغزو العسکری أو الاقتصادی وتتعایش معه،وتحافظ فی ذات الوقت علی ثقافتها وتتتحین الفرصة المناسبة لاستعادة حضارتها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إذا ضرب الغزو أس الحضارة وقاعدتها فمن العسیر إعادة الحیاة لتلک الحضارة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الضروری الالتفات إلی بعض الملاحظات فی خصوص العوامل الخارجیة لانهیار 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لکلّ غزو خارجی أن یکون عاملاً لاضمحلال حضارة الاُمم المغلوبة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الغازین یرتبط ارتباطاً مباشراً بالانحطاط الداخلی للمجتمع</w:t>
      </w:r>
      <w:r>
        <w:rPr>
          <w:rFonts w:eastAsia="IRNazanin" w:cs="IRNazanin"/>
          <w:color w:val="111111"/>
          <w:sz w:val="28"/>
          <w:szCs w:val="28"/>
          <w:rtl w:val="true"/>
          <w:lang w:bidi="fa-IR"/>
        </w:rPr>
        <w:t>.</w:t>
      </w:r>
      <w:bookmarkStart w:id="546" w:name="pg5469_34894"/>
    </w:p>
    <w:p>
      <w:pPr>
        <w:pStyle w:val="BookText"/>
        <w:rPr/>
      </w:pPr>
      <w:bookmarkEnd w:id="546"/>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تقتصر بعض الغزوات الخارجیة فی التأثیر علی دائرة محدودة ولا تتعداها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فالغزو المغولی لإیران علی سبیل المثال اقتصر علی الإطاحة بالجانب السیاسی ولم یتمکّن من القضاء علی الجوانب الاُخری للحضارة الإسلامیة وعلی الخصوص الثقافة الإیرانیة</w:t>
      </w:r>
      <w:r>
        <w:rPr>
          <w:rFonts w:eastAsia="IRNazanin" w:cs="IRNazanin"/>
          <w:color w:val="111111"/>
          <w:sz w:val="28"/>
          <w:szCs w:val="28"/>
          <w:rtl w:val="true"/>
          <w:lang w:bidi="fa-IR"/>
        </w:rPr>
        <w:t>.</w:t>
      </w:r>
    </w:p>
    <w:p>
      <w:pPr>
        <w:pStyle w:val="Heading3"/>
        <w:numPr>
          <w:ilvl w:val="2"/>
          <w:numId w:val="1"/>
        </w:numPr>
        <w:rPr/>
      </w:pPr>
      <w:bookmarkStart w:id="547" w:name="__RefHeading___Toc2109102_581953129"/>
      <w:bookmarkStart w:id="548" w:name="_Toc212"/>
      <w:bookmarkEnd w:id="547"/>
      <w:r>
        <w:rPr>
          <w:rtl w:val="true"/>
        </w:rPr>
        <w:t>عوامل افول الحضارة الإسلامیة</w:t>
      </w:r>
      <w:bookmarkEnd w:id="548"/>
    </w:p>
    <w:p>
      <w:pPr>
        <w:pStyle w:val="Heading4"/>
        <w:numPr>
          <w:ilvl w:val="3"/>
          <w:numId w:val="1"/>
        </w:numPr>
        <w:rPr/>
      </w:pPr>
      <w:bookmarkStart w:id="549" w:name="__RefHeading___Toc2109104_581953129"/>
      <w:bookmarkStart w:id="550" w:name="_Toc213"/>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الأمر المتیقن هو وجود تلک الظاهرة المتألقة و السراج المنیر و التی حملت اسم الحضارة الإسلامیة التی استمرّت علی مدی قرون،ثُمّ ما لبثت أن اضمحلت وخمد ضوؤها،حتّی أصبح مسلمو الیوم یعیشون حالة التأخّر الشنیع والانحطاط الفظیع نسبة إلی الکثیر من الاُمم،وإلی ماضیهم الزاخر و الباهر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یجعل السؤال التالی یتداعی أمام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تراجع المسلمون القهقری بعد کلّ ذلک التقدّم و الرقی فی العلوم و المعارف و النظم و الصنائع؟فما سبب هذا الانحطاط و المسار التنازلی؟ومن هو المسؤول عن ذلک؟</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أنّه لم یحدث حتّی الآن أن تطرّق بحث جامع للإجابة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الرئیس فی ذلک هو سعة هذا الموضوع وشدّة تعقیداته فی ذات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سعی البعض لإلقاء اللوم علی الإسلام وتعالیمه،بید أنّ بطلان مثل هذا القول من الوضوح ممّا لا یحتاج إلی توضیح،فلولا قدرة الإسلام وتعالیمه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ظهرت مثل تلک الحضارة الباهرة و العظیمة التی شعت علی باقی الحضارات وأثرتها،هذا إضافة إلی أنّ الانتشار المتزاید للإسلام فی العصر الحاضر وانتصار الثورة الإسلامیة یعد شاهدا ملموسا وصادقا علی خطأ تلک الدعوی</w:t>
      </w:r>
      <w:r>
        <w:rPr>
          <w:rFonts w:eastAsia="IRNazanin" w:cs="IRNazanin"/>
          <w:color w:val="111111"/>
          <w:sz w:val="28"/>
          <w:szCs w:val="28"/>
          <w:rtl w:val="true"/>
          <w:lang w:bidi="fa-IR"/>
        </w:rPr>
        <w:t>.</w:t>
      </w:r>
      <w:bookmarkStart w:id="551" w:name="pg5469_34896"/>
    </w:p>
    <w:p>
      <w:pPr>
        <w:pStyle w:val="BookText"/>
        <w:rPr/>
      </w:pPr>
      <w:bookmarkEnd w:id="551"/>
      <w:r>
        <w:rPr>
          <w:rFonts w:ascii="IRNazanin" w:hAnsi="IRNazanin" w:eastAsia="IRNazanin"/>
          <w:color w:val="111111"/>
          <w:sz w:val="28"/>
          <w:sz w:val="28"/>
          <w:szCs w:val="28"/>
          <w:rtl w:val="true"/>
          <w:lang w:bidi="fa-IR"/>
        </w:rPr>
        <w:t>إنّ الحضارة الإسلامیة کسائر الحضارات الاُخری لعبت عوامل داخلیة وخارجیة فی دخولها مرحلة الاضمحلال و الأفول،حیث کان لکلّ من تلک العوامل دور خاصّ فی سیر الحضارة الإسلامیة نحو الانهیار و العزلة وأخیراً الانحطاط،العوامل التی ستتکفل السطور التالیة الإشارة إلی أهمّها،وذلک فی قسمین،العوامل الداخلیة و العوامل الخارجیة</w:t>
      </w:r>
      <w:r>
        <w:rPr>
          <w:rFonts w:eastAsia="IRNazanin" w:cs="IRNazanin"/>
          <w:color w:val="111111"/>
          <w:sz w:val="28"/>
          <w:szCs w:val="28"/>
          <w:rtl w:val="true"/>
          <w:lang w:bidi="fa-IR"/>
        </w:rPr>
        <w:t>.</w:t>
      </w:r>
    </w:p>
    <w:p>
      <w:pPr>
        <w:pStyle w:val="Heading4"/>
        <w:numPr>
          <w:ilvl w:val="3"/>
          <w:numId w:val="1"/>
        </w:numPr>
        <w:rPr/>
      </w:pPr>
      <w:bookmarkStart w:id="552" w:name="__RefHeading___Toc2109106_581953129"/>
      <w:bookmarkStart w:id="553" w:name="_Toc214"/>
      <w:bookmarkEnd w:id="552"/>
      <w:r>
        <w:rPr>
          <w:rtl w:val="true"/>
        </w:rPr>
        <w:t>أ</w:t>
      </w:r>
      <w:r>
        <w:rPr>
          <w:rtl w:val="true"/>
        </w:rPr>
        <w:t>)</w:t>
      </w:r>
      <w:r>
        <w:rPr>
          <w:rtl w:val="true"/>
        </w:rPr>
        <w:t>العوامل الداخلیة لأفول الحضارة الإسلامیة</w:t>
      </w:r>
      <w:bookmarkEnd w:id="553"/>
    </w:p>
    <w:p>
      <w:pPr>
        <w:pStyle w:val="Heading5"/>
        <w:numPr>
          <w:ilvl w:val="4"/>
          <w:numId w:val="1"/>
        </w:numPr>
        <w:rPr/>
      </w:pPr>
      <w:bookmarkStart w:id="554" w:name="__RefHeading___Toc2109108_581953129"/>
      <w:bookmarkStart w:id="555" w:name="_Toc215"/>
      <w:bookmarkEnd w:id="554"/>
      <w:r>
        <w:rPr/>
        <w:t>1</w:t>
      </w:r>
      <w:r>
        <w:rPr>
          <w:rtl w:val="true"/>
        </w:rPr>
        <w:t>-</w:t>
      </w:r>
      <w:r>
        <w:rPr>
          <w:rtl w:val="true"/>
        </w:rPr>
        <w:t>الانحراف عن التعالیم الإسلامیة الأصیلة</w:t>
      </w:r>
      <w:bookmarkEnd w:id="555"/>
    </w:p>
    <w:p>
      <w:pPr>
        <w:pStyle w:val="BookText"/>
        <w:rPr/>
      </w:pPr>
      <w:r>
        <w:rPr>
          <w:rFonts w:ascii="IRNazanin" w:hAnsi="IRNazanin" w:eastAsia="IRNazanin"/>
          <w:color w:val="111111"/>
          <w:sz w:val="28"/>
          <w:sz w:val="28"/>
          <w:szCs w:val="28"/>
          <w:rtl w:val="true"/>
          <w:lang w:bidi="fa-IR"/>
        </w:rPr>
        <w:t>لقد کان للثقافة الإسلامیة الدور الأوّل فی تبلور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 التی قامت علی التعالیم الأصلیة المستمدّة و النابعة من الآیات القرآنیة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التعالیم التی رسمت ثلاثة أنظمة ثقافیة وأقامت الحضارة الإسلامیة قوامها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اهتزت علی مرّ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 وعوامل لا یسعنا هنا 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حداثتها،هدفیتها ونظامها الثقافی الإسلامی،حیث تغیرت و التبست التعالیم الإسلامیة علی هذا الصعید،فتلازم مثلاً مع وحرّفت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؛وفسّر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مستوی المفاهیم أمّا علی مستوی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کسر المسلمون حاجز حرمة التکالیف الإلهیة فارتکبوا المحرمات وضیعوا الواجبات،بل غالباً ما تذرعوا ببعض الآیات أو الأحادیث لتبریر جرأتهم تلک وتمردهم ذاک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الذی لا شکّ فیه،هو أنّ مثل هذا الدین الذی استحدثوه بحاجة إلی نبی جدید،یبیح لهم جمیع المعاصی و الآثام تحت غطاء الوحی الإلهی،و قد أخذ المعروف بأبی الخطاب و الذی عاصر الإمام الصادق</w:t>
      </w:r>
      <w:r>
        <w:rPr>
          <w:rFonts w:ascii="IRNazanin" w:hAnsi="IRNazanin" w:eastAsia="IRNazanin"/>
          <w:i/>
          <w:i/>
          <w:iCs/>
          <w:color w:val="111111"/>
          <w:sz w:val="28"/>
          <w:sz w:val="28"/>
          <w:szCs w:val="28"/>
          <w:rtl w:val="true"/>
          <w:lang w:bidi="fa-IR"/>
        </w:rPr>
        <w:t>علی عاتقه هذه النبوة الجدیدة،فقال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الإمام جعفر الصادق</w:t>
      </w:r>
      <w:r>
        <w:rPr>
          <w:rFonts w:ascii="IRNazanin" w:hAnsi="IRNazanin" w:eastAsia="IRNazanin"/>
          <w:color w:val="111111"/>
          <w:sz w:val="28"/>
          <w:sz w:val="28"/>
          <w:szCs w:val="28"/>
          <w:rtl w:val="true"/>
          <w:lang w:bidi="fa-IR"/>
        </w:rPr>
        <w:t>إلهکم وأنا رسوله،حیث تمکن</w:t>
      </w:r>
      <w:bookmarkStart w:id="556" w:name="pg5469_34898"/>
    </w:p>
    <w:p>
      <w:pPr>
        <w:pStyle w:val="BookText"/>
        <w:rPr/>
      </w:pPr>
      <w:bookmarkEnd w:id="556"/>
      <w:r>
        <w:rPr>
          <w:rFonts w:ascii="IRNazanin" w:hAnsi="IRNazanin" w:eastAsia="IRNazanin"/>
          <w:color w:val="111111"/>
          <w:sz w:val="28"/>
          <w:sz w:val="28"/>
          <w:szCs w:val="28"/>
          <w:rtl w:val="true"/>
          <w:lang w:bidi="fa-IR"/>
        </w:rPr>
        <w:t>من لملمة مجموعة من الأتباع لیلقنهم إباحة 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بالأخت 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و السحاق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وکلّ ما جاء من الذنوب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هذا النبی الجدید عنهم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وکلّ ما أمر به الإسلام من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دلیلهم علی ذلک فهی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القمار و الذنوب الاُخری التی جاءت فی القرآن إنّما هم بعض الأفراد الذین یجب علی الناس اجتنابهم و التبری منهم،والمقصود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الواجبات الاُخری أشخاصاً أمثال النبی و الإمام الذین أُمر الناس بمعرفتهم وتولیهم؛فکل من عرفهم أُلقیت جمیع التکالیف عن کاهله</w:t>
      </w:r>
      <w:r>
        <w:rPr>
          <w:rFonts w:eastAsia="IRNazanin" w:cs="IRNazanin"/>
          <w:color w:val="111111"/>
          <w:sz w:val="28"/>
          <w:szCs w:val="28"/>
          <w:rtl w:val="true"/>
          <w:lang w:bidi="fa-IR"/>
        </w:rPr>
        <w:t xml:space="preserve">. </w:t>
      </w:r>
      <w:r>
        <w:rPr>
          <w:rStyle w:val="FootnoteAnchor"/>
          <w:rtl w:val="true"/>
        </w:rPr>
        <w:footnoteReference w:id="454"/>
      </w:r>
    </w:p>
    <w:p>
      <w:pPr>
        <w:pStyle w:val="Heading5"/>
        <w:numPr>
          <w:ilvl w:val="4"/>
          <w:numId w:val="1"/>
        </w:numPr>
        <w:rPr/>
      </w:pPr>
      <w:bookmarkStart w:id="557" w:name="__RefHeading___Toc2109110_581953129"/>
      <w:bookmarkStart w:id="558" w:name="_Toc216"/>
      <w:bookmarkEnd w:id="557"/>
      <w:r>
        <w:rPr/>
        <w:t>2</w:t>
      </w:r>
      <w:r>
        <w:rPr>
          <w:rtl w:val="true"/>
        </w:rPr>
        <w:t>-</w:t>
      </w:r>
      <w:r>
        <w:rPr>
          <w:rtl w:val="true"/>
        </w:rPr>
        <w:t>الطائفیة</w:t>
      </w:r>
      <w:bookmarkEnd w:id="55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یکد جثمان مؤسّس الثقافة و الحضارة الإسلامیة الرسول الأکرم یواری الثری حتّی ابتلیت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سیاسیاً وعقائدیاً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بالفرقة والاختلاف و التشرذم إلی طوائف متعددة ومتنوعة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وإلی آخر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الملفت أنّ کلّ من هذه الفرق یدّعی أنّ مسلکه هو مسلک محمّد الذی لا حق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نشأت الطائفیة من عوامل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 الحدیث واتساع رقعة الفتوحات الإسلامیة،ممّا أدّی إلی انکماش قدرة العالم الإسلامی و المسلمین علی نشر وتقویم الحضارة الإسلامیة،حیث أهدروا وصرفوا جهدهم فی الخلافات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التکتلات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التعصب و التطاحن و التقاتل</w:t>
      </w:r>
      <w:r>
        <w:rPr>
          <w:rFonts w:eastAsia="IRNazanin" w:cs="IRNazanin"/>
          <w:color w:val="111111"/>
          <w:sz w:val="28"/>
          <w:szCs w:val="28"/>
          <w:rtl w:val="true"/>
          <w:lang w:bidi="fa-IR"/>
        </w:rPr>
        <w:t xml:space="preserve">. </w:t>
      </w:r>
      <w:r>
        <w:rPr>
          <w:rStyle w:val="FootnoteAnchor"/>
          <w:rtl w:val="true"/>
        </w:rPr>
        <w:footnoteReference w:id="455"/>
      </w:r>
      <w:bookmarkStart w:id="559" w:name="pg5469_34900"/>
    </w:p>
    <w:p>
      <w:pPr>
        <w:pStyle w:val="Heading5"/>
        <w:numPr>
          <w:ilvl w:val="4"/>
          <w:numId w:val="1"/>
        </w:numPr>
        <w:rPr/>
      </w:pPr>
      <w:bookmarkStart w:id="560" w:name="__RefHeading___Toc2109112_581953129"/>
      <w:bookmarkStart w:id="561" w:name="_Toc217"/>
      <w:bookmarkEnd w:id="559"/>
      <w:bookmarkEnd w:id="560"/>
      <w:r>
        <w:rPr/>
        <w:t>3</w:t>
      </w:r>
      <w:r>
        <w:rPr>
          <w:rtl w:val="true"/>
        </w:rPr>
        <w:t>-</w:t>
      </w:r>
      <w:r>
        <w:rPr>
          <w:rtl w:val="true"/>
        </w:rPr>
        <w:t>تغیر الفکر السیاسی</w:t>
      </w:r>
      <w:bookmarkEnd w:id="561"/>
    </w:p>
    <w:p>
      <w:pPr>
        <w:pStyle w:val="BookText"/>
        <w:rPr/>
      </w:pPr>
      <w:r>
        <w:rPr>
          <w:rFonts w:ascii="IRNazanin" w:hAnsi="IRNazanin" w:eastAsia="IRNazanin"/>
          <w:color w:val="111111"/>
          <w:sz w:val="28"/>
          <w:sz w:val="28"/>
          <w:szCs w:val="28"/>
          <w:rtl w:val="true"/>
          <w:lang w:bidi="fa-IR"/>
        </w:rPr>
        <w:t>لقد جاءت الحضارة الإسلامیة بنظریة جدیدة فی جانبها السیاسی،حیث طرحت نظریة الخلافة التی امتزج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الحمیدة علی مستوی الخلیفة،والدور الفعال علی مستوی الرعیة،بید أنّ هذه النظریة تمّ الإعراض عنها فی نهایة ما سُمی بالخلافة الراشدة،فتلتها مرحلة من الفکر السیاسی دامت لعهود طویلة،التی تمّ فیها استبدال الخلافة الإسلامیة بالملکیة الاستبدادیة و التی امتدّ عهدها الطویل إلی عهد اتّصال العالم الإسلامی بالحضارة الغربیة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خلال هذه المرحلة وعلی الرغم من جمیع الخلافات التی من الممکن ملاحظتها بین الحکومات و الأنظمة السیاسیة فی البلدان الإسلامیة وفی العهود المختلفة،فإنّ ثمة قضیة مثلت القاسم المشترک لکلّ تلک الأزمنة و الأمکنة،ألا وهی الاستبداد،واعتماد السلطة السیاسیة علی الغلبة و 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تعبّر الروح السیاسیة علی امتداد هذه المرحلة سوی عن روح الغلبة و الوثوب علی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التالیة تعکس هذا الموضوع بظرافة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یعقوب بن لیث الصفّار </w:t>
      </w:r>
      <w:r>
        <w:rPr>
          <w:rStyle w:val="FootnoteAnchor"/>
          <w:rtl w:val="true"/>
        </w:rPr>
        <w:footnoteReference w:id="456"/>
      </w:r>
      <w:r>
        <w:rPr>
          <w:rFonts w:ascii="IRNazanin" w:hAnsi="IRNazanin" w:eastAsia="IRNazanin"/>
          <w:color w:val="111111"/>
          <w:sz w:val="28"/>
          <w:sz w:val="28"/>
          <w:szCs w:val="28"/>
          <w:rtl w:val="true"/>
          <w:lang w:bidi="fa-IR"/>
        </w:rPr>
        <w:t>یطمع فی إقامة دویلة مستقلة من خلال اعتماده علی جیش من قطاع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بالتمرد علی أوامر الخلیفة فاحتلّ خراسان بعد ما سیطر علی سیستان،وحینما وصل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إلیه أنّه یعتبرونه خارجیاً لنقضه عهد الخلیفة وبیعته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فی طلبهم وجلس بهدوء أعلی منصته التی یمتد علی جانبیها رجال کثیرین وهم یحملون أسلحتهم،وقال لحاجبه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إئتنی بعهد أمیر المؤمنین لأعرضة علی هذا الجمع،فذهب الحاجب فما لبث أن عاد و هو یحمل سیفاً مطویاً فی لفافة،و قدمه إلی الأمیر،فشهره،وقال للناس و هو یهزه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یشهر أمیر المؤمنین هذا السیف علی بغداد؟وأنا هنا أشهر نفس السیف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فرق عهدی عن عهد أمیر المؤمنین</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إنّ تغیر الفکر السیاسی کان له من الأهمّیة فی القضاء علی الحضارة الإسلامیة،دعت أحد العلماء الألمان للتصریح فی محضر بعض أشراف مکّة فی ترکیا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یلزمنا نحن الألمان نصب تمثال ذهبی لمعاویة فی أحد میادین العاصمة الألمانیة برلین،فهو من قام بتغییر النظام الحکومی الدیمقراطی للإسلام إلی الدکتاتوریة والاستبداد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فلولاه لعمت سیطرة الإسلام علی جمیع أرجاء العالم ولَکُنّا نحن الألمان وباقی الاُمم الاُوروبیة عرباً ومسلمین الآن</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الجدیر ذکره أنّ تغیر الفکر السیاسی أدّی إلی حدوث تغییرات فی المؤسّسة السیاسیة أیضاً،ففی القرن الرابع و الخامس الهجری الذی أُطلق علیه العصر الذهبی للثقافة و الحضارة الإسلامیة علمیاً وفکریاً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أیضاً مسلسل أفول الحضارة الإسلامیة بسبب اضطراب وتنوع المؤسّسة السیاسیة،حیث انتهت الوحدة السیاسیة للإمبراطوریة الإسلامیة التی کانت تمثّل عظمة العالم الإسلامی و المعلم البارز للحکومة الاُولی لخلفاء بغداد،فتجزأت تلک المساحة الشاسعة التی کانت تخضع یوماً ما لسلطة خلیفة واحد تنفذ أوامره من نهر السند وحتّی المحیط الأطلسی،تجزأت بین الأمراء المحلیین الذین استقلّ کلّ منهم بإمارته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الصفاریون أجزاء من إیران</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السامانیون ما وراء النهر وأجزاء أخری من إیران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الغزنویون أفغانستان و البنجاب</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البوهیون</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السلاجقة</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الفاطمیون</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وجود إمارات مستقلة یؤدّی إلی حدوث نزاعات وصدامات فیما بینها،و هو ما یمثل أحد عوامل أفول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مؤرخ تاریخ العلم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إثر النزاعات الداخلیة للأمراء و القادة الإسلامیین،وسعی الاُسر الثریة و الأصلیة و العریقة للمسلمین التی أنتجت حکاماً وجنوداً ومدراء إلی التفاخر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ثمة أی أمل</w:t>
      </w:r>
      <w:bookmarkStart w:id="562" w:name="pg5469_34904"/>
    </w:p>
    <w:p>
      <w:pPr>
        <w:pStyle w:val="BookText"/>
        <w:rPr/>
      </w:pPr>
      <w:bookmarkEnd w:id="562"/>
      <w:r>
        <w:rPr>
          <w:rFonts w:ascii="IRNazanin" w:hAnsi="IRNazanin" w:eastAsia="IRNazanin"/>
          <w:color w:val="111111"/>
          <w:sz w:val="28"/>
          <w:sz w:val="28"/>
          <w:szCs w:val="28"/>
          <w:rtl w:val="true"/>
          <w:lang w:bidi="fa-IR"/>
        </w:rPr>
        <w:t>فی بقاء إمبراطوریة إسلامیة تتصف بالثبات السیاسی،فقد انفصلت الولایات البعیدة الواحدة تلو الاُخری عن الإمبراطوریة العجوز و الجثة الهامدة و الأطراف غیر المتجانسة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استعادت خصائصها المحلّیة وأعلنت استقلالها السیاسی</w:t>
      </w:r>
      <w:r>
        <w:rPr>
          <w:rFonts w:eastAsia="IRNazanin" w:cs="IRNazanin"/>
          <w:color w:val="111111"/>
          <w:sz w:val="28"/>
          <w:szCs w:val="28"/>
          <w:rtl w:val="true"/>
          <w:lang w:bidi="fa-IR"/>
        </w:rPr>
        <w:t xml:space="preserve">. </w:t>
      </w:r>
      <w:r>
        <w:rPr>
          <w:rStyle w:val="FootnoteAnchor"/>
          <w:rtl w:val="true"/>
        </w:rPr>
        <w:footnoteReference w:id="459"/>
      </w:r>
    </w:p>
    <w:p>
      <w:pPr>
        <w:pStyle w:val="Heading5"/>
        <w:numPr>
          <w:ilvl w:val="4"/>
          <w:numId w:val="1"/>
        </w:numPr>
        <w:rPr/>
      </w:pPr>
      <w:bookmarkStart w:id="563" w:name="__RefHeading___Toc2109114_581953129"/>
      <w:bookmarkStart w:id="564" w:name="_Toc218"/>
      <w:bookmarkEnd w:id="563"/>
      <w:r>
        <w:rPr/>
        <w:t>4</w:t>
      </w:r>
      <w:r>
        <w:rPr>
          <w:rtl w:val="true"/>
        </w:rPr>
        <w:t>-</w:t>
      </w:r>
      <w:r>
        <w:rPr>
          <w:rtl w:val="true"/>
        </w:rPr>
        <w:t>الترف</w:t>
      </w:r>
      <w:bookmarkEnd w:id="564"/>
    </w:p>
    <w:p>
      <w:pPr>
        <w:pStyle w:val="BookText"/>
        <w:rPr/>
      </w:pP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الفساد بالترف وغالباً ما استتبع أحدهما الآخر،فإذا أطلقت لنبضات قلبک العنان،فمعنی ذلک هو أنّک فتحت لها باب اللهو و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یمکنک حینها من الحیلولة دون أن یعتریک الضعف الروحی؟ </w:t>
      </w:r>
      <w:r>
        <w:rPr>
          <w:rStyle w:val="FootnoteAnchor"/>
          <w:rtl w:val="true"/>
        </w:rPr>
        <w:footnoteReference w:id="460"/>
      </w:r>
      <w:r>
        <w:rPr>
          <w:rFonts w:ascii="IRNazanin" w:hAnsi="IRNazanin" w:eastAsia="IRNazanin"/>
          <w:color w:val="111111"/>
          <w:sz w:val="28"/>
          <w:sz w:val="28"/>
          <w:szCs w:val="28"/>
          <w:rtl w:val="true"/>
          <w:lang w:bidi="fa-IR"/>
        </w:rPr>
        <w:t>ممّا لا شکّ فیه،هو أنّ الترف یقود إلی الطمع و أنّ الطمع یؤدّی إلی التجاوز علی حقوق الآخرین،الهبوط بمستوی العاطفة الإنسانیة وتولید الشقاء و القسوة وزوال المحبة و المودّة،والقضاء علی القیم الأخلاقیة وترویج ثقافة وحضارة الآخرین،و أنّ الترف یعمل علی تأجیج التفاخر لدی الطبقات الثریة،ویتسبب فی إیجاد عقد الکراهیة بینها وبین الطبقات المسحوقة من المجتمع،الأمر الذی ینتهی إلی الانتقام علی المدی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تسبب ترف الطبقة الحاکمة و الطبقة المرفهة فی العالم الإسلامی فی جمیع ما تقدّم ذکره للأسف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ویتطرّق ابن خلدون إلی تاریخ الترف فی العالم الإسلامی بالنحو التالی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الدین مانعاً عن المبالغة فی البناء و الإسراف فیه ولا یسوغ ذلک من دون مراعاة الاعتدال،فحینما شب حریق فی الکوفة بسبب استخدام القصب فی البناء وطلبوا الإذن من عمر فی استخدام الحجر بدله،أجاز لهم ذلک إلّا أنّه أوصاهم بعدم بناء أکثر من ثلاث غرف واجتناب تشیید البناء وحفظ السنّة فی ذلک لتبقی دولتهم فی حرز و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الوکلاء و الناس بألّا یعلو بناء فوق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یقربکم من الإسراف ولا یخرجکم من الاعتدال،ولکنّهم ومنذ العهد الذی اتبعوا فیه دین حکامهم،أخذوا بالابتعاد عن ذلک ومالوا عن هذه المقاصد الدینیة غیر مبالین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فغلبت علیهم طبیعة الملوکیة و الترف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 العرب من الإیرانیین الصنائع واقتبسوا عنهم الشؤون السیاسیة و الآداب و التقالید المدنیة و الغنی و الترف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وساقوهم إلی تقلید صنائعهم وبناء الأبنیة العالیة و العمودیة</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لقد بدأت الانجرار نحو الترف منذ عهد عثمان،ثُمّ انتشر شیئاً فشیئاً فأصبح من الاُمور المتعارفة بین المسؤولین و الحکام،حیث أمر عثمان فی السنة الخامسة من خلافته أی بعد ثمانیة وعشرین عاماً علی هجرة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دار فخمة له ضمت غرفاً عدیدة وجمیلة وصالات واسعة وشرفات بدیعة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قول المسعودی کان بناء هذه الدار العظیمة من الحجر الخاصّ وأبوابها من الصاج و العرعر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بالإضافة إلی ذلک بالاستیلاء علی ضیاع وعیون دفاقة فی المدینة</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ولقد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خلافته القصیرة الأمد بمحاربة الترف،ولکن ما أن استشهد حتّی راجت وللأسف هذه السنة السیئة فی العالم الإسلامی،حیث أثبتت وسجلت الکتب التاریخیة فهارس مفصلة للترف و الإسراف</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ساهمت العوامل الداخلیة أمثال ما سبق ذکره منها،وکذلک تواجد ونفوذ بعض الناس فی مؤسّسة الحکومة الإسلامیة،فی أفول الحضارة الإسلامیة وضمورها،حیث مثل هؤلاء الناس الفئات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الأقوام و القبائل التی لم ترث مدنیة عن آبائها وأجدادها،ولم یکن لها جذور ثقافیة قویمة و قدیمة،أو تقالید معتدلة وسویة،ولم تکن تعتمد العقلانیة أو تتحرک فی إطارها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ناهیک عن العلوم و المعارف 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 دین حقٍّ ومذهب قصدٍ</w:t>
      </w:r>
      <w:r>
        <w:rPr>
          <w:rFonts w:eastAsia="IRNazanin" w:cs="IRNazanin"/>
          <w:color w:val="111111"/>
          <w:sz w:val="28"/>
          <w:szCs w:val="28"/>
          <w:rtl w:val="true"/>
          <w:lang w:bidi="fa-IR"/>
        </w:rPr>
        <w:t>.</w:t>
      </w:r>
      <w:bookmarkStart w:id="565" w:name="pg5469_34908"/>
    </w:p>
    <w:p>
      <w:pPr>
        <w:pStyle w:val="BookText"/>
        <w:rPr/>
      </w:pPr>
      <w:bookmarkEnd w:id="565"/>
      <w:r>
        <w:rPr>
          <w:rFonts w:ascii="IRNazanin" w:hAnsi="IRNazanin" w:eastAsia="IRNazanin"/>
          <w:color w:val="111111"/>
          <w:sz w:val="28"/>
          <w:sz w:val="28"/>
          <w:szCs w:val="28"/>
          <w:rtl w:val="true"/>
          <w:lang w:bidi="fa-IR"/>
        </w:rPr>
        <w:t>وبهذا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یتسبب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 للشهوات وإرضاء الرغبات المادیة علی تکدیر نفوسهم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أدّی هذا النوع من الاختلالات إلی زیادة غرورهم،وفی النتیجة مسارعة الأعداء المتربصین الدوائر بتلک المعارف القویمة بالمکر الذکی حیناً وبالجهل الخفی حیناً،إلی تقویة أسباب وعوامل التقهقر والانحراف</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566" w:name="__RefHeading___Toc2109116_581953129"/>
      <w:bookmarkStart w:id="567" w:name="_Toc219"/>
      <w:bookmarkEnd w:id="566"/>
      <w:r>
        <w:rPr>
          <w:rtl w:val="true"/>
        </w:rPr>
        <w:t>ب</w:t>
      </w:r>
      <w:r>
        <w:rPr>
          <w:rtl w:val="true"/>
        </w:rPr>
        <w:t>)</w:t>
      </w:r>
      <w:r>
        <w:rPr>
          <w:rtl w:val="true"/>
        </w:rPr>
        <w:t>العوامل الخارجیة لاُفول الحضارة الإسلامیة</w:t>
      </w:r>
      <w:bookmarkEnd w:id="567"/>
    </w:p>
    <w:p>
      <w:pPr>
        <w:pStyle w:val="Heading5"/>
        <w:numPr>
          <w:ilvl w:val="4"/>
          <w:numId w:val="1"/>
        </w:numPr>
        <w:rPr/>
      </w:pPr>
      <w:bookmarkStart w:id="568" w:name="__RefHeading___Toc2109118_581953129"/>
      <w:bookmarkStart w:id="569" w:name="_Toc220"/>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إنّ سعة وعمق تأثیر الحضارة الإسلامیة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منها هدفاً لأعداء المسلمین الذین یتحینون الفرص للانقضاض علیها،وطمس معاملها الحضاریة النفاذة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یکاد یختصر أسباب سقوطها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یمکن توضیحه من خلال غزوین عظیمین ومدمرین تعرّضت لهما الحضارة الإسلامیة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الحروب الصلیبیة،وهجوم المغول</w:t>
      </w:r>
      <w:r>
        <w:rPr>
          <w:rFonts w:eastAsia="IRNazanin" w:cs="IRNazanin"/>
          <w:color w:val="111111"/>
          <w:sz w:val="28"/>
          <w:szCs w:val="28"/>
          <w:rtl w:val="true"/>
          <w:lang w:bidi="fa-IR"/>
        </w:rPr>
        <w:t>.</w:t>
      </w:r>
    </w:p>
    <w:p>
      <w:pPr>
        <w:pStyle w:val="Heading5"/>
        <w:numPr>
          <w:ilvl w:val="4"/>
          <w:numId w:val="1"/>
        </w:numPr>
        <w:rPr/>
      </w:pPr>
      <w:bookmarkStart w:id="570" w:name="__RefHeading___Toc2109120_581953129"/>
      <w:bookmarkStart w:id="571" w:name="_Toc221"/>
      <w:bookmarkEnd w:id="570"/>
      <w:r>
        <w:rPr/>
        <w:t>1</w:t>
      </w:r>
      <w:r>
        <w:rPr>
          <w:rtl w:val="true"/>
        </w:rPr>
        <w:t>-</w:t>
      </w:r>
      <w:r>
        <w:rPr>
          <w:rtl w:val="true"/>
        </w:rPr>
        <w:t>الحروب الصلیبیة</w:t>
      </w:r>
      <w:bookmarkEnd w:id="57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الحروب الصلیبیة قبل أن تکون مواجهة عسکریة بین الغرب المسیحی و الشرق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تعبّر عن الهلع الغربی من الحضارة الإسلامیة،وهی حقیقة أشار إلیها الکثیر من الباحثین و المؤرخین،حیث أُطلقت هذه السلسلة من الحروب التی ابتدأت منذ عام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م واستمرّت حتّی عام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م وانتهت بالانسحاب الکامل للقوات الغربیة من الأراضی العربیة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ثمانیة حروب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الاُولی عام </w:t>
      </w:r>
      <w:r>
        <w:rPr>
          <w:rFonts w:eastAsia="IRNazanin" w:cs="IRNazanin"/>
          <w:color w:val="111111"/>
          <w:sz w:val="28"/>
          <w:szCs w:val="28"/>
          <w:lang w:bidi="fa-IR"/>
        </w:rPr>
        <w:t>1096109710981099</w:t>
      </w:r>
      <w:r>
        <w:rPr>
          <w:rFonts w:ascii="IRNazanin" w:hAnsi="IRNazanin" w:eastAsia="IRNazanin"/>
          <w:color w:val="111111"/>
          <w:sz w:val="28"/>
          <w:sz w:val="28"/>
          <w:szCs w:val="28"/>
          <w:rtl w:val="true"/>
          <w:lang w:bidi="fa-IR"/>
        </w:rPr>
        <w:t xml:space="preserve">،الحرب الثانیة عام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،والحرب الثالثة عام </w:t>
      </w:r>
      <w:r>
        <w:rPr>
          <w:rFonts w:eastAsia="IRNazanin" w:cs="IRNazanin"/>
          <w:color w:val="111111"/>
          <w:sz w:val="28"/>
          <w:szCs w:val="28"/>
          <w:lang w:bidi="fa-IR"/>
        </w:rPr>
        <w:t>1229</w:t>
      </w:r>
      <w:r>
        <w:rPr>
          <w:rFonts w:ascii="IRNazanin" w:hAnsi="IRNazanin" w:eastAsia="IRNazanin"/>
          <w:color w:val="111111"/>
          <w:sz w:val="28"/>
          <w:sz w:val="28"/>
          <w:szCs w:val="28"/>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،وکان المحاربون الصلیبیون ملزمین فیها بوضع علامة الصلیب علی لباسهم علامة علی الفداء بأرواحهم،الأمر الذی أدّی إلی اشتهارها بالحروب الصلیبیة</w:t>
      </w:r>
      <w:r>
        <w:rPr>
          <w:rFonts w:eastAsia="IRNazanin" w:cs="IRNazanin"/>
          <w:color w:val="111111"/>
          <w:sz w:val="28"/>
          <w:szCs w:val="28"/>
          <w:rtl w:val="true"/>
          <w:lang w:bidi="fa-IR"/>
        </w:rPr>
        <w:t>.</w:t>
      </w:r>
      <w:bookmarkStart w:id="572" w:name="pg5469_34910"/>
    </w:p>
    <w:p>
      <w:pPr>
        <w:pStyle w:val="BookText"/>
        <w:rPr/>
      </w:pPr>
      <w:bookmarkEnd w:id="572"/>
      <w:r>
        <w:rPr>
          <w:rFonts w:ascii="IRNazanin" w:hAnsi="IRNazanin" w:eastAsia="IRNazanin"/>
          <w:color w:val="111111"/>
          <w:sz w:val="28"/>
          <w:sz w:val="28"/>
          <w:szCs w:val="28"/>
          <w:rtl w:val="true"/>
          <w:lang w:bidi="fa-IR"/>
        </w:rPr>
        <w:t>فهذه الحروب کان قد أطلقها ببواعث مذهبیة أشراف وسلاطین اوروبا الذین استولی علیهم الرعب من قوة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المسیحیین بصلبانهم لفتح بیت المقدس،فقضت علی الکثیر من الأرواح و المصادر المالیة،وحولت مدناً وقری عامرة إلی مناطق مدمرة ومهدمة،ما تسبب فی أن یعیش المجتمع الإسلامی حالة القلق والاضطراب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أصبح بیت المقدس ولأوّل مرّة أثناء الحضارة الإسلامیة تحت سیطرة الصلیبیین،انشغلوا علی مدی اسبوع بقتل المسلمین،حیث قتل فی المسجد الأقصی لوحده أکثر من ستّین ألف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م الذی سیطروا فیه علی طرابلس قاموا بحرق ونهب مئة ألف کتاب من دار العلم</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573" w:name="__RefHeading___Toc2109122_581953129"/>
      <w:bookmarkStart w:id="574" w:name="_Toc222"/>
      <w:bookmarkEnd w:id="573"/>
      <w:r>
        <w:rPr/>
        <w:t>2</w:t>
      </w:r>
      <w:r>
        <w:rPr>
          <w:rtl w:val="true"/>
        </w:rPr>
        <w:t>-</w:t>
      </w:r>
      <w:r>
        <w:rPr>
          <w:rtl w:val="true"/>
        </w:rPr>
        <w:t>هجوم المغول</w:t>
      </w:r>
      <w:bookmarkEnd w:id="57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تکد تخمد الحروب الصلیبیة فی غرب العالم الإسلامی حتّی هددته سیول مدمرة اخری قادمة من الشرق،حیث اتّحدت القبائل المغولیة التی کانت نهباً للتشتت تحت قیادة جنکیز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إیران فی عهد حکومة ملوک خوارزم بذریعة المطالبة بالثأر من جمع من التجار الذین کانوا نزحوا إلی إیران،فبدأ تدفق المغول علی إیران و العالم الإسلامی عام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سیطرتهم علی کرکان العاصمة القدیمة لخوارزم وتدمیرها،سقطت فی أیدیهم مدن خراسان الواحدة تلو الاُخری وقاموا بقتل أهلها عن بکرة أبیهم،ثُمّ وصلت النوبة من بعد جنکیز خان وعدّة ممّن خلفوه إلی حفیده هولاکو لإکمال مسیرة الفتوحات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فسیطر علی الإسماعیلیة وتمّ قتل آخر خلیفة عباسی علی یدیه إثر فتحه بغداد،وأنهی بذلک عهد الخلافة العبّاسیة التی استمرّت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عاماً،وقام بتقسیم البلدان الإسلامیة بین الأسر المغولیة</w:t>
      </w:r>
      <w:r>
        <w:rPr>
          <w:rFonts w:eastAsia="IRNazanin" w:cs="IRNazanin"/>
          <w:color w:val="111111"/>
          <w:sz w:val="28"/>
          <w:szCs w:val="28"/>
          <w:rtl w:val="true"/>
          <w:lang w:bidi="fa-IR"/>
        </w:rPr>
        <w:t>.</w:t>
      </w:r>
      <w:bookmarkStart w:id="575" w:name="pg5469_34912"/>
    </w:p>
    <w:p>
      <w:pPr>
        <w:pStyle w:val="BookText"/>
        <w:rPr/>
      </w:pPr>
      <w:bookmarkEnd w:id="575"/>
      <w:r>
        <w:rPr>
          <w:rFonts w:ascii="IRNazanin" w:hAnsi="IRNazanin" w:eastAsia="IRNazanin"/>
          <w:color w:val="111111"/>
          <w:sz w:val="28"/>
          <w:sz w:val="28"/>
          <w:szCs w:val="28"/>
          <w:rtl w:val="true"/>
          <w:lang w:bidi="fa-IR"/>
        </w:rPr>
        <w:t>ومع أنّ المغول أذعنوا للثقافة الإسلامیة نسبیاً،بسبب قوتها وتخلفهم ثقافیاً،غیر أنّ الدمار الذی تعرض له العالم الإسلامی جراء هجماتهم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إیران التی تعدّ عین العالم الإسلامی ومهد الثقافة و الحضارة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ضربة مهلکة لهیکل الثقافة و الحضارة الإسلامیة</w:t>
      </w:r>
      <w:r>
        <w:rPr>
          <w:rFonts w:eastAsia="IRNazanin" w:cs="IRNazanin"/>
          <w:color w:val="111111"/>
          <w:sz w:val="28"/>
          <w:szCs w:val="28"/>
          <w:rtl w:val="true"/>
          <w:lang w:bidi="fa-IR"/>
        </w:rPr>
        <w:t xml:space="preserve">. </w:t>
      </w:r>
      <w:r>
        <w:rPr>
          <w:rStyle w:val="FootnoteAnchor"/>
          <w:rtl w:val="true"/>
        </w:rPr>
        <w:footnoteReference w:id="466"/>
      </w:r>
    </w:p>
    <w:p>
      <w:pPr>
        <w:pStyle w:val="Heading3"/>
        <w:numPr>
          <w:ilvl w:val="2"/>
          <w:numId w:val="1"/>
        </w:numPr>
        <w:rPr/>
      </w:pPr>
      <w:bookmarkStart w:id="576" w:name="__RefHeading___Toc2109124_581953129"/>
      <w:bookmarkStart w:id="577" w:name="_Toc223"/>
      <w:bookmarkEnd w:id="576"/>
      <w:r>
        <w:rPr>
          <w:rtl w:val="true"/>
        </w:rPr>
        <w:t>الخلاصة</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افول عوامل ظهور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افول الحضارة ذاتها،ولکن مع هذا یمکن تحدید عوامل افول الحضارات فی عاملین،خارجی وداخلی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الثقافة،العامل الإنسانی و الظلم،أهمّ العوامل الداخلیة لاضمحلال الحضارات وضعفها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الغزو العسکری،الاقتصادی و الثقافی من أبرز العوامل الداخلیة لانحطاط الحضارات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لظهور الحضارة الإسلامیة الکبری بعد ظهور الإسلام والانتشار المتنامی للإسلام فی العصر الحاضر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بطلان دعوی من یلقون بلائمة افول الحضارة الإسلامیة علی الإسلام وتعالیمه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استکشاف عوامل الانحطاط الإسلامی من خلال عاملین عامین،داخلی وخارجی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الانحراف عن التعالیم الإسلامیة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الفکر السیاسی و المؤسّسة السیاسیة و الترف إضافة إلی عامل الفساد الفکری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الأخلاقی و العلمی لحکام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العوامل الداخلیة لاُفول الحضارة الإسلامیة</w:t>
      </w:r>
      <w:r>
        <w:rPr>
          <w:rFonts w:eastAsia="IRNazanin" w:cs="IRNazanin"/>
          <w:color w:val="111111"/>
          <w:sz w:val="28"/>
          <w:szCs w:val="28"/>
          <w:rtl w:val="true"/>
          <w:lang w:bidi="fa-IR"/>
        </w:rPr>
        <w:t>.</w:t>
      </w:r>
      <w:bookmarkStart w:id="578" w:name="pg5469_34914"/>
    </w:p>
    <w:p>
      <w:pPr>
        <w:pStyle w:val="BookText"/>
        <w:rPr/>
      </w:pPr>
      <w:bookmarkEnd w:id="578"/>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الحروب الصلیبیة من جهة الغرب وهجوم المغول من جهة الشرق من ضمن العوامل الخارجیة المهمّة و الأساسیة التی عاضدت العوامل الداخلیة باتجاه افول الحضارة الإسلامیة وغروبها</w:t>
      </w:r>
      <w:r>
        <w:rPr>
          <w:rFonts w:eastAsia="IRNazanin" w:cs="IRNazanin"/>
          <w:color w:val="111111"/>
          <w:sz w:val="28"/>
          <w:szCs w:val="28"/>
          <w:rtl w:val="true"/>
          <w:lang w:bidi="fa-IR"/>
        </w:rPr>
        <w:t>.</w:t>
      </w:r>
    </w:p>
    <w:p>
      <w:pPr>
        <w:pStyle w:val="Heading3"/>
        <w:numPr>
          <w:ilvl w:val="2"/>
          <w:numId w:val="1"/>
        </w:numPr>
        <w:rPr/>
      </w:pPr>
      <w:bookmarkStart w:id="579" w:name="__RefHeading___Toc2109126_581953129"/>
      <w:bookmarkStart w:id="580" w:name="_Toc224"/>
      <w:bookmarkEnd w:id="579"/>
      <w:r>
        <w:rPr>
          <w:rtl w:val="true"/>
        </w:rPr>
        <w:t>الأسئلة</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أهمّ العوامل الداخلیة لاندثار الحضارات مقروناً بالدلیل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أبرز مصادیق الظلم الذی یؤدّی إلی اضمحلال الحضارات؟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أهمّ العوامل الخارجیة لانحطاط الحضارات ووضح کیفیة تسبب الغزو الثقافی فی القضاء علیها؟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ابحث موضوع اضمحلال الحضارات من وجهة فلسفة التاریخ النظریة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الذین یحاولون ربط افول الحضارة الإسلامیة بالإسلام وتعالیمه؟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أدّی الانحراف عن التعالیم الإسلامیة الأصیلة إلی افول الحضارة الإسلامیة؟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المکانة التی احتلّها الفکر السیاسی فی الحضارة الإسلامیة وکیف بإمکانه أن یصبح عاملاً لرقیها أو اضمحلالها؟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إفرازات الترف وبین تأثیرها فی افول الحضارة الإسلامیة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دور الحروب الصلیبیة وهجوم المغول فی افول الحضارة الإسلامیة</w:t>
      </w:r>
      <w:r>
        <w:rPr>
          <w:rFonts w:eastAsia="IRNazanin" w:cs="IRNazanin"/>
          <w:color w:val="111111"/>
          <w:sz w:val="28"/>
          <w:szCs w:val="28"/>
          <w:rtl w:val="true"/>
          <w:lang w:bidi="fa-IR"/>
        </w:rPr>
        <w:t>.</w:t>
      </w:r>
      <w:bookmarkStart w:id="581" w:name="pg5469_34916"/>
    </w:p>
    <w:p>
      <w:pPr>
        <w:pStyle w:val="Heading2"/>
        <w:numPr>
          <w:ilvl w:val="1"/>
          <w:numId w:val="1"/>
        </w:numPr>
        <w:rPr/>
      </w:pPr>
      <w:bookmarkStart w:id="582" w:name="__RefHeading___Toc2109128_581953129"/>
      <w:bookmarkStart w:id="583" w:name="_Toc225"/>
      <w:bookmarkEnd w:id="581"/>
      <w:bookmarkEnd w:id="582"/>
      <w:r>
        <w:rPr/>
        <w:t>9</w:t>
      </w:r>
      <w:r>
        <w:rPr>
          <w:rtl w:val="true"/>
        </w:rPr>
        <w:t xml:space="preserve">- </w:t>
      </w:r>
      <w:r>
        <w:rPr>
          <w:rtl w:val="true"/>
        </w:rPr>
        <w:t>إحیاء الحضارة الإسلامیة</w:t>
      </w:r>
      <w:bookmarkEnd w:id="583"/>
    </w:p>
    <w:p>
      <w:pPr>
        <w:pStyle w:val="Heading3"/>
        <w:numPr>
          <w:ilvl w:val="2"/>
          <w:numId w:val="1"/>
        </w:numPr>
        <w:rPr/>
      </w:pPr>
      <w:bookmarkStart w:id="584" w:name="__RefHeading___Toc2109130_581953129"/>
      <w:bookmarkStart w:id="585" w:name="_Toc226"/>
      <w:bookmarkEnd w:id="584"/>
      <w:r>
        <w:rPr>
          <w:rtl w:val="true"/>
        </w:rPr>
        <w:t>مفهوم الحیاة</w:t>
      </w:r>
      <w:bookmarkEnd w:id="585"/>
    </w:p>
    <w:p>
      <w:pPr>
        <w:pStyle w:val="BookText"/>
        <w:rPr/>
      </w:pPr>
      <w:r>
        <w:rPr>
          <w:rFonts w:ascii="IRNazanin" w:hAnsi="IRNazanin" w:eastAsia="IRNazanin"/>
          <w:color w:val="111111"/>
          <w:sz w:val="28"/>
          <w:sz w:val="28"/>
          <w:szCs w:val="28"/>
          <w:rtl w:val="true"/>
          <w:lang w:bidi="fa-IR"/>
        </w:rPr>
        <w:t>تمتاز الحیاة التی یبقی کنهها محیراً،بخصیصتین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و القابلیة،حیث یعتمد مقدار غزارتها علی نسبة المعرفة التی یتحلّی بها الإنسان،وترتبط مدی حیویتها بنسبة حرکته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فبإمکان المسلمین أن یعیشوا حیاة خصبة حینما یکونوا مصداقاً لقوله تعالی</w:t>
      </w:r>
      <w:r>
        <w:rPr>
          <w:rFonts w:eastAsia="IRNazanin" w:cs="IRNazanin"/>
          <w:color w:val="111111"/>
          <w:sz w:val="28"/>
          <w:szCs w:val="28"/>
          <w:rtl w:val="true"/>
          <w:lang w:bidi="fa-IR"/>
        </w:rPr>
        <w:t>:</w:t>
      </w:r>
    </w:p>
    <w:p>
      <w:pPr>
        <w:pStyle w:val="Heading3"/>
        <w:numPr>
          <w:ilvl w:val="2"/>
          <w:numId w:val="1"/>
        </w:numPr>
        <w:rPr/>
      </w:pPr>
      <w:bookmarkStart w:id="586" w:name="__RefHeading___Toc2109132_581953129"/>
      <w:bookmarkStart w:id="587" w:name="_Toc227"/>
      <w:bookmarkEnd w:id="586"/>
      <w:r>
        <w:rPr>
          <w:rtl w:val="true"/>
        </w:rPr>
        <w:t>لینذر من کان حیا</w:t>
      </w:r>
      <w:r>
        <w:rPr>
          <w:rtl w:val="true"/>
        </w:rPr>
        <w:t>...</w:t>
      </w:r>
      <w:bookmarkEnd w:id="58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7"/>
      </w:r>
      <w:r>
        <w:rPr>
          <w:rFonts w:ascii="IRNazanin" w:hAnsi="IRNazanin" w:eastAsia="IRNazanin"/>
          <w:color w:val="111111"/>
          <w:sz w:val="28"/>
          <w:sz w:val="28"/>
          <w:szCs w:val="28"/>
          <w:rtl w:val="true"/>
          <w:lang w:bidi="fa-IR"/>
        </w:rPr>
        <w:t>حیث المعرفة الإسلامیة الأعمق و السعی الأوفر لتحقیق أهدافهم وتعالیمهم،ففی مثل هذه الحالة فقط تتجدد حیاة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بإمکان مجرد توجیه النقد للحضارة و الثقافة الاُوروبیة و الثناء و الإطراء علی الثقافة و الحضارة الإسلامیة،وتخیل أنّ الثقافة الإسلامیة وروح الإسلام الصحیحة هو ما نحن علیه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یوصلنا إلی ما نبغیه أو یعید لنا الحضارة الإسلامیة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العمل؟و هو سؤال أساسی سعی الکثیر من المفکّرین و الموالین للإسلام</w:t>
      </w:r>
      <w:bookmarkStart w:id="588" w:name="pg5469_34918"/>
    </w:p>
    <w:p>
      <w:pPr>
        <w:pStyle w:val="BookText"/>
        <w:rPr/>
      </w:pPr>
      <w:bookmarkEnd w:id="588"/>
      <w:r>
        <w:rPr>
          <w:rFonts w:ascii="IRNazanin" w:hAnsi="IRNazanin" w:eastAsia="IRNazanin"/>
          <w:color w:val="111111"/>
          <w:sz w:val="28"/>
          <w:sz w:val="28"/>
          <w:szCs w:val="28"/>
          <w:rtl w:val="true"/>
          <w:lang w:bidi="fa-IR"/>
        </w:rPr>
        <w:t>الوصول إلی جواب شافٍ له،فقد سعی السید جمال الدین الأفغانی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الرحمان الکواکبی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ومصطفی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الطباطبائی وکثیرون غیرهم لدراسة هذا المعضل من زوایاه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لا شکّ فیه،أنّ دراسة وتحلیل مثل هکذا موضوع وبأبعاده المختلفة یعدّ عملاً شاقاً یتّطلب فسحة أکبر ممّا نحن فی صدده،ولکنّنا سنسعی فی ذات الوقت وضع جواب مناسب للخطوات الواجب اتباعها لإحیاء الحضارة الإسلامیة،بین أیدی الباحثین،وذلک من خلال أربعة محاور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یستحقّ الذکر هو أنّ بعض الموارد تمثل ممهدات وأرضیة للإحیاء،وبعضها الآخر یمثل عوامل للإحیاء،ولکن بما أنّ من السهولة بمکان إرجاع کلّ منها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فسنبحثها جمیعاً تحت عنوان عوامل إحیاء الحضارة الإسلامیة</w:t>
      </w:r>
      <w:r>
        <w:rPr>
          <w:rFonts w:eastAsia="IRNazanin" w:cs="IRNazanin"/>
          <w:color w:val="111111"/>
          <w:sz w:val="28"/>
          <w:szCs w:val="28"/>
          <w:rtl w:val="true"/>
          <w:lang w:bidi="fa-IR"/>
        </w:rPr>
        <w:t>.</w:t>
      </w:r>
    </w:p>
    <w:p>
      <w:pPr>
        <w:pStyle w:val="Heading3"/>
        <w:numPr>
          <w:ilvl w:val="2"/>
          <w:numId w:val="1"/>
        </w:numPr>
        <w:rPr/>
      </w:pPr>
      <w:bookmarkStart w:id="589" w:name="__RefHeading___Toc2109134_581953129"/>
      <w:bookmarkStart w:id="590" w:name="_Toc228"/>
      <w:bookmarkEnd w:id="589"/>
      <w:r>
        <w:rPr>
          <w:rtl w:val="true"/>
        </w:rPr>
        <w:t>عوامل إحیاء الحضارة الإسلامیة</w:t>
      </w:r>
      <w:bookmarkEnd w:id="590"/>
    </w:p>
    <w:p>
      <w:pPr>
        <w:pStyle w:val="Heading4"/>
        <w:numPr>
          <w:ilvl w:val="3"/>
          <w:numId w:val="1"/>
        </w:numPr>
        <w:rPr/>
      </w:pPr>
      <w:bookmarkStart w:id="591" w:name="__RefHeading___Toc2109136_581953129"/>
      <w:bookmarkStart w:id="592" w:name="_Toc229"/>
      <w:bookmarkEnd w:id="591"/>
      <w:r>
        <w:rPr>
          <w:rtl w:val="true"/>
        </w:rPr>
        <w:t>أ</w:t>
      </w:r>
      <w:r>
        <w:rPr>
          <w:rtl w:val="true"/>
        </w:rPr>
        <w:t>)</w:t>
      </w:r>
      <w:r>
        <w:rPr>
          <w:rtl w:val="true"/>
        </w:rPr>
        <w:t>الوعی</w:t>
      </w:r>
      <w:bookmarkEnd w:id="592"/>
    </w:p>
    <w:p>
      <w:pPr>
        <w:pStyle w:val="BookText"/>
        <w:rPr/>
      </w:pPr>
      <w:r>
        <w:rPr>
          <w:rFonts w:ascii="IRNazanin" w:hAnsi="IRNazanin" w:eastAsia="IRNazanin"/>
          <w:color w:val="111111"/>
          <w:sz w:val="28"/>
          <w:sz w:val="28"/>
          <w:szCs w:val="28"/>
          <w:rtl w:val="true"/>
          <w:lang w:bidi="fa-IR"/>
        </w:rPr>
        <w:t>علی المسلمین أن یعرفوا بأنّهم ابتعدوا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فالإقرار بالتقصیر و المسؤولیة هو بدایة الانطلاق فی خطّ الصحوة الإسلامیة،حیث إنّ الصحوة و الوعی ترکیب من حالتی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فالحیاء هو فی قبال الکرامة و العزّة التی وعد الله بها المؤمنین ویفتقدها المسلمون الیوم،والعزم إنّما یکون علی الإنابة إلی الإسلام وتعالیمه الأصیلة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المراد من العودة إلی الماضی و التراجع،و إنّما التوبة التاریخیة و التدارک و التعویض الاجتماعی،أی التفات الاُمة الإسلامیة إلی البون الشاسع الذی ابتعدت فیه عن المفاهیم و القیم الإسلامیة فی العقیدة و الأخلاق و العمل</w:t>
      </w:r>
      <w:bookmarkStart w:id="593" w:name="pg5469_34920"/>
    </w:p>
    <w:p>
      <w:pPr>
        <w:pStyle w:val="BookText"/>
        <w:rPr/>
      </w:pPr>
      <w:bookmarkEnd w:id="593"/>
      <w:r>
        <w:rPr>
          <w:rFonts w:ascii="IRNazanin" w:hAnsi="IRNazanin" w:eastAsia="IRNazanin"/>
          <w:color w:val="111111"/>
          <w:sz w:val="28"/>
          <w:sz w:val="28"/>
          <w:szCs w:val="28"/>
          <w:rtl w:val="true"/>
          <w:lang w:bidi="fa-IR"/>
        </w:rPr>
        <w:t>الاجتماعی،والسعی لتعویض تقصیرها القرون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وهدف هذه 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صناعة حضارة إسلامیة جدیدة قائمة علی الثقافة الإسلامیة الأصیلة من خلال استثمار جمیع التجارب البشریة ما دام بالإمکان توظیفها فی خدمة الإسلام وأحکامه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نقطة انطلاق مشروع إحیاء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یغلب ذلک علی وجود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وسیلة تتخذ للوصول إلی ذلک الهدف المنشود فسیکون الفشل مصیرها المحتوم إن لم تضع الوعی علی لائحة اولی أولویاتها</w:t>
      </w:r>
      <w:r>
        <w:rPr>
          <w:rFonts w:eastAsia="IRNazanin" w:cs="IRNazanin"/>
          <w:color w:val="111111"/>
          <w:sz w:val="28"/>
          <w:szCs w:val="28"/>
          <w:rtl w:val="true"/>
          <w:lang w:bidi="fa-IR"/>
        </w:rPr>
        <w:t>.</w:t>
      </w:r>
    </w:p>
    <w:p>
      <w:pPr>
        <w:pStyle w:val="Heading4"/>
        <w:numPr>
          <w:ilvl w:val="3"/>
          <w:numId w:val="1"/>
        </w:numPr>
        <w:rPr/>
      </w:pPr>
      <w:bookmarkStart w:id="594" w:name="__RefHeading___Toc2109138_581953129"/>
      <w:bookmarkStart w:id="595" w:name="_Toc230"/>
      <w:bookmarkEnd w:id="594"/>
      <w:r>
        <w:rPr>
          <w:rtl w:val="true"/>
        </w:rPr>
        <w:t>ب</w:t>
      </w:r>
      <w:r>
        <w:rPr>
          <w:rtl w:val="true"/>
        </w:rPr>
        <w:t>)</w:t>
      </w:r>
      <w:r>
        <w:rPr>
          <w:rtl w:val="true"/>
        </w:rPr>
        <w:t>العامل الثقافی</w:t>
      </w:r>
      <w:bookmarkEnd w:id="595"/>
    </w:p>
    <w:p>
      <w:pPr>
        <w:pStyle w:val="Heading5"/>
        <w:numPr>
          <w:ilvl w:val="4"/>
          <w:numId w:val="1"/>
        </w:numPr>
        <w:rPr/>
      </w:pPr>
      <w:bookmarkStart w:id="596" w:name="__RefHeading___Toc2109140_581953129"/>
      <w:bookmarkStart w:id="597" w:name="_Toc231"/>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یمکن استجلاء العامل الثقافی فی عدّة أبعاد</w:t>
      </w:r>
      <w:r>
        <w:rPr>
          <w:rFonts w:eastAsia="IRNazanin" w:cs="IRNazanin"/>
          <w:color w:val="111111"/>
          <w:sz w:val="28"/>
          <w:szCs w:val="28"/>
          <w:rtl w:val="true"/>
          <w:lang w:bidi="fa-IR"/>
        </w:rPr>
        <w:t>:</w:t>
      </w:r>
    </w:p>
    <w:p>
      <w:pPr>
        <w:pStyle w:val="Heading5"/>
        <w:numPr>
          <w:ilvl w:val="4"/>
          <w:numId w:val="1"/>
        </w:numPr>
        <w:rPr/>
      </w:pPr>
      <w:bookmarkStart w:id="598" w:name="__RefHeading___Toc2109142_581953129"/>
      <w:bookmarkStart w:id="599" w:name="_Toc232"/>
      <w:bookmarkEnd w:id="598"/>
      <w:r>
        <w:rPr/>
        <w:t>1</w:t>
      </w:r>
      <w:r>
        <w:rPr>
          <w:rtl w:val="true"/>
        </w:rPr>
        <w:t>-</w:t>
      </w:r>
      <w:r>
        <w:rPr>
          <w:rtl w:val="true"/>
        </w:rPr>
        <w:t>إعادة قراءة التعالیم الدینیة</w:t>
      </w:r>
      <w:bookmarkEnd w:id="599"/>
    </w:p>
    <w:p>
      <w:pPr>
        <w:pStyle w:val="BookText"/>
        <w:rPr/>
      </w:pPr>
      <w:r>
        <w:rPr>
          <w:rFonts w:ascii="IRNazanin" w:hAnsi="IRNazanin" w:eastAsia="IRNazanin"/>
          <w:color w:val="111111"/>
          <w:sz w:val="28"/>
          <w:sz w:val="28"/>
          <w:szCs w:val="28"/>
          <w:rtl w:val="true"/>
          <w:lang w:bidi="fa-IR"/>
        </w:rPr>
        <w:t>یتّطلب إحیاء الحضارة الإسلامیة إعادة دراسة التعالیم الدینیة بالشکل الذی لا ینأی بها بعیداً عن الحیاة المعاصرة،وبالطبع فإنّ ذلک لا یعنی إفراغ المفاهیم من جوهرها الحقیقی،و إنّما ینبغی دراسة تلک المفاهیم بالشکل الذی یجمع بین العقلانیة 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مع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مع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مفاهیم بوجهین،وجه إبداعی ووجه اصولی،الاُصولیة الحقیقیة لا التحجر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الإبداع المتین لا الابتداع المهین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أخطر المسائل التی تواجه المفاهیم و التعالیم الإسلامیة هو خواؤها من تعریف جامع ومنظم،والنظر إلیها باعتبارها أجزاء مبعثرة ومتناثرة،والتعامل معها بانتقائیة مفرطة،فلم ینظر فی السابق وللأسف الشدید إلی المفاهیم و التعالیم بنظرة جامعة مترابطة،و هذا ما جعل الأضواء تتسلط علی بعض المفاهیم ویترکّز علیها الاهتمام مع أنّها ربّما تکون هامشیة،أمّا المفاهیم التی أعارها الإسلام کامل اهتمامه</w:t>
      </w:r>
      <w:bookmarkStart w:id="600" w:name="pg5469_34922"/>
    </w:p>
    <w:p>
      <w:pPr>
        <w:pStyle w:val="BookText"/>
        <w:rPr/>
      </w:pPr>
      <w:bookmarkEnd w:id="600"/>
      <w:r>
        <w:rPr>
          <w:rFonts w:ascii="IRNazanin" w:hAnsi="IRNazanin" w:eastAsia="IRNazanin"/>
          <w:color w:val="111111"/>
          <w:sz w:val="28"/>
          <w:sz w:val="28"/>
          <w:szCs w:val="28"/>
          <w:rtl w:val="true"/>
          <w:lang w:bidi="fa-IR"/>
        </w:rPr>
        <w:t>وعنایته فإنّها توضع فی درج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تفسر بعض التعالیم بشکل یتناقض و التعالیم الإسلامیة الاُخری،و هذا ما یؤدّی إلی أن یبدو الإسلام بأنّه دین غیر علمی وغیر مفهوم یفتقد القدرة علی منافسة ومنافحة الحضارات الغازیة</w:t>
      </w:r>
      <w:r>
        <w:rPr>
          <w:rFonts w:eastAsia="IRNazanin" w:cs="IRNazanin"/>
          <w:color w:val="111111"/>
          <w:sz w:val="28"/>
          <w:szCs w:val="28"/>
          <w:rtl w:val="true"/>
          <w:lang w:bidi="fa-IR"/>
        </w:rPr>
        <w:t>.</w:t>
      </w:r>
    </w:p>
    <w:p>
      <w:pPr>
        <w:pStyle w:val="Heading5"/>
        <w:numPr>
          <w:ilvl w:val="4"/>
          <w:numId w:val="1"/>
        </w:numPr>
        <w:rPr/>
      </w:pPr>
      <w:bookmarkStart w:id="601" w:name="__RefHeading___Toc2109144_581953129"/>
      <w:bookmarkStart w:id="602" w:name="_Toc233"/>
      <w:bookmarkEnd w:id="601"/>
      <w:r>
        <w:rPr/>
        <w:t>2</w:t>
      </w:r>
      <w:r>
        <w:rPr>
          <w:rtl w:val="true"/>
        </w:rPr>
        <w:t>-</w:t>
      </w:r>
      <w:r>
        <w:rPr>
          <w:rtl w:val="true"/>
        </w:rPr>
        <w:t>استثمار آلیة الاجتهاد</w:t>
      </w:r>
      <w:bookmarkEnd w:id="602"/>
    </w:p>
    <w:p>
      <w:pPr>
        <w:pStyle w:val="BookText"/>
        <w:rPr/>
      </w:pPr>
      <w:r>
        <w:rPr>
          <w:rFonts w:ascii="IRNazanin" w:hAnsi="IRNazanin" w:eastAsia="IRNazanin"/>
          <w:color w:val="111111"/>
          <w:sz w:val="28"/>
          <w:sz w:val="28"/>
          <w:szCs w:val="28"/>
          <w:rtl w:val="true"/>
          <w:lang w:bidi="fa-IR"/>
        </w:rPr>
        <w:t>إنّ التغیرات و التطوّرات التی طالت المجتمعات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أوجدت أنظمة تتقاطع مع النظام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وطرحت أسئلة جدیدة تحرج الإسلام فی مفهومه التقلیدی،و هذا ما یتّطلب إبداع أجوبة تتماشی وتتکافأ وتتوازی و هذه التطوّرات،حیث لا یمکن التوفر علی مثل هذه المهمّة من دون وجود اجتهاد واستیعاب إسلامی قادر علی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التجزئة و التحلیل،ورفض أو قبول المفاهیم المستجدة و المستحدثة فی عالم الیوم و الحضارة المهیمنة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فی هذا الإطار من أنّ القرآن یمثل مصدراً عظیماً ومهمّاً لهذا الاجتهاد،تؤدّی الغفلة عنه إلی الابتعاد عن الاُصول الأولیة و الأساسیة لثقافة الإسلام الثریة</w:t>
      </w:r>
      <w:r>
        <w:rPr>
          <w:rFonts w:eastAsia="IRNazanin" w:cs="IRNazanin"/>
          <w:color w:val="111111"/>
          <w:sz w:val="28"/>
          <w:szCs w:val="28"/>
          <w:rtl w:val="true"/>
          <w:lang w:bidi="fa-IR"/>
        </w:rPr>
        <w:t>.</w:t>
      </w:r>
    </w:p>
    <w:p>
      <w:pPr>
        <w:pStyle w:val="Heading5"/>
        <w:numPr>
          <w:ilvl w:val="4"/>
          <w:numId w:val="1"/>
        </w:numPr>
        <w:rPr/>
      </w:pPr>
      <w:bookmarkStart w:id="603" w:name="__RefHeading___Toc2109146_581953129"/>
      <w:bookmarkStart w:id="604" w:name="_Toc234"/>
      <w:bookmarkEnd w:id="603"/>
      <w:r>
        <w:rPr/>
        <w:t>3</w:t>
      </w:r>
      <w:r>
        <w:rPr>
          <w:rtl w:val="true"/>
        </w:rPr>
        <w:t>-</w:t>
      </w:r>
      <w:r>
        <w:rPr>
          <w:rtl w:val="true"/>
        </w:rPr>
        <w:t>الاهتمام بالجانب الاجتماعی للثقافة الإسلامیة</w:t>
      </w:r>
      <w:bookmarkEnd w:id="60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الالتفات إلی أنّ تعالیم الإسلام لا تنحصر وتختّص فی الأعمال الفردیة،الأمر الذی یجعلها غیر قادرة علی مواکبة النشاطات الاجتماعیة و التأثیر المباشر فیها،إذ إنّ التعالیم القرآنیة تغطی الساحة الاجتماعیة أیضاً،وتأخذ فی الاعتبار جمیع أبعادها المختلفة،فالآیات القرآنیة اهتمبت وعالجت المسألة الاجتماعیة باعتبارها موضوعاً مستقلاً وعنواناً مهمّاً،حیث دعت الناس بترکیبتهم الاجتماعیة للانطلاق نحو حیاة سعیدة وطاهرة</w:t>
      </w:r>
      <w:r>
        <w:rPr>
          <w:rFonts w:eastAsia="IRNazanin" w:cs="IRNazanin"/>
          <w:color w:val="111111"/>
          <w:sz w:val="28"/>
          <w:szCs w:val="28"/>
          <w:rtl w:val="true"/>
          <w:lang w:bidi="fa-IR"/>
        </w:rPr>
        <w:t>.</w:t>
      </w:r>
      <w:bookmarkStart w:id="605" w:name="pg5469_34924"/>
    </w:p>
    <w:p>
      <w:pPr>
        <w:pStyle w:val="BookText"/>
        <w:rPr/>
      </w:pPr>
      <w:bookmarkEnd w:id="605"/>
      <w:r>
        <w:rPr>
          <w:rStyle w:val="FootnoteAnchor"/>
          <w:rtl w:val="true"/>
        </w:rPr>
        <w:footnoteReference w:id="468"/>
      </w:r>
      <w:r>
        <w:rPr>
          <w:rFonts w:ascii="IRNazanin" w:hAnsi="IRNazanin" w:eastAsia="IRNazanin"/>
          <w:color w:val="111111"/>
          <w:sz w:val="28"/>
          <w:sz w:val="28"/>
          <w:szCs w:val="28"/>
          <w:rtl w:val="true"/>
          <w:lang w:bidi="fa-IR"/>
        </w:rPr>
        <w:t>حیث إنّ مواضیع أمثال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بالمعروف و النهی عن المنکر تحدث وتقع جمیعها علی بساط الحیاة الاجتماعیة،فلا ینبغی استغفالها وإلغاؤها فی مهمّة وعملیة إحیاء الحضارة الإسلامیة</w:t>
      </w:r>
      <w:r>
        <w:rPr>
          <w:rFonts w:eastAsia="IRNazanin" w:cs="IRNazanin"/>
          <w:color w:val="111111"/>
          <w:sz w:val="28"/>
          <w:szCs w:val="28"/>
          <w:rtl w:val="true"/>
          <w:lang w:bidi="fa-IR"/>
        </w:rPr>
        <w:t>.</w:t>
      </w:r>
    </w:p>
    <w:p>
      <w:pPr>
        <w:pStyle w:val="Heading5"/>
        <w:numPr>
          <w:ilvl w:val="4"/>
          <w:numId w:val="1"/>
        </w:numPr>
        <w:rPr/>
      </w:pPr>
      <w:bookmarkStart w:id="606" w:name="__RefHeading___Toc2109148_581953129"/>
      <w:bookmarkStart w:id="607" w:name="_Toc235"/>
      <w:bookmarkEnd w:id="606"/>
      <w:r>
        <w:rPr/>
        <w:t>4</w:t>
      </w:r>
      <w:r>
        <w:rPr>
          <w:rtl w:val="true"/>
        </w:rPr>
        <w:t>-</w:t>
      </w:r>
      <w:r>
        <w:rPr>
          <w:rtl w:val="true"/>
        </w:rPr>
        <w:t>الاهتمام بالتنظیر وإنتاج العلم</w:t>
      </w:r>
      <w:bookmarkEnd w:id="607"/>
    </w:p>
    <w:p>
      <w:pPr>
        <w:pStyle w:val="BookText"/>
        <w:rPr/>
      </w:pPr>
      <w:r>
        <w:rPr>
          <w:rFonts w:ascii="IRNazanin" w:hAnsi="IRNazanin" w:eastAsia="IRNazanin"/>
          <w:color w:val="111111"/>
          <w:sz w:val="28"/>
          <w:sz w:val="28"/>
          <w:szCs w:val="28"/>
          <w:rtl w:val="true"/>
          <w:lang w:bidi="fa-IR"/>
        </w:rPr>
        <w:t>الأمر الذی لا شکّ فیه هو أنّ العلم یمثل أقوی الوسائل و العوامل و العناصر الحضاریة فی عصرنا الراهن،فإذا لم تستطع الثقافة و المذهب طرح نظریات جذابة مستدلَّة وکفوءة وفریدة،فمن المستحیل أن تتمکّن من إحیاء أی حضارة،فتکریم العلم و العلماء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وتقویة البواعث الأخلاقیة و النظریة لدی العلماء من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وتنقیة وغربلة العلم من آفاته فی العالم الإسلامی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وتأسیس علوم إنسانیة وتجربیة جدیدة قائمة علی التعالیم الإسلامیة الأصیلة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الأمثل لبعث الحیاة فی الحضارة الإسلامیة من جدید</w:t>
      </w:r>
      <w:r>
        <w:rPr>
          <w:rFonts w:eastAsia="IRNazanin" w:cs="IRNazanin"/>
          <w:color w:val="111111"/>
          <w:sz w:val="28"/>
          <w:szCs w:val="28"/>
          <w:rtl w:val="true"/>
          <w:lang w:bidi="fa-IR"/>
        </w:rPr>
        <w:t>.</w:t>
      </w:r>
    </w:p>
    <w:p>
      <w:pPr>
        <w:pStyle w:val="Heading5"/>
        <w:numPr>
          <w:ilvl w:val="4"/>
          <w:numId w:val="1"/>
        </w:numPr>
        <w:rPr/>
      </w:pPr>
      <w:bookmarkStart w:id="608" w:name="__RefHeading___Toc2109150_581953129"/>
      <w:bookmarkStart w:id="609" w:name="_Toc236"/>
      <w:bookmarkEnd w:id="608"/>
      <w:r>
        <w:rPr/>
        <w:t>5</w:t>
      </w:r>
      <w:r>
        <w:rPr>
          <w:rtl w:val="true"/>
        </w:rPr>
        <w:t>-</w:t>
      </w:r>
      <w:r>
        <w:rPr>
          <w:rtl w:val="true"/>
        </w:rPr>
        <w:t>إشاعة أجواء الحوار وتبادل الأفکار</w:t>
      </w:r>
      <w:bookmarkEnd w:id="60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عن الإنسان أنّه موجود مفکّر،ترتهن سعادته وشقاؤه فی کیفیة توظیفه فکره،ولهذا السبب بالذات اتبع الوحی الإلهی الذی جاء لهدایته،اُسلوب التفکّر هذا لاطلاعه علی مصالحه المادیة و المعنویة وفتح نوافذ السعادة بوجهه من خلال سیره فی طریق التعقّل و التفکّر،وإیجاد الحافز و الرغبة القلبیة،لیفهم بفکره ویتّجه نحو ما فهمه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کانت مسألة إیقاظ الأفکار واستفزاز العقول من أولویات برامج الأنبیاء</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فلو تعرّضت المنزلة الإنسانیة الرفیعة التی ارتکزت علی التفکّر لانتکاسة،فسیؤدی ذلک إلی نتائج مؤلمة واضطرابات غیر محمودة تصیب تلک المنزلة خاصّة وتصیب المجتمع البشری عامّة،هذا مع الأخذ بنظر الاعتبار أنّ اختلاف الأفکار فیما بین الناس یعدّ من الاُمور الفطریة التی جبلت علیها المجتمعات البشریة</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إنّ الثقافة الإسلامیة ولأجل أن تساوق بین احترام الفکر و التعقل من جهة،وعدم الطعن باختلاف الأفکار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اهتمّت کمال الاهتمام بمسألة و و،وجعلت ذلک مسؤولیة تقع علی عاتق صاحب کلّ فکر ووظیفة تتوجّه لکلّ ذی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أمیر المؤمنین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شاور ذوی الألباب دل علی الرشاد،ونال النصح ممن قبله</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فمن وجهة نظر أمیر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جمع الآراء ونقدها وتحلیلها یهدی الإنسان إلی الحقّ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امخضوا الرأی مخض السقاء ینتج سدید الآراء</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وضع القیود علی تبادل الأفکار ومنعها،لیس له نتیجة سوی جمود الطاقات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انتفاضة المجتمع وثورته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السطحیة وتوقف التطوّر والاستسلام و الرکود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إضافة إلی عدم مساهمته فی إحیاء الحضارة الإسلامیة،فإنّه یؤدّی إلی استمرار أفولها أیضاً،فلو فاعل العلماء و المفکّرین بین عقولهم ومهدوا لأجواء التبادل الفکری من خلال مراعاة أسالیب الحوار وطلب الحقیقة واتباع العقل و التحرر الفکری والانسجام القِیمی وسهولة العریکة وتحمل الأفکار، </w:t>
      </w:r>
      <w:r>
        <w:rPr>
          <w:rStyle w:val="FootnoteAnchor"/>
          <w:rtl w:val="true"/>
        </w:rPr>
        <w:footnoteReference w:id="473"/>
      </w:r>
      <w:r>
        <w:rPr>
          <w:rFonts w:ascii="IRNazanin" w:hAnsi="IRNazanin" w:eastAsia="IRNazanin"/>
          <w:color w:val="111111"/>
          <w:sz w:val="28"/>
          <w:sz w:val="28"/>
          <w:szCs w:val="28"/>
          <w:rtl w:val="true"/>
          <w:lang w:bidi="fa-IR"/>
        </w:rPr>
        <w:t>فإنهم</w:t>
      </w:r>
      <w:bookmarkStart w:id="610" w:name="pg5469_34928"/>
    </w:p>
    <w:p>
      <w:pPr>
        <w:pStyle w:val="BookText"/>
        <w:rPr/>
      </w:pPr>
      <w:bookmarkEnd w:id="610"/>
      <w:r>
        <w:rPr>
          <w:rFonts w:ascii="IRNazanin" w:hAnsi="IRNazanin" w:eastAsia="IRNazanin"/>
          <w:color w:val="111111"/>
          <w:sz w:val="28"/>
          <w:sz w:val="28"/>
          <w:szCs w:val="28"/>
          <w:rtl w:val="true"/>
          <w:lang w:bidi="fa-IR"/>
        </w:rPr>
        <w:t>سیفتحون طریقا کبری ومُحکمة وعمیقة لإحیاء الحضارة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الالتفات إلی أنّه من غیر الممکن إقامة علاقات مع الآخرین،مع افتقاد القابلیة علی الاستماع إلی الآراء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سیضطرنا،إضافة إلی زوال روح التآلف و التعاون،إلی الانزلاق فی العصبیة و النعرات الطائفیة و العنصریة،والأسوأ من ذلک ترجیح لغة العنف علی لغة البحث و الحوار</w:t>
      </w:r>
      <w:r>
        <w:rPr>
          <w:rFonts w:eastAsia="IRNazanin" w:cs="IRNazanin"/>
          <w:color w:val="111111"/>
          <w:sz w:val="28"/>
          <w:szCs w:val="28"/>
          <w:rtl w:val="true"/>
          <w:lang w:bidi="fa-IR"/>
        </w:rPr>
        <w:t>.</w:t>
      </w:r>
    </w:p>
    <w:p>
      <w:pPr>
        <w:pStyle w:val="Heading5"/>
        <w:numPr>
          <w:ilvl w:val="4"/>
          <w:numId w:val="1"/>
        </w:numPr>
        <w:rPr/>
      </w:pPr>
      <w:bookmarkStart w:id="611" w:name="__RefHeading___Toc2109152_581953129"/>
      <w:bookmarkStart w:id="612" w:name="_Toc237"/>
      <w:bookmarkEnd w:id="611"/>
      <w:r>
        <w:rPr/>
        <w:t>6</w:t>
      </w:r>
      <w:r>
        <w:rPr>
          <w:rtl w:val="true"/>
        </w:rPr>
        <w:t>-</w:t>
      </w:r>
      <w:r>
        <w:rPr>
          <w:rtl w:val="true"/>
        </w:rPr>
        <w:t>التسامح المذهبی</w:t>
      </w:r>
      <w:bookmarkEnd w:id="6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ولأجل الحفاظ علی نقاء وصفاء المجتمع الذی نسجت علائقه الاعتقاد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بعض التدابیر لیسدّ الطریق علی نفوذ واستیلاء غیر المسلمین علی المسلمین، </w:t>
      </w:r>
      <w:r>
        <w:rPr>
          <w:rStyle w:val="FootnoteAnchor"/>
          <w:rtl w:val="true"/>
        </w:rPr>
        <w:footnoteReference w:id="474"/>
      </w:r>
      <w:r>
        <w:rPr>
          <w:rFonts w:ascii="IRNazanin" w:hAnsi="IRNazanin" w:eastAsia="IRNazanin"/>
          <w:color w:val="111111"/>
          <w:sz w:val="28"/>
          <w:sz w:val="28"/>
          <w:szCs w:val="28"/>
          <w:rtl w:val="true"/>
          <w:lang w:bidi="fa-IR"/>
        </w:rPr>
        <w:t xml:space="preserve">ولکن اعتبر القرآن فی ذات الوقت،أنّ المداراة و التعایش مع أتباع الدیانات و المذاهب أمراً ضروریاً ما داموا لم یجاهروا بمحاولة استیلائهم وغلبتهم علی الإسلام،أنّ عدم الإجبار علی قبول الإسلام یحکی عن نوع من المداراة التی ینتهجها الإسلام مع الاتجاهات الدینیة و الفکریة الاُخری التی تعیش فی أکناف المجتمع الإسلامی، </w:t>
      </w:r>
      <w:r>
        <w:rPr>
          <w:rStyle w:val="FootnoteAnchor"/>
          <w:rtl w:val="true"/>
        </w:rPr>
        <w:footnoteReference w:id="475"/>
      </w:r>
      <w:r>
        <w:rPr>
          <w:rFonts w:ascii="IRNazanin" w:hAnsi="IRNazanin" w:eastAsia="IRNazanin"/>
          <w:color w:val="111111"/>
          <w:sz w:val="28"/>
          <w:sz w:val="28"/>
          <w:szCs w:val="28"/>
          <w:rtl w:val="true"/>
          <w:lang w:bidi="fa-IR"/>
        </w:rPr>
        <w:t>و أنّ التبلیغ و الدعوة فی الثقافة القرآنیة تقوم علی أساس الحوار و المنطق و الحکمة و الجدال بالتی هی أخسن و الدعوة إلی الاجتماع علی المشترکات بین الفِرق و المذاهب</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 أنّ الدعوة إلی التسامح مع الکافرین و الإحسان إلیهم علامة بارزة علی التسامح المذهبی فی الثقافة الإسلامیة</w:t>
      </w:r>
      <w:r>
        <w:rPr>
          <w:rFonts w:eastAsia="IRNazanin" w:cs="IRNazanin"/>
          <w:color w:val="111111"/>
          <w:sz w:val="28"/>
          <w:szCs w:val="28"/>
          <w:rtl w:val="true"/>
          <w:lang w:bidi="fa-IR"/>
        </w:rPr>
        <w:t xml:space="preserve">. </w:t>
      </w:r>
      <w:r>
        <w:rPr>
          <w:rStyle w:val="FootnoteAnchor"/>
          <w:rtl w:val="true"/>
        </w:rPr>
        <w:footnoteReference w:id="477"/>
      </w:r>
      <w:bookmarkStart w:id="613" w:name="pg5469_34930"/>
    </w:p>
    <w:p>
      <w:pPr>
        <w:pStyle w:val="Heading4"/>
        <w:numPr>
          <w:ilvl w:val="3"/>
          <w:numId w:val="1"/>
        </w:numPr>
        <w:rPr/>
      </w:pPr>
      <w:bookmarkStart w:id="614" w:name="__RefHeading___Toc2109154_581953129"/>
      <w:bookmarkStart w:id="615" w:name="_Toc238"/>
      <w:bookmarkEnd w:id="613"/>
      <w:bookmarkEnd w:id="614"/>
      <w:r>
        <w:rPr>
          <w:rtl w:val="true"/>
        </w:rPr>
        <w:t>ج</w:t>
      </w:r>
      <w:r>
        <w:rPr>
          <w:rtl w:val="true"/>
        </w:rPr>
        <w:t>)</w:t>
      </w:r>
      <w:r>
        <w:rPr>
          <w:rtl w:val="true"/>
        </w:rPr>
        <w:t>العامل الإنسانی</w:t>
      </w:r>
      <w:bookmarkEnd w:id="615"/>
    </w:p>
    <w:p>
      <w:pPr>
        <w:pStyle w:val="BookText"/>
        <w:rPr/>
      </w:pPr>
      <w:r>
        <w:rPr>
          <w:rFonts w:ascii="IRNazanin" w:hAnsi="IRNazanin" w:eastAsia="IRNazanin"/>
          <w:color w:val="111111"/>
          <w:sz w:val="28"/>
          <w:sz w:val="28"/>
          <w:szCs w:val="28"/>
          <w:rtl w:val="true"/>
          <w:lang w:bidi="fa-IR"/>
        </w:rPr>
        <w:t>فکما سبق وأن مرّ علینا فی المقال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للعامل الإنسانی دوراً ممیزاً فی إنشاء ونشر الحضارة،فإذا ما أردنا للحضارة الإسلامیة أن تنفث وتنفخ فیها الروح من جدید،فمن الواجب تفعیل هذا العامل لیقوم بدوره الفاصل و الحاسم فی تفعیل باقی العوامل،وذلک من خلال عملیة التصفیة و التکریر الروحی و الفکری،وتصحیح البواعث و الحوافز،فلو أخذنا مجال إشاعة أجواء الحوار علی سبیل المثال،فإنّ مجرد الإحاطة بأهمّیتها وشروطها غیر کافٍ لتفعیلها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لمن أراد الاشتراک فی مثل هذا التبادل و التفاعل الفکری تشذیب وتهذیب نفسیته وبواعثه وعریکته وأخلاقه،بغیة التمکّن من تجسید هذه الظاهرة بشکلها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سنشیر إلیه أدناه،یعد من أخطر الآفات التی تطال البحث الفکری فی خصوص العامل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محوریة الشخصیة بدل محوریة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الشخصیة بدل نقد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الصدام بدل التحلّی بالمنطق،التحلل الفکری بدل التحرر العملی،کما أنّ عدم التدرب و التروض علی سلوک وآداب المشارکة و التعاون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و المجتمع یؤدّی إلی أن یتّخذ تقییم الأفکار صفة تخریبیة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بنفسه ما یحول دون الاستفادة الصحیحة من مسألة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الکیفیة التی تجری من خلالها تضارب الآراء،وتَواجه وتقابل الأفکار فی مسألة مهمّة کمسألة یتمّ بطریقة تؤدّی بنفسها إلی رفض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فنلاحظ وللأسف،أنّ بعض مفکّری العالم الإسلامی متحررون فکریاً،لکنّهم لیسوا کذلک عملیاً،ولا ینبغی إغفال أنّ الجمود فی الفکر شیء و الجمود فی التعامل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فالمائز بین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إحدی العقد الغامضة فی مجال دراسة التیارات الفکریة فی العالم الإسلامی</w:t>
      </w:r>
      <w:r>
        <w:rPr>
          <w:rFonts w:eastAsia="IRNazanin" w:cs="IRNazanin"/>
          <w:color w:val="111111"/>
          <w:sz w:val="28"/>
          <w:szCs w:val="28"/>
          <w:rtl w:val="true"/>
          <w:lang w:bidi="fa-IR"/>
        </w:rPr>
        <w:t>.</w:t>
      </w:r>
      <w:bookmarkStart w:id="616" w:name="pg5469_34932"/>
    </w:p>
    <w:p>
      <w:pPr>
        <w:pStyle w:val="Heading4"/>
        <w:numPr>
          <w:ilvl w:val="3"/>
          <w:numId w:val="1"/>
        </w:numPr>
        <w:rPr/>
      </w:pPr>
      <w:bookmarkStart w:id="617" w:name="__RefHeading___Toc2109156_581953129"/>
      <w:bookmarkStart w:id="618" w:name="_Toc239"/>
      <w:bookmarkEnd w:id="616"/>
      <w:bookmarkEnd w:id="617"/>
      <w:r>
        <w:rPr>
          <w:rtl w:val="true"/>
        </w:rPr>
        <w:t>د</w:t>
      </w:r>
      <w:r>
        <w:rPr>
          <w:rtl w:val="true"/>
        </w:rPr>
        <w:t>)</w:t>
      </w:r>
      <w:r>
        <w:rPr>
          <w:rtl w:val="true"/>
        </w:rPr>
        <w:t>العامل السیاسی</w:t>
      </w:r>
      <w:bookmarkEnd w:id="618"/>
    </w:p>
    <w:p>
      <w:pPr>
        <w:pStyle w:val="BookText"/>
        <w:rPr/>
      </w:pPr>
      <w:r>
        <w:rPr>
          <w:rFonts w:ascii="IRNazanin" w:hAnsi="IRNazanin" w:eastAsia="IRNazanin"/>
          <w:color w:val="111111"/>
          <w:sz w:val="28"/>
          <w:sz w:val="28"/>
          <w:szCs w:val="28"/>
          <w:rtl w:val="true"/>
          <w:lang w:bidi="fa-IR"/>
        </w:rPr>
        <w:t>لیس بإمکان الحضارة أن تتبلور من دون حکومة،فهذه حقیقة تُعلمُناها الأحداث التاریخیة المهمّة،فإذا کنّا نرید إحیاء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سیکون مجرد ضرب خیال لیس إلّا،من دون إحیاء الفلسفة السیاسیة حسب رؤیة الإسلام و الفکر السیاسی للإسلام وتأسیس دولة وحکومة تنسجم مع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فالسلطة فی هذا العالم المعاصر هی التی تهیئ 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الأدوات و الممهدات الأساسیة لإعادة الحضارة الإسلامیة ونشرها ودعمها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فتکوین مثل هذه السلطة فی العصر الحاضر،والتی تستطیع مواکبة تعدد الدول فی ذات کونها ساحة للإعداد للحکومة العالمیة للإسلام،یعد إحیاء لظاهرة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تؤکّد التعالیم القرآنیة علی أنّ عالم الوجود وأفراد النوع الإنسانی هم بدائع وصنائع الله الواحد الأحد،و أنّ طبیعة الإنسان هی مظهر الروح الإلهیة التی ستعود وترجع إلیه أیضاً</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تسمح الآیات القرآنیة فی أن تکون القومیة أساساً للتکوین الاجتماعی، </w:t>
      </w:r>
      <w:r>
        <w:rPr>
          <w:rStyle w:val="FootnoteAnchor"/>
          <w:rtl w:val="true"/>
        </w:rPr>
        <w:footnoteReference w:id="479"/>
      </w:r>
      <w:r>
        <w:rPr>
          <w:rFonts w:ascii="IRNazanin" w:hAnsi="IRNazanin" w:eastAsia="IRNazanin"/>
          <w:color w:val="111111"/>
          <w:sz w:val="28"/>
          <w:sz w:val="28"/>
          <w:szCs w:val="28"/>
          <w:rtl w:val="true"/>
          <w:lang w:bidi="fa-IR"/>
        </w:rPr>
        <w:t>إذ إنّ مثل هکذا أمر یؤدّی إلی أن تتخذ کلّ فئة من الناس وطناً خاصّاً بها تنفصل فیه عن المجتمعات الاُخری،ممّا یحول دون وحدتهم واجتماعهم،فیقعون فی ما هم فارین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التشتت و التفرق و التباعد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الفئة القومیة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تتعامل مع سائر الفئات الاجتماعیة الاُخری،کما یتعامل الإنسان مع سائر الأشیاء التی یحویها الوجود،أی کما أنّ الإنسان یوظف ویستثمر باقی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الفئة الاجتماعیة توظف وتستغل أیضاً المکونات</w:t>
      </w:r>
    </w:p>
    <w:p>
      <w:pPr>
        <w:pStyle w:val="BookText"/>
        <w:rPr/>
      </w:pPr>
      <w:r>
        <w:rPr>
          <w:rFonts w:ascii="IRNazanin" w:hAnsi="IRNazanin" w:eastAsia="IRNazanin"/>
          <w:color w:val="111111"/>
          <w:sz w:val="28"/>
          <w:sz w:val="28"/>
          <w:szCs w:val="28"/>
          <w:rtl w:val="true"/>
          <w:lang w:bidi="fa-IR"/>
        </w:rPr>
        <w:t>الاجتماعیة الاُخری،حقیقة طالما تکررت علی امتداد التاریخ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النظرة القرآنیة ترید أن توصلنا إلی أنّ علینا تکوین امة واحدة ومجتمع واحد لا یبقی معه قیمة واعتبار للأبعاد الجغرافیة و الحدود السیاسیة،حیث یتوافد العالم کلّه علی دین واحد،أنّ هذه التعالیم الوحدویة و الشمولیة للإسلام تتطلب تکوین امة واحدة فیما لو ارید لعملیة العولمة أن تتحقّق،فبحسب رؤیة القرآن أنّ حد الثقافة الإسلامیة یتمثّل فی حقیقته بالاُمة الإسلامیة،فمفهوم فی القرآن إنّما یطلق علی الجماعة التی تسعی لهدف واحد فتجتمع علیه</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ولو أردنا تطبیقه علی الاُمة الإسلامیة فسیکون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العالمی الذی یختصّ بمجموعة کاملة من المسلمین الذین اتحدوا واجتمعوا علی الالتزام بالتعالیم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الاتجاه القرآنی فی خصوص الاُمة یرکز علی عنصر العقیدة واشتراک الأفراد فی المعتقدات الدینیة ویعطی ذلک أهمّیة خاصّة ما دام تحقّق قائماً علی مفهومه ذاک،حیث إنّ الإنسان وکرامته غالباً ما ترتبط فی المفهوم القرآنی بفکره وخلاقیة من أن ترتبط بمظاهر الحیاة المادیة،و هذا ما جعله ینظر إلی الاشتراک العقائدی للمسلمین کعنصر مهمّ لترابط المجتمعات الإسلامیة و الرکن الرکین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الکریم ینظر إلی المسلمین بمنظار الاشتراک فی العقیدة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والاُسرة الواحدة،ولا یعطی أی شرعیة لغیر ذلک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ونحوها، </w:t>
      </w:r>
      <w:r>
        <w:rPr>
          <w:rStyle w:val="FootnoteAnchor"/>
          <w:rtl w:val="true"/>
        </w:rPr>
        <w:footnoteReference w:id="481"/>
      </w:r>
      <w:r>
        <w:rPr>
          <w:rFonts w:ascii="IRNazanin" w:hAnsi="IRNazanin" w:eastAsia="IRNazanin"/>
          <w:color w:val="111111"/>
          <w:sz w:val="28"/>
          <w:sz w:val="28"/>
          <w:szCs w:val="28"/>
          <w:rtl w:val="true"/>
          <w:lang w:bidi="fa-IR"/>
        </w:rPr>
        <w:t>کما أنّ النبی الأکرم أکد وأقر 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کتاب من محمد بن عبد الله نبی المؤمنین قریش ویثرب ومن تبعهم ولحق بهم وجاهد معهم أنّهم امة واحدة من دون الناس</w:t>
      </w:r>
      <w:r>
        <w:rPr>
          <w:rFonts w:eastAsia="IRNazanin" w:cs="IRNazanin"/>
          <w:color w:val="111111"/>
          <w:sz w:val="28"/>
          <w:szCs w:val="28"/>
          <w:rtl w:val="true"/>
          <w:lang w:bidi="fa-IR"/>
        </w:rPr>
        <w:t xml:space="preserve">. </w:t>
      </w:r>
      <w:r>
        <w:rPr>
          <w:rStyle w:val="FootnoteAnchor"/>
          <w:rtl w:val="true"/>
        </w:rPr>
        <w:footnoteReference w:id="482"/>
      </w:r>
      <w:bookmarkStart w:id="619" w:name="pg5469_34936"/>
    </w:p>
    <w:p>
      <w:pPr>
        <w:pStyle w:val="BookText"/>
        <w:rPr/>
      </w:pPr>
      <w:bookmarkEnd w:id="619"/>
      <w:r>
        <w:rPr>
          <w:rFonts w:ascii="IRNazanin" w:hAnsi="IRNazanin" w:eastAsia="IRNazanin"/>
          <w:color w:val="111111"/>
          <w:sz w:val="28"/>
          <w:sz w:val="28"/>
          <w:szCs w:val="28"/>
          <w:rtl w:val="true"/>
          <w:lang w:bidi="fa-IR"/>
        </w:rPr>
        <w:t>إنّ التدقیق فی هذه العبارة یکشف عن حقیقة أنّ ظاهرة ترتکز علی قاعدة إرادة واختیار أعضائها،و أنّ الاشتراک العقائدی هو أحد أرکانها الذی یعتبره حقیقة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الاستنتاج یختلف و المفهوم غیر التوحیدی للاُمة الذی یقوم علی العلاقات المفروضة نظیر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القومیة وأضرابها</w:t>
      </w:r>
      <w:r>
        <w:rPr>
          <w:rFonts w:eastAsia="IRNazanin" w:cs="IRNazanin"/>
          <w:color w:val="111111"/>
          <w:sz w:val="28"/>
          <w:szCs w:val="28"/>
          <w:rtl w:val="true"/>
          <w:lang w:bidi="fa-IR"/>
        </w:rPr>
        <w:t xml:space="preserve">. </w:t>
      </w:r>
      <w:r>
        <w:rPr>
          <w:rStyle w:val="FootnoteAnchor"/>
          <w:rtl w:val="true"/>
        </w:rPr>
        <w:footnoteReference w:id="483"/>
      </w:r>
    </w:p>
    <w:p>
      <w:pPr>
        <w:pStyle w:val="Heading4"/>
        <w:numPr>
          <w:ilvl w:val="3"/>
          <w:numId w:val="1"/>
        </w:numPr>
        <w:rPr/>
      </w:pPr>
      <w:bookmarkStart w:id="620" w:name="__RefHeading___Toc2109158_581953129"/>
      <w:bookmarkStart w:id="621" w:name="_Toc240"/>
      <w:bookmarkEnd w:id="620"/>
      <w:r>
        <w:rPr>
          <w:rtl w:val="true"/>
        </w:rPr>
        <w:t>ه</w:t>
      </w:r>
      <w:r>
        <w:rPr>
          <w:rtl w:val="true"/>
        </w:rPr>
        <w:t>)</w:t>
      </w:r>
      <w:r>
        <w:rPr>
          <w:rtl w:val="true"/>
        </w:rPr>
        <w:t>العامل الاقتصادی</w:t>
      </w:r>
      <w:bookmarkEnd w:id="621"/>
    </w:p>
    <w:p>
      <w:pPr>
        <w:pStyle w:val="BookText"/>
        <w:rPr/>
      </w:pPr>
      <w:r>
        <w:rPr>
          <w:rFonts w:ascii="IRNazanin" w:hAnsi="IRNazanin" w:eastAsia="IRNazanin"/>
          <w:color w:val="111111"/>
          <w:sz w:val="28"/>
          <w:sz w:val="28"/>
          <w:szCs w:val="28"/>
          <w:rtl w:val="true"/>
          <w:lang w:bidi="fa-IR"/>
        </w:rPr>
        <w:t>ینبغی هنا العمل علی تصحیح نظرة المسلمین فی خصوص 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الدنیا،والثانیة العمل،حیث إنّ طبیعة النظرة إلی الدنیا تعدّ من أهمّ المسائل التی ترتبط بحیاة المجتمع وبُعدها الاقتصادی،فلو تمّ بیان هذه القضیة بنحو معقول فسیکون لها أبعد الأثر فی تطویر وتحسین العلاقات الاجتماعیة للناس ولأبعاد حیاتهم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تمّ تفسیرها بنحو غیر معقول،فإنّ ذلک سیؤدّی إلی الانحطاط الفردی والاجتماعی،کما قد وقع وحدث وتحقّق فی العالم الإسلامی،حیث شاهدنا ازدهار الإسلام و المسلمین تارة وانحطاطهم اخری،فالجذور التی استمدّ منها ذاک الرقی و هذا الانحطاط تقبع خلف هذه القضیة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تُصوّر الثقافة القرآنیة الدنیا علی أنّها ذمیمة وسیئة،و إنّما جاء المدح و الثناء علی خلق العالم ومن ضمنه الدنیا</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فکلّ من المخلوقات وبضمنها الدنیا تعتبر فی حدّ ذاتها مظهراً لأسمائه وصفاته تعالی، </w:t>
      </w:r>
      <w:r>
        <w:rPr>
          <w:rStyle w:val="FootnoteAnchor"/>
          <w:rtl w:val="true"/>
        </w:rPr>
        <w:footnoteReference w:id="485"/>
      </w:r>
      <w:r>
        <w:rPr>
          <w:rFonts w:ascii="IRNazanin" w:hAnsi="IRNazanin" w:eastAsia="IRNazanin"/>
          <w:color w:val="111111"/>
          <w:sz w:val="28"/>
          <w:sz w:val="28"/>
          <w:szCs w:val="28"/>
          <w:rtl w:val="true"/>
          <w:lang w:bidi="fa-IR"/>
        </w:rPr>
        <w:t>ولکن ورد فی ذات الوقت التأنیب و التوبیخ علی التعلّق بالدنیا،هذا التعلّق المستمَدّ من الأفعال و الصفات و الملکات الاختیاریة للإنسان،فالإنسان بحسب رؤیة القرآن إذا کان شدید الحبّ للدنیا وافترض أنّها غایته فی هذا</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وسیلة وساحة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قد خسر خسراناً مبیناً</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فالدنیا وفق الرؤیة القرآنیة تعبّر عن میدان للعمل ولیست غایة للإنسان،أی أنّ الإسلام لا یسبغ علی الدنیا صفة الهدف المثالی و الکمال المأمول،و إنّما یعتبرها وسیلة للوصول للهدف المعرفی الأرقی، </w:t>
      </w:r>
      <w:r>
        <w:rPr>
          <w:rStyle w:val="FootnoteAnchor"/>
          <w:rtl w:val="true"/>
        </w:rPr>
        <w:footnoteReference w:id="487"/>
      </w:r>
      <w:r>
        <w:rPr>
          <w:rFonts w:ascii="IRNazanin" w:hAnsi="IRNazanin" w:eastAsia="IRNazanin"/>
          <w:color w:val="111111"/>
          <w:sz w:val="28"/>
          <w:sz w:val="28"/>
          <w:szCs w:val="28"/>
          <w:rtl w:val="true"/>
          <w:lang w:bidi="fa-IR"/>
        </w:rPr>
        <w:t>وکما یقول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لم یعمل علی حرمان الإنسان من قواه و قدراته وغرائزه،ولم یرکز اهتمامه علی تقویة جوانبه المادیة فحسب أو فصله عمّا یعیش فیه،ولم یجعله مستغنیاً عن الدین و الشریعة،فهذه الزوایا الثلاث تشکل المثلث الذی یحقّق فیه الإنسان کماله المنشود ویصل من خلاله إلی سعادته الأبدیة،فلو أزیلت إحدی هذه الزوایا ولم تُأخذ بنظر الاعتبار،فإنّ ذلک سیعرضه إلی السقوط وینزل به من ذروة الإنسانیة إلی حضیض البهیمیة</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إنّ النمو الاقتصادی یقوم علی استغلال الطبیعة،الأمر الذی لا یمکن تحقیقه إلّا بالعمل وبذل الجهد،حیث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بالنسبة للاقتصاد کدعامة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البیت لا یمکن أن یقوم من دون 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فالنمو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فردیاً أم جماعیاً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یمکن تناوله و الوصول إلیه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یتمتّع بمنزلة أساسیة من بین عناصر الإنتاج،والذی یعدّ أحد العوامل المهمّة فی الاقتصاد،إذ إنّ القیام بالعمل وتوظیف القوی الإنسانیة یمهد السبیل للاستفادة من العناصر و المصادر الاُخری،ومع أنّ التقنیة المتطوّرة قد أصبحت الیوم بدیلاً عن عمل الإنسان إلی حدّ بعید،لکنّها تبقی نتاجاً وثمرة لعمل</w:t>
      </w:r>
      <w:bookmarkStart w:id="622" w:name="pg5469_34940"/>
    </w:p>
    <w:p>
      <w:pPr>
        <w:pStyle w:val="BookText"/>
        <w:rPr/>
      </w:pPr>
      <w:bookmarkEnd w:id="622"/>
      <w:r>
        <w:rPr>
          <w:rFonts w:ascii="IRNazanin" w:hAnsi="IRNazanin" w:eastAsia="IRNazanin"/>
          <w:color w:val="111111"/>
          <w:sz w:val="28"/>
          <w:sz w:val="28"/>
          <w:szCs w:val="28"/>
          <w:rtl w:val="true"/>
          <w:lang w:bidi="fa-IR"/>
        </w:rPr>
        <w:t>وإبداع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أولت الثقافة الإسلامیة العمل والاحتراف أهمّیة بالغة،وقرّعت بشدّة البطالة و التبطل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الرسول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ویقول الإمام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لیبغض العبد النوّام،إنّ الله لیبغض العبد الفارغ</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الالتفات إلی أنّ الإسلام یری أنّ إقامة یعتمد ویرتکز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الشعار ذاته الذی مکّن الإسلام من إسقاط حضارة إیران وروما اللتین کانتا تعیشان حالة الانهیار و التآکل،من خلال حضارته الجدیدة فی أوائل عهده وظهوره،فلأجل إعادة الحضارة الإسلامیة مجدداً،ینبغی الترکیز علی و،إذ إنّ الاقتصاد یتوقّف علی العمل لیتمّ تأمین البعد المادی للحضارة،و إذا لم یکن ثمة وجدان عملی أی شعور بالمسؤولیة فیما یمارس من عمل،فإنّ ذلک سیؤدّی إلی زیادة الکلفة،انخفاض نوعیة الإنتاج وازدیاد الاحتیال وکثرة الریاء وحلول الإسراف و التبذیر محلّ البساطة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علی المسلمین إدراک أهمّیة العمل وقیمة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المتابعة المستمرّة للهدف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والشعور بالمسؤولیة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والاعتماد علی النفس والارتقاء بقدراتهم وعملهم لإحیاء الأبعاد الاقتصادیة للحضارة الإسلامیة وإشاعتها</w:t>
      </w:r>
      <w:r>
        <w:rPr>
          <w:rFonts w:eastAsia="IRNazanin" w:cs="IRNazanin"/>
          <w:color w:val="111111"/>
          <w:sz w:val="28"/>
          <w:szCs w:val="28"/>
          <w:rtl w:val="true"/>
          <w:lang w:bidi="fa-IR"/>
        </w:rPr>
        <w:t xml:space="preserve">. </w:t>
      </w:r>
      <w:r>
        <w:rPr>
          <w:rStyle w:val="FootnoteAnchor"/>
          <w:rtl w:val="true"/>
        </w:rPr>
        <w:footnoteReference w:id="491"/>
      </w:r>
    </w:p>
    <w:p>
      <w:pPr>
        <w:pStyle w:val="Heading3"/>
        <w:numPr>
          <w:ilvl w:val="2"/>
          <w:numId w:val="1"/>
        </w:numPr>
        <w:rPr/>
      </w:pPr>
      <w:bookmarkStart w:id="623" w:name="__RefHeading___Toc2109160_581953129"/>
      <w:bookmarkStart w:id="624" w:name="_Toc241"/>
      <w:bookmarkEnd w:id="623"/>
      <w:r>
        <w:rPr>
          <w:rtl w:val="true"/>
        </w:rPr>
        <w:t>الإمام الخمینی المجدّد المعاصر</w:t>
      </w:r>
      <w:bookmarkEnd w:id="62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یمثّل السید روح الله الموسوی الخمینی ذلک الجیل المجدّد الذی استطاع الوصول</w:t>
      </w:r>
    </w:p>
    <w:p>
      <w:pPr>
        <w:pStyle w:val="BookText"/>
        <w:rPr/>
      </w:pPr>
      <w:r>
        <w:rPr>
          <w:rFonts w:ascii="IRNazanin" w:hAnsi="IRNazanin" w:eastAsia="IRNazanin"/>
          <w:color w:val="111111"/>
          <w:sz w:val="28"/>
          <w:sz w:val="28"/>
          <w:szCs w:val="28"/>
          <w:rtl w:val="true"/>
          <w:lang w:bidi="fa-IR"/>
        </w:rPr>
        <w:t>إلی أهدافه الفکریة وتحقیقها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إضافة إلی ممارساته المتعددة لإحیاء الدین من خلال نشر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الخطابة و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من تأسیس نظام إسلامی وفق الثقافة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فبث روحاً جدیدة فی العالم الإسلامی وأعاد الحیاة للجسد الهامد للمجتمعات الإسلامیة من خلال إعادة طرحه الإسلام الأصیل علی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وضع الإمام الخمینی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قدمه فی المیدان،یوم قدِم الاستعمار بحرابه الجدیدة إلیه،تدعمه فی ذلک جمیع الإمکانات الحدیثة و العلم البشری واکتشافات العلماء لتحقیق أهدافه التفوقیة،وعبّد طریقه إلیها من خلال المثقفین المتغربین السذج،حیث عمّت الغفلة الجمیع وترسخ فی النفوس الهلع و الروع من الکفاح و المنابذة،واستولت ظلمة السکوت و الرعب علی الجمیع،ووضعت القضایا الأساسیة فی درج النسیان،وتخلی الاتّحاد و التکاتف عن مکانه للیأس و التشتت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هذه الأجواء الکالحة نهض الإمام الخمینی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لیواصل طریق المجدّدین و الذابین عن حیاط الثقافة الدینیة،ویجسد طموحاتهم فی تحقیق نظام حکومی وسیاسی إسلامی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ومن خلال إلفاته الإنظار إلی أنّ الاستعمار یمثل مصدر الأخطار و التهدیدات، </w:t>
      </w:r>
      <w:r>
        <w:rPr>
          <w:rStyle w:val="FootnoteAnchor"/>
          <w:rtl w:val="true"/>
        </w:rPr>
        <w:footnoteReference w:id="492"/>
      </w:r>
      <w:r>
        <w:rPr>
          <w:rFonts w:ascii="IRNazanin" w:hAnsi="IRNazanin" w:eastAsia="IRNazanin"/>
          <w:color w:val="111111"/>
          <w:sz w:val="28"/>
          <w:sz w:val="28"/>
          <w:szCs w:val="28"/>
          <w:rtl w:val="true"/>
          <w:lang w:bidi="fa-IR"/>
        </w:rPr>
        <w:t xml:space="preserve">وبیانه الصحیح للمعارف الإسلامیة، </w:t>
      </w:r>
      <w:r>
        <w:rPr>
          <w:rStyle w:val="FootnoteAnchor"/>
          <w:rtl w:val="true"/>
        </w:rPr>
        <w:footnoteReference w:id="493"/>
      </w:r>
      <w:r>
        <w:rPr>
          <w:rFonts w:ascii="IRNazanin" w:hAnsi="IRNazanin" w:eastAsia="IRNazanin"/>
          <w:color w:val="111111"/>
          <w:sz w:val="28"/>
          <w:sz w:val="28"/>
          <w:szCs w:val="28"/>
          <w:rtl w:val="true"/>
          <w:lang w:bidi="fa-IR"/>
        </w:rPr>
        <w:t xml:space="preserve">وتجدید الاجتهاد، </w:t>
      </w:r>
      <w:r>
        <w:rPr>
          <w:rStyle w:val="FootnoteAnchor"/>
          <w:rtl w:val="true"/>
        </w:rPr>
        <w:footnoteReference w:id="494"/>
      </w:r>
      <w:r>
        <w:rPr>
          <w:rFonts w:ascii="IRNazanin" w:hAnsi="IRNazanin" w:eastAsia="IRNazanin"/>
          <w:color w:val="111111"/>
          <w:sz w:val="28"/>
          <w:sz w:val="28"/>
          <w:szCs w:val="28"/>
          <w:rtl w:val="true"/>
          <w:lang w:bidi="fa-IR"/>
        </w:rPr>
        <w:t xml:space="preserve">وربط الإسلام بالسیاسة، </w:t>
      </w:r>
      <w:r>
        <w:rPr>
          <w:rStyle w:val="FootnoteAnchor"/>
          <w:rtl w:val="true"/>
        </w:rPr>
        <w:footnoteReference w:id="495"/>
      </w:r>
      <w:r>
        <w:rPr>
          <w:rFonts w:ascii="IRNazanin" w:hAnsi="IRNazanin" w:eastAsia="IRNazanin"/>
          <w:color w:val="111111"/>
          <w:sz w:val="28"/>
          <w:sz w:val="28"/>
          <w:szCs w:val="28"/>
          <w:rtl w:val="true"/>
          <w:lang w:bidi="fa-IR"/>
        </w:rPr>
        <w:t xml:space="preserve">طرح ولایة الفقیه کنموذج للحکومة الإسلامیة، </w:t>
      </w:r>
      <w:r>
        <w:rPr>
          <w:rStyle w:val="FootnoteAnchor"/>
          <w:rtl w:val="true"/>
        </w:rPr>
        <w:footnoteReference w:id="496"/>
      </w:r>
      <w:r>
        <w:rPr>
          <w:rFonts w:ascii="IRNazanin" w:hAnsi="IRNazanin" w:eastAsia="IRNazanin"/>
          <w:color w:val="111111"/>
          <w:sz w:val="28"/>
          <w:sz w:val="28"/>
          <w:szCs w:val="28"/>
          <w:rtl w:val="true"/>
          <w:lang w:bidi="fa-IR"/>
        </w:rPr>
        <w:t>والاعتماد علی أصل لا</w:t>
      </w:r>
      <w:bookmarkStart w:id="625" w:name="pg5469_34944"/>
    </w:p>
    <w:p>
      <w:pPr>
        <w:pStyle w:val="BookText"/>
        <w:rPr/>
      </w:pPr>
      <w:bookmarkEnd w:id="625"/>
      <w:r>
        <w:rPr>
          <w:rFonts w:ascii="IRNazanin" w:hAnsi="IRNazanin" w:eastAsia="IRNazanin"/>
          <w:color w:val="111111"/>
          <w:sz w:val="28"/>
          <w:sz w:val="28"/>
          <w:szCs w:val="28"/>
          <w:rtl w:val="true"/>
          <w:lang w:bidi="fa-IR"/>
        </w:rPr>
        <w:t xml:space="preserve">شرقیة ولا غربیة، </w:t>
      </w:r>
      <w:r>
        <w:rPr>
          <w:rStyle w:val="FootnoteAnchor"/>
          <w:rtl w:val="true"/>
        </w:rPr>
        <w:footnoteReference w:id="497"/>
      </w:r>
      <w:r>
        <w:rPr>
          <w:rFonts w:ascii="IRNazanin" w:hAnsi="IRNazanin" w:eastAsia="IRNazanin"/>
          <w:color w:val="111111"/>
          <w:sz w:val="28"/>
          <w:sz w:val="28"/>
          <w:szCs w:val="28"/>
          <w:rtl w:val="true"/>
          <w:lang w:bidi="fa-IR"/>
        </w:rPr>
        <w:t xml:space="preserve">والاهتمام بوحدة المسلمین، </w:t>
      </w:r>
      <w:r>
        <w:rPr>
          <w:rStyle w:val="FootnoteAnchor"/>
          <w:rtl w:val="true"/>
        </w:rPr>
        <w:footnoteReference w:id="498"/>
      </w:r>
      <w:r>
        <w:rPr>
          <w:rFonts w:ascii="IRNazanin" w:hAnsi="IRNazanin" w:eastAsia="IRNazanin"/>
          <w:color w:val="111111"/>
          <w:sz w:val="28"/>
          <w:sz w:val="28"/>
          <w:szCs w:val="28"/>
          <w:rtl w:val="true"/>
          <w:lang w:bidi="fa-IR"/>
        </w:rPr>
        <w:t xml:space="preserve">وبالنخب الفکریة للمجتمع، </w:t>
      </w:r>
      <w:r>
        <w:rPr>
          <w:rStyle w:val="FootnoteAnchor"/>
          <w:rtl w:val="true"/>
        </w:rPr>
        <w:footnoteReference w:id="499"/>
      </w:r>
      <w:r>
        <w:rPr>
          <w:rFonts w:ascii="IRNazanin" w:hAnsi="IRNazanin" w:eastAsia="IRNazanin"/>
          <w:color w:val="111111"/>
          <w:sz w:val="28"/>
          <w:sz w:val="28"/>
          <w:szCs w:val="28"/>
          <w:rtl w:val="true"/>
          <w:lang w:bidi="fa-IR"/>
        </w:rPr>
        <w:t xml:space="preserve">وتثمینه للمعنویة، </w:t>
      </w:r>
      <w:r>
        <w:rPr>
          <w:rStyle w:val="FootnoteAnchor"/>
          <w:rtl w:val="true"/>
        </w:rPr>
        <w:footnoteReference w:id="500"/>
      </w:r>
      <w:r>
        <w:rPr>
          <w:rFonts w:ascii="IRNazanin" w:hAnsi="IRNazanin" w:eastAsia="IRNazanin"/>
          <w:color w:val="111111"/>
          <w:sz w:val="28"/>
          <w:sz w:val="28"/>
          <w:szCs w:val="28"/>
          <w:rtl w:val="true"/>
          <w:lang w:bidi="fa-IR"/>
        </w:rPr>
        <w:t>وإشاعة أجواء الحریة و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وإحیاء القیم الأخلاقیة و الشعائر الإسلامیة، </w:t>
      </w:r>
      <w:r>
        <w:rPr>
          <w:rStyle w:val="FootnoteAnchor"/>
          <w:rtl w:val="true"/>
        </w:rPr>
        <w:footnoteReference w:id="501"/>
      </w:r>
      <w:r>
        <w:rPr>
          <w:rFonts w:ascii="IRNazanin" w:hAnsi="IRNazanin" w:eastAsia="IRNazanin"/>
          <w:color w:val="111111"/>
          <w:sz w:val="28"/>
          <w:sz w:val="28"/>
          <w:szCs w:val="28"/>
          <w:rtl w:val="true"/>
          <w:lang w:bidi="fa-IR"/>
        </w:rPr>
        <w:t>یکون قد رکز جهوده علی عناصر ومرتکزات الثقافة الدینیة علی المستوی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ولقّنها الآخرین علی المستوی التطبیقی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أُنجز فی إیران من حرکة وتطوّر علی ید الإمام الخمینی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ینطبق علیه قول ماکس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أخذ الإسلام الشیعی بنظر الاعتبار</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إذ إنّ جذره یضرب فی العقیدة العمیقة المدرکة و العاقلة للإمام الخمینی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لدیه قناعة راسخة بالثقافة الإسلامیة،وکان یفتش ویستکشف طریق إعادة المسلمین إلی غابر مجدهم من خلال إحیائها وترویجها</w:t>
      </w:r>
      <w:r>
        <w:rPr>
          <w:rFonts w:eastAsia="IRNazanin" w:cs="IRNazanin"/>
          <w:color w:val="111111"/>
          <w:sz w:val="28"/>
          <w:szCs w:val="28"/>
          <w:rtl w:val="true"/>
          <w:lang w:bidi="fa-IR"/>
        </w:rPr>
        <w:t xml:space="preserve">. </w:t>
      </w:r>
      <w:r>
        <w:rPr>
          <w:rStyle w:val="FootnoteAnchor"/>
          <w:rtl w:val="true"/>
        </w:rPr>
        <w:footnoteReference w:id="503"/>
      </w:r>
    </w:p>
    <w:p>
      <w:pPr>
        <w:pStyle w:val="Heading3"/>
        <w:numPr>
          <w:ilvl w:val="2"/>
          <w:numId w:val="1"/>
        </w:numPr>
        <w:rPr/>
      </w:pPr>
      <w:bookmarkStart w:id="626" w:name="__RefHeading___Toc2109162_581953129"/>
      <w:bookmarkStart w:id="627" w:name="_Toc242"/>
      <w:bookmarkEnd w:id="626"/>
      <w:r>
        <w:rPr>
          <w:rtl w:val="true"/>
        </w:rPr>
        <w:t>الخلاصة</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العلم و القدرة عنصرین أساسیین فی حیاة الإنسان و المجتمعات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یتبلور الوعی فی عنصری و و هو یعدّ نقطة الانطلاق لإحیاء الحضارة الإسلامیة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إعادة قراءة التعالیم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والاستفادة من آلیة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والاهتمام</w:t>
      </w:r>
      <w:bookmarkStart w:id="628" w:name="pg5469_34947"/>
    </w:p>
    <w:p>
      <w:pPr>
        <w:pStyle w:val="BookText"/>
        <w:rPr/>
      </w:pPr>
      <w:bookmarkEnd w:id="628"/>
      <w:r>
        <w:rPr>
          <w:rFonts w:ascii="IRNazanin" w:hAnsi="IRNazanin" w:eastAsia="IRNazanin"/>
          <w:color w:val="111111"/>
          <w:sz w:val="28"/>
          <w:sz w:val="28"/>
          <w:szCs w:val="28"/>
          <w:rtl w:val="true"/>
          <w:lang w:bidi="fa-IR"/>
        </w:rPr>
        <w:t>بالجانب الاجتماعی للثقافة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وبالتنظیر وإنتاج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وإشاعة أجواء تبادل الأفکار و التسامح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أبعاد العامل الثقافی فی مسألة إحیاء الحضارة الإسلامیة مجدداً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 أداء دوره المحوری فی نشر ودعم الحضارة الإسلامیة من خلال تنقیة وغربلة فکره وروحه وتقویم بواعثه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بیان وترویج الفکر السیاسی و الفلسفة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وتأسیس الحکومة الإسلامیة وتحدیث الرؤیة حول ظاهرة الاُمة الإسلامیة،تعدّ من الأبعاد المهمّة للعامل السیاسی المجدد للحضارة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النظرة الصحیحة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وتنمیة الإحساس بالمسؤولیة فیما یمارس من عمل،من أهمّ أبعاد العامل الاقتصادی فی مسألة إحیاء الحضارة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الإمام الخمینی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أحد أبرز مجدّدی الثقافة و الحضارة الإسلامیة فی القرن الماضی</w:t>
      </w:r>
      <w:r>
        <w:rPr>
          <w:rFonts w:eastAsia="IRNazanin" w:cs="IRNazanin"/>
          <w:color w:val="111111"/>
          <w:sz w:val="28"/>
          <w:szCs w:val="28"/>
          <w:rtl w:val="true"/>
          <w:lang w:bidi="fa-IR"/>
        </w:rPr>
        <w:t>.</w:t>
      </w:r>
    </w:p>
    <w:p>
      <w:pPr>
        <w:pStyle w:val="Heading3"/>
        <w:numPr>
          <w:ilvl w:val="2"/>
          <w:numId w:val="1"/>
        </w:numPr>
        <w:rPr/>
      </w:pPr>
      <w:bookmarkStart w:id="629" w:name="__RefHeading___Toc2109164_581953129"/>
      <w:bookmarkStart w:id="630" w:name="_Toc243"/>
      <w:bookmarkEnd w:id="629"/>
      <w:r>
        <w:rPr>
          <w:rtl w:val="true"/>
        </w:rPr>
        <w:t>الأسئلة</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دور المعرفة و القدرة فی تجدید الحیاة البشریة مدعوما بالأدلّة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الحلول التی عرضها العلماء لإحیاء الحضارة الإسلامیة مجدداً؟ابحث الموضوع من وجهة نظر إحدی الشخصیات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یمکننا ربط ممهدات إحیاء الحضارة الإسلامیة بعوامل إحیائها؟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مدی أهمّیة وعی المسلمین فی إحیاء الحضارة الإسلامیة؟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أبعاد العامل الثقافی فی إحیاء الحضارة الإسلامیة وادرس بعدین منها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ابحث موضوع دور التنظیر وإنتاج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وإشاعة أجواء الحوار و التسامح المذهبی فی العصر الراهن،فی إعادة طرح الإسلام من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 آفات العامل الإنسانی فی القرن الحاضر؟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تأثیر طبیعة النظرة إلی الدنیا و العمل،فی رقی أو افول الحضارة الإسلامیة؟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ابحث تأثیر الإمام الخمینی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 إحیاء الثقافة و الحضارة الإسلامیة فی العالم الإسلامی واُوروبا</w:t>
      </w:r>
      <w:r>
        <w:rPr>
          <w:rFonts w:eastAsia="IRNazanin" w:cs="IRNazanin"/>
          <w:color w:val="111111"/>
          <w:sz w:val="28"/>
          <w:szCs w:val="28"/>
          <w:rtl w:val="true"/>
          <w:lang w:bidi="fa-IR"/>
        </w:rPr>
        <w:t>.</w:t>
      </w:r>
      <w:bookmarkStart w:id="631" w:name="pg5469_34952"/>
    </w:p>
    <w:p>
      <w:pPr>
        <w:pStyle w:val="Heading2"/>
        <w:numPr>
          <w:ilvl w:val="1"/>
          <w:numId w:val="1"/>
        </w:numPr>
        <w:rPr/>
      </w:pPr>
      <w:bookmarkStart w:id="632" w:name="__RefHeading___Toc2109166_581953129"/>
      <w:bookmarkStart w:id="633" w:name="_Toc244"/>
      <w:bookmarkEnd w:id="631"/>
      <w:bookmarkEnd w:id="632"/>
      <w:r>
        <w:rPr>
          <w:rtl w:val="true"/>
        </w:rPr>
        <w:t>المصادر و المراجع</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 الکتب و المکتبات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مطابع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أبو 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 رضا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 پروین 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الإحیاء للتراث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الدکتور مدکور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حسن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محمّد،أضواء علی السنة المحمدیة أو دفاع عن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أفست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مهاتماگاندی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اجمالی در وامداری غرب نسبت به شرق به ویژه اسلام وایران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دانش واندیشه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أحمد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علمی دانشمندان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الولید محمد بن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مکّة وما جاء فیها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 صالح أملحس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تفاسیر قرآن مجید ومفسران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مجموعه‌های اسلامی در کتابخانه‌های اروپای غربی وآمریکای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فرشته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أدبیات عرب،الوسیط،ترجمه وتوضیح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الدکتور محسن مؤیدی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ومفهوم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فرهنگی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المصریة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الإیرانیون و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البحوث و التحقیقات 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غرر الحکم ودرر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ومترجم جمال الدین محمد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جلال 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 در گذر 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اندیشه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وتزیین در معماری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قیومی بیدهندی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توشیهیکو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معنایی مفاهیم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فریدون بدره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پژوهش فرزان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المفهرس لألفاظ الأحادیث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 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أسد پورپیرانفر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الفرق،دار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رضوان محمد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وأرومیة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التشریع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دکتور باقر ساروخانی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معماری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تدون غلامحسین معماریان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علم وصنعت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اسلام در فرهنگ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علی پیرنیا وعز الدین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انتشاراتی پاژنگ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جعفر مدرس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وتدوین یعقوب آژند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دکتور محمد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غرر الحکم ودرر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درایتی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دکتر یعقوب آژند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جلال الدین محدث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اصول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عبدالله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بژوهشگاه فرهنگ واندیشه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اندیشه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 دولت وخلافت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تاریخ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گفت‌وگوی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برهنگی وبرهنگی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61374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حسین ملک احمدی وعارف اقوامی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ونشر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کلام در ایران وجهان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در ایران وجهان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3.1400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و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واندیشه در دام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آذرمیدخت مشایخ 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 از کهن‌ترین دوران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خاکساری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علی اکبر رشاد،پژوهشگاه فرهنگ واندیشه اسلامی،تهران،چ</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غلامعلی حداد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دایره المعارف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تمدن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تهران،چ</w:t>
      </w:r>
      <w:r>
        <w:rPr>
          <w:rFonts w:eastAsia="IRNazanin" w:cs="IRNazanin"/>
          <w:color w:val="111111"/>
          <w:sz w:val="28"/>
          <w:szCs w:val="28"/>
          <w:lang w:bidi="fa-IR"/>
        </w:rPr>
        <w:t>11353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دریگ هیل واولگ گرابر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وتزیینات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مهرداد وحدتی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دکتور محمد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افست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دی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فراهانی وعبد الحمید زرین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کمیسیون ملی یونسکو در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الکتب العربیة العامة وشبه العامة لبلاد العراق و الشام و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عن الفرنسیة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عنایت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51370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آمدی بر 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بطحایی وخشایار دیهمی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آموزش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تقی فخر داعی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کمیسیون معارف چاپخانه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بومبای</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پرویز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تابان با همکاری مؤسّسه انتشارات فرانگلیس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دانش واندیشه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فی حضارته ونظمه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هنر در سرزمین‌های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اصول از نگاه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خرد وابسته به خانه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العرفان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بدیع السید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صحافی نوین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ونگارش علی جواهر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61369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رضایی وسید محمود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 تاریخ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غلامحسین صدری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ترویج علوم وزارت علوم وآموزش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علوم در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کیکاوس 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الثقافة و النشر فی جامعة الإمام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وآموزش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السمرقندی،أبو نصر محمد بن مسعود بن عیاش السلمی،تفسیر العیاشی،تصحیح وتعلیق سید هاشم 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شیعه در گستره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عبد الرحمان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التجاریة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31383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 وعزیزی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61381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ونشر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أبی القاسم علی بن طاهر ابی احمد الحسین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الجامعة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هاشم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مطالعات وتحقیقات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الأسفار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اسلامی ومبانی نظری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الثقافة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إسکندریة</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الشیعة لعلوم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21395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وفرهنگ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حجتی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علوم عقلی در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هلموت ریتر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در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حجتی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انتشارات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فقیه وکانون خدمات فرهنگی ألست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الرسل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آغا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حبیب قصیر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المحسن مشکوه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حکمت وفلسفة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الرحیم ربانی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آذرتاش آذرنوش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اسلام‌شناسان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استاذ محمد 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مطبوعاتی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بیدایش وگسترش وادوار حقوق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اندیشه سیاسی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علماء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دانشگاه‌های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دکتور نور الله 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أدبیات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عبد 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در جهان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وآموزش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سید جعفر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وآراء اهل المدینة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61991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حکومت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خانه مجلس خبرکان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اجتماعی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ریاضیدانان دوره اسلامی از سده سوم تا سده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 وتمدن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پیشرفت اسلام وانحطاط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القریشی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الفداء إسماعیل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القفطی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یولیوس لیبرت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لایپزیک</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آریا حدیدی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ومسیحیت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دانش واندیشه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إداره کل صنایع استان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وإرشاد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الحکومة النبویة المسمّی بالتراتیب الإداریة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ومجمع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31388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نصر وعثمان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اسد الله مبشری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سایمون وهلن واتسونو،درآمدی بر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هنر معماری ایران در دورة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کیهان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آذرو دی ماه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واردیبهشت ماه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ودی 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حنایی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توماس 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 وعرب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 فخر داعی کیلانی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مطبوعاتی علی أکبر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اطلاعات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ذکاوتی قراگزلو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آمدی بر جامعه شناسی واقتصاد فرهنگ ایران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الریشهری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الحکمة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بالتعاون مع سید محمد کاظم الطباطبائی وسید محمود طباطبایی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شانه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کتاب‌های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وتاریخ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خدمات متقابل اسلام وایران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121362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 جهاد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ونگارش سید محمد باقر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وهنری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آموزشی وپژوهشی إمام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دی ماه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351996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فلسفات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 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وتقدیم العلامة السید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لألفیة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31399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ضیاء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آموزش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حسین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وتفصیل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اسلام بر اروپای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عبد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آموزشی وپژوهشی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وگردآوری ترجمه فارسی 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پورجوادی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أول</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آلدو،علوم اسلامی ونقش آن در تحولات علمی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موسی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 در ایران پس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اسلام تا دوران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پیام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إسلامی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تخصصی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إمام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تخصصی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امام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مسلمان ودنیای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مرتضی اسعدی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وتمدن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انتشارات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در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کتابهای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تکابوگر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تقی فخر داعی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ودانش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سید محمد علی میررکنی ومحمد جواد خداکرمی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دیدگاه دانشمندان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مذهبی سیمان وفاریست دورود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من دفن فی العراق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مارتون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سبک‌شناسی هنر معماری در سرزمین‌های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ورجاوند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رهبانی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 استفن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اسلام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یعقوب آزند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فرهنگ وتمدن اسلام وایران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ونشر وزارت امور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اوسترین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ولیام هلزی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وفلسفه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آذرنگ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فوکوتساوا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چنکیز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شناسی،جنکیز بهلوان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ومسیحیت در 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الثقافة،تی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درآمدی بر جامعه شناسی و اقتصاد فرهنگ در ایران امروز،مجید محمدی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إلی معرفة الإنسان،سایمون کلمن،وهیلین واطسون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مغزی هذه الرؤیة عبارة عن أنّ الإنسان فی هذه الدنیا یصل إلی الکمال بمعونة جهوده،وستکون التکنولوجیا منشأ لهذا الفلاح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تمدن غربی،رضا داوری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ثقافة العلوم الاجتماعیة،آلن بیرو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ومسیحیت در 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دهخدا،علی أکبر دهخدا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فضل و دانش و فرهنگ وگفتار تویی در هر دو عالم گشته مختار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ملکداری را دیانت باید و فرهنگ و هوش مست و غافل کی تواند؟عاقل و هشیار باش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عمید،حسن عمید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القاطع،محمد حسین بن خلف التبریزی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فارسی،غلام حسین مصاحب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فرهنگ،صادق کیا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وتمدن حقایق متمایز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وثقافة القرن العشرین،السیّد موسی الصدر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برهنگی و برهنگی فرهنگی،غلام علی حداد عادل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تمدن،علی شریعتی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ومدرنیته،داریوس اشوری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مهاجم،فرهنگ مولد،سید جلال رفیع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Margaret Mead 1901 1978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استاد شهید مرتضی مطهری،کتاب اول،عبد الکریم سروش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الثقافة و التنمیة،ج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دوبویی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الثقافة و الدین،جون فولمر؛ومقالة الحجاب الدینی فی المشرق،میرجا الیاذه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علوم اجتماعی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فارسی،محمد معین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فی التاریخ،جون برنال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الحضارة،رالنیتون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إلی تاریخ الحضارة،ول دیورانت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الحضارة،ول دیورانت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بنیانهای اجتماعی دین،یوسف فضائی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وتفسیر نهج البلاغة،محمد تقی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ثقافة علم الاجتماع،اصطفن هیل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نظریة الحضارة،فوکوتا فایوکیتشی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خلدون،عبد الرحمن بن محمد 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بنیانهای اجتماعی 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تاریخ تمدن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مفهوم فرهنگ در آیینه جهان امروز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علوم اجتماعی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مهاجم،فرهنگ مولد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فرهنگ در آیینه جهان امروز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ماهیت گفت وگوی تمدنها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فی هذا الصدد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نهج البلاغة لمحمد تقی 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للمزید من الاطّلاع علی تعریفات الدین ونقدها،راجع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دین،محمد تقی جعفری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الحقیقة التی اعترف بها الفاتیکان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لیلی مصطفوی کاشانی،سیاستهای فرهنگی واتیکان نامه پژوهش،السنة الثانیة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در قرون وسطی،کریم مجتهدی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؛فرهنگ و مسیحیت در 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دیورانت فی مقدّمة تاریخ الحضارة،حیث ذهب إلی أنّ الدین و العلم و الفنّ من العوامل الأخلاقیة و العقلیة و الروحیة للحضارة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؛وفی باب دَور الفنّ فی الحضارة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معنی الفنّ،لهربرت رید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الحضارة،توینبی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اشبینغلر وغوبینو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السیاسیة والاقتصادیة،العدد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تاثیر الإسلام علی اوروبا،مونتغمری واط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،واُنظر فی هذا الصدد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الإسلام أو ما یدین به الغرب بالفضل للشعوب الاسلامیة،توماس ارنولد و الفرد غیوم وروجیه غارودی،المیراث الثالث،ثقافة الإسلام فی اوروبا،وزیغرید هونیغه،الإسلام و العالم المعاصر،أنور الجندی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إلی العلوم الإسلامیة،مرتضی المطهری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الدر المنثور،جلال الدین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آثار،مرتضی المطهری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اُدْعُ إِلی سَبِیلِ رَبِّکَ بِالْحِکْمَةِ وَ الْمَوْعِظَةِ الْحَسَنَةِ وَ جادِلْهُمْ بِالَّتِی هِیَ أَحْسَنُ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 از نظر ولتر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الاطّلاع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شیعی،مرتضی رحیمی نژاد،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الحیاة،محمد رضا،محمد وعلی حکیمی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فَبَشِّرْ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یَسْتَمِعُونَ الْقَوْلَ فَیَتَّبِعُونَ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 الحکمة فی الکتاب و السنة،محمد محمدی ری شهری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؛وراجع فی هذا الصدد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خاتمی،مقال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سماحت در کالبد شریعت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یاوندیدا من کتاب افستا،مجموعة قوانین زرادشت،الفصل الرابع عشر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؛الأعام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پیشرفت اسلام و انحطاط مسلمانان،زین العابدین قربانی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؛تاریخ سیاسی اسلام،رسول جعفریان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؛راجع فی هذا الصدد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فی هذا الخصوص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مسائل قضا در جاهلیت وقرون اولیه اسلامی،نعمت الله صفری،در نشریه طلوع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 تاریخی آموزش از صدر إسلام تا پایان دوره أمویان،نعمت الله صفری،در نشریه طلوع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؛آموزش زنان در إسلام،پیام 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خدمات متقابل اسلام وایران،مرتضی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؛علل پیشرفت وانحطاط مسلمانان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اسلام،حنا فاخوری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؛علم کلام وعلوم طبیعی،یوزف وان اس،ترجمه أحمد آرام در یادنامه استاد شهید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التاثیر الذی ترکه الکلام الإسلامی علی الکلام الیهودی وفلسفة القرون الوسطی،راجع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علم کلام از دیدگاه موسی بن میمون،نشریه تخصصی کلام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خدمات متقابل إسلام وإیران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جهان،جواهر لعل نهرو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الفهرست،محمد بن إسحاق ابن الندیم،المقالة السابعة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؛تاریخ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؛تاریخ هند،دولافوز،ترجمه سید محمد تقی فخر داعی گیلانی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فرهنگی،سال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؛مجله نشر دانش،سال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؛علی أبو الحسنی،مهاتما گاندی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،تاراچند،تأثیر إسلام در فرهنگ 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تمدن اسلام،علی أصغر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یونانی،فرهنگ عربی،دیمیتری گوتاس،ترجمه محمد سعید حنایی 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انتقال علوم یونانی به علوم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الاسلامی،جرجی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،انتقال علوم یونانی به عالم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یونانی،فرهنگ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العرب،فیلیب حتی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یونانی،فرهنگ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طرحت أدلّة کثیرة علی هذا الأمر،راجع فی هذا الصدد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الخمسة من الصحاح و السنة،السید مرتضی حسینی فیروزآبادی،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شیعه،سید محمد حسین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الأشراف،أحمد بن محمّد بن یحیی البلاذری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للمزید من الاطّلاع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امام علی بر فرهنگ وتمدن اسلامی در 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الخلفاء،عبد الرحمان بن أبی بکر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؛تاریخ آداب اللغة العربیة،محمد حسین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القرن الرابع و الخامس؛تاریخ الشیعة،جرجی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کتقدم علم التفسیر و الکلام علی العلوم الاُخری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کتقدم علم المنطق علی الفلسفه وعلم الاُصول علی الفقه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کعلم الصرف و النحو فی الأدب العربی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کوضع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الریاضیات و العلوم الطبیعیة فی الحکمة النظریة و الأخلاق أو علم الاُسرة و السیاسیة فی الحکمة العملیة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کوضع المباحث العقائدیة فی العلوم الشرعیة و الریاضیات فی العلوم غیر الشرعیة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کوضع الفلسفة فی العلوم العقلیة و الفقه فی العلوم النقلیة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کوضع علم التفسیر و الحدیث فی العلوم الإسلامیة و الکیمیاء و الجغرافیة فی العلوم غیر الإسلامیة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التعرّف علی تصنیف العلوم فی الحضارة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 بندی علوم در تمدن اسلامی،سید محمد صادق سجادی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؛آشنایی با علوم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فیه علم ما یأتی،والحدیث عن الماضی،ودواء دائکم،نهج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ربیع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أحسن القصص،المصدر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 نوره وأکمل دینه،المصدر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الحبل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والنجاة للمتعلق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تخلقه کثرة الرد،المصدر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کتابا هادیا بین فیه الخیر ولشر،المصدر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أنزل علیه الکتاب نورا لا تنطفأ مصابیحه،المصدر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معدن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وینابیع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 لعطش العلماء وربیعاً لقلوب الفقهاء ومحاج لطرق الصلحاء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وسراجاً لا یخبو تو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 فی علوم القرآن،جلال الدین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؛مناهل العرفان،عبد العظیم الزرقانی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394/38593/92</w:t>
      </w:r>
      <w:r>
        <w:rPr>
          <w:rFonts w:ascii="IRNazanin" w:hAnsi="IRNazanin" w:eastAsia="IRNazanin"/>
          <w:b w:val="false"/>
          <w:b w:val="false"/>
          <w:bCs w:val="false"/>
          <w:i w:val="false"/>
          <w:i w:val="false"/>
          <w:iCs w:val="false"/>
          <w:color w:val="333333"/>
          <w:sz w:val="20"/>
          <w:sz w:val="20"/>
          <w:szCs w:val="20"/>
          <w:rtl w:val="true"/>
        </w:rPr>
        <w:t>؛تأسیس الشیعة لعلوم الإسلام،سید حسن 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نگارشهای عربی،فؤاد سزکین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؛تفسیر المیزان،الطباطبائی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؛التفسیر و المفسرون،محمد حسین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الشیعة،الشیخ آغا بزرک الطهرانی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الشیعیة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الإعلام،خیر الدین الزرکلی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للتعرّف علی شخصیته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الشیعة،سید محسن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الطبرسی ومجمع البیان،د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الکشّاف،الزمخشری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تفسیر قرآن مجید ومفسران،رضا استادی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؛تاریخ العلماء،علی بن یوسف القفطی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الحدیث،کاظم مدیر شانه 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الکافی للکلینی علی سبیل المثال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؛من لا یحضره الفقیه،الشیخ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1874/4</w:t>
      </w:r>
      <w:r>
        <w:rPr>
          <w:rFonts w:ascii="IRNazanin" w:hAnsi="IRNazanin" w:eastAsia="IRNazanin"/>
          <w:b w:val="false"/>
          <w:b w:val="false"/>
          <w:bCs w:val="false"/>
          <w:i w:val="false"/>
          <w:i w:val="false"/>
          <w:iCs w:val="false"/>
          <w:color w:val="333333"/>
          <w:sz w:val="20"/>
          <w:sz w:val="20"/>
          <w:szCs w:val="20"/>
          <w:rtl w:val="true"/>
        </w:rPr>
        <w:t>؛التهذیب،الشیخ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النجاشی،أبو العباس أحمد بن علی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الکبری،محمّد 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 الأنوار،علی رضا برازش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الشیعة،محمّد بن مکی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الجامعة النجفیة،محمّد رضا شمس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؛اختیار معرفة الرجال،أبو عمرو محمد بن عمر بن عبدالعزیز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981/839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وتفصیل طبقات الرواة،أبو القاسم الموسوی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حدیث شیعه،مجید 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قد جاء فی باب مقارنة وتقییم هذه الشروح مقالاً قیماً ملفتاً للمحقّق علی عابدی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عشر شرحاً علی التهذیب،وعشرون تعلیقة علیه،راجع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بعدها؛ثلاثة عشر حاشیة وثمانیة عشر شرحاً علی الاستبصار،راجع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بعدها؛ذکر خمسة عشرة حاشیة علی من لا یحضره الفقیه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تاریخی،رسول جعفریان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أضواء علی السنة المحمدیة أو دفاع عن الحدیث،محمّد أبو 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رسائل،سید محمد حسین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معاشر الأنبیاء أمرنا أن نکلم الناس علی قدر عقولهم 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میان،تعالیم فلسفی قرآن در تاریخ فلسفة در اسلام،محمد شریفیان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107125/1</w:t>
      </w:r>
      <w:r>
        <w:rPr>
          <w:rFonts w:ascii="IRNazanin" w:hAnsi="IRNazanin" w:eastAsia="IRNazanin"/>
          <w:b w:val="false"/>
          <w:b w:val="false"/>
          <w:bCs w:val="false"/>
          <w:i w:val="false"/>
          <w:i w:val="false"/>
          <w:iCs w:val="false"/>
          <w:color w:val="333333"/>
          <w:sz w:val="20"/>
          <w:sz w:val="20"/>
          <w:szCs w:val="20"/>
          <w:rtl w:val="true"/>
        </w:rPr>
        <w:t>؛التوحید،أبو جعفر محمد بن علی بن بابویه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138/106</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وحدیث منبع الهام بخش فلسفه إسلامی،سید حسن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مفید،ش</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16391152179185186189</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89134/1</w:t>
      </w:r>
      <w:r>
        <w:rPr>
          <w:rFonts w:ascii="IRNazanin" w:hAnsi="IRNazanin" w:eastAsia="IRNazanin"/>
          <w:b w:val="false"/>
          <w:b w:val="false"/>
          <w:bCs w:val="false"/>
          <w:i w:val="false"/>
          <w:i w:val="false"/>
          <w:iCs w:val="false"/>
          <w:color w:val="333333"/>
          <w:sz w:val="20"/>
          <w:sz w:val="20"/>
          <w:szCs w:val="20"/>
          <w:rtl w:val="true"/>
        </w:rPr>
        <w:t>؛شرح غرر الحکم ودرر الکلم،عبدالواحد الآمدی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؛للاطّلاع أکثر علی الآراء الفلسفیة للإمام علیراجع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الهی از بینش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طباطبائی،ترجمة سید إبراهیم علوی در مجموعه 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اسلامی،هنری کوربن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تشیع الکندی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الشیعة،عبد الله 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اسلام،الکندی،ترجمة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محمد شریف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علوم عقلی،ذبیح الله صفا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الکندی،أحمد فؤاد الأهوانی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خدمات متقابل إسلام وإیران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؛الکندی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فلسفة در جهان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Gerrard Cremona</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Tractatus de erroribus philosophorun</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Deauinaue Essentiis</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Desomnoltvisione</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De intellectu</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Cardano</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اسلام،کندی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؛علم و تمدن در اسلام،سید حسن نصر،ترجمه احمد آرام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أبی بکر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اسلام،إبراهیم مدکور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خدمات متقابل اسلام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 بالوفیات،صلاح الدین الصفدی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؛تاریخ فلسفه در جهان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الفارابی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Friedrich Dieterici</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Angel Gronzalez Palencia</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علوم عقلی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مجموعه تاریخ فلسفه در اسلام،فضل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دکتر علی شریعتمداری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خدمات متقابل إسلام و 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؛للاطّلاع أکثر علی کتبه الاُخری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الإلهیات،ابن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الحضارة،ول دیورانت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فلسفه مسیحیت،جلسون ایتن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رضایی و سید محمود موسوی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فؤاد اهوانی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غلامرضا اعوانی،م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تاریخ فلسفه در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؛الذیل و التکملة،محمد عبد الملک المراکشی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علوم 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وفلسفه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لمعرفة دور السهروردی،راجع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خدمات متقابل إسلام وإیران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؛سید حسن نصر؛شهاب الدین سهروردی مقتول در مجموعه تاریخ فلسفه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الإشارات،فخر الدین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؛جامع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رازی در تاریخ فلسفه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؛للاطّلاع أکثر حول فخر الدین الرازی،راجع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در ایران وجهان اسلام،علی أصغر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 اوسترین ولفن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علم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احمد آرام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؛أحمد محمود 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؛عبد الرحمن بدوی،مذاهب الإسلامیین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؛علی اصغر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 کلام در ایران وجهان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؛شهرام پاوزکی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ای در باب الاهیات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ارغوان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کنموذج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الأثر،الخزار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؛فی خصوص أسئلة الیهودی لرسول الله فی التوحید؛راجع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؛گوهر مراد،عبد الرزاق لاهیجی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352,353</w:t>
      </w:r>
      <w:r>
        <w:rPr>
          <w:rFonts w:ascii="IRNazanin" w:hAnsi="IRNazanin" w:eastAsia="IRNazanin"/>
          <w:b w:val="false"/>
          <w:b w:val="false"/>
          <w:bCs w:val="false"/>
          <w:i w:val="false"/>
          <w:i w:val="false"/>
          <w:iCs w:val="false"/>
          <w:color w:val="333333"/>
          <w:sz w:val="20"/>
          <w:sz w:val="20"/>
          <w:szCs w:val="20"/>
          <w:rtl w:val="true"/>
        </w:rPr>
        <w:t>؛شرح نهج‌البلاغة،لابن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؛سیری در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؛جوان مسلمان ودنیای متجدد،سید حسن 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؛الاحتجاج،أحمد بن علی 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104131149153157/1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البحار،عباس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و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و الأربعین الثانی و الثلاثین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و الخمسین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727482/1</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251253283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 ولفس فی کتاب،فلسفة علم 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الاستطاعة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الفرق،عبد القاهر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 کلام،شبلی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 آدام متز فی کتاب،تمدن إسلامی در قرن چهارم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 کتاب،تاریخ فلسفة در جهان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112113</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 ولفس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علم کلام؛أو،میان محمد شریف فی دائرة معارفه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فلسفة در جهان اسلام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 مسلمان ودنیای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؛الأمالی،السید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مذاهب الإسلامیین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؛تاریخ فلسفه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 کلام،شبلی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إسماعیل الأشعری،ترجمة محسن مؤیدی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علوم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وعرفان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؛علم کلام وعلوم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احمد 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یادنامه استاد مرتضی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؛تاریخ فلسفه در جهان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علی بعض هذه الآراء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؛للتعرف علی هذه الشخصیة العلمیة الکبیرة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والمذاهب الأربعة،أسد حیدر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مفاخر اسلام،علی دوانی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؛فی مجال مکانته العلمیة و الدینیة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؛للاطّلاع علی الفرق المذکورة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مرجئه،رسول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واندیشه؛شیخ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و الفصول المختارة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؛مفاخر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کلام جدید در گذر اندیشه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جوادی آملی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؛مفاخر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؛کلام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المفید،تصحیح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خصوص الغزالی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در جهان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؛تاریخ فلسفه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؛تاریخ فلسفه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153162242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؛زین الدین کیائی 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وشرح ابراهیم دینانی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ملاحظة نماذج من هذا الاُسلوب فی کتابه المحصل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در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مجال المعانی المختلفة للفقه و التفقه وآثارها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نصّ شیعی عرف الاجتهاد بهذا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علی بعض نماذج الاجتهاد فی هذه المرحلة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إبراهیم جناتی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دورة از أدوار اجتهاد؛کیهان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أنزل الله سبحانه دیناً ناقصاً فاستعان بهم علی إتمامه أم کانوا شرکاء له فلهم أن یقولوا وعلیه أن یرضی أم أنزل سبحانه دیناً تاماً فقصر الرسول عن تبلیغه وأدائه و الله سبحانه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أنّ الکتاب یصدق بعضه بعضاً وأنّه لا اختلاف فیه فقال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کان من عند غیر الله لوجدوا فیه اختلافاً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القرآن ظاهره أنیق وباطنه عمیق لا تفنی عجائبه ولا تنقضی غرائبه ولا تکشف الظلمات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 اصول،محمد کاظم روحانی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الرواة،محمّد علی الأردبیلی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؛تاریخ علم 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خدمات متقابل إسلام وإیران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؛مفاخر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خدمات متقابل إسلام وإیران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؛مفاخر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علی أسباب الرکود النسبی للفقه بعد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مفاخر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نور،روح الله موسوی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پیدایش وگسترش وادوار حقوق إسلامی،أبو الفضل عزتی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حنیفة؛الإیرانییون و الأدب العربی،قیس آل قیس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فقه الحنفیة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التشریع الإسلامی،بوجینا غیا 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الإیرانیون و الأدب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فقه الشافعیة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؛تاریخ الخلفاء،السیوطی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؛تاریخ التشریع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وتاریخنگاری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اسد الله آزاد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297298/31</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218/192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؛تاریخ التراث العربی،فؤاد سزکین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المیزان،ابن حجر العسقلانی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معارف بزرگ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؛تاریخ سیاسی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الأدباء،یاقوت الحموی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نگاری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تاریخ در إسلام،صادق آئینه وند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فی العلوم غیر الإسلامیة أو الأجنبیة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جاءتنا من المناطق غیر الإسلامیة،و إن کان لعلماء الإسلام دور فعال فی نشر وهدایة وتکامل هذه العلوم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علوم عقلی در تمدن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 و العلم الجدید،عبد الرزاق نوفل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؛فی خصوص العلوم و الفنون و الأواسط فی الحضارة الإسلامیة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فی حضارته ونظمه،أنور الرفاعی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إسلامی،حنا الفاخوری و الخلیل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عبدالمحمد آیتی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فی أنّ علم الکیمیاء و الخیمیاء یشترکان فی أنّهما یرتبطان بالفلزات و المواد غیر العضویة،إلّا أنّ علم الخیمیاء ینظر إلی هذه المواد کرموز فی العالم اللامتناهی،حیث ترتبط المواد بالعلامات النجومیة فتوضع الشمس للذهب،والقمر للفضة،وعطارد للزئبق،والزهرة للنحاس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علم الخیمیاء یتخیل الطبیعة ساحة مقدسة ولیدة للفلزات وللمواد غیر العضویة،وذلک علی خلاف علم الکیمیاء الذی ینظر فی الأساس إلی التغیرات الداخلیة التی تطرأ فی المواد المعدنیة بغض النظر عن عواملها غیر المادیة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وتمدن در اسلام،سید حسن نصر،ترجمه احمد آرام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؛تاریخ علم،دامبی 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المصدر؛جوان ودنیای متجدد،ترجمه مرتضی أسدی،سید حسن 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علم،دامبی یر،ترجمه عبد الحسین آذرنگ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بر تاریخ علم جهان،جورج سارتون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مسلمان ودانش جدید،عبد الرزاق نوفل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؛للاطّلاع علی ما کتبه جابر بن حیان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الشیعة،محسن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علم،دامبی 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؛علم وتمدن در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؛تاریخ تمدن إسلام،علی اصغر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 مسلمان ودنیای متجدد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؛تاریخ فلسفه در جهان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پویایی فرهنگ وتمدن اسلام وایران،علی أکبر ولایتی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علی شخصیته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 کمبیردج،کالین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للتعرّف علیه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علمی دانشمندان اسلامی،أحمد آرام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علوم عقلی در تمدن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 معارف بزرگ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النفیس؛پویایی فرهنگ وتمدن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؛تاریخ طب در إیران پس از إسلام،محمود نجم آبادی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؛پویایی فرهنگ وتمدن إسلام وایران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Louvain</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Mont Pellier</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؛تاریخ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؛تاریخ وتمدن إسلام وعرب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 مسلم ودنیای متجدد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اسلام در اروبا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پویایی فرهنگ وتمدن إسلام وإیران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جهان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 مسلمان ودنیای متجدد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؛فی خصوص إبداعات علماء الإسلام فی الریاضیات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پویایی فرهنگ وتمدن إسلام وإیران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اسلامی ونقش آن در تحولات علمی جهان،آلدو میدلی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؛ترجمه مقدّمه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زندگینامه علمی دانشمندان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موسی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عمر خیام به عنوان عالم جبر،غلام حسین مصاحب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؛مفاخر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؛للاطّلاع اکثر علی ریاضی الإسلام الکبار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ریاضیدانان دوره اسلامی از سده سوم تا سده یازدهم هجری،أبو القاسم قربانی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؛از پیدایش اسلام تا ایران اسلامی،دفتر اول،رسول جعفریان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مکّة وما جاء فیها من الآثار،أبو الولید محمد بن عبدالله بن أحمد الأزرقی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الجامعات الإسلامیة الکبری،عبد الرحیم غُنَیمة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علم کلام،هاری اولترین ولفس،ترجمه أحمد آرام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علوم عقلی در تمدن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؛تمهید الأصول،محمد بن الحسن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علوم عقلی در تمدن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 علوم یونانی به عالم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؛سیر فلسفه در جهان إسلام،ماجد 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فلاسفة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؛فلسفه علم 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دانشگاههای بزرگ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؛بایارد داج،دانشگاه الأزهر تاریخ هزار ساله تعلیمات عالی اسلامی،ترجمه آذرمیدخت مشایخ فریدنی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اسماعیلیان،لویس ونارد،ترجمه فریدون بدره‌ای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بعدها؛تاریخ شیعه،ترجمه محمدباقر حجتی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دانشگاه الأزهر تاریخ هزار ساله تعلیمات عالی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الجامعات الإسلامیة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دانشگاه الأزهر،و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؛تاریخ دانشگاههای بزرگ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،بتصرّف؛نقلاً عن تاریخ دانشگاههای بزرگ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علماء النجف الأشرف،السیّد محمد الغروی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؛ذکر المحقق الغروی أکثر من ألف ومئة عالم ومفکّر من الذین درسوا فی هذا المرکز وذلک منذ القرن الخامس الهجری وحتّی الیوم،راجع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علماء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خصوص تأثیر المدارس النظامیة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نظامیه وتأثیرات علمی واجتماعی آن،نور الله کسائی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به کتابخانه وساختمان وخدمات کتاب در تمدن 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 مکتبة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 العیاشی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السیّد الرضی،السیّد المرتضی،مکتبة الشیخ الطوسی 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إیران إسلامی،دفتر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؛للاطّلاع أکثر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الکتب و المکتبات الإسلامیة،عبد اللطیف إبراهیم؛دور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 العربیة العامّة لبلاد العراق و الشام ومصر،نزار أباظة ومحمد الصباغ،ترجمه عن الفرنسیة یوسف العش؛تاریخ کتاب از کهن ترین دوران تا عصر حاضر،سوند دال،ترجمه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خاکساری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دولت وخلافت،رسول جعفریان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؛راهنماشناسی،محمد رضا کاشفی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 اسلام،علی اصغر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ما طرأ علی مسألة الشوری من رواج فی عهد عمر،راجع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دولت وخلافت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؛المحیط فی اللغة،إسماعیل بن عباد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تحول دولت وخلافت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المثال البارز لذلک شهادة الإمام الحسین بن علی لعدم مبایعته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حسین،سید جعفر 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التراتیب الإداریة؛عبقریة محمد،عباس محمود العقاد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إسلامی در قرن چهارم 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اسلامی در قرن چهارم 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البلدان،أحمد بن یحیی البلاذری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؛بیت المال در دانشنامه جهان اسلام،رحمن ستایش،محمد کاظم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خصوص النظام المالی للحضارة الإسلامیة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184/166</w:t>
      </w:r>
      <w:r>
        <w:rPr>
          <w:rFonts w:ascii="IRNazanin" w:hAnsi="IRNazanin" w:eastAsia="IRNazanin"/>
          <w:b w:val="false"/>
          <w:b w:val="false"/>
          <w:bCs w:val="false"/>
          <w:i w:val="false"/>
          <w:i w:val="false"/>
          <w:iCs w:val="false"/>
          <w:color w:val="333333"/>
          <w:sz w:val="20"/>
          <w:sz w:val="20"/>
          <w:szCs w:val="20"/>
          <w:rtl w:val="true"/>
        </w:rPr>
        <w:t>؛تمدن اسلامی در قرن چهارم 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؛تاریخ ایران اسلامی،دفتر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من دفن فی العراق من الصحابة،علی بن الحسین الهاشمی الخطیب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إسلامی در قرن چهارم 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المذاهب الفقهیة،محمّد أبو زهرة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؛نقلاً عن نعمت الله صفری فروشانی،نگاهی به مسائل قضا در جاهلیت وقرون اولیه اسلام نشریه 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؛راجع فی خصوص النظام القضائی فی الحضارة الإسلامیة،تمدن اسلامی در قرن چهارم 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؛منصب قاضی القضاة فی الدولة الإسلامیة منذ نشأته حتّی نهایة العصر السلجوقی،عبد الرزاق الأنباری؛نگاهی به مسائل قضا در جاهلیت وقرون اولیه اسلام نشریه طلوع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ریتشارد اتینغها،وزن و الغ غرابر،هنر ومعماری اسلامی،ترجمه یعقوب آژند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؛هنری مارتن،ج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شناسی هنر معماری در سرزمینهای اسلامی،ترجمه برویز ورجاوند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؛معماری 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معماری مساجد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یس،الواقعة،الرحمان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 شناسی هنر معماری در سرزمینهای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؛هنر اسلامی،دیفید تالبوت راین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بنجم وششم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إیران إسلامی،دفتر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؛للاطّلاع أکثر فی مجال العمارة الإسلامیة،یمکن الاستفادة من مصدرین مهمیّن 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رو نجیب أوغلو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هندسه وتزیین در معماری اسلامی،ترجمه مهرداد قیومی بید هندی،روزنه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1379/1</w:t>
      </w:r>
      <w:r>
        <w:rPr>
          <w:rFonts w:ascii="IRNazanin" w:hAnsi="IRNazanin" w:eastAsia="IRNazanin"/>
          <w:b w:val="false"/>
          <w:b w:val="false"/>
          <w:bCs w:val="false"/>
          <w:i w:val="false"/>
          <w:i w:val="false"/>
          <w:iCs w:val="false"/>
          <w:color w:val="333333"/>
          <w:sz w:val="20"/>
          <w:sz w:val="20"/>
          <w:szCs w:val="20"/>
          <w:rtl w:val="true"/>
        </w:rPr>
        <w:t>ش؛بسیم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شهرهای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إسلامی،ترجمه محمدحسین ملک أحمدی،عارف أقوامی مقدم،تهران،وزارت فرهنگ وإرشاد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پویایی فرهنگ وتمدن اسلام وایران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؛حنا الفاخوری،تاریخ أدبیات زبان عرب،ترجمه عبد المحمد آیتی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؛توشی هیکو ایزوتسو،ساختمان معنایی مفاهیم أخلاقی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 در قرآن،ترجمه فریدون بدره 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طالب،محمد محمّدی الریشهری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علی صوت العدالة الإنسانیة،جورج جرداق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أدبیات عرب،ج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الجلیل،ترجمه آذرتاش آذرنوش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؛دایره معارف بزرگ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 الرومی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الفارض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أکثر علی شعراء الفارسیة الکبار،راجع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شعر فارسی؛عبد الحسین زرین کوب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ادبیات در ایران،ذبیح الله صفا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موحدی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ادبیات فارسی ،دانشنامه امام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؛سید جعفر 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گیری ادبیات فارسی از نهج البلاغه یادنامه دومین کنگره هزاره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تکابوگر اندیشه‌ها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الکلام عنه فی المقال الرابع و الخامس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اسلامی از زبان بیگانگان،محمد تقی صرفی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تأثیر اسلام بر اروبا قرون وسطی،ترجمه وتوضیح حسین عبدالمحمدی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وامداری غرب نسبت به شرق بویژه اسلام،محمد آراسته خو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میراث اسلام یا آنجه مغرب زمین با ملتهای اسلام مدیون است،بإشراف السر توماس آرنولد وآلفرد غیوم،ترجمه مصطفی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وامداری غرب نسبت به شرق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 اسلام،حسین عمازاده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وامداری غرب نسبت به شرق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؛تأثیر إسلام بر اروبای قرون وسطی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؛تأثیر اسلام بر اروبایی قرون وسطی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 وعرب،غوستاف لوبون،ترجمه سیدهاشم 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؛فی مجال تأثیر الحروب الصلیبیة الغربیة مع الإسلام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أبعاد گوناگون جنگ صلیبی غرب با اسلام،علی ابو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الحضارة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؛رومان ستیفن،گسترش مجموعه های اسلامی در کتابخانه های اروبایی غربی وأمریکای شمالی،ترجمه فرشته ناصری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؛یعتقد البعض بأنّ الثقافة الإسلامیة ترسخت فی اوروبا من خلال السبایا المسلمات أیضاً،راجع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اسلامی در اروبا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تأثیر اسلام بر اروبا قرون وسطی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وفلسفه علم،لویس ویلیام هلسی هول،ترجمه عبد الحسین آذرنگ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أکثر حول مجالات التأثیر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پویایی فرهنگ وتمدن إسلام وإیران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 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آندلس یا تاریخ حکومت مسلمانان در اروبا،محمد إبراهیم آیتی؛عظمت مسلمانان در اسبانیا،جوزیف ماک کاب،ترجمة أبوالقاسم فیض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تقدّم فی المقال الثانی تحلیل هذه العوامل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الإشارة إلی کلام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هذا الموضوع،وذلک ضمن المقال الثانی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وتفسیر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وسرنوشت،مرتضی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 الأشعریة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ادبیات ایران،ادوارد براون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عاصر الخلیفة المعتمد علی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سیستان،ویرایش جعفر مدرس صادقی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260/11</w:t>
      </w:r>
      <w:r>
        <w:rPr>
          <w:rFonts w:ascii="IRNazanin" w:hAnsi="IRNazanin" w:eastAsia="IRNazanin"/>
          <w:b w:val="false"/>
          <w:b w:val="false"/>
          <w:bCs w:val="false"/>
          <w:i w:val="false"/>
          <w:i w:val="false"/>
          <w:iCs w:val="false"/>
          <w:color w:val="333333"/>
          <w:sz w:val="20"/>
          <w:sz w:val="20"/>
          <w:szCs w:val="20"/>
          <w:rtl w:val="true"/>
        </w:rPr>
        <w:t>،بتصرف؛للمطالعة أکثر فی خصوص الفکر السیاسی للإسلام وتطوره،راجع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واندیشه در دام خودگامگی،محمد خاتمی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القوانین،منتسکیو،ترجمه علی اکبر 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 ومعادن الجوهر،أبو الحسن علی بن الحسین المسعودی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کنموذج علی ذلک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وامداری غرب نسبت به شرق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جنگهای صلیبی،ستیفن ونسیمان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؛جنگهای صلیبی از دیدگاه شرقیان،أمین معلوف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361/12</w:t>
      </w:r>
      <w:r>
        <w:rPr>
          <w:rFonts w:ascii="IRNazanin" w:hAnsi="IRNazanin" w:eastAsia="IRNazanin"/>
          <w:b w:val="false"/>
          <w:b w:val="false"/>
          <w:bCs w:val="false"/>
          <w:i w:val="false"/>
          <w:i w:val="false"/>
          <w:iCs w:val="false"/>
          <w:color w:val="333333"/>
          <w:sz w:val="20"/>
          <w:sz w:val="20"/>
          <w:szCs w:val="20"/>
          <w:rtl w:val="true"/>
        </w:rPr>
        <w:t>؛تاریخ التمدن الإسلامی،جرجی زیدان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؛وغیرها کثیر؛راجع فی هذا الخصوص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العلاقات الاجتماعیة فی الإسلام،محمدحسین الطباطبائی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فیهم رسله وواتر إلیهم أنبیاءه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ویثیروا لهم دفائن العقول 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تکابوگر اندیشه‌ها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الحکمة،محمد محمدی الریشهری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خصوص تفاصیل هذه الموارد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پژوهی،دفتر چهارم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الآیة؛وراجع أیضا للمؤلف،پرسشها وباسخها،دفتر چهارم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؛مقدمه ای بر جهان بینی اسلام،مرتضی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؛جامعه وتاریخ از دیدگاه قرآن،بخش ششم،محمد تقی مصباح 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جهانی نظریه سیاسی اسلام،عبد الکریم آل نجف،ترجمه محمد حسن معصومی،فصلنامه حکومت اسلامی،سال دوم،ش</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روابط اجتماعی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؛خدمات متقابل اسلام وایران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فَتَبارَکَ اللّهُ أَحْسَنُ الْخالِقِینَ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فِی السَّماواتِ وَ الْأَرْضِ لَآیاتٍ لِلْمُؤْمِنِینَ 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الَّذِینَ لا یَرْجُونَ لِقاءَنا وَ رَضُوا بِالْحَیاةِ الدُّنْیا وَ اطْمَأَنُّوا بِها وَ الَّذِینَ هُمْ عَنْ آیاتِنا غافِلُونَ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 رَضِیتُمْ بِالْحَیاةِ الدُّنْیا مِنَ الْآخِرَةِ فَما مَتاعُ الْحَیاةِ الدُّنْیا فِی الْآخِرَةِ إِلاّ قَلِیلٌ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آخَرُونَ یَضْرِبُونَ فِی الْأَرْضِ یَبْتَغُونَ مِنْ فَضْلِ اللّهِ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سَخَّرَ لَکُمْ ما فِی السَّماواتِ وَ ما فِی الْأَرْضِ جَمِیعاً مِنْهُ 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حَرَّمَ زِینَةَ اللّهِ الَّتِی أَخْرَجَ لِعِبادِهِ وَ الطَّیِّباتِ مِنَ الرِّزْقِ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203/16</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وجدان کاری،محمد رضا کاشفی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تاریخی حضرت امام به حوزه‌های علمیه در تاریخ </w:t>
      </w:r>
      <w:r>
        <w:rPr>
          <w:rFonts w:eastAsia="IRNazanin" w:cs="IRNazanin"/>
          <w:b w:val="false"/>
          <w:bCs w:val="false"/>
          <w:i w:val="false"/>
          <w:iCs w:val="false"/>
          <w:color w:val="333333"/>
          <w:sz w:val="20"/>
          <w:szCs w:val="20"/>
        </w:rPr>
        <w:t>57/12/3</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؛وصیت نامه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59/9/29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59/10/27</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سیاست ودین،ترجمه مرتضی أسعدی،در مجموعه فرهنگ ودین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43139</Words>
  <Characters>227690</Characters>
  <CharactersWithSpaces>269121</CharactersWithSpaces>
  <Paragraphs>1709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2026-08-19T02:14:12Z</dcterms:created>
  <dc:creator>ghaemiyeh.com</dc:creator>
  <dc:description/>
  <dc:language>en-US</dc:language>
  <cp:lastModifiedBy/>
  <dcterms:modified xsi:type="dcterms:W3CDTF">2026-08-19T05:44:20Z</dcterms:modified>
  <cp:revision>1</cp:revision>
  <dc:subject/>
  <dc:title>تاریخ الثقافة والحضارةالاسلامیة</dc:title>
</cp:coreProperties>
</file>

<file path=docProps/custom.xml><?xml version="1.0" encoding="utf-8"?>
<Properties xmlns="http://schemas.openxmlformats.org/officeDocument/2006/custom-properties" xmlns:vt="http://schemas.openxmlformats.org/officeDocument/2006/docPropsVTypes"/>
</file>