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507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9507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95074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695076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695078_581953129">
            <w:r>
              <w:rPr>
                <w:webHidden/>
                <w:rStyle w:val="IndexLink"/>
                <w:rtl w:val="true"/>
              </w:rPr>
              <w:t>مباحثی پیرامون رجعت</w:t>
            </w:r>
            <w:r>
              <w:rPr>
                <w:rStyle w:val="IndexLink"/>
                <w:rtl w:val="true"/>
              </w:rPr>
              <w:tab/>
            </w:r>
            <w:r>
              <w:rPr>
                <w:rStyle w:val="IndexLink"/>
              </w:rPr>
              <w:t>18</w:t>
            </w:r>
          </w:hyperlink>
        </w:p>
        <w:p>
          <w:pPr>
            <w:pStyle w:val="Contents3"/>
            <w:tabs>
              <w:tab w:val="clear" w:pos="8459"/>
              <w:tab w:val="right" w:pos="9026" w:leader="dot"/>
            </w:tabs>
            <w:rPr/>
          </w:pPr>
          <w:hyperlink w:anchor="__RefHeading___Toc1695080_581953129">
            <w:r>
              <w:rPr>
                <w:webHidden/>
                <w:rStyle w:val="IndexLink"/>
              </w:rPr>
              <w:t>1</w:t>
            </w:r>
            <w:r>
              <w:rPr>
                <w:rStyle w:val="IndexLink"/>
                <w:rtl w:val="true"/>
              </w:rPr>
              <w:t xml:space="preserve">- </w:t>
            </w:r>
            <w:r>
              <w:rPr>
                <w:rStyle w:val="IndexLink"/>
                <w:rtl w:val="true"/>
              </w:rPr>
              <w:t>معنای رجعت</w:t>
            </w:r>
            <w:r>
              <w:rPr>
                <w:rStyle w:val="IndexLink"/>
                <w:rtl w:val="true"/>
              </w:rPr>
              <w:tab/>
            </w:r>
            <w:r>
              <w:rPr>
                <w:rStyle w:val="IndexLink"/>
              </w:rPr>
              <w:t>18</w:t>
            </w:r>
          </w:hyperlink>
        </w:p>
        <w:p>
          <w:pPr>
            <w:pStyle w:val="Contents3"/>
            <w:tabs>
              <w:tab w:val="clear" w:pos="8459"/>
              <w:tab w:val="right" w:pos="9026" w:leader="dot"/>
            </w:tabs>
            <w:rPr/>
          </w:pPr>
          <w:hyperlink w:anchor="__RefHeading___Toc1695082_581953129">
            <w:r>
              <w:rPr>
                <w:webHidden/>
                <w:rStyle w:val="IndexLink"/>
              </w:rPr>
              <w:t>2</w:t>
            </w:r>
            <w:r>
              <w:rPr>
                <w:rStyle w:val="IndexLink"/>
                <w:rtl w:val="true"/>
              </w:rPr>
              <w:t xml:space="preserve">- </w:t>
            </w:r>
            <w:r>
              <w:rPr>
                <w:rStyle w:val="IndexLink"/>
                <w:rtl w:val="true"/>
              </w:rPr>
              <w:t>مرتبۀ اعتقاد به رجعت</w:t>
            </w:r>
            <w:r>
              <w:rPr>
                <w:rStyle w:val="IndexLink"/>
                <w:rtl w:val="true"/>
              </w:rPr>
              <w:tab/>
            </w:r>
            <w:r>
              <w:rPr>
                <w:rStyle w:val="IndexLink"/>
              </w:rPr>
              <w:t>19</w:t>
            </w:r>
          </w:hyperlink>
        </w:p>
        <w:p>
          <w:pPr>
            <w:pStyle w:val="Contents3"/>
            <w:tabs>
              <w:tab w:val="clear" w:pos="8459"/>
              <w:tab w:val="right" w:pos="9026" w:leader="dot"/>
            </w:tabs>
            <w:rPr/>
          </w:pPr>
          <w:hyperlink w:anchor="__RefHeading___Toc1695084_581953129">
            <w:r>
              <w:rPr>
                <w:webHidden/>
                <w:rStyle w:val="IndexLink"/>
              </w:rPr>
              <w:t>3</w:t>
            </w:r>
            <w:r>
              <w:rPr>
                <w:rStyle w:val="IndexLink"/>
                <w:rtl w:val="true"/>
              </w:rPr>
              <w:t xml:space="preserve">- </w:t>
            </w:r>
            <w:r>
              <w:rPr>
                <w:rStyle w:val="IndexLink"/>
                <w:rtl w:val="true"/>
              </w:rPr>
              <w:t>دلیلهای اثبات رجعت</w:t>
            </w:r>
            <w:r>
              <w:rPr>
                <w:rStyle w:val="IndexLink"/>
                <w:rtl w:val="true"/>
              </w:rPr>
              <w:tab/>
            </w:r>
            <w:r>
              <w:rPr>
                <w:rStyle w:val="IndexLink"/>
              </w:rPr>
              <w:t>20</w:t>
            </w:r>
          </w:hyperlink>
        </w:p>
        <w:p>
          <w:pPr>
            <w:pStyle w:val="Contents4"/>
            <w:tabs>
              <w:tab w:val="clear" w:pos="8176"/>
              <w:tab w:val="right" w:pos="9026" w:leader="dot"/>
            </w:tabs>
            <w:rPr/>
          </w:pPr>
          <w:hyperlink w:anchor="__RefHeading___Toc1695086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695088_581953129">
            <w:r>
              <w:rPr>
                <w:webHidden/>
                <w:rStyle w:val="IndexLink"/>
                <w:rtl w:val="true"/>
              </w:rPr>
              <w:t>الف</w:t>
            </w:r>
            <w:r>
              <w:rPr>
                <w:rStyle w:val="IndexLink"/>
                <w:rtl w:val="true"/>
              </w:rPr>
              <w:t xml:space="preserve">: </w:t>
            </w:r>
            <w:r>
              <w:rPr>
                <w:rStyle w:val="IndexLink"/>
                <w:rtl w:val="true"/>
              </w:rPr>
              <w:t>مرحله اثبات امکان رجعت و محال نبودن آن</w:t>
            </w:r>
            <w:r>
              <w:rPr>
                <w:rStyle w:val="IndexLink"/>
                <w:rtl w:val="true"/>
              </w:rPr>
              <w:tab/>
            </w:r>
            <w:r>
              <w:rPr>
                <w:rStyle w:val="IndexLink"/>
              </w:rPr>
              <w:t>20</w:t>
            </w:r>
          </w:hyperlink>
        </w:p>
        <w:p>
          <w:pPr>
            <w:pStyle w:val="Contents4"/>
            <w:tabs>
              <w:tab w:val="clear" w:pos="8176"/>
              <w:tab w:val="right" w:pos="9026" w:leader="dot"/>
            </w:tabs>
            <w:rPr/>
          </w:pPr>
          <w:hyperlink w:anchor="__RefHeading___Toc1695090_581953129">
            <w:r>
              <w:rPr>
                <w:webHidden/>
                <w:rStyle w:val="IndexLink"/>
                <w:rtl w:val="true"/>
              </w:rPr>
              <w:t>ب</w:t>
            </w:r>
            <w:r>
              <w:rPr>
                <w:rStyle w:val="IndexLink"/>
                <w:rtl w:val="true"/>
              </w:rPr>
              <w:t xml:space="preserve">: </w:t>
            </w:r>
            <w:r>
              <w:rPr>
                <w:rStyle w:val="IndexLink"/>
                <w:rtl w:val="true"/>
              </w:rPr>
              <w:t>عدم تعارض اعتقاد به رجعت با عقاید اسلامی</w:t>
            </w:r>
            <w:r>
              <w:rPr>
                <w:rStyle w:val="IndexLink"/>
                <w:rtl w:val="true"/>
              </w:rPr>
              <w:tab/>
            </w:r>
            <w:r>
              <w:rPr>
                <w:rStyle w:val="IndexLink"/>
              </w:rPr>
              <w:t>21</w:t>
            </w:r>
          </w:hyperlink>
        </w:p>
        <w:p>
          <w:pPr>
            <w:pStyle w:val="Contents4"/>
            <w:tabs>
              <w:tab w:val="clear" w:pos="8176"/>
              <w:tab w:val="right" w:pos="9026" w:leader="dot"/>
            </w:tabs>
            <w:rPr/>
          </w:pPr>
          <w:hyperlink w:anchor="__RefHeading___Toc1695092_581953129">
            <w:r>
              <w:rPr>
                <w:webHidden/>
                <w:rStyle w:val="IndexLink"/>
                <w:rtl w:val="true"/>
              </w:rPr>
              <w:t>ج</w:t>
            </w:r>
            <w:r>
              <w:rPr>
                <w:rStyle w:val="IndexLink"/>
                <w:rtl w:val="true"/>
              </w:rPr>
              <w:t xml:space="preserve">: </w:t>
            </w:r>
            <w:r>
              <w:rPr>
                <w:rStyle w:val="IndexLink"/>
                <w:rtl w:val="true"/>
              </w:rPr>
              <w:t>مرحلۀ اثبات وقوع شدن رجعت در آیندۀ جامعۀ اسلامی</w:t>
            </w:r>
            <w:r>
              <w:rPr>
                <w:rStyle w:val="IndexLink"/>
                <w:rtl w:val="true"/>
              </w:rPr>
              <w:tab/>
            </w:r>
            <w:r>
              <w:rPr>
                <w:rStyle w:val="IndexLink"/>
              </w:rPr>
              <w:t>25</w:t>
            </w:r>
          </w:hyperlink>
        </w:p>
        <w:p>
          <w:pPr>
            <w:pStyle w:val="Contents5"/>
            <w:tabs>
              <w:tab w:val="clear" w:pos="7892"/>
              <w:tab w:val="right" w:pos="9026" w:leader="dot"/>
            </w:tabs>
            <w:rPr/>
          </w:pPr>
          <w:hyperlink w:anchor="__RefHeading___Toc1695094_58195312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695096_581953129">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26</w:t>
            </w:r>
          </w:hyperlink>
        </w:p>
        <w:p>
          <w:pPr>
            <w:pStyle w:val="Contents5"/>
            <w:tabs>
              <w:tab w:val="clear" w:pos="7892"/>
              <w:tab w:val="right" w:pos="9026" w:leader="dot"/>
            </w:tabs>
            <w:rPr/>
          </w:pPr>
          <w:hyperlink w:anchor="__RefHeading___Toc1695098_581953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28</w:t>
            </w:r>
          </w:hyperlink>
        </w:p>
        <w:p>
          <w:pPr>
            <w:pStyle w:val="Contents3"/>
            <w:tabs>
              <w:tab w:val="clear" w:pos="8459"/>
              <w:tab w:val="right" w:pos="9026" w:leader="dot"/>
            </w:tabs>
            <w:rPr/>
          </w:pPr>
          <w:hyperlink w:anchor="__RefHeading___Toc1695100_581953129">
            <w:r>
              <w:rPr>
                <w:webHidden/>
                <w:rStyle w:val="IndexLink"/>
                <w:rtl w:val="true"/>
              </w:rPr>
              <w:t>شبهاتی دربارۀ رجعت</w:t>
            </w:r>
            <w:r>
              <w:rPr>
                <w:rStyle w:val="IndexLink"/>
                <w:rtl w:val="true"/>
              </w:rPr>
              <w:tab/>
            </w:r>
            <w:r>
              <w:rPr>
                <w:rStyle w:val="IndexLink"/>
              </w:rPr>
              <w:t>31</w:t>
            </w:r>
          </w:hyperlink>
        </w:p>
        <w:p>
          <w:pPr>
            <w:pStyle w:val="Contents3"/>
            <w:tabs>
              <w:tab w:val="clear" w:pos="8459"/>
              <w:tab w:val="right" w:pos="9026" w:leader="dot"/>
            </w:tabs>
            <w:rPr/>
          </w:pPr>
          <w:hyperlink w:anchor="__RefHeading___Toc1695102_581953129">
            <w:r>
              <w:rPr>
                <w:webHidden/>
                <w:rStyle w:val="IndexLink"/>
                <w:rtl w:val="true"/>
              </w:rPr>
              <w:t>نتیجۀ بحث</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4_68093"/>
      <w:bookmarkStart w:id="1" w:name="pg5414_68093"/>
      <w:bookmarkEnd w:id="1"/>
    </w:p>
    <w:p>
      <w:pPr>
        <w:pStyle w:val="Heading2"/>
        <w:numPr>
          <w:ilvl w:val="1"/>
          <w:numId w:val="1"/>
        </w:numPr>
        <w:rPr/>
      </w:pPr>
      <w:bookmarkStart w:id="2" w:name="pg5414_68093"/>
      <w:bookmarkStart w:id="3" w:name="__RefHeading___Toc16950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۳۸۲۸۰۱۱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507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pStyle w:val="BookText"/>
        <w:rPr/>
      </w:pPr>
      <w:r>
        <w:rPr>
          <w:rFonts w:ascii="IRNazanin" w:hAnsi="IRNazanin" w:eastAsia="IRNazanin"/>
          <w:color w:val="111111"/>
          <w:sz w:val="28"/>
          <w:sz w:val="28"/>
          <w:szCs w:val="28"/>
          <w:rtl w:val="true"/>
          <w:lang w:bidi="fa-IR"/>
        </w:rPr>
        <w:t xml:space="preserve">ترجمه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414_68102"/>
    </w:p>
    <w:p>
      <w:pPr>
        <w:pStyle w:val="Heading2"/>
        <w:numPr>
          <w:ilvl w:val="1"/>
          <w:numId w:val="1"/>
        </w:numPr>
        <w:rPr/>
      </w:pPr>
      <w:bookmarkStart w:id="8" w:name="__RefHeading___Toc1695074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414_68105"/>
    </w:p>
    <w:p>
      <w:pPr>
        <w:pStyle w:val="Heading2"/>
        <w:numPr>
          <w:ilvl w:val="1"/>
          <w:numId w:val="1"/>
        </w:numPr>
        <w:rPr/>
      </w:pPr>
      <w:bookmarkStart w:id="11" w:name="__RefHeading___Toc169507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لهم کیف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414_68113"/>
    </w:p>
    <w:p>
      <w:pPr>
        <w:pStyle w:val="Heading2"/>
        <w:numPr>
          <w:ilvl w:val="1"/>
          <w:numId w:val="1"/>
        </w:numPr>
        <w:rPr/>
      </w:pPr>
      <w:bookmarkStart w:id="14" w:name="__RefHeading___Toc1695078_581953129"/>
      <w:bookmarkStart w:id="15" w:name="_Toc5"/>
      <w:bookmarkEnd w:id="13"/>
      <w:bookmarkEnd w:id="14"/>
      <w:r>
        <w:rPr>
          <w:rtl w:val="true"/>
        </w:rPr>
        <w:t>مباحثی پیرامون رجعت</w:t>
      </w:r>
      <w:bookmarkEnd w:id="15"/>
    </w:p>
    <w:p>
      <w:pPr>
        <w:pStyle w:val="Heading3"/>
        <w:numPr>
          <w:ilvl w:val="2"/>
          <w:numId w:val="1"/>
        </w:numPr>
        <w:rPr/>
      </w:pPr>
      <w:bookmarkStart w:id="16" w:name="__RefHeading___Toc1695080_581953129"/>
      <w:bookmarkStart w:id="17" w:name="_Toc6"/>
      <w:bookmarkEnd w:id="16"/>
      <w:r>
        <w:rPr/>
        <w:t>1</w:t>
      </w:r>
      <w:r>
        <w:rPr>
          <w:rtl w:val="true"/>
        </w:rPr>
        <w:t xml:space="preserve">- </w:t>
      </w:r>
      <w:r>
        <w:rPr>
          <w:rtl w:val="true"/>
        </w:rPr>
        <w:t>معنای رجعت</w:t>
      </w:r>
      <w:bookmarkEnd w:id="17"/>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اعتقاد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از 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صورتی که در دنیا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دنیا برمی‌گرداند و اینان بر دو گروه اند؛ برخی از آنان در زندگی دنیوی، ایمانشان خالص بوده و برخی دیگر، کافر خالص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اهل حقّ را بر اهل باطل و مظلومان را بر ظالمان پیروز خواهد کرد و این امر، در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وبعد از آن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در تفسیر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بازگشت حقّ به اصل خویش است واین امر به دست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زنده کردن مردگان و بازگشت دوباره آنان به دنیا را شامل نمی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 در میان جمهور امامیّه به جهت پیروی کردن آنان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از زمان شیخ صدوق، شیخ مفید، سیّد مرتضی و شیخ طوسی، تا زمان علامۀ مجلسی و شیخ حرّ عاملی، این دیدگاه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فقیهان ودانشمندان شیعه نیز به همین قول، اعتقاد دارند</w:t>
      </w:r>
      <w:r>
        <w:rPr>
          <w:rFonts w:eastAsia="IRNazanin" w:cs="IRNazanin"/>
          <w:color w:val="111111"/>
          <w:sz w:val="28"/>
          <w:szCs w:val="28"/>
          <w:rtl w:val="true"/>
          <w:lang w:bidi="fa-IR"/>
        </w:rPr>
        <w:t>.</w:t>
      </w:r>
      <w:bookmarkStart w:id="18" w:name="pg5414_68114"/>
    </w:p>
    <w:p>
      <w:pPr>
        <w:pStyle w:val="Heading3"/>
        <w:numPr>
          <w:ilvl w:val="2"/>
          <w:numId w:val="1"/>
        </w:numPr>
        <w:rPr/>
      </w:pPr>
      <w:bookmarkStart w:id="19" w:name="__RefHeading___Toc1695082_581953129"/>
      <w:bookmarkStart w:id="20" w:name="_Toc7"/>
      <w:bookmarkEnd w:id="18"/>
      <w:bookmarkEnd w:id="19"/>
      <w:r>
        <w:rPr/>
        <w:t>2</w:t>
      </w:r>
      <w:r>
        <w:rPr>
          <w:rtl w:val="true"/>
        </w:rPr>
        <w:t xml:space="preserve">- </w:t>
      </w:r>
      <w:r>
        <w:rPr>
          <w:rtl w:val="true"/>
        </w:rPr>
        <w:t>مرتبۀ اعتقاد به رجعت</w:t>
      </w:r>
      <w:bookmarkEnd w:id="20"/>
    </w:p>
    <w:p>
      <w:pPr>
        <w:pStyle w:val="BookText"/>
        <w:rPr/>
      </w:pPr>
      <w:r>
        <w:rPr>
          <w:rFonts w:ascii="IRNazanin" w:hAnsi="IRNazanin" w:eastAsia="IRNazanin"/>
          <w:color w:val="111111"/>
          <w:sz w:val="28"/>
          <w:sz w:val="28"/>
          <w:szCs w:val="28"/>
          <w:rtl w:val="true"/>
          <w:lang w:bidi="fa-IR"/>
        </w:rPr>
        <w:t>بدیهی است که عقیدۀ اسلامی، اصولی دارد که همان آن را قبول دارند ونیز فروعی دارد که گاهی اوقات در آن اختلاف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نیست که اختلاف در آن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شیخ محمّد حسین کاشف الغطاء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رجعت در مذهب شیعه امر الزامی نمی باشد و انکار آن مضر نیست؛ گرچه اعتقاد به آن، نزد شیعیان، ضروری می باشد ولی تحقّق تشیّع از جهت وجود و عدم، منوط به آن نمی باشد ورجعت مانند برخی از علامتهای قیامت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ظهور دجّال، 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قضایای رایج میان مسلمانان است که اعتقاد به آنها از شرایط مسلمان بودن نمی 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رجعت به این معنا، قسمتی از بخشهای تکمیل کنندۀ تفکّر مهدویّت در اسلام است و بدین جهت، این دو، دارای مضمون واحد و مشترک می باشند و آن پیروزی حق و شکست باطل در آخرین نبرد تاریخی میان آن دو است و نظام دنیا در حال حرکت به بسوی حق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ادیان آسمانی قبل از اسلام، به بازگشت برخی از پیامبران به دنیا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 به اصل تفکّر مهدویّت، مشترک می باشند، پس مانعی از اعتقاد به</w:t>
      </w:r>
      <w:bookmarkStart w:id="21" w:name="pg5414_68115"/>
    </w:p>
    <w:p>
      <w:pPr>
        <w:pStyle w:val="BookText"/>
        <w:rPr/>
      </w:pPr>
      <w:bookmarkEnd w:id="21"/>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تأکید کنندۀ اصل تفکّر مهدویّت و در امتداد و توضیح دهندۀ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ایمان به رجعت، مکمّل و بیانگر اصل تفکّر مهدویّت است که همۀ مسلمانان آن را قبول دارند، پس تأکید بر این اصل وژرف نگری در آن، از طریق تفکّری عمیق و مساعدت کتاب و سنّت، فضیلتی است که شایستۀ بزرگداشت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اینها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است نقلی؛ اگر نقل صحیح باشد، اعتقاد به آن لازم است و اگر نقل صحیح نباشد، اعتقاد به آن لازم نیست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همین دلیل به نظر برخی از علماء که این نقل نزد آنان تمام نیست، یا در دلالت آن اشکال دارند؛ روایت های موجود در این زمینه را به صورتی تفسیر کرده اند که از آن برانگیخته شدن در دنیا قبل از آخرت، لازم نمی آید بلکه به معنای بازگشت دولت حقّ وشکست قدرت ظلم وستمگری می باشد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2" w:name="__RefHeading___Toc1695084_581953129"/>
      <w:bookmarkStart w:id="23" w:name="_Toc8"/>
      <w:bookmarkEnd w:id="22"/>
      <w:r>
        <w:rPr/>
        <w:t>3</w:t>
      </w:r>
      <w:r>
        <w:rPr>
          <w:rtl w:val="true"/>
        </w:rPr>
        <w:t xml:space="preserve">- </w:t>
      </w:r>
      <w:r>
        <w:rPr>
          <w:rtl w:val="true"/>
        </w:rPr>
        <w:t>دلیلهای اثبات رجعت</w:t>
      </w:r>
      <w:bookmarkEnd w:id="23"/>
    </w:p>
    <w:p>
      <w:pPr>
        <w:pStyle w:val="Heading4"/>
        <w:numPr>
          <w:ilvl w:val="3"/>
          <w:numId w:val="1"/>
        </w:numPr>
        <w:rPr/>
      </w:pPr>
      <w:bookmarkStart w:id="24" w:name="__RefHeading___Toc1695086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اثبات رجعت و اقامۀ دلیل بر آن، دارای سه مرحله است</w:t>
      </w:r>
      <w:r>
        <w:rPr>
          <w:rFonts w:eastAsia="IRNazanin" w:cs="IRNazanin"/>
          <w:color w:val="111111"/>
          <w:sz w:val="28"/>
          <w:szCs w:val="28"/>
          <w:rtl w:val="true"/>
          <w:lang w:bidi="fa-IR"/>
        </w:rPr>
        <w:t>:</w:t>
      </w:r>
    </w:p>
    <w:p>
      <w:pPr>
        <w:pStyle w:val="Heading4"/>
        <w:numPr>
          <w:ilvl w:val="3"/>
          <w:numId w:val="1"/>
        </w:numPr>
        <w:rPr/>
      </w:pPr>
      <w:bookmarkStart w:id="26" w:name="__RefHeading___Toc1695088_581953129"/>
      <w:bookmarkStart w:id="27" w:name="_Toc10"/>
      <w:bookmarkEnd w:id="26"/>
      <w:r>
        <w:rPr>
          <w:rtl w:val="true"/>
        </w:rPr>
        <w:t>الف</w:t>
      </w:r>
      <w:r>
        <w:rPr>
          <w:rtl w:val="true"/>
        </w:rPr>
        <w:t xml:space="preserve">: </w:t>
      </w:r>
      <w:r>
        <w:rPr>
          <w:rtl w:val="true"/>
        </w:rPr>
        <w:t>مرحله اثبات امکان رجعت و محال نبودن آن</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دلیلی که امکان آن را اثبات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اختلافی ندارد، با این تفاوت</w:t>
      </w:r>
      <w:bookmarkStart w:id="28" w:name="pg5414_68116"/>
    </w:p>
    <w:p>
      <w:pPr>
        <w:pStyle w:val="BookText"/>
        <w:rPr/>
      </w:pPr>
      <w:bookmarkEnd w:id="28"/>
      <w:r>
        <w:rPr>
          <w:rFonts w:ascii="IRNazanin" w:hAnsi="IRNazanin" w:eastAsia="IRNazanin"/>
          <w:color w:val="111111"/>
          <w:sz w:val="28"/>
          <w:sz w:val="28"/>
          <w:szCs w:val="28"/>
          <w:rtl w:val="true"/>
          <w:lang w:bidi="fa-IR"/>
        </w:rPr>
        <w:t xml:space="preserve">که رجعت، بازگشت دنیوی است که در پایان دنیا برای برخی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رهبران ایمان و سران کفر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 یابد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اخروی است که همۀ انسانها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استدلالی که برای امکان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صلاحیّت دارد که برای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این مرحله از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ادلّۀ معاد است وغنی بودن آن به سبب غنای ادلّۀ معاد می باشد</w:t>
      </w:r>
      <w:r>
        <w:rPr>
          <w:rFonts w:eastAsia="IRNazanin" w:cs="IRNazanin"/>
          <w:color w:val="111111"/>
          <w:sz w:val="28"/>
          <w:szCs w:val="28"/>
          <w:rtl w:val="true"/>
          <w:lang w:bidi="fa-IR"/>
        </w:rPr>
        <w:t>.</w:t>
      </w:r>
    </w:p>
    <w:p>
      <w:pPr>
        <w:pStyle w:val="Heading4"/>
        <w:numPr>
          <w:ilvl w:val="3"/>
          <w:numId w:val="1"/>
        </w:numPr>
        <w:rPr/>
      </w:pPr>
      <w:bookmarkStart w:id="29" w:name="__RefHeading___Toc1695090_581953129"/>
      <w:bookmarkStart w:id="30" w:name="_Toc11"/>
      <w:bookmarkEnd w:id="29"/>
      <w:r>
        <w:rPr>
          <w:rtl w:val="true"/>
        </w:rPr>
        <w:t>ب</w:t>
      </w:r>
      <w:r>
        <w:rPr>
          <w:rtl w:val="true"/>
        </w:rPr>
        <w:t xml:space="preserve">: </w:t>
      </w:r>
      <w:r>
        <w:rPr>
          <w:rtl w:val="true"/>
        </w:rPr>
        <w:t>عدم تعارض اعتقاد به رجعت با عقاید اسلامی</w:t>
      </w:r>
      <w:bookmarkEnd w:id="30"/>
    </w:p>
    <w:p>
      <w:pPr>
        <w:pStyle w:val="BookText"/>
        <w:rPr/>
      </w:pPr>
      <w:r>
        <w:rPr>
          <w:rFonts w:ascii="IRNazanin" w:hAnsi="IRNazanin" w:eastAsia="IRNazanin"/>
          <w:color w:val="111111"/>
          <w:sz w:val="28"/>
          <w:sz w:val="28"/>
          <w:szCs w:val="28"/>
          <w:rtl w:val="true"/>
          <w:lang w:bidi="fa-IR"/>
        </w:rPr>
        <w:t xml:space="preserve">در این مرحله اثبات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هیچ یک از ابعاد عقاید اسلامی، مخالفت ندارد؛ زیرا گاهی اوقات، امکان دارد عقیده ای ممکن باشد لکن اعتقاد به آن، مخالف ویا موجب تضعیف بُعد خاصّی از ابعاد عقیدۀ اسلامی گردد، آیا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 با بُعدی از ابعاد عقیدۀ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رجعت وجود دارد؟</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از دو جهت مشتمل بر این اثبات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نه تنها با هیچ یک از ابعاد اعتقادات اسلامی، مخالف نیست بلکه موجب ژرف نگری و مؤثّر بودن و قوّت اصول پنجگانۀ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پدیده ای است که قدرت مطلقه و فراگیر خداوند، و راستی و درستی راه پیامبران، به کرسی نشاندن حقّ امامت و واقعی بودن معاد را روشن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رجعت، دارای مصادیقی میان امّتها و پیامبران گذشته است وقرآن کریم برخی از این مصادق را با تأکید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دلیل روشن بر اعتقاد به رجعت است، نه تنها با اعتقادات اسلامی مخالفت ندارد؛ بلکه از خواستها و لازمهای آن است؛ به این بیان که قرآن کریم، از اموری که با توحید منافات دارد ویا سود وزیانی به آن نمی رساند، سخن نمی گوید بلکه قرآن کریم به سبب بهره مندی از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به آن توصیف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اموری سخن براند که موجب تقویت توحید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در قرآن کریم مشاهده می شود که این کتاب مقدّس، دربارۀ رجعت با اشارۀ گذرا نسبت به حصول آن و واقع شدنش در میان امّتهای سابق، اکتفا نکرده بلکه آن را با بیانهای مکرّر وبه طور مؤکّد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 دلالت دارد که اعتقاد به رجعت، موجب تأکید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بقره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إِلَی الَّذِینَ خَرَجُواْ مِن دِیَارِهِمْ وَهُمْ أُلُوفٌ حَذَرَ الْمَوْتِ فَقَالَ لَهُمُ اللّهُ مُوتُواْ ثُمَّ أَحْیَاهُمْ إنَّ اللّهَ لَذُو فَضْلٍ عَلَی النَّاسِ وَلَکِنَّ أَکْثَرَ النَّاسِ لاَ یَشْکُرُونَ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جمعیتّی را که از ترس مرگ، از خانه های خود فرار کردند؟ و آنان هزارها بودند،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سپس خدا آنان را زنده کرد، خداوند نسبت به بندگان خود احسان می کند ولکن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جریر طبری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از ابن عبّاس، وهب بن منبه، مجاهد، سُدّی و عطا نقل می کند که شأن نزول این آیه دربارۀ گروهی از بنی اسرائیل است که به سبب بیماری 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دیارشان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فرار کردند و خداوند آنان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به نام حزقیل از میان آنان عبور نمود و دربارۀ آنان به فکر فرورفت، در حالی که اجساد آنان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ببینی که چگونه آنان را زنده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آنان را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مانند این روایت را نقل کرده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ونیز گفتار خداوند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قُلْتُمْ یَا مُوسَی لَن نُّؤْمِنَ لَکَ حَتَّی نَرَی اللَّهَ جَهْرَةً فَأَخَذَتْکُمُ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 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پس صاعقه شما را گرفت، در حالی که تماشا می کردید، سپس شما را پس از مرگتان، حیات بخشیدیم،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آیه،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بعد از گفتارشان همگی مردند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از خداوند در خواست نمود که آنان را زنده کند، خداوند نیز ارواحشان را به آنان برگرداند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ونیز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در حالی که دیوارهای آن، به روی سقفها فرو ریخته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 کند؟ خداوند او را یک صد سال میراند، سپس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 صد سال درنگ کردی؛ نگاه کن به غذا و نوشیدنی خود، هیچ گونه تغییر نیافته است، ولی به الاغ خود نگاه کن، برای این که تو را نشانه ای برای مردم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w:t>
      </w:r>
      <w:bookmarkStart w:id="31" w:name="pg5414_68120"/>
    </w:p>
    <w:p>
      <w:pPr>
        <w:pStyle w:val="BookText"/>
        <w:rPr/>
      </w:pPr>
      <w:bookmarkEnd w:id="31"/>
      <w:r>
        <w:rPr>
          <w:rFonts w:ascii="IRNazanin" w:hAnsi="IRNazanin" w:eastAsia="IRNazanin"/>
          <w:color w:val="111111"/>
          <w:sz w:val="28"/>
          <w:sz w:val="28"/>
          <w:szCs w:val="28"/>
          <w:rtl w:val="true"/>
          <w:lang w:bidi="fa-IR"/>
        </w:rPr>
        <w:t>را برداشته، به هم پیوند می دهیم، و گوشت بر آن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را نقل کرده اند که عزیر یا ارمیا از بیت المقدّس عبور نمود، بعد از آن که بخت نّصر آن را خراب کرده بود، برایش سؤال ایجاد شد که خداوند چگونه مرده ها را زنده می کند؟ خداوند قدرت خویش را دربارۀ زنده کردن مردگان به عزیر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آیه آن را بیان کرده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قرآن، آیات دیگری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انسان و حیوان بیان کرده است؛ از جمله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زنده کردن مردگان، به وسیلۀ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گذشته و این که قرآن کریم، اعتقاد به رجعت را در میان امّتهای گذشته مکرّر بیان کرده در می یابیم که بیان آن، لغو و بیهوده نیست بلکه قرآن کریم هدفی در ورای آن دارد که در صدد تحقّق آن هدف می باشد وآن ژرف نگری در توحید و اعتقادات است</w:t>
      </w:r>
      <w:r>
        <w:rPr>
          <w:rFonts w:eastAsia="IRNazanin" w:cs="IRNazanin"/>
          <w:color w:val="111111"/>
          <w:sz w:val="28"/>
          <w:szCs w:val="28"/>
          <w:rtl w:val="true"/>
          <w:lang w:bidi="fa-IR"/>
        </w:rPr>
        <w:t>.</w:t>
      </w:r>
    </w:p>
    <w:p>
      <w:pPr>
        <w:pStyle w:val="Heading4"/>
        <w:numPr>
          <w:ilvl w:val="3"/>
          <w:numId w:val="1"/>
        </w:numPr>
        <w:rPr/>
      </w:pPr>
      <w:bookmarkStart w:id="32" w:name="__RefHeading___Toc1695092_581953129"/>
      <w:bookmarkStart w:id="33" w:name="_Toc12"/>
      <w:bookmarkEnd w:id="32"/>
      <w:r>
        <w:rPr>
          <w:rtl w:val="true"/>
        </w:rPr>
        <w:t>ج</w:t>
      </w:r>
      <w:r>
        <w:rPr>
          <w:rtl w:val="true"/>
        </w:rPr>
        <w:t xml:space="preserve">: </w:t>
      </w:r>
      <w:r>
        <w:rPr>
          <w:rtl w:val="true"/>
        </w:rPr>
        <w:t>مرحلۀ اثبات وقوع شدن رجعت در آیندۀ جامعۀ اسلامی</w:t>
      </w:r>
      <w:bookmarkEnd w:id="33"/>
    </w:p>
    <w:p>
      <w:pPr>
        <w:pStyle w:val="Heading5"/>
        <w:numPr>
          <w:ilvl w:val="4"/>
          <w:numId w:val="1"/>
        </w:numPr>
        <w:rPr/>
      </w:pPr>
      <w:bookmarkStart w:id="34" w:name="__RefHeading___Toc1695094_581953129"/>
      <w:bookmarkStart w:id="35" w:name="_Toc13"/>
      <w:bookmarkEnd w:id="34"/>
      <w:r>
        <w:rPr>
          <w:rtl w:val="true"/>
        </w:rPr>
        <w:t>اشاره</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قرآن کریم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آینده ای اثبات کند؟</w:t>
      </w:r>
      <w:bookmarkStart w:id="36" w:name="pg5414_68121"/>
    </w:p>
    <w:p>
      <w:pPr>
        <w:pStyle w:val="BookText"/>
        <w:rPr/>
      </w:pPr>
      <w:bookmarkEnd w:id="36"/>
      <w:r>
        <w:rPr>
          <w:rFonts w:ascii="IRNazanin" w:hAnsi="IRNazanin" w:eastAsia="IRNazanin"/>
          <w:color w:val="111111"/>
          <w:sz w:val="28"/>
          <w:sz w:val="28"/>
          <w:szCs w:val="28"/>
          <w:rtl w:val="true"/>
          <w:lang w:bidi="fa-IR"/>
        </w:rPr>
        <w:t>معتقدان به رجعت به این سؤال قاطعانه جواب مثبت می دهند؛ به جهت اعتماد به برخی از آیات قرآن کریم و 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بیان می شوند</w:t>
      </w:r>
      <w:r>
        <w:rPr>
          <w:rFonts w:eastAsia="IRNazanin" w:cs="IRNazanin"/>
          <w:color w:val="111111"/>
          <w:sz w:val="28"/>
          <w:szCs w:val="28"/>
          <w:rtl w:val="true"/>
          <w:lang w:bidi="fa-IR"/>
        </w:rPr>
        <w:t>.</w:t>
      </w:r>
    </w:p>
    <w:p>
      <w:pPr>
        <w:pStyle w:val="Heading5"/>
        <w:numPr>
          <w:ilvl w:val="4"/>
          <w:numId w:val="1"/>
        </w:numPr>
        <w:rPr/>
      </w:pPr>
      <w:bookmarkStart w:id="37" w:name="__RefHeading___Toc1695096_581953129"/>
      <w:bookmarkStart w:id="38" w:name="_Toc14"/>
      <w:bookmarkEnd w:id="37"/>
      <w:r>
        <w:rPr>
          <w:rtl w:val="true"/>
        </w:rPr>
        <w:t>الف</w:t>
      </w:r>
      <w:r>
        <w:rPr>
          <w:rtl w:val="true"/>
        </w:rPr>
        <w:t xml:space="preserve">: </w:t>
      </w:r>
      <w:r>
        <w:rPr>
          <w:rtl w:val="true"/>
        </w:rPr>
        <w:t>آیات</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 کردند، محشور می کنیم و آنان را نگه می 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برانگیخته شدن گروهی از انسانها در آینده سخن می گوید و این حشر، حشر اخروی نمی باشد؛ زیرا حشر اخروی، همگانی است و اختصاص آن به برخی از مردم، معنایی ندارد؟ به خصوص این که قرآن کریم در سه آیۀ بعد، روز قیامت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یُنفَخُ فِی الصُّورِ فَفَزِعَ مَن فِی السَّمَاوَاتِ وَمَن فِی الأَرْضِ إِلَّا مَن شَاء اللَّهُ وَکُلٌّ أَتَوْهُ دَاخِرِینَ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صور دمیده می شود وتمام کسانی که در آسمانها و زمین هستند، در وحشت فرو می روند، جز کسانی که خدا خواسته وهمگی با خضوع در پیشگاه او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نشانه های قیامت، در این آیه وجود دارد، نه در آیۀ قبل، و اگر آیۀ قبل هم دربارۀ قیامت باشد، تکرار این آیه بدون وجه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تَکْفُرُونَ بِاللَّهِ وَکُنتُمْ أَمْوَاتاً فَأَحْیَاکُمْ ثُمَّ یُمِیتُکُمْ ثُمَّ یُحْیِیکُمْ ثُمَّ إِلَیْهِ تُرْجَعُونَ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خداوند کافر می شوید؟ در حالی که شما مردگان بودید و او شما را زنده کرد، سپس شما را می میراند وبار دیگر شما را زنده می کند، سپس به سوی او باز 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دو حیات و دو بازگشت را مطرح می کند؛ حیات اوّل، همان زندگی دنیوی است و حیات دوّم ثم یحییکم میان حیات اوّل و بازگشت به سوی خداوند است که این حیات،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رَبَّنَا أَمَتَّنَا اثْنَتَیْنِ وَأَحْیَیْتَنَا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 بار زنده کردی، اکنون به گناهان خود معترفیم، آیا راهی برای خارج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به این آیه، مانند آیۀ گذشته است</w:t>
      </w:r>
      <w:r>
        <w:rPr>
          <w:rFonts w:eastAsia="IRNazanin" w:cs="IRNazanin"/>
          <w:color w:val="111111"/>
          <w:sz w:val="28"/>
          <w:szCs w:val="28"/>
          <w:rtl w:val="true"/>
          <w:lang w:bidi="fa-IR"/>
        </w:rPr>
        <w:t>.</w:t>
      </w:r>
      <w:bookmarkStart w:id="39" w:name="pg5414_68123"/>
    </w:p>
    <w:p>
      <w:pPr>
        <w:pStyle w:val="BookText"/>
        <w:rPr/>
      </w:pPr>
      <w:bookmarkEnd w:id="39"/>
      <w:r>
        <w:rPr>
          <w:rFonts w:ascii="IRNazanin" w:hAnsi="IRNazanin" w:eastAsia="IRNazanin"/>
          <w:color w:val="111111"/>
          <w:sz w:val="28"/>
          <w:sz w:val="28"/>
          <w:szCs w:val="28"/>
          <w:rtl w:val="true"/>
          <w:lang w:bidi="fa-IR"/>
        </w:rPr>
        <w:t xml:space="preserve">اینها برخی از آیات قرآن کریم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p>
    <w:p>
      <w:pPr>
        <w:pStyle w:val="Heading5"/>
        <w:numPr>
          <w:ilvl w:val="4"/>
          <w:numId w:val="1"/>
        </w:numPr>
        <w:rPr/>
      </w:pPr>
      <w:bookmarkStart w:id="40" w:name="__RefHeading___Toc1695098_581953129"/>
      <w:bookmarkStart w:id="41" w:name="_Toc15"/>
      <w:bookmarkEnd w:id="40"/>
      <w:r>
        <w:rPr>
          <w:rtl w:val="true"/>
        </w:rPr>
        <w:t>ب</w:t>
      </w:r>
      <w:r>
        <w:rPr>
          <w:rtl w:val="true"/>
        </w:rPr>
        <w:t xml:space="preserve">: </w:t>
      </w:r>
      <w:r>
        <w:rPr>
          <w:rtl w:val="true"/>
        </w:rPr>
        <w:t>روایات</w:t>
      </w:r>
      <w:bookmarkEnd w:id="41"/>
    </w:p>
    <w:p>
      <w:pPr>
        <w:pStyle w:val="BookText"/>
        <w:rPr/>
      </w:pPr>
      <w:r>
        <w:rPr>
          <w:rFonts w:ascii="IRNazanin" w:hAnsi="IRNazanin" w:eastAsia="IRNazanin"/>
          <w:color w:val="111111"/>
          <w:sz w:val="28"/>
          <w:sz w:val="28"/>
          <w:szCs w:val="28"/>
          <w:rtl w:val="true"/>
          <w:lang w:bidi="fa-IR"/>
        </w:rPr>
        <w:t>امّا روایات فراونی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در بارۀ اثبات رجعت، از سوی محدّثان و مفسّران شیعه در کتابهای روایی و تفسیری، نقل شده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روشن است که ما به همۀ این روایات استدلال نمی کنیم بلکه به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فریقین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آنها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سنّتهای امّتهای قبل را وجب به وجب وذراع به ذراع پیروی می کنید و حتّی اگر آنان در سوراخ سوسماری وارد شده</w:t>
      </w:r>
    </w:p>
    <w:p>
      <w:pPr>
        <w:pStyle w:val="BookText"/>
        <w:rPr/>
      </w:pPr>
      <w:r>
        <w:rPr>
          <w:rFonts w:ascii="IRNazanin" w:hAnsi="IRNazanin" w:eastAsia="IRNazanin"/>
          <w:color w:val="111111"/>
          <w:sz w:val="28"/>
          <w:sz w:val="28"/>
          <w:szCs w:val="28"/>
          <w:rtl w:val="true"/>
          <w:lang w:bidi="fa-IR"/>
        </w:rPr>
        <w:t>باشند، شما از آنان پیروی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مسیحیان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پیش از این گذشت که رجعت در میان امّتهای گذشته واقع شده است، مقتضای حدیث این است که رجعت در میان این امّت نیز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تنها برخی از مواردی است که دربارۀ رجعت به آن استدلال شده است، پس باید در برابر این استدلالها تواضع علمی نمود؛ زیرا حدّاقل این است که اعتقاد به رجعت را به عنوان یک اعتقاد مورد پذیرش مطرح می کند و کسی که رجعت را نمی پذیرد، باید با دلیل، آن را رد کند و یا این که بدون دلیل، مخالفت کند لکن از هیچ کس قابل قبول نیست که اعتقادات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برهان و دلیل 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سخریّه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کسانی هستند که با رجعت مخالفند؛ در حالی که منابع اصلی ایشان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مخالفان تفکّر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بارۀ رجعت بخواند، تصوّر می کند که آنان در کتابها و آثار و میراث فرهنگی خود در دورترین نقطه از آن قرار دارند ولکن اگر میراث فرهنگی آنان را مطالعه کند و در آن بیندیشد، روایات فراوانی را می یابد که بر وجود اعتقاد به رجعت نزد آنان دلالت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روشنی که در کتابهای تاریخی آمده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منتشر شد،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فلان شهر وفلان شهر از شهرهای رم را فتح می کند؟ پیامبر خدا نمی میرد تا این که آنها را فتح کنیم و اگر بمیرد، منتظر او خواهیم ماند چنان که بنی اسرائیل منتظر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نمرده است ولکن به سوی پروردگارش رفت چنان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چهل شبانه روز از قوم خویش غایب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 می گردد و کسانی که گمان کنند او مرده، دستها و پاهای آنان باید بریده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 این اساس، عمر بن خطّاب، اوّلین کسی است که اعتقاد به رجعت را مطرح کرده است؛ نه عبد 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افسانه ای که هر گونه منکری در تاریخ اسلامی، به او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 کسانی که بعد از مرگ زیسته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کرده است و این کتاب از سوی دار الکتب الاسلامیّه در بیروت، با تحقیق،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اصفهانی درکتاب دلائل النبوّه، وسیوطی در کتاب الخصائص الکبری، بابی خاص در معجزات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زنده کردن مردگان قرار داده اند</w:t>
      </w:r>
      <w:r>
        <w:rPr>
          <w:rFonts w:eastAsia="IRNazanin" w:cs="IRNazanin"/>
          <w:color w:val="111111"/>
          <w:sz w:val="28"/>
          <w:szCs w:val="28"/>
          <w:rtl w:val="true"/>
          <w:lang w:bidi="fa-IR"/>
        </w:rPr>
        <w:t>.</w:t>
      </w:r>
      <w:bookmarkStart w:id="42" w:name="pg5414_68126"/>
    </w:p>
    <w:p>
      <w:pPr>
        <w:pStyle w:val="BookText"/>
        <w:rPr/>
      </w:pPr>
      <w:bookmarkEnd w:id="42"/>
      <w:r>
        <w:rPr>
          <w:rFonts w:ascii="IRNazanin" w:hAnsi="IRNazanin" w:eastAsia="IRNazanin"/>
          <w:color w:val="111111"/>
          <w:sz w:val="28"/>
          <w:sz w:val="28"/>
          <w:szCs w:val="28"/>
          <w:rtl w:val="true"/>
          <w:lang w:bidi="fa-IR"/>
        </w:rPr>
        <w:t>علاوه بر این، سیوطی، کراماتی برای غیر پیامبر، دربارۀ زنده کردن مردگان ذکر کرده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ونیز روایت کرده اند که زید بن حارثه، ربیع بن خراش و مردی از انصار، بعد از مرگ، سخن گفته اند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3" w:name="__RefHeading___Toc1695100_581953129"/>
      <w:bookmarkStart w:id="44" w:name="_Toc16"/>
      <w:bookmarkEnd w:id="43"/>
      <w:r>
        <w:rPr>
          <w:rtl w:val="true"/>
        </w:rPr>
        <w:t>شبهاتی دربارۀ رجعت</w:t>
      </w:r>
      <w:bookmarkEnd w:id="44"/>
    </w:p>
    <w:p>
      <w:pPr>
        <w:pStyle w:val="BookText"/>
        <w:rPr/>
      </w:pPr>
      <w:r>
        <w:rPr>
          <w:rFonts w:ascii="IRNazanin" w:hAnsi="IRNazanin" w:eastAsia="IRNazanin"/>
          <w:color w:val="111111"/>
          <w:sz w:val="28"/>
          <w:sz w:val="28"/>
          <w:szCs w:val="28"/>
          <w:rtl w:val="true"/>
          <w:lang w:bidi="fa-IR"/>
        </w:rPr>
        <w:t>در اعتقاد به رجعت، شبهاتی هست که پاسخ روشنی را 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موجب تشویق به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هنگام رجعت، شخص می تواند از گناهان گذشتۀ خود توبه 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صورتی وارد است که رجعت، عمومی باشد و همۀ مردم را در بربگیرد و یا این که نام افرادی که دو باره به دنیا برمی گردند، معیّن شده باشد، حال آن که چنین نیست؛ زیرا رجعت، مخصوص سران کفر و رهبران ایمان است و کسی نمی تواند نام افراد را معیّن کند و امر به دست خداوند است وهمین مقدار در ارتباط با تشویق نکردن به معصیت،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رجعت، موجب قایل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میان مسلمانان مردود است؟</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تناسخ، مقوله ای است و اعتقاد به رجعت، مقوله ا ی دیگر که با آن تباین کلّی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حلول ارواح مردگان در بدن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دنیوی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ارواح برخی از مردم به بدنهای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قیامت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لازمۀ رجعت، تناسخ باشد، هر آینه تناسخ در معاد و در زنده کردن مردگان به وسیلۀ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مصادیق رجعت، میان امّتهای گذشته نیز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باطل بودن تناسخ، روایت های متواتری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دانشمندان امامیّه در گذشته و حال بر آن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 نیز سر انجام انسان را به کفر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اشعری در کتاب مقالات الاسلامیّین، بین قول به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امامیّه آن را 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 به تناسخ که اهل غلوّ و زنادقۀ منکر قیامت آن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گفتار احمد امین، اعتقاد به رجعت، موجب ظهور افکار یهودگری میان شیعیان شده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پذیرش بخشی از اعتقادات ادیان سابق، از جمله برنامه ها و دستورات اسلام است؛ زیرا اسلام، عمل به ادیان سابق را نسخ کرده است، امّا در بُعد اعتقادی، جوهره ای ثابت و مشترکی، میان تمام ادیان وجود دارد و اسلام، کاملترین بیان و تعبیر</w:t>
      </w:r>
    </w:p>
    <w:p>
      <w:pPr>
        <w:pStyle w:val="BookText"/>
        <w:rPr/>
      </w:pPr>
      <w:r>
        <w:rPr>
          <w:rFonts w:ascii="IRNazanin" w:hAnsi="IRNazanin" w:eastAsia="IRNazanin"/>
          <w:color w:val="111111"/>
          <w:sz w:val="28"/>
          <w:sz w:val="28"/>
          <w:szCs w:val="28"/>
          <w:rtl w:val="true"/>
          <w:lang w:bidi="fa-IR"/>
        </w:rPr>
        <w:t>از آن جوهره است، پس صرف این که عقیده ای از اعتقادات ادیان سابق، جزء اسلام باشد، موجب ایراد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این در صورتی است که فرض کنیم که رجعت، از اعتقادات یهود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احمد امین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گفتار احمد امین، شگفت انگیز وباطل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از روشن ترین و بارزترین اعتقادات اسلامی دربارۀ پیامبران گذشته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کریم، واقع شدن رجعت، میان بنی اسرائیل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نیز خطّی است که از روح اعتقادات پیامبران گذشته وجوهرۀ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رسالتها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اعتقاد به رجعت و بین این گفتار خداوند جمع می کنید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وَحَرَامٌ عَلَی قَرْیَةٍ أَهْلَکْنَاهَا أَنَّهُمْ لا یَرْجِعُونَ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بازنگشتن ظالمان به دنیا را بیان می کند، پس اگر ما قایل به رجوع برخی از آنان شویم، این اعتقاد، مخالف با آیه خواهد بود؟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اعتقاد به رجعت، مخالفتی با آیه ندارد؛ زیرا آیۀ شریفه در بارۀ گروهی خاص از ستمگران است و آنان</w:t>
      </w:r>
      <w:bookmarkStart w:id="45" w:name="pg5414_68129"/>
    </w:p>
    <w:p>
      <w:pPr>
        <w:pStyle w:val="BookText"/>
        <w:rPr/>
      </w:pPr>
      <w:bookmarkEnd w:id="45"/>
      <w:r>
        <w:rPr>
          <w:rFonts w:ascii="IRNazanin" w:hAnsi="IRNazanin" w:eastAsia="IRNazanin"/>
          <w:color w:val="111111"/>
          <w:sz w:val="28"/>
          <w:sz w:val="28"/>
          <w:szCs w:val="28"/>
          <w:rtl w:val="true"/>
          <w:lang w:bidi="fa-IR"/>
        </w:rPr>
        <w:t>کسانی اندکه در دنیا هلاک گشته و در آن، به عذاب آسمانی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ستمگرانی که بدون عذاب و عقوبت از دنیا رفته اند، آیه در ارتباط با آنان ساکت است و شاید سکوت آیۀ شریفه نسبت به آنان، به نوعی امضای رجعت آنان ویا رجعت گروهی از آنان به انتخاب خداوند است</w:t>
      </w:r>
      <w:r>
        <w:rPr>
          <w:rFonts w:eastAsia="IRNazanin" w:cs="IRNazanin"/>
          <w:color w:val="111111"/>
          <w:sz w:val="28"/>
          <w:szCs w:val="28"/>
          <w:rtl w:val="true"/>
          <w:lang w:bidi="fa-IR"/>
        </w:rPr>
        <w:t>.</w:t>
      </w:r>
    </w:p>
    <w:p>
      <w:pPr>
        <w:pStyle w:val="Heading3"/>
        <w:numPr>
          <w:ilvl w:val="2"/>
          <w:numId w:val="1"/>
        </w:numPr>
        <w:rPr/>
      </w:pPr>
      <w:bookmarkStart w:id="46" w:name="__RefHeading___Toc1695102_581953129"/>
      <w:bookmarkStart w:id="47" w:name="_Toc17"/>
      <w:bookmarkEnd w:id="46"/>
      <w:r>
        <w:rPr>
          <w:rtl w:val="true"/>
        </w:rPr>
        <w:t>نتیجۀ بحث</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محالی نیست و نیز مخالفتی با توحید ندارد بلکه تجلّی قدرت مطلقۀ خداوند است و روایات فراوانی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عدل قرآن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زیادی از قرآن کریم بر اثبات آن وجود دارد که در بحثهای گذشته به آنها استدلال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رجعت، همانند برخی از نشانه‌های قیامت و نوعی از معاد است که کافران آن را بعید می شمارند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الشیعة و اصولها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چاپ مؤسّسۀ 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 الوشیعه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چاپ مؤسّسۀ 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نمل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چاپ دار الفکر؛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نویسندگان، چهل کتاب برشمرده اند که اختصاص به این موضوع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برخی از آنها اشاره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رجعت ابی حمزۀ بطائنی که نجاشی آن را ذکر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رجعت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عیّاشی، مؤلّف کتاب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رجعت علامۀ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ایقاظ حرّ عاملی که این کتاب گسترده ترین کتاب در این زمینه می باشد؛ زیرا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آن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 رجعت، چاپ مرکز رسالت مراجعه کنید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کتاب الاعتصام بقول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نبویّه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طبقات 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امینی، بحث طولانی را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امر اختصاص داده است و مواردی از مکتب خلفا را نقل می کند که بر وجود غلوّ در آن دلالت دارد و ضمن آن، روایات فراوانی که در برگیرندۀ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وجود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6329</Words>
  <Characters>24479</Characters>
  <CharactersWithSpaces>30581</CharactersWithSpaces>
  <Paragraphs>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2026-08-19T01:55:03Z</dcterms:created>
  <dc:creator>ghaemiyeh.com</dc:creator>
  <dc:description/>
  <dc:language>en-US</dc:language>
  <cp:lastModifiedBy/>
  <dcterms:modified xsi:type="dcterms:W3CDTF">2026-08-19T05:25:04Z</dcterms:modified>
  <cp:revision>1</cp:revision>
  <dc:subject/>
  <dc:title>رجعت</dc:title>
</cp:coreProperties>
</file>

<file path=docProps/custom.xml><?xml version="1.0" encoding="utf-8"?>
<Properties xmlns="http://schemas.openxmlformats.org/officeDocument/2006/custom-properties" xmlns:vt="http://schemas.openxmlformats.org/officeDocument/2006/docPropsVTypes"/>
</file>