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فقهی وکالت زن در دعاوی و مجلس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7026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97028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97030_581953129">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597032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597034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597036_581953129">
            <w:r>
              <w:rPr>
                <w:webHidden/>
                <w:rStyle w:val="IndexLink"/>
              </w:rPr>
              <w:t>1</w:t>
            </w:r>
            <w:r>
              <w:rPr>
                <w:rStyle w:val="IndexLink"/>
                <w:rtl w:val="true"/>
              </w:rPr>
              <w:t xml:space="preserve">- </w:t>
            </w:r>
            <w:r>
              <w:rPr>
                <w:rStyle w:val="IndexLink"/>
                <w:rtl w:val="true"/>
              </w:rPr>
              <w:t>مفاهیم و تعاریف</w:t>
            </w:r>
            <w:r>
              <w:rPr>
                <w:rStyle w:val="IndexLink"/>
                <w:rtl w:val="true"/>
              </w:rPr>
              <w:tab/>
            </w:r>
            <w:r>
              <w:rPr>
                <w:rStyle w:val="IndexLink"/>
              </w:rPr>
              <w:t>22</w:t>
            </w:r>
          </w:hyperlink>
        </w:p>
        <w:p>
          <w:pPr>
            <w:pStyle w:val="Contents3"/>
            <w:tabs>
              <w:tab w:val="clear" w:pos="8459"/>
              <w:tab w:val="right" w:pos="9026" w:leader="dot"/>
            </w:tabs>
            <w:rPr/>
          </w:pPr>
          <w:hyperlink w:anchor="__RefHeading___Toc1597038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97040_581953129">
            <w:r>
              <w:rPr>
                <w:webHidden/>
                <w:rStyle w:val="IndexLink"/>
                <w:rtl w:val="true"/>
              </w:rPr>
              <w:t>معنا و مفهوم فقه</w:t>
            </w:r>
            <w:r>
              <w:rPr>
                <w:rStyle w:val="IndexLink"/>
                <w:rtl w:val="true"/>
              </w:rPr>
              <w:tab/>
            </w:r>
            <w:r>
              <w:rPr>
                <w:rStyle w:val="IndexLink"/>
              </w:rPr>
              <w:t>22</w:t>
            </w:r>
          </w:hyperlink>
        </w:p>
        <w:p>
          <w:pPr>
            <w:pStyle w:val="Contents4"/>
            <w:tabs>
              <w:tab w:val="clear" w:pos="8176"/>
              <w:tab w:val="right" w:pos="9026" w:leader="dot"/>
            </w:tabs>
            <w:rPr/>
          </w:pPr>
          <w:hyperlink w:anchor="__RefHeading___Toc1597042_581953129">
            <w:r>
              <w:rPr>
                <w:webHidden/>
                <w:rStyle w:val="IndexLink"/>
              </w:rPr>
              <w:t>1</w:t>
            </w:r>
            <w:r>
              <w:rPr>
                <w:rStyle w:val="IndexLink"/>
                <w:rtl w:val="true"/>
              </w:rPr>
              <w:t xml:space="preserve">- </w:t>
            </w:r>
            <w:r>
              <w:rPr>
                <w:rStyle w:val="IndexLink"/>
                <w:rtl w:val="true"/>
              </w:rPr>
              <w:t>فقه در لغت</w:t>
            </w:r>
            <w:r>
              <w:rPr>
                <w:rStyle w:val="IndexLink"/>
                <w:rtl w:val="true"/>
              </w:rPr>
              <w:tab/>
            </w:r>
            <w:r>
              <w:rPr>
                <w:rStyle w:val="IndexLink"/>
              </w:rPr>
              <w:t>22</w:t>
            </w:r>
          </w:hyperlink>
        </w:p>
        <w:p>
          <w:pPr>
            <w:pStyle w:val="Contents4"/>
            <w:tabs>
              <w:tab w:val="clear" w:pos="8176"/>
              <w:tab w:val="right" w:pos="9026" w:leader="dot"/>
            </w:tabs>
            <w:rPr/>
          </w:pPr>
          <w:hyperlink w:anchor="__RefHeading___Toc1597044_581953129">
            <w:r>
              <w:rPr>
                <w:webHidden/>
                <w:rStyle w:val="IndexLink"/>
              </w:rPr>
              <w:t>2</w:t>
            </w:r>
            <w:r>
              <w:rPr>
                <w:rStyle w:val="IndexLink"/>
                <w:rtl w:val="true"/>
              </w:rPr>
              <w:t xml:space="preserve">- </w:t>
            </w:r>
            <w:r>
              <w:rPr>
                <w:rStyle w:val="IndexLink"/>
                <w:rtl w:val="true"/>
              </w:rPr>
              <w:t>فقه در اصطلاح فقها</w:t>
            </w:r>
            <w:r>
              <w:rPr>
                <w:rStyle w:val="IndexLink"/>
                <w:rtl w:val="true"/>
              </w:rPr>
              <w:tab/>
            </w:r>
            <w:r>
              <w:rPr>
                <w:rStyle w:val="IndexLink"/>
              </w:rPr>
              <w:t>23</w:t>
            </w:r>
          </w:hyperlink>
        </w:p>
        <w:p>
          <w:pPr>
            <w:pStyle w:val="Contents5"/>
            <w:tabs>
              <w:tab w:val="clear" w:pos="7892"/>
              <w:tab w:val="right" w:pos="9026" w:leader="dot"/>
            </w:tabs>
            <w:rPr/>
          </w:pPr>
          <w:hyperlink w:anchor="__RefHeading___Toc1597046_581953129">
            <w:r>
              <w:rPr>
                <w:webHidden/>
                <w:rStyle w:val="IndexLink"/>
                <w:rtl w:val="true"/>
              </w:rPr>
              <w:t>الف</w:t>
            </w:r>
            <w:r>
              <w:rPr>
                <w:rStyle w:val="IndexLink"/>
                <w:rtl w:val="true"/>
              </w:rPr>
              <w:t xml:space="preserve">) </w:t>
            </w:r>
            <w:r>
              <w:rPr>
                <w:rStyle w:val="IndexLink"/>
                <w:rtl w:val="true"/>
              </w:rPr>
              <w:t>به معنای اسلام‌شناسی</w:t>
            </w:r>
            <w:r>
              <w:rPr>
                <w:rStyle w:val="IndexLink"/>
                <w:rtl w:val="true"/>
              </w:rPr>
              <w:tab/>
            </w:r>
            <w:r>
              <w:rPr>
                <w:rStyle w:val="IndexLink"/>
              </w:rPr>
              <w:t>23</w:t>
            </w:r>
          </w:hyperlink>
        </w:p>
        <w:p>
          <w:pPr>
            <w:pStyle w:val="Contents5"/>
            <w:tabs>
              <w:tab w:val="clear" w:pos="7892"/>
              <w:tab w:val="right" w:pos="9026" w:leader="dot"/>
            </w:tabs>
            <w:rPr/>
          </w:pPr>
          <w:hyperlink w:anchor="__RefHeading___Toc1597048_581953129">
            <w:r>
              <w:rPr>
                <w:webHidden/>
                <w:rStyle w:val="IndexLink"/>
                <w:rtl w:val="true"/>
              </w:rPr>
              <w:t>ب</w:t>
            </w:r>
            <w:r>
              <w:rPr>
                <w:rStyle w:val="IndexLink"/>
                <w:rtl w:val="true"/>
              </w:rPr>
              <w:t xml:space="preserve">) </w:t>
            </w:r>
            <w:r>
              <w:rPr>
                <w:rStyle w:val="IndexLink"/>
                <w:rtl w:val="true"/>
              </w:rPr>
              <w:t>به معنای رشته علمی</w:t>
            </w:r>
            <w:r>
              <w:rPr>
                <w:rStyle w:val="IndexLink"/>
                <w:rtl w:val="true"/>
              </w:rPr>
              <w:tab/>
            </w:r>
            <w:r>
              <w:rPr>
                <w:rStyle w:val="IndexLink"/>
              </w:rPr>
              <w:t>25</w:t>
            </w:r>
          </w:hyperlink>
        </w:p>
        <w:p>
          <w:pPr>
            <w:pStyle w:val="Contents3"/>
            <w:tabs>
              <w:tab w:val="clear" w:pos="8459"/>
              <w:tab w:val="right" w:pos="9026" w:leader="dot"/>
            </w:tabs>
            <w:rPr/>
          </w:pPr>
          <w:hyperlink w:anchor="__RefHeading___Toc1597050_581953129">
            <w:r>
              <w:rPr>
                <w:webHidden/>
                <w:rStyle w:val="IndexLink"/>
                <w:rtl w:val="true"/>
              </w:rPr>
              <w:t>ماهیت تحقیق فقهی</w:t>
            </w:r>
            <w:r>
              <w:rPr>
                <w:rStyle w:val="IndexLink"/>
                <w:rtl w:val="true"/>
              </w:rPr>
              <w:tab/>
            </w:r>
            <w:r>
              <w:rPr>
                <w:rStyle w:val="IndexLink"/>
              </w:rPr>
              <w:t>26</w:t>
            </w:r>
          </w:hyperlink>
        </w:p>
        <w:p>
          <w:pPr>
            <w:pStyle w:val="Contents3"/>
            <w:tabs>
              <w:tab w:val="clear" w:pos="8459"/>
              <w:tab w:val="right" w:pos="9026" w:leader="dot"/>
            </w:tabs>
            <w:rPr/>
          </w:pPr>
          <w:hyperlink w:anchor="__RefHeading___Toc1597052_581953129">
            <w:r>
              <w:rPr>
                <w:webHidden/>
                <w:rStyle w:val="IndexLink"/>
                <w:rtl w:val="true"/>
              </w:rPr>
              <w:t>معنا و مفهوم وکالت</w:t>
            </w:r>
            <w:r>
              <w:rPr>
                <w:rStyle w:val="IndexLink"/>
                <w:rtl w:val="true"/>
              </w:rPr>
              <w:tab/>
            </w:r>
            <w:r>
              <w:rPr>
                <w:rStyle w:val="IndexLink"/>
              </w:rPr>
              <w:t>28</w:t>
            </w:r>
          </w:hyperlink>
        </w:p>
        <w:p>
          <w:pPr>
            <w:pStyle w:val="Contents4"/>
            <w:tabs>
              <w:tab w:val="clear" w:pos="8176"/>
              <w:tab w:val="right" w:pos="9026" w:leader="dot"/>
            </w:tabs>
            <w:rPr/>
          </w:pPr>
          <w:hyperlink w:anchor="__RefHeading___Toc1597054_581953129">
            <w:r>
              <w:rPr>
                <w:webHidden/>
                <w:rStyle w:val="IndexLink"/>
              </w:rPr>
              <w:t>1</w:t>
            </w:r>
            <w:r>
              <w:rPr>
                <w:rStyle w:val="IndexLink"/>
                <w:rtl w:val="true"/>
              </w:rPr>
              <w:t xml:space="preserve">- </w:t>
            </w:r>
            <w:r>
              <w:rPr>
                <w:rStyle w:val="IndexLink"/>
                <w:rtl w:val="true"/>
              </w:rPr>
              <w:t>وکالت در لغت</w:t>
            </w:r>
            <w:r>
              <w:rPr>
                <w:rStyle w:val="IndexLink"/>
                <w:rtl w:val="true"/>
              </w:rPr>
              <w:tab/>
            </w:r>
            <w:r>
              <w:rPr>
                <w:rStyle w:val="IndexLink"/>
              </w:rPr>
              <w:t>28</w:t>
            </w:r>
          </w:hyperlink>
        </w:p>
        <w:p>
          <w:pPr>
            <w:pStyle w:val="Contents4"/>
            <w:tabs>
              <w:tab w:val="clear" w:pos="8176"/>
              <w:tab w:val="right" w:pos="9026" w:leader="dot"/>
            </w:tabs>
            <w:rPr/>
          </w:pPr>
          <w:hyperlink w:anchor="__RefHeading___Toc1597056_581953129">
            <w:r>
              <w:rPr>
                <w:webHidden/>
                <w:rStyle w:val="IndexLink"/>
              </w:rPr>
              <w:t>2</w:t>
            </w:r>
            <w:r>
              <w:rPr>
                <w:rStyle w:val="IndexLink"/>
                <w:rtl w:val="true"/>
              </w:rPr>
              <w:t xml:space="preserve">- </w:t>
            </w:r>
            <w:r>
              <w:rPr>
                <w:rStyle w:val="IndexLink"/>
                <w:rtl w:val="true"/>
              </w:rPr>
              <w:t>وکالت در اصطلاح</w:t>
            </w:r>
            <w:r>
              <w:rPr>
                <w:rStyle w:val="IndexLink"/>
                <w:rtl w:val="true"/>
              </w:rPr>
              <w:tab/>
            </w:r>
            <w:r>
              <w:rPr>
                <w:rStyle w:val="IndexLink"/>
              </w:rPr>
              <w:t>30</w:t>
            </w:r>
          </w:hyperlink>
        </w:p>
        <w:p>
          <w:pPr>
            <w:pStyle w:val="Contents3"/>
            <w:tabs>
              <w:tab w:val="clear" w:pos="8459"/>
              <w:tab w:val="right" w:pos="9026" w:leader="dot"/>
            </w:tabs>
            <w:rPr/>
          </w:pPr>
          <w:hyperlink w:anchor="__RefHeading___Toc1597058_581953129">
            <w:r>
              <w:rPr>
                <w:webHidden/>
                <w:rStyle w:val="IndexLink"/>
                <w:rtl w:val="true"/>
              </w:rPr>
              <w:t>ارکان وکالت</w:t>
            </w:r>
            <w:r>
              <w:rPr>
                <w:rStyle w:val="IndexLink"/>
                <w:rtl w:val="true"/>
              </w:rPr>
              <w:tab/>
            </w:r>
            <w:r>
              <w:rPr>
                <w:rStyle w:val="IndexLink"/>
              </w:rPr>
              <w:t>37</w:t>
            </w:r>
          </w:hyperlink>
        </w:p>
        <w:p>
          <w:pPr>
            <w:pStyle w:val="Contents4"/>
            <w:tabs>
              <w:tab w:val="clear" w:pos="8176"/>
              <w:tab w:val="right" w:pos="9026" w:leader="dot"/>
            </w:tabs>
            <w:rPr/>
          </w:pPr>
          <w:hyperlink w:anchor="__RefHeading___Toc1597060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97062_581953129">
            <w:r>
              <w:rPr>
                <w:webHidden/>
                <w:rStyle w:val="IndexLink"/>
              </w:rPr>
              <w:t>1</w:t>
            </w:r>
            <w:r>
              <w:rPr>
                <w:rStyle w:val="IndexLink"/>
                <w:rtl w:val="true"/>
              </w:rPr>
              <w:t xml:space="preserve">- </w:t>
            </w:r>
            <w:r>
              <w:rPr>
                <w:rStyle w:val="IndexLink"/>
                <w:rtl w:val="true"/>
              </w:rPr>
              <w:t>عقد</w:t>
            </w:r>
            <w:r>
              <w:rPr>
                <w:rStyle w:val="IndexLink"/>
                <w:rtl w:val="true"/>
              </w:rPr>
              <w:tab/>
            </w:r>
            <w:r>
              <w:rPr>
                <w:rStyle w:val="IndexLink"/>
              </w:rPr>
              <w:t>37</w:t>
            </w:r>
          </w:hyperlink>
        </w:p>
        <w:p>
          <w:pPr>
            <w:pStyle w:val="Contents4"/>
            <w:tabs>
              <w:tab w:val="clear" w:pos="8176"/>
              <w:tab w:val="right" w:pos="9026" w:leader="dot"/>
            </w:tabs>
            <w:rPr/>
          </w:pPr>
          <w:hyperlink w:anchor="__RefHeading___Toc1597064_581953129">
            <w:r>
              <w:rPr>
                <w:webHidden/>
                <w:rStyle w:val="IndexLink"/>
              </w:rPr>
              <w:t>2</w:t>
            </w:r>
            <w:r>
              <w:rPr>
                <w:rStyle w:val="IndexLink"/>
                <w:rtl w:val="true"/>
              </w:rPr>
              <w:t xml:space="preserve">- </w:t>
            </w:r>
            <w:r>
              <w:rPr>
                <w:rStyle w:val="IndexLink"/>
                <w:rtl w:val="true"/>
              </w:rPr>
              <w:t>موکل</w:t>
            </w:r>
            <w:r>
              <w:rPr>
                <w:rStyle w:val="IndexLink"/>
                <w:rtl w:val="true"/>
              </w:rPr>
              <w:tab/>
            </w:r>
            <w:r>
              <w:rPr>
                <w:rStyle w:val="IndexLink"/>
              </w:rPr>
              <w:t>41</w:t>
            </w:r>
          </w:hyperlink>
        </w:p>
        <w:p>
          <w:pPr>
            <w:pStyle w:val="Contents4"/>
            <w:tabs>
              <w:tab w:val="clear" w:pos="8176"/>
              <w:tab w:val="right" w:pos="9026" w:leader="dot"/>
            </w:tabs>
            <w:rPr/>
          </w:pPr>
          <w:hyperlink w:anchor="__RefHeading___Toc1597066_581953129">
            <w:r>
              <w:rPr>
                <w:webHidden/>
                <w:rStyle w:val="IndexLink"/>
              </w:rPr>
              <w:t>3</w:t>
            </w:r>
            <w:r>
              <w:rPr>
                <w:rStyle w:val="IndexLink"/>
                <w:rtl w:val="true"/>
              </w:rPr>
              <w:t xml:space="preserve">- </w:t>
            </w:r>
            <w:r>
              <w:rPr>
                <w:rStyle w:val="IndexLink"/>
                <w:rtl w:val="true"/>
              </w:rPr>
              <w:t>وکیل</w:t>
            </w:r>
            <w:r>
              <w:rPr>
                <w:rStyle w:val="IndexLink"/>
                <w:rtl w:val="true"/>
              </w:rPr>
              <w:tab/>
            </w:r>
            <w:r>
              <w:rPr>
                <w:rStyle w:val="IndexLink"/>
              </w:rPr>
              <w:t>43</w:t>
            </w:r>
          </w:hyperlink>
        </w:p>
        <w:p>
          <w:pPr>
            <w:pStyle w:val="Contents4"/>
            <w:tabs>
              <w:tab w:val="clear" w:pos="8176"/>
              <w:tab w:val="right" w:pos="9026" w:leader="dot"/>
            </w:tabs>
            <w:rPr/>
          </w:pPr>
          <w:hyperlink w:anchor="__RefHeading___Toc1597068_581953129">
            <w:r>
              <w:rPr>
                <w:webHidden/>
                <w:rStyle w:val="IndexLink"/>
              </w:rPr>
              <w:t>4</w:t>
            </w:r>
            <w:r>
              <w:rPr>
                <w:rStyle w:val="IndexLink"/>
                <w:rtl w:val="true"/>
              </w:rPr>
              <w:t xml:space="preserve">- </w:t>
            </w:r>
            <w:r>
              <w:rPr>
                <w:rStyle w:val="IndexLink"/>
                <w:rtl w:val="true"/>
              </w:rPr>
              <w:t>قلمرو وکالت</w:t>
            </w:r>
            <w:r>
              <w:rPr>
                <w:rStyle w:val="IndexLink"/>
                <w:rtl w:val="true"/>
              </w:rPr>
              <w:tab/>
            </w:r>
            <w:r>
              <w:rPr>
                <w:rStyle w:val="IndexLink"/>
              </w:rPr>
              <w:t>44</w:t>
            </w:r>
          </w:hyperlink>
        </w:p>
        <w:p>
          <w:pPr>
            <w:pStyle w:val="Contents3"/>
            <w:tabs>
              <w:tab w:val="clear" w:pos="8459"/>
              <w:tab w:val="right" w:pos="9026" w:leader="dot"/>
            </w:tabs>
            <w:rPr/>
          </w:pPr>
          <w:hyperlink w:anchor="__RefHeading___Toc1597070_581953129">
            <w:r>
              <w:rPr>
                <w:webHidden/>
                <w:rStyle w:val="IndexLink"/>
                <w:rtl w:val="true"/>
              </w:rPr>
              <w:t>وکالت در شئون حکومتی</w:t>
            </w:r>
            <w:r>
              <w:rPr>
                <w:rStyle w:val="IndexLink"/>
                <w:rtl w:val="true"/>
              </w:rPr>
              <w:tab/>
            </w:r>
            <w:r>
              <w:rPr>
                <w:rStyle w:val="IndexLink"/>
              </w:rPr>
              <w:t>47</w:t>
            </w:r>
          </w:hyperlink>
        </w:p>
        <w:p>
          <w:pPr>
            <w:pStyle w:val="Contents2"/>
            <w:tabs>
              <w:tab w:val="clear" w:pos="8743"/>
              <w:tab w:val="right" w:pos="9026" w:leader="dot"/>
            </w:tabs>
            <w:rPr/>
          </w:pPr>
          <w:hyperlink w:anchor="__RefHeading___Toc1597072_581953129">
            <w:r>
              <w:rPr>
                <w:webHidden/>
                <w:rStyle w:val="IndexLink"/>
              </w:rPr>
              <w:t>2</w:t>
            </w:r>
            <w:r>
              <w:rPr>
                <w:rStyle w:val="IndexLink"/>
                <w:rtl w:val="true"/>
              </w:rPr>
              <w:t xml:space="preserve">- </w:t>
            </w:r>
            <w:r>
              <w:rPr>
                <w:rStyle w:val="IndexLink"/>
                <w:rtl w:val="true"/>
              </w:rPr>
              <w:t>وکالت زن در دعاوی</w:t>
            </w:r>
            <w:r>
              <w:rPr>
                <w:rStyle w:val="IndexLink"/>
                <w:rtl w:val="true"/>
              </w:rPr>
              <w:tab/>
            </w:r>
            <w:r>
              <w:rPr>
                <w:rStyle w:val="IndexLink"/>
              </w:rPr>
              <w:t>49</w:t>
            </w:r>
          </w:hyperlink>
        </w:p>
        <w:p>
          <w:pPr>
            <w:pStyle w:val="Contents3"/>
            <w:tabs>
              <w:tab w:val="clear" w:pos="8459"/>
              <w:tab w:val="right" w:pos="9026" w:leader="dot"/>
            </w:tabs>
            <w:rPr/>
          </w:pPr>
          <w:hyperlink w:anchor="__RefHeading___Toc1597074_581953129">
            <w:r>
              <w:rPr>
                <w:webHidden/>
                <w:rStyle w:val="IndexLink"/>
                <w:rtl w:val="true"/>
              </w:rPr>
              <w:t>وکالت زن در دعاوی</w:t>
            </w:r>
            <w:r>
              <w:rPr>
                <w:rStyle w:val="IndexLink"/>
                <w:rtl w:val="true"/>
              </w:rPr>
              <w:tab/>
            </w:r>
            <w:r>
              <w:rPr>
                <w:rStyle w:val="IndexLink"/>
              </w:rPr>
              <w:t>49</w:t>
            </w:r>
          </w:hyperlink>
        </w:p>
        <w:p>
          <w:pPr>
            <w:pStyle w:val="Contents3"/>
            <w:tabs>
              <w:tab w:val="clear" w:pos="8459"/>
              <w:tab w:val="right" w:pos="9026" w:leader="dot"/>
            </w:tabs>
            <w:rPr/>
          </w:pPr>
          <w:hyperlink w:anchor="__RefHeading___Toc1597076_581953129">
            <w:r>
              <w:rPr>
                <w:webHidden/>
                <w:rStyle w:val="IndexLink"/>
                <w:rtl w:val="true"/>
              </w:rPr>
              <w:t>تبیین موضوع</w:t>
            </w:r>
            <w:r>
              <w:rPr>
                <w:rStyle w:val="IndexLink"/>
                <w:rtl w:val="true"/>
              </w:rPr>
              <w:tab/>
            </w:r>
            <w:r>
              <w:rPr>
                <w:rStyle w:val="IndexLink"/>
              </w:rPr>
              <w:t>49</w:t>
            </w:r>
          </w:hyperlink>
        </w:p>
        <w:p>
          <w:pPr>
            <w:pStyle w:val="Contents4"/>
            <w:tabs>
              <w:tab w:val="clear" w:pos="8176"/>
              <w:tab w:val="right" w:pos="9026" w:leader="dot"/>
            </w:tabs>
            <w:rPr/>
          </w:pPr>
          <w:hyperlink w:anchor="__RefHeading___Toc1597078_58195312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597080_581953129">
            <w:r>
              <w:rPr>
                <w:webHidden/>
                <w:rStyle w:val="IndexLink"/>
              </w:rPr>
              <w:t>1</w:t>
            </w:r>
            <w:r>
              <w:rPr>
                <w:rStyle w:val="IndexLink"/>
                <w:rtl w:val="true"/>
              </w:rPr>
              <w:t>-</w:t>
            </w:r>
            <w:r>
              <w:rPr>
                <w:rStyle w:val="IndexLink"/>
                <w:rtl w:val="true"/>
              </w:rPr>
              <w:t>تعریف وکالت دعاوی</w:t>
            </w:r>
            <w:r>
              <w:rPr>
                <w:rStyle w:val="IndexLink"/>
                <w:rtl w:val="true"/>
              </w:rPr>
              <w:tab/>
            </w:r>
            <w:r>
              <w:rPr>
                <w:rStyle w:val="IndexLink"/>
              </w:rPr>
              <w:t>50</w:t>
            </w:r>
          </w:hyperlink>
        </w:p>
        <w:p>
          <w:pPr>
            <w:pStyle w:val="Contents4"/>
            <w:tabs>
              <w:tab w:val="clear" w:pos="8176"/>
              <w:tab w:val="right" w:pos="9026" w:leader="dot"/>
            </w:tabs>
            <w:rPr/>
          </w:pPr>
          <w:hyperlink w:anchor="__RefHeading___Toc1597082_581953129">
            <w:r>
              <w:rPr>
                <w:webHidden/>
                <w:rStyle w:val="IndexLink"/>
              </w:rPr>
              <w:t>2</w:t>
            </w:r>
            <w:r>
              <w:rPr>
                <w:rStyle w:val="IndexLink"/>
                <w:rtl w:val="true"/>
              </w:rPr>
              <w:t xml:space="preserve">- </w:t>
            </w:r>
            <w:r>
              <w:rPr>
                <w:rStyle w:val="IndexLink"/>
                <w:rtl w:val="true"/>
              </w:rPr>
              <w:t>ادبیات موضوع یا پیشینه تحقیق</w:t>
            </w:r>
            <w:r>
              <w:rPr>
                <w:rStyle w:val="IndexLink"/>
                <w:rtl w:val="true"/>
              </w:rPr>
              <w:tab/>
            </w:r>
            <w:r>
              <w:rPr>
                <w:rStyle w:val="IndexLink"/>
              </w:rPr>
              <w:t>53</w:t>
            </w:r>
          </w:hyperlink>
        </w:p>
        <w:p>
          <w:pPr>
            <w:pStyle w:val="Contents4"/>
            <w:tabs>
              <w:tab w:val="clear" w:pos="8176"/>
              <w:tab w:val="right" w:pos="9026" w:leader="dot"/>
            </w:tabs>
            <w:rPr/>
          </w:pPr>
          <w:hyperlink w:anchor="__RefHeading___Toc1597084_581953129">
            <w:r>
              <w:rPr>
                <w:webHidden/>
                <w:rStyle w:val="IndexLink"/>
              </w:rPr>
              <w:t>3</w:t>
            </w:r>
            <w:r>
              <w:rPr>
                <w:rStyle w:val="IndexLink"/>
                <w:rtl w:val="true"/>
              </w:rPr>
              <w:t>-</w:t>
            </w:r>
            <w:r>
              <w:rPr>
                <w:rStyle w:val="IndexLink"/>
                <w:rtl w:val="true"/>
              </w:rPr>
              <w:t>وکالت در جهان معاصر و نقش زنان</w:t>
            </w:r>
            <w:r>
              <w:rPr>
                <w:rStyle w:val="IndexLink"/>
                <w:rtl w:val="true"/>
              </w:rPr>
              <w:tab/>
            </w:r>
            <w:r>
              <w:rPr>
                <w:rStyle w:val="IndexLink"/>
              </w:rPr>
              <w:t>56</w:t>
            </w:r>
          </w:hyperlink>
        </w:p>
        <w:p>
          <w:pPr>
            <w:pStyle w:val="Contents4"/>
            <w:tabs>
              <w:tab w:val="clear" w:pos="8176"/>
              <w:tab w:val="right" w:pos="9026" w:leader="dot"/>
            </w:tabs>
            <w:rPr/>
          </w:pPr>
          <w:hyperlink w:anchor="__RefHeading___Toc1597086_581953129">
            <w:r>
              <w:rPr>
                <w:webHidden/>
                <w:rStyle w:val="IndexLink"/>
              </w:rPr>
              <w:t>4</w:t>
            </w:r>
            <w:r>
              <w:rPr>
                <w:rStyle w:val="IndexLink"/>
                <w:rtl w:val="true"/>
              </w:rPr>
              <w:t xml:space="preserve">- </w:t>
            </w:r>
            <w:r>
              <w:rPr>
                <w:rStyle w:val="IndexLink"/>
                <w:rtl w:val="true"/>
              </w:rPr>
              <w:t>تاریخچه وکالت دعاوی</w:t>
            </w:r>
            <w:r>
              <w:rPr>
                <w:rStyle w:val="IndexLink"/>
                <w:rtl w:val="true"/>
              </w:rPr>
              <w:tab/>
            </w:r>
            <w:r>
              <w:rPr>
                <w:rStyle w:val="IndexLink"/>
              </w:rPr>
              <w:t>60</w:t>
            </w:r>
          </w:hyperlink>
        </w:p>
        <w:p>
          <w:pPr>
            <w:pStyle w:val="Contents4"/>
            <w:tabs>
              <w:tab w:val="clear" w:pos="8176"/>
              <w:tab w:val="right" w:pos="9026" w:leader="dot"/>
            </w:tabs>
            <w:rPr/>
          </w:pPr>
          <w:hyperlink w:anchor="__RefHeading___Toc1597088_581953129">
            <w:r>
              <w:rPr>
                <w:webHidden/>
                <w:rStyle w:val="IndexLink"/>
              </w:rPr>
              <w:t>5</w:t>
            </w:r>
            <w:r>
              <w:rPr>
                <w:rStyle w:val="IndexLink"/>
                <w:rtl w:val="true"/>
              </w:rPr>
              <w:t xml:space="preserve">- </w:t>
            </w:r>
            <w:r>
              <w:rPr>
                <w:rStyle w:val="IndexLink"/>
                <w:rtl w:val="true"/>
              </w:rPr>
              <w:t>وکالت دعاوی در اسلام و جایگاه زنان</w:t>
            </w:r>
            <w:r>
              <w:rPr>
                <w:rStyle w:val="IndexLink"/>
                <w:rtl w:val="true"/>
              </w:rPr>
              <w:tab/>
            </w:r>
            <w:r>
              <w:rPr>
                <w:rStyle w:val="IndexLink"/>
              </w:rPr>
              <w:t>62</w:t>
            </w:r>
          </w:hyperlink>
        </w:p>
        <w:p>
          <w:pPr>
            <w:pStyle w:val="Contents4"/>
            <w:tabs>
              <w:tab w:val="clear" w:pos="8176"/>
              <w:tab w:val="right" w:pos="9026" w:leader="dot"/>
            </w:tabs>
            <w:rPr/>
          </w:pPr>
          <w:hyperlink w:anchor="__RefHeading___Toc1597090_581953129">
            <w:r>
              <w:rPr>
                <w:webHidden/>
                <w:rStyle w:val="IndexLink"/>
              </w:rPr>
              <w:t>6</w:t>
            </w:r>
            <w:r>
              <w:rPr>
                <w:rStyle w:val="IndexLink"/>
                <w:rtl w:val="true"/>
              </w:rPr>
              <w:t xml:space="preserve">- </w:t>
            </w:r>
            <w:r>
              <w:rPr>
                <w:rStyle w:val="IndexLink"/>
                <w:rtl w:val="true"/>
              </w:rPr>
              <w:t>نگرشی کوتاه به حکم وکالت دعاوی در فقه</w:t>
            </w:r>
            <w:r>
              <w:rPr>
                <w:rStyle w:val="IndexLink"/>
                <w:rtl w:val="true"/>
              </w:rPr>
              <w:tab/>
            </w:r>
            <w:r>
              <w:rPr>
                <w:rStyle w:val="IndexLink"/>
              </w:rPr>
              <w:t>70</w:t>
            </w:r>
          </w:hyperlink>
        </w:p>
        <w:p>
          <w:pPr>
            <w:pStyle w:val="Contents3"/>
            <w:tabs>
              <w:tab w:val="clear" w:pos="8459"/>
              <w:tab w:val="right" w:pos="9026" w:leader="dot"/>
            </w:tabs>
            <w:rPr/>
          </w:pPr>
          <w:hyperlink w:anchor="__RefHeading___Toc1597092_581953129">
            <w:r>
              <w:rPr>
                <w:webHidden/>
                <w:rStyle w:val="IndexLink"/>
                <w:rtl w:val="true"/>
              </w:rPr>
              <w:t>وکالت زن در دعاوی؛ در فقه امامیه</w:t>
            </w:r>
            <w:r>
              <w:rPr>
                <w:rStyle w:val="IndexLink"/>
                <w:rtl w:val="true"/>
              </w:rPr>
              <w:tab/>
            </w:r>
            <w:r>
              <w:rPr>
                <w:rStyle w:val="IndexLink"/>
              </w:rPr>
              <w:t>72</w:t>
            </w:r>
          </w:hyperlink>
        </w:p>
        <w:p>
          <w:pPr>
            <w:pStyle w:val="Contents3"/>
            <w:tabs>
              <w:tab w:val="clear" w:pos="8459"/>
              <w:tab w:val="right" w:pos="9026" w:leader="dot"/>
            </w:tabs>
            <w:rPr/>
          </w:pPr>
          <w:hyperlink w:anchor="__RefHeading___Toc1597094_581953129">
            <w:r>
              <w:rPr>
                <w:webHidden/>
                <w:rStyle w:val="IndexLink"/>
                <w:rtl w:val="true"/>
              </w:rPr>
              <w:t>وکالت زن و دیدگاه فقهای شیعه</w:t>
            </w:r>
            <w:r>
              <w:rPr>
                <w:rStyle w:val="IndexLink"/>
                <w:rtl w:val="true"/>
              </w:rPr>
              <w:tab/>
            </w:r>
            <w:r>
              <w:rPr>
                <w:rStyle w:val="IndexLink"/>
              </w:rPr>
              <w:t>73</w:t>
            </w:r>
          </w:hyperlink>
        </w:p>
        <w:p>
          <w:pPr>
            <w:pStyle w:val="Contents3"/>
            <w:tabs>
              <w:tab w:val="clear" w:pos="8459"/>
              <w:tab w:val="right" w:pos="9026" w:leader="dot"/>
            </w:tabs>
            <w:rPr/>
          </w:pPr>
          <w:hyperlink w:anchor="__RefHeading___Toc1597096_581953129">
            <w:r>
              <w:rPr>
                <w:webHidden/>
                <w:rStyle w:val="IndexLink"/>
                <w:rtl w:val="true"/>
              </w:rPr>
              <w:t>ادله جواز وکالت زن در دعاوی</w:t>
            </w:r>
            <w:r>
              <w:rPr>
                <w:rStyle w:val="IndexLink"/>
                <w:rtl w:val="true"/>
              </w:rPr>
              <w:tab/>
            </w:r>
            <w:r>
              <w:rPr>
                <w:rStyle w:val="IndexLink"/>
              </w:rPr>
              <w:t>74</w:t>
            </w:r>
          </w:hyperlink>
        </w:p>
        <w:p>
          <w:pPr>
            <w:pStyle w:val="Contents4"/>
            <w:tabs>
              <w:tab w:val="clear" w:pos="8176"/>
              <w:tab w:val="right" w:pos="9026" w:leader="dot"/>
            </w:tabs>
            <w:rPr/>
          </w:pPr>
          <w:hyperlink w:anchor="__RefHeading___Toc1597098_581953129">
            <w:r>
              <w:rPr>
                <w:webHidden/>
                <w:rStyle w:val="IndexLink"/>
              </w:rPr>
              <w:t>1</w:t>
            </w:r>
            <w:r>
              <w:rPr>
                <w:rStyle w:val="IndexLink"/>
                <w:rtl w:val="true"/>
              </w:rPr>
              <w:t xml:space="preserve">. </w:t>
            </w:r>
            <w:r>
              <w:rPr>
                <w:rStyle w:val="IndexLink"/>
                <w:rtl w:val="true"/>
              </w:rPr>
              <w:t>وکالت زن در دعاوی و شرایط وکیل</w:t>
            </w:r>
            <w:r>
              <w:rPr>
                <w:rStyle w:val="IndexLink"/>
                <w:rtl w:val="true"/>
              </w:rPr>
              <w:tab/>
            </w:r>
            <w:r>
              <w:rPr>
                <w:rStyle w:val="IndexLink"/>
              </w:rPr>
              <w:t>74</w:t>
            </w:r>
          </w:hyperlink>
        </w:p>
        <w:p>
          <w:pPr>
            <w:pStyle w:val="Contents4"/>
            <w:tabs>
              <w:tab w:val="clear" w:pos="8176"/>
              <w:tab w:val="right" w:pos="9026" w:leader="dot"/>
            </w:tabs>
            <w:rPr/>
          </w:pPr>
          <w:hyperlink w:anchor="__RefHeading___Toc1597100_581953129">
            <w:r>
              <w:rPr>
                <w:webHidden/>
                <w:rStyle w:val="IndexLink"/>
              </w:rPr>
              <w:t>2</w:t>
            </w:r>
            <w:r>
              <w:rPr>
                <w:rStyle w:val="IndexLink"/>
                <w:rtl w:val="true"/>
              </w:rPr>
              <w:t xml:space="preserve">. </w:t>
            </w:r>
            <w:r>
              <w:rPr>
                <w:rStyle w:val="IndexLink"/>
                <w:rtl w:val="true"/>
              </w:rPr>
              <w:t>زن و حق مشارکت دعوی</w:t>
            </w:r>
            <w:r>
              <w:rPr>
                <w:rStyle w:val="IndexLink"/>
                <w:rtl w:val="true"/>
              </w:rPr>
              <w:tab/>
            </w:r>
            <w:r>
              <w:rPr>
                <w:rStyle w:val="IndexLink"/>
              </w:rPr>
              <w:t>79</w:t>
            </w:r>
          </w:hyperlink>
        </w:p>
        <w:p>
          <w:pPr>
            <w:pStyle w:val="Contents4"/>
            <w:tabs>
              <w:tab w:val="clear" w:pos="8176"/>
              <w:tab w:val="right" w:pos="9026" w:leader="dot"/>
            </w:tabs>
            <w:rPr/>
          </w:pPr>
          <w:hyperlink w:anchor="__RefHeading___Toc1597102_581953129">
            <w:r>
              <w:rPr>
                <w:webHidden/>
                <w:rStyle w:val="IndexLink"/>
              </w:rPr>
              <w:t>3</w:t>
            </w:r>
            <w:r>
              <w:rPr>
                <w:rStyle w:val="IndexLink"/>
                <w:rtl w:val="true"/>
              </w:rPr>
              <w:t xml:space="preserve">. </w:t>
            </w:r>
            <w:r>
              <w:rPr>
                <w:rStyle w:val="IndexLink"/>
                <w:rtl w:val="true"/>
              </w:rPr>
              <w:t>وکالت زن و فلسفه وکالت</w:t>
            </w:r>
            <w:r>
              <w:rPr>
                <w:rStyle w:val="IndexLink"/>
                <w:rtl w:val="true"/>
              </w:rPr>
              <w:tab/>
            </w:r>
            <w:r>
              <w:rPr>
                <w:rStyle w:val="IndexLink"/>
              </w:rPr>
              <w:t>83</w:t>
            </w:r>
          </w:hyperlink>
        </w:p>
        <w:p>
          <w:pPr>
            <w:pStyle w:val="Contents4"/>
            <w:tabs>
              <w:tab w:val="clear" w:pos="8176"/>
              <w:tab w:val="right" w:pos="9026" w:leader="dot"/>
            </w:tabs>
            <w:rPr/>
          </w:pPr>
          <w:hyperlink w:anchor="__RefHeading___Toc1597104_581953129">
            <w:r>
              <w:rPr>
                <w:webHidden/>
                <w:rStyle w:val="IndexLink"/>
              </w:rPr>
              <w:t>4</w:t>
            </w:r>
            <w:r>
              <w:rPr>
                <w:rStyle w:val="IndexLink"/>
                <w:rtl w:val="true"/>
              </w:rPr>
              <w:t xml:space="preserve">. </w:t>
            </w:r>
            <w:r>
              <w:rPr>
                <w:rStyle w:val="IndexLink"/>
                <w:rtl w:val="true"/>
              </w:rPr>
              <w:t>مواضع مناقشه برانگیز وکالت زن</w:t>
            </w:r>
            <w:r>
              <w:rPr>
                <w:rStyle w:val="IndexLink"/>
                <w:rtl w:val="true"/>
              </w:rPr>
              <w:tab/>
            </w:r>
            <w:r>
              <w:rPr>
                <w:rStyle w:val="IndexLink"/>
              </w:rPr>
              <w:t>86</w:t>
            </w:r>
          </w:hyperlink>
        </w:p>
        <w:p>
          <w:pPr>
            <w:pStyle w:val="Contents3"/>
            <w:tabs>
              <w:tab w:val="clear" w:pos="8459"/>
              <w:tab w:val="right" w:pos="9026" w:leader="dot"/>
            </w:tabs>
            <w:rPr/>
          </w:pPr>
          <w:hyperlink w:anchor="__RefHeading___Toc1597106_581953129">
            <w:r>
              <w:rPr>
                <w:webHidden/>
                <w:rStyle w:val="IndexLink"/>
                <w:rtl w:val="true"/>
              </w:rPr>
              <w:t>قراین تاریخی</w:t>
            </w:r>
            <w:r>
              <w:rPr>
                <w:rStyle w:val="IndexLink"/>
                <w:rtl w:val="true"/>
              </w:rPr>
              <w:tab/>
            </w:r>
            <w:r>
              <w:rPr>
                <w:rStyle w:val="IndexLink"/>
              </w:rPr>
              <w:t>92</w:t>
            </w:r>
          </w:hyperlink>
        </w:p>
        <w:p>
          <w:pPr>
            <w:pStyle w:val="Contents4"/>
            <w:tabs>
              <w:tab w:val="clear" w:pos="8176"/>
              <w:tab w:val="right" w:pos="9026" w:leader="dot"/>
            </w:tabs>
            <w:rPr/>
          </w:pPr>
          <w:hyperlink w:anchor="__RefHeading___Toc1597108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597110_581953129">
            <w:r>
              <w:rPr>
                <w:webHidden/>
                <w:rStyle w:val="IndexLink"/>
              </w:rPr>
              <w:t>1</w:t>
            </w:r>
            <w:r>
              <w:rPr>
                <w:rStyle w:val="IndexLink"/>
                <w:rtl w:val="true"/>
              </w:rPr>
              <w:t xml:space="preserve">. </w:t>
            </w:r>
            <w:r>
              <w:rPr>
                <w:rStyle w:val="IndexLink"/>
                <w:rtl w:val="true"/>
              </w:rPr>
              <w:t xml:space="preserve">دفاع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از امام علی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1597112_581953129">
            <w:r>
              <w:rPr>
                <w:webHidden/>
                <w:rStyle w:val="IndexLink"/>
              </w:rPr>
              <w:t>2</w:t>
            </w:r>
            <w:r>
              <w:rPr>
                <w:rStyle w:val="IndexLink"/>
                <w:rtl w:val="true"/>
              </w:rPr>
              <w:t xml:space="preserve">. </w:t>
            </w:r>
            <w:r>
              <w:rPr>
                <w:rStyle w:val="IndexLink"/>
                <w:rtl w:val="true"/>
              </w:rPr>
              <w:t>نمایندگی سوده همدانی</w:t>
            </w:r>
            <w:r>
              <w:rPr>
                <w:rStyle w:val="IndexLink"/>
                <w:rtl w:val="true"/>
              </w:rPr>
              <w:tab/>
            </w:r>
            <w:r>
              <w:rPr>
                <w:rStyle w:val="IndexLink"/>
              </w:rPr>
              <w:t>97</w:t>
            </w:r>
          </w:hyperlink>
        </w:p>
        <w:p>
          <w:pPr>
            <w:pStyle w:val="Contents2"/>
            <w:tabs>
              <w:tab w:val="clear" w:pos="8743"/>
              <w:tab w:val="right" w:pos="9026" w:leader="dot"/>
            </w:tabs>
            <w:rPr/>
          </w:pPr>
          <w:hyperlink w:anchor="__RefHeading___Toc1597114_581953129">
            <w:r>
              <w:rPr>
                <w:webHidden/>
                <w:rStyle w:val="IndexLink"/>
              </w:rPr>
              <w:t>3</w:t>
            </w:r>
            <w:r>
              <w:rPr>
                <w:rStyle w:val="IndexLink"/>
                <w:rtl w:val="true"/>
              </w:rPr>
              <w:t xml:space="preserve">- </w:t>
            </w:r>
            <w:r>
              <w:rPr>
                <w:rStyle w:val="IndexLink"/>
                <w:rtl w:val="true"/>
              </w:rPr>
              <w:t>نقدها و مخالفت ها</w:t>
            </w:r>
            <w:r>
              <w:rPr>
                <w:rStyle w:val="IndexLink"/>
                <w:rtl w:val="true"/>
              </w:rPr>
              <w:tab/>
            </w:r>
            <w:r>
              <w:rPr>
                <w:rStyle w:val="IndexLink"/>
              </w:rPr>
              <w:t>102</w:t>
            </w:r>
          </w:hyperlink>
        </w:p>
        <w:p>
          <w:pPr>
            <w:pStyle w:val="Contents3"/>
            <w:tabs>
              <w:tab w:val="clear" w:pos="8459"/>
              <w:tab w:val="right" w:pos="9026" w:leader="dot"/>
            </w:tabs>
            <w:rPr/>
          </w:pPr>
          <w:hyperlink w:anchor="__RefHeading___Toc1597116_581953129">
            <w:r>
              <w:rPr>
                <w:webHidden/>
                <w:rStyle w:val="IndexLink"/>
                <w:rtl w:val="true"/>
              </w:rPr>
              <w:t>نگاهی به ماهیت نقدها</w:t>
            </w:r>
            <w:r>
              <w:rPr>
                <w:rStyle w:val="IndexLink"/>
                <w:rtl w:val="true"/>
              </w:rPr>
              <w:tab/>
            </w:r>
            <w:r>
              <w:rPr>
                <w:rStyle w:val="IndexLink"/>
              </w:rPr>
              <w:t>102</w:t>
            </w:r>
          </w:hyperlink>
        </w:p>
        <w:p>
          <w:pPr>
            <w:pStyle w:val="Contents3"/>
            <w:tabs>
              <w:tab w:val="clear" w:pos="8459"/>
              <w:tab w:val="right" w:pos="9026" w:leader="dot"/>
            </w:tabs>
            <w:rPr/>
          </w:pPr>
          <w:hyperlink w:anchor="__RefHeading___Toc1597118_581953129">
            <w:r>
              <w:rPr>
                <w:webHidden/>
                <w:rStyle w:val="IndexLink"/>
                <w:rtl w:val="true"/>
              </w:rPr>
              <w:t>ادله قرآنی مخالف وکالت زن در دعاوی</w:t>
            </w:r>
            <w:r>
              <w:rPr>
                <w:rStyle w:val="IndexLink"/>
                <w:rtl w:val="true"/>
              </w:rPr>
              <w:tab/>
            </w:r>
            <w:r>
              <w:rPr>
                <w:rStyle w:val="IndexLink"/>
              </w:rPr>
              <w:t>106</w:t>
            </w:r>
          </w:hyperlink>
        </w:p>
        <w:p>
          <w:pPr>
            <w:pStyle w:val="Contents4"/>
            <w:tabs>
              <w:tab w:val="clear" w:pos="8176"/>
              <w:tab w:val="right" w:pos="9026" w:leader="dot"/>
            </w:tabs>
            <w:rPr/>
          </w:pPr>
          <w:hyperlink w:anchor="__RefHeading___Toc1597120_581953129">
            <w:r>
              <w:rPr>
                <w:webHidden/>
                <w:rStyle w:val="IndexLink"/>
                <w:rtl w:val="true"/>
              </w:rPr>
              <w:t>آیه اول</w:t>
            </w:r>
            <w:r>
              <w:rPr>
                <w:rStyle w:val="IndexLink"/>
                <w:rtl w:val="true"/>
              </w:rPr>
              <w:t xml:space="preserve">: </w:t>
            </w:r>
            <w:r>
              <w:rPr>
                <w:rStyle w:val="IndexLink"/>
                <w:rtl w:val="true"/>
              </w:rPr>
              <w:t>ناتوانی زن در بیان دلیل</w:t>
            </w:r>
            <w:r>
              <w:rPr>
                <w:rStyle w:val="IndexLink"/>
                <w:rtl w:val="true"/>
              </w:rPr>
              <w:tab/>
            </w:r>
            <w:r>
              <w:rPr>
                <w:rStyle w:val="IndexLink"/>
              </w:rPr>
              <w:t>106</w:t>
            </w:r>
          </w:hyperlink>
        </w:p>
        <w:p>
          <w:pPr>
            <w:pStyle w:val="Contents4"/>
            <w:tabs>
              <w:tab w:val="clear" w:pos="8176"/>
              <w:tab w:val="right" w:pos="9026" w:leader="dot"/>
            </w:tabs>
            <w:rPr/>
          </w:pPr>
          <w:hyperlink w:anchor="__RefHeading___Toc1597122_581953129">
            <w:r>
              <w:rPr>
                <w:webHidden/>
                <w:rStyle w:val="IndexLink"/>
                <w:rtl w:val="true"/>
              </w:rPr>
              <w:t>آیه دوم</w:t>
            </w:r>
            <w:r>
              <w:rPr>
                <w:rStyle w:val="IndexLink"/>
                <w:rtl w:val="true"/>
              </w:rPr>
              <w:t xml:space="preserve">: </w:t>
            </w:r>
            <w:r>
              <w:rPr>
                <w:rStyle w:val="IndexLink"/>
                <w:rtl w:val="true"/>
              </w:rPr>
              <w:t>شهادت زنان</w:t>
            </w:r>
            <w:r>
              <w:rPr>
                <w:rStyle w:val="IndexLink"/>
                <w:rtl w:val="true"/>
              </w:rPr>
              <w:tab/>
            </w:r>
            <w:r>
              <w:rPr>
                <w:rStyle w:val="IndexLink"/>
              </w:rPr>
              <w:t>115</w:t>
            </w:r>
          </w:hyperlink>
        </w:p>
        <w:p>
          <w:pPr>
            <w:pStyle w:val="Contents3"/>
            <w:tabs>
              <w:tab w:val="clear" w:pos="8459"/>
              <w:tab w:val="right" w:pos="9026" w:leader="dot"/>
            </w:tabs>
            <w:rPr/>
          </w:pPr>
          <w:hyperlink w:anchor="__RefHeading___Toc1597124_581953129">
            <w:r>
              <w:rPr>
                <w:webHidden/>
                <w:rStyle w:val="IndexLink"/>
                <w:rtl w:val="true"/>
              </w:rPr>
              <w:t>بررسی آیه شهادت</w:t>
            </w:r>
            <w:r>
              <w:rPr>
                <w:rStyle w:val="IndexLink"/>
                <w:rtl w:val="true"/>
              </w:rPr>
              <w:tab/>
            </w:r>
            <w:r>
              <w:rPr>
                <w:rStyle w:val="IndexLink"/>
              </w:rPr>
              <w:t>121</w:t>
            </w:r>
          </w:hyperlink>
        </w:p>
        <w:p>
          <w:pPr>
            <w:pStyle w:val="Contents4"/>
            <w:tabs>
              <w:tab w:val="clear" w:pos="8176"/>
              <w:tab w:val="right" w:pos="9026" w:leader="dot"/>
            </w:tabs>
            <w:rPr/>
          </w:pPr>
          <w:hyperlink w:anchor="__RefHeading___Toc1597126_581953129">
            <w:r>
              <w:rPr>
                <w:webHidden/>
                <w:rStyle w:val="IndexLink"/>
              </w:rPr>
              <w:t>1</w:t>
            </w:r>
            <w:r>
              <w:rPr>
                <w:rStyle w:val="IndexLink"/>
                <w:rtl w:val="true"/>
              </w:rPr>
              <w:t>-</w:t>
            </w:r>
            <w:r>
              <w:rPr>
                <w:rStyle w:val="IndexLink"/>
                <w:rtl w:val="true"/>
              </w:rPr>
              <w:t>زن و نقص عقل</w:t>
            </w:r>
            <w:r>
              <w:rPr>
                <w:rStyle w:val="IndexLink"/>
                <w:rtl w:val="true"/>
              </w:rPr>
              <w:tab/>
            </w:r>
            <w:r>
              <w:rPr>
                <w:rStyle w:val="IndexLink"/>
              </w:rPr>
              <w:t>121</w:t>
            </w:r>
          </w:hyperlink>
        </w:p>
        <w:p>
          <w:pPr>
            <w:pStyle w:val="Contents5"/>
            <w:tabs>
              <w:tab w:val="clear" w:pos="7892"/>
              <w:tab w:val="right" w:pos="9026" w:leader="dot"/>
            </w:tabs>
            <w:rPr/>
          </w:pPr>
          <w:hyperlink w:anchor="__RefHeading___Toc1597128_58195312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597130_581953129">
            <w:r>
              <w:rPr>
                <w:webHidden/>
                <w:rStyle w:val="IndexLink"/>
                <w:rtl w:val="true"/>
              </w:rPr>
              <w:t>الف</w:t>
            </w:r>
            <w:r>
              <w:rPr>
                <w:rStyle w:val="IndexLink"/>
                <w:rtl w:val="true"/>
              </w:rPr>
              <w:t xml:space="preserve">) </w:t>
            </w:r>
            <w:r>
              <w:rPr>
                <w:rStyle w:val="IndexLink"/>
                <w:rtl w:val="true"/>
              </w:rPr>
              <w:t>تأمل در اسناد روایی نقصان عقل زن</w:t>
            </w:r>
            <w:r>
              <w:rPr>
                <w:rStyle w:val="IndexLink"/>
                <w:rtl w:val="true"/>
              </w:rPr>
              <w:tab/>
            </w:r>
            <w:r>
              <w:rPr>
                <w:rStyle w:val="IndexLink"/>
              </w:rPr>
              <w:t>122</w:t>
            </w:r>
          </w:hyperlink>
        </w:p>
        <w:p>
          <w:pPr>
            <w:pStyle w:val="Contents5"/>
            <w:tabs>
              <w:tab w:val="clear" w:pos="7892"/>
              <w:tab w:val="right" w:pos="9026" w:leader="dot"/>
            </w:tabs>
            <w:rPr/>
          </w:pPr>
          <w:hyperlink w:anchor="__RefHeading___Toc1597132_581953129">
            <w:r>
              <w:rPr>
                <w:webHidden/>
                <w:rStyle w:val="IndexLink"/>
                <w:rtl w:val="true"/>
              </w:rPr>
              <w:t>ب</w:t>
            </w:r>
            <w:r>
              <w:rPr>
                <w:rStyle w:val="IndexLink"/>
                <w:rtl w:val="true"/>
              </w:rPr>
              <w:t xml:space="preserve">) </w:t>
            </w:r>
            <w:r>
              <w:rPr>
                <w:rStyle w:val="IndexLink"/>
                <w:rtl w:val="true"/>
              </w:rPr>
              <w:t>تأمل در ناسازگاری نقصان عقل زن با قرآن و جهان‌بینی اسلامی</w:t>
            </w:r>
            <w:r>
              <w:rPr>
                <w:rStyle w:val="IndexLink"/>
                <w:rtl w:val="true"/>
              </w:rPr>
              <w:tab/>
            </w:r>
            <w:r>
              <w:rPr>
                <w:rStyle w:val="IndexLink"/>
              </w:rPr>
              <w:t>124</w:t>
            </w:r>
          </w:hyperlink>
        </w:p>
        <w:p>
          <w:pPr>
            <w:pStyle w:val="Contents5"/>
            <w:tabs>
              <w:tab w:val="clear" w:pos="7892"/>
              <w:tab w:val="right" w:pos="9026" w:leader="dot"/>
            </w:tabs>
            <w:rPr/>
          </w:pPr>
          <w:hyperlink w:anchor="__RefHeading___Toc1597134_581953129">
            <w:r>
              <w:rPr>
                <w:webHidden/>
                <w:rStyle w:val="IndexLink"/>
                <w:rtl w:val="true"/>
              </w:rPr>
              <w:t>ج</w:t>
            </w:r>
            <w:r>
              <w:rPr>
                <w:rStyle w:val="IndexLink"/>
                <w:rtl w:val="true"/>
              </w:rPr>
              <w:t xml:space="preserve">) </w:t>
            </w:r>
            <w:r>
              <w:rPr>
                <w:rStyle w:val="IndexLink"/>
                <w:rtl w:val="true"/>
              </w:rPr>
              <w:t>تجدید نظر در معنای عقل، در ادبیات روایی</w:t>
            </w:r>
            <w:r>
              <w:rPr>
                <w:rStyle w:val="IndexLink"/>
                <w:rtl w:val="true"/>
              </w:rPr>
              <w:tab/>
            </w:r>
            <w:r>
              <w:rPr>
                <w:rStyle w:val="IndexLink"/>
              </w:rPr>
              <w:t>127</w:t>
            </w:r>
          </w:hyperlink>
        </w:p>
        <w:p>
          <w:pPr>
            <w:pStyle w:val="Contents4"/>
            <w:tabs>
              <w:tab w:val="clear" w:pos="8176"/>
              <w:tab w:val="right" w:pos="9026" w:leader="dot"/>
            </w:tabs>
            <w:rPr/>
          </w:pPr>
          <w:hyperlink w:anchor="__RefHeading___Toc1597136_581953129">
            <w:r>
              <w:rPr>
                <w:webHidden/>
                <w:rStyle w:val="IndexLink"/>
              </w:rPr>
              <w:t>2</w:t>
            </w:r>
            <w:r>
              <w:rPr>
                <w:rStyle w:val="IndexLink"/>
                <w:rtl w:val="true"/>
              </w:rPr>
              <w:t xml:space="preserve">- </w:t>
            </w:r>
            <w:r>
              <w:rPr>
                <w:rStyle w:val="IndexLink"/>
                <w:rtl w:val="true"/>
              </w:rPr>
              <w:t>نظام واره احکام تشریعی درباره زن</w:t>
            </w:r>
            <w:r>
              <w:rPr>
                <w:rStyle w:val="IndexLink"/>
                <w:rtl w:val="true"/>
              </w:rPr>
              <w:tab/>
            </w:r>
            <w:r>
              <w:rPr>
                <w:rStyle w:val="IndexLink"/>
              </w:rPr>
              <w:t>129</w:t>
            </w:r>
          </w:hyperlink>
        </w:p>
        <w:p>
          <w:pPr>
            <w:pStyle w:val="Contents3"/>
            <w:tabs>
              <w:tab w:val="clear" w:pos="8459"/>
              <w:tab w:val="right" w:pos="9026" w:leader="dot"/>
            </w:tabs>
            <w:rPr/>
          </w:pPr>
          <w:hyperlink w:anchor="__RefHeading___Toc1597138_581953129">
            <w:r>
              <w:rPr>
                <w:webHidden/>
                <w:rStyle w:val="IndexLink"/>
                <w:rtl w:val="true"/>
              </w:rPr>
              <w:t>ادله روایی مخالف وکالت زن در دعاوی</w:t>
            </w:r>
            <w:r>
              <w:rPr>
                <w:rStyle w:val="IndexLink"/>
                <w:rtl w:val="true"/>
              </w:rPr>
              <w:tab/>
            </w:r>
            <w:r>
              <w:rPr>
                <w:rStyle w:val="IndexLink"/>
              </w:rPr>
              <w:t>133</w:t>
            </w:r>
          </w:hyperlink>
        </w:p>
        <w:p>
          <w:pPr>
            <w:pStyle w:val="Contents4"/>
            <w:tabs>
              <w:tab w:val="clear" w:pos="8176"/>
              <w:tab w:val="right" w:pos="9026" w:leader="dot"/>
            </w:tabs>
            <w:rPr/>
          </w:pPr>
          <w:hyperlink w:anchor="__RefHeading___Toc1597140_581953129">
            <w:r>
              <w:rPr>
                <w:webHidden/>
                <w:rStyle w:val="IndexLink"/>
                <w:rtl w:val="true"/>
              </w:rPr>
              <w:t>روایات منع از مشاوره با زنان</w:t>
            </w:r>
            <w:r>
              <w:rPr>
                <w:rStyle w:val="IndexLink"/>
                <w:rtl w:val="true"/>
              </w:rPr>
              <w:tab/>
            </w:r>
            <w:r>
              <w:rPr>
                <w:rStyle w:val="IndexLink"/>
              </w:rPr>
              <w:t>133</w:t>
            </w:r>
          </w:hyperlink>
        </w:p>
        <w:p>
          <w:pPr>
            <w:pStyle w:val="Contents4"/>
            <w:tabs>
              <w:tab w:val="clear" w:pos="8176"/>
              <w:tab w:val="right" w:pos="9026" w:leader="dot"/>
            </w:tabs>
            <w:rPr/>
          </w:pPr>
          <w:hyperlink w:anchor="__RefHeading___Toc1597142_581953129">
            <w:r>
              <w:rPr>
                <w:webHidden/>
                <w:rStyle w:val="IndexLink"/>
                <w:rtl w:val="true"/>
              </w:rPr>
              <w:t>بررسی روایات منع از مشاوره با زنان</w:t>
            </w:r>
            <w:r>
              <w:rPr>
                <w:rStyle w:val="IndexLink"/>
                <w:rtl w:val="true"/>
              </w:rPr>
              <w:tab/>
            </w:r>
            <w:r>
              <w:rPr>
                <w:rStyle w:val="IndexLink"/>
              </w:rPr>
              <w:t>137</w:t>
            </w:r>
          </w:hyperlink>
        </w:p>
        <w:p>
          <w:pPr>
            <w:pStyle w:val="Contents5"/>
            <w:tabs>
              <w:tab w:val="clear" w:pos="7892"/>
              <w:tab w:val="right" w:pos="9026" w:leader="dot"/>
            </w:tabs>
            <w:rPr/>
          </w:pPr>
          <w:hyperlink w:anchor="__RefHeading___Toc1597144_581953129">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597146_581953129">
            <w:r>
              <w:rPr>
                <w:webHidden/>
                <w:rStyle w:val="IndexLink"/>
              </w:rPr>
              <w:t>1</w:t>
            </w:r>
            <w:r>
              <w:rPr>
                <w:rStyle w:val="IndexLink"/>
                <w:rtl w:val="true"/>
              </w:rPr>
              <w:t xml:space="preserve">- </w:t>
            </w:r>
            <w:r>
              <w:rPr>
                <w:rStyle w:val="IndexLink"/>
                <w:rtl w:val="true"/>
              </w:rPr>
              <w:t>مشاوره با زنان در پرتو آیات</w:t>
            </w:r>
            <w:r>
              <w:rPr>
                <w:rStyle w:val="IndexLink"/>
                <w:rtl w:val="true"/>
              </w:rPr>
              <w:tab/>
            </w:r>
            <w:r>
              <w:rPr>
                <w:rStyle w:val="IndexLink"/>
              </w:rPr>
              <w:t>139</w:t>
            </w:r>
          </w:hyperlink>
        </w:p>
        <w:p>
          <w:pPr>
            <w:pStyle w:val="Contents5"/>
            <w:tabs>
              <w:tab w:val="clear" w:pos="7892"/>
              <w:tab w:val="right" w:pos="9026" w:leader="dot"/>
            </w:tabs>
            <w:rPr/>
          </w:pPr>
          <w:hyperlink w:anchor="__RefHeading___Toc1597148_581953129">
            <w:r>
              <w:rPr>
                <w:webHidden/>
                <w:rStyle w:val="IndexLink"/>
              </w:rPr>
              <w:t>2</w:t>
            </w:r>
            <w:r>
              <w:rPr>
                <w:rStyle w:val="IndexLink"/>
                <w:rtl w:val="true"/>
              </w:rPr>
              <w:t xml:space="preserve">- </w:t>
            </w:r>
            <w:r>
              <w:rPr>
                <w:rStyle w:val="IndexLink"/>
                <w:rtl w:val="true"/>
              </w:rPr>
              <w:t>بازتاب رفتار با زنان در سیره</w:t>
            </w:r>
            <w:r>
              <w:rPr>
                <w:rStyle w:val="IndexLink"/>
                <w:rtl w:val="true"/>
              </w:rPr>
              <w:tab/>
            </w:r>
            <w:r>
              <w:rPr>
                <w:rStyle w:val="IndexLink"/>
              </w:rPr>
              <w:t>146</w:t>
            </w:r>
          </w:hyperlink>
        </w:p>
        <w:p>
          <w:pPr>
            <w:pStyle w:val="Contents5"/>
            <w:tabs>
              <w:tab w:val="clear" w:pos="7892"/>
              <w:tab w:val="right" w:pos="9026" w:leader="dot"/>
            </w:tabs>
            <w:rPr/>
          </w:pPr>
          <w:hyperlink w:anchor="__RefHeading___Toc1597150_581953129">
            <w:r>
              <w:rPr>
                <w:webHidden/>
                <w:rStyle w:val="IndexLink"/>
              </w:rPr>
              <w:t>3</w:t>
            </w:r>
            <w:r>
              <w:rPr>
                <w:rStyle w:val="IndexLink"/>
                <w:rtl w:val="true"/>
              </w:rPr>
              <w:t xml:space="preserve">- </w:t>
            </w:r>
            <w:r>
              <w:rPr>
                <w:rStyle w:val="IndexLink"/>
                <w:rtl w:val="true"/>
              </w:rPr>
              <w:t>نقش جریان‌های حدیث‌ساز</w:t>
            </w:r>
            <w:r>
              <w:rPr>
                <w:rStyle w:val="IndexLink"/>
                <w:rtl w:val="true"/>
              </w:rPr>
              <w:tab/>
            </w:r>
            <w:r>
              <w:rPr>
                <w:rStyle w:val="IndexLink"/>
              </w:rPr>
              <w:t>150</w:t>
            </w:r>
          </w:hyperlink>
        </w:p>
        <w:p>
          <w:pPr>
            <w:pStyle w:val="Contents2"/>
            <w:tabs>
              <w:tab w:val="clear" w:pos="8743"/>
              <w:tab w:val="right" w:pos="9026" w:leader="dot"/>
            </w:tabs>
            <w:rPr/>
          </w:pPr>
          <w:hyperlink w:anchor="__RefHeading___Toc1597152_581953129">
            <w:r>
              <w:rPr>
                <w:webHidden/>
                <w:rStyle w:val="IndexLink"/>
              </w:rPr>
              <w:t>4</w:t>
            </w:r>
            <w:r>
              <w:rPr>
                <w:rStyle w:val="IndexLink"/>
                <w:rtl w:val="true"/>
              </w:rPr>
              <w:t xml:space="preserve">- </w:t>
            </w:r>
            <w:r>
              <w:rPr>
                <w:rStyle w:val="IndexLink"/>
                <w:rtl w:val="true"/>
              </w:rPr>
              <w:t>وکالت زن در مجلس شورا</w:t>
            </w:r>
            <w:r>
              <w:rPr>
                <w:rStyle w:val="IndexLink"/>
                <w:rtl w:val="true"/>
              </w:rPr>
              <w:tab/>
            </w:r>
            <w:r>
              <w:rPr>
                <w:rStyle w:val="IndexLink"/>
              </w:rPr>
              <w:t>164</w:t>
            </w:r>
          </w:hyperlink>
        </w:p>
        <w:p>
          <w:pPr>
            <w:pStyle w:val="Contents3"/>
            <w:tabs>
              <w:tab w:val="clear" w:pos="8459"/>
              <w:tab w:val="right" w:pos="9026" w:leader="dot"/>
            </w:tabs>
            <w:rPr/>
          </w:pPr>
          <w:hyperlink w:anchor="__RefHeading___Toc1597154_581953129">
            <w:r>
              <w:rPr>
                <w:webHidden/>
                <w:rStyle w:val="IndexLink"/>
                <w:rtl w:val="true"/>
              </w:rPr>
              <w:t>ویژگی ها و تفاوت های وکالت مجلس</w:t>
            </w:r>
            <w:r>
              <w:rPr>
                <w:rStyle w:val="IndexLink"/>
                <w:rtl w:val="true"/>
              </w:rPr>
              <w:tab/>
            </w:r>
            <w:r>
              <w:rPr>
                <w:rStyle w:val="IndexLink"/>
              </w:rPr>
              <w:t>164</w:t>
            </w:r>
          </w:hyperlink>
        </w:p>
        <w:p>
          <w:pPr>
            <w:pStyle w:val="Contents4"/>
            <w:tabs>
              <w:tab w:val="clear" w:pos="8176"/>
              <w:tab w:val="right" w:pos="9026" w:leader="dot"/>
            </w:tabs>
            <w:rPr/>
          </w:pPr>
          <w:hyperlink w:anchor="__RefHeading___Toc1597156_58195312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597158_581953129">
            <w:r>
              <w:rPr>
                <w:webHidden/>
                <w:rStyle w:val="IndexLink"/>
              </w:rPr>
              <w:t>1</w:t>
            </w:r>
            <w:r>
              <w:rPr>
                <w:rStyle w:val="IndexLink"/>
                <w:rtl w:val="true"/>
              </w:rPr>
              <w:t xml:space="preserve">- </w:t>
            </w:r>
            <w:r>
              <w:rPr>
                <w:rStyle w:val="IndexLink"/>
                <w:rtl w:val="true"/>
              </w:rPr>
              <w:t>بی سابقه بودن مجلس شورا در اندیشه فقهی شیعه</w:t>
            </w:r>
            <w:r>
              <w:rPr>
                <w:rStyle w:val="IndexLink"/>
                <w:rtl w:val="true"/>
              </w:rPr>
              <w:tab/>
            </w:r>
            <w:r>
              <w:rPr>
                <w:rStyle w:val="IndexLink"/>
              </w:rPr>
              <w:t>164</w:t>
            </w:r>
          </w:hyperlink>
        </w:p>
        <w:p>
          <w:pPr>
            <w:pStyle w:val="Contents4"/>
            <w:tabs>
              <w:tab w:val="clear" w:pos="8176"/>
              <w:tab w:val="right" w:pos="9026" w:leader="dot"/>
            </w:tabs>
            <w:rPr/>
          </w:pPr>
          <w:hyperlink w:anchor="__RefHeading___Toc1597160_581953129">
            <w:r>
              <w:rPr>
                <w:webHidden/>
                <w:rStyle w:val="IndexLink"/>
              </w:rPr>
              <w:t>2</w:t>
            </w:r>
            <w:r>
              <w:rPr>
                <w:rStyle w:val="IndexLink"/>
                <w:rtl w:val="true"/>
              </w:rPr>
              <w:t xml:space="preserve">- </w:t>
            </w:r>
            <w:r>
              <w:rPr>
                <w:rStyle w:val="IndexLink"/>
                <w:rtl w:val="true"/>
              </w:rPr>
              <w:t>کار ویژه های مجلس</w:t>
            </w:r>
            <w:r>
              <w:rPr>
                <w:rStyle w:val="IndexLink"/>
                <w:rtl w:val="true"/>
              </w:rPr>
              <w:tab/>
            </w:r>
            <w:r>
              <w:rPr>
                <w:rStyle w:val="IndexLink"/>
              </w:rPr>
              <w:t>169</w:t>
            </w:r>
          </w:hyperlink>
        </w:p>
        <w:p>
          <w:pPr>
            <w:pStyle w:val="Contents4"/>
            <w:tabs>
              <w:tab w:val="clear" w:pos="8176"/>
              <w:tab w:val="right" w:pos="9026" w:leader="dot"/>
            </w:tabs>
            <w:rPr/>
          </w:pPr>
          <w:hyperlink w:anchor="__RefHeading___Toc1597162_581953129">
            <w:r>
              <w:rPr>
                <w:webHidden/>
                <w:rStyle w:val="IndexLink"/>
              </w:rPr>
              <w:t>3</w:t>
            </w:r>
            <w:r>
              <w:rPr>
                <w:rStyle w:val="IndexLink"/>
                <w:rtl w:val="true"/>
              </w:rPr>
              <w:t xml:space="preserve">- </w:t>
            </w:r>
            <w:r>
              <w:rPr>
                <w:rStyle w:val="IndexLink"/>
                <w:rtl w:val="true"/>
              </w:rPr>
              <w:t>مبنای مشروعیت وکالت مجلس</w:t>
            </w:r>
            <w:r>
              <w:rPr>
                <w:rStyle w:val="IndexLink"/>
                <w:rtl w:val="true"/>
              </w:rPr>
              <w:tab/>
            </w:r>
            <w:r>
              <w:rPr>
                <w:rStyle w:val="IndexLink"/>
              </w:rPr>
              <w:t>172</w:t>
            </w:r>
          </w:hyperlink>
        </w:p>
        <w:p>
          <w:pPr>
            <w:pStyle w:val="Contents4"/>
            <w:tabs>
              <w:tab w:val="clear" w:pos="8176"/>
              <w:tab w:val="right" w:pos="9026" w:leader="dot"/>
            </w:tabs>
            <w:rPr/>
          </w:pPr>
          <w:hyperlink w:anchor="__RefHeading___Toc1597164_581953129">
            <w:r>
              <w:rPr>
                <w:webHidden/>
                <w:rStyle w:val="IndexLink"/>
              </w:rPr>
              <w:t>4</w:t>
            </w:r>
            <w:r>
              <w:rPr>
                <w:rStyle w:val="IndexLink"/>
                <w:rtl w:val="true"/>
              </w:rPr>
              <w:t xml:space="preserve">- </w:t>
            </w:r>
            <w:r>
              <w:rPr>
                <w:rStyle w:val="IndexLink"/>
                <w:rtl w:val="true"/>
              </w:rPr>
              <w:t>مکانیسم وکالت مجلس</w:t>
            </w:r>
            <w:r>
              <w:rPr>
                <w:rStyle w:val="IndexLink"/>
                <w:rtl w:val="true"/>
              </w:rPr>
              <w:tab/>
            </w:r>
            <w:r>
              <w:rPr>
                <w:rStyle w:val="IndexLink"/>
              </w:rPr>
              <w:t>177</w:t>
            </w:r>
          </w:hyperlink>
        </w:p>
        <w:p>
          <w:pPr>
            <w:pStyle w:val="Contents3"/>
            <w:tabs>
              <w:tab w:val="clear" w:pos="8459"/>
              <w:tab w:val="right" w:pos="9026" w:leader="dot"/>
            </w:tabs>
            <w:rPr/>
          </w:pPr>
          <w:hyperlink w:anchor="__RefHeading___Toc1597166_581953129">
            <w:r>
              <w:rPr>
                <w:webHidden/>
                <w:rStyle w:val="IndexLink"/>
                <w:rtl w:val="true"/>
              </w:rPr>
              <w:t>وکالت زن در مجلس شورا از منظر فقه امامیه</w:t>
            </w:r>
            <w:r>
              <w:rPr>
                <w:rStyle w:val="IndexLink"/>
                <w:rtl w:val="true"/>
              </w:rPr>
              <w:tab/>
            </w:r>
            <w:r>
              <w:rPr>
                <w:rStyle w:val="IndexLink"/>
              </w:rPr>
              <w:t>182</w:t>
            </w:r>
          </w:hyperlink>
        </w:p>
        <w:p>
          <w:pPr>
            <w:pStyle w:val="Contents3"/>
            <w:tabs>
              <w:tab w:val="clear" w:pos="8459"/>
              <w:tab w:val="right" w:pos="9026" w:leader="dot"/>
            </w:tabs>
            <w:rPr/>
          </w:pPr>
          <w:hyperlink w:anchor="__RefHeading___Toc1597168_581953129">
            <w:r>
              <w:rPr>
                <w:webHidden/>
                <w:rStyle w:val="IndexLink"/>
                <w:rtl w:val="true"/>
              </w:rPr>
              <w:t>دیدگاه موافقان مشارکت سیاسی زن</w:t>
            </w:r>
            <w:r>
              <w:rPr>
                <w:rStyle w:val="IndexLink"/>
                <w:rtl w:val="true"/>
              </w:rPr>
              <w:tab/>
            </w:r>
            <w:r>
              <w:rPr>
                <w:rStyle w:val="IndexLink"/>
              </w:rPr>
              <w:t>185</w:t>
            </w:r>
          </w:hyperlink>
        </w:p>
        <w:p>
          <w:pPr>
            <w:pStyle w:val="Contents3"/>
            <w:tabs>
              <w:tab w:val="clear" w:pos="8459"/>
              <w:tab w:val="right" w:pos="9026" w:leader="dot"/>
            </w:tabs>
            <w:rPr/>
          </w:pPr>
          <w:hyperlink w:anchor="__RefHeading___Toc1597170_581953129">
            <w:r>
              <w:rPr>
                <w:webHidden/>
                <w:rStyle w:val="IndexLink"/>
                <w:rtl w:val="true"/>
              </w:rPr>
              <w:t>ادله عام مشارکت سیاسی زن</w:t>
            </w:r>
            <w:r>
              <w:rPr>
                <w:rStyle w:val="IndexLink"/>
                <w:rtl w:val="true"/>
              </w:rPr>
              <w:tab/>
            </w:r>
            <w:r>
              <w:rPr>
                <w:rStyle w:val="IndexLink"/>
              </w:rPr>
              <w:t>188</w:t>
            </w:r>
          </w:hyperlink>
        </w:p>
        <w:p>
          <w:pPr>
            <w:pStyle w:val="Contents4"/>
            <w:tabs>
              <w:tab w:val="clear" w:pos="8176"/>
              <w:tab w:val="right" w:pos="9026" w:leader="dot"/>
            </w:tabs>
            <w:rPr/>
          </w:pPr>
          <w:hyperlink w:anchor="__RefHeading___Toc1597172_581953129">
            <w:r>
              <w:rPr>
                <w:webHidden/>
                <w:rStyle w:val="IndexLink"/>
              </w:rPr>
              <w:t>1</w:t>
            </w:r>
            <w:r>
              <w:rPr>
                <w:rStyle w:val="IndexLink"/>
                <w:rtl w:val="true"/>
              </w:rPr>
              <w:t xml:space="preserve">- </w:t>
            </w:r>
            <w:r>
              <w:rPr>
                <w:rStyle w:val="IndexLink"/>
                <w:rtl w:val="true"/>
              </w:rPr>
              <w:t>ادله قرآنی</w:t>
            </w:r>
            <w:r>
              <w:rPr>
                <w:rStyle w:val="IndexLink"/>
                <w:rtl w:val="true"/>
              </w:rPr>
              <w:tab/>
            </w:r>
            <w:r>
              <w:rPr>
                <w:rStyle w:val="IndexLink"/>
              </w:rPr>
              <w:t>188</w:t>
            </w:r>
          </w:hyperlink>
        </w:p>
        <w:p>
          <w:pPr>
            <w:pStyle w:val="Contents5"/>
            <w:tabs>
              <w:tab w:val="clear" w:pos="7892"/>
              <w:tab w:val="right" w:pos="9026" w:leader="dot"/>
            </w:tabs>
            <w:rPr/>
          </w:pPr>
          <w:hyperlink w:anchor="__RefHeading___Toc1597174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597176_581953129">
            <w:r>
              <w:rPr>
                <w:webHidden/>
                <w:rStyle w:val="IndexLink"/>
                <w:rtl w:val="true"/>
              </w:rPr>
              <w:t>الف</w:t>
            </w:r>
            <w:r>
              <w:rPr>
                <w:rStyle w:val="IndexLink"/>
                <w:rtl w:val="true"/>
              </w:rPr>
              <w:t xml:space="preserve">) </w:t>
            </w:r>
            <w:r>
              <w:rPr>
                <w:rStyle w:val="IndexLink"/>
                <w:rtl w:val="true"/>
              </w:rPr>
              <w:t>آیه بیعت زنان</w:t>
            </w:r>
            <w:r>
              <w:rPr>
                <w:rStyle w:val="IndexLink"/>
                <w:rtl w:val="true"/>
              </w:rPr>
              <w:tab/>
            </w:r>
            <w:r>
              <w:rPr>
                <w:rStyle w:val="IndexLink"/>
              </w:rPr>
              <w:t>189</w:t>
            </w:r>
          </w:hyperlink>
        </w:p>
        <w:p>
          <w:pPr>
            <w:pStyle w:val="Contents5"/>
            <w:tabs>
              <w:tab w:val="clear" w:pos="7892"/>
              <w:tab w:val="right" w:pos="9026" w:leader="dot"/>
            </w:tabs>
            <w:rPr/>
          </w:pPr>
          <w:hyperlink w:anchor="__RefHeading___Toc1597178_581953129">
            <w:r>
              <w:rPr>
                <w:webHidden/>
                <w:rStyle w:val="IndexLink"/>
                <w:rtl w:val="true"/>
              </w:rPr>
              <w:t>ب</w:t>
            </w:r>
            <w:r>
              <w:rPr>
                <w:rStyle w:val="IndexLink"/>
                <w:rtl w:val="true"/>
              </w:rPr>
              <w:t xml:space="preserve">) </w:t>
            </w:r>
            <w:r>
              <w:rPr>
                <w:rStyle w:val="IndexLink"/>
                <w:rtl w:val="true"/>
              </w:rPr>
              <w:t>آیات داستان ملکه سبا</w:t>
            </w:r>
            <w:r>
              <w:rPr>
                <w:rStyle w:val="IndexLink"/>
                <w:rtl w:val="true"/>
              </w:rPr>
              <w:tab/>
            </w:r>
            <w:r>
              <w:rPr>
                <w:rStyle w:val="IndexLink"/>
              </w:rPr>
              <w:t>192</w:t>
            </w:r>
          </w:hyperlink>
        </w:p>
        <w:p>
          <w:pPr>
            <w:pStyle w:val="Contents4"/>
            <w:tabs>
              <w:tab w:val="clear" w:pos="8176"/>
              <w:tab w:val="right" w:pos="9026" w:leader="dot"/>
            </w:tabs>
            <w:rPr/>
          </w:pPr>
          <w:hyperlink w:anchor="__RefHeading___Toc1597180_581953129">
            <w:r>
              <w:rPr>
                <w:webHidden/>
                <w:rStyle w:val="IndexLink"/>
              </w:rPr>
              <w:t>2</w:t>
            </w:r>
            <w:r>
              <w:rPr>
                <w:rStyle w:val="IndexLink"/>
                <w:rtl w:val="true"/>
              </w:rPr>
              <w:t xml:space="preserve">- </w:t>
            </w:r>
            <w:r>
              <w:rPr>
                <w:rStyle w:val="IndexLink"/>
                <w:rtl w:val="true"/>
              </w:rPr>
              <w:t>سیره نبوی</w:t>
            </w:r>
            <w:r>
              <w:rPr>
                <w:rStyle w:val="IndexLink"/>
                <w:rtl w:val="true"/>
              </w:rPr>
              <w:tab/>
            </w:r>
            <w:r>
              <w:rPr>
                <w:rStyle w:val="IndexLink"/>
              </w:rPr>
              <w:t>197</w:t>
            </w:r>
          </w:hyperlink>
        </w:p>
        <w:p>
          <w:pPr>
            <w:pStyle w:val="Contents5"/>
            <w:tabs>
              <w:tab w:val="clear" w:pos="7892"/>
              <w:tab w:val="right" w:pos="9026" w:leader="dot"/>
            </w:tabs>
            <w:rPr/>
          </w:pPr>
          <w:hyperlink w:anchor="__RefHeading___Toc1597182_581953129">
            <w:r>
              <w:rPr>
                <w:webHidden/>
                <w:rStyle w:val="IndexLink"/>
                <w:rtl w:val="true"/>
              </w:rPr>
              <w:t>الف</w:t>
            </w:r>
            <w:r>
              <w:rPr>
                <w:rStyle w:val="IndexLink"/>
                <w:rtl w:val="true"/>
              </w:rPr>
              <w:t xml:space="preserve">) </w:t>
            </w:r>
            <w:r>
              <w:rPr>
                <w:rStyle w:val="IndexLink"/>
                <w:rtl w:val="true"/>
              </w:rPr>
              <w:t>بیعت عقبه دوم</w:t>
            </w:r>
            <w:r>
              <w:rPr>
                <w:rStyle w:val="IndexLink"/>
                <w:rtl w:val="true"/>
              </w:rPr>
              <w:tab/>
            </w:r>
            <w:r>
              <w:rPr>
                <w:rStyle w:val="IndexLink"/>
              </w:rPr>
              <w:t>197</w:t>
            </w:r>
          </w:hyperlink>
        </w:p>
        <w:p>
          <w:pPr>
            <w:pStyle w:val="Contents5"/>
            <w:tabs>
              <w:tab w:val="clear" w:pos="7892"/>
              <w:tab w:val="right" w:pos="9026" w:leader="dot"/>
            </w:tabs>
            <w:rPr/>
          </w:pPr>
          <w:hyperlink w:anchor="__RefHeading___Toc1597184_581953129">
            <w:r>
              <w:rPr>
                <w:webHidden/>
                <w:rStyle w:val="IndexLink"/>
                <w:rtl w:val="true"/>
              </w:rPr>
              <w:t>ب</w:t>
            </w:r>
            <w:r>
              <w:rPr>
                <w:rStyle w:val="IndexLink"/>
                <w:rtl w:val="true"/>
              </w:rPr>
              <w:t xml:space="preserve">) </w:t>
            </w:r>
            <w:r>
              <w:rPr>
                <w:rStyle w:val="IndexLink"/>
                <w:rtl w:val="true"/>
              </w:rPr>
              <w:t>بیعت زنان در غدیر</w:t>
            </w:r>
            <w:r>
              <w:rPr>
                <w:rStyle w:val="IndexLink"/>
                <w:rtl w:val="true"/>
              </w:rPr>
              <w:tab/>
            </w:r>
            <w:r>
              <w:rPr>
                <w:rStyle w:val="IndexLink"/>
              </w:rPr>
              <w:t>201</w:t>
            </w:r>
          </w:hyperlink>
        </w:p>
        <w:p>
          <w:pPr>
            <w:pStyle w:val="Contents4"/>
            <w:tabs>
              <w:tab w:val="clear" w:pos="8176"/>
              <w:tab w:val="right" w:pos="9026" w:leader="dot"/>
            </w:tabs>
            <w:rPr/>
          </w:pPr>
          <w:hyperlink w:anchor="__RefHeading___Toc1597186_581953129">
            <w:r>
              <w:rPr>
                <w:webHidden/>
                <w:rStyle w:val="IndexLink"/>
              </w:rPr>
              <w:t>3</w:t>
            </w:r>
            <w:r>
              <w:rPr>
                <w:rStyle w:val="IndexLink"/>
                <w:rtl w:val="true"/>
              </w:rPr>
              <w:t xml:space="preserve">- </w:t>
            </w:r>
            <w:r>
              <w:rPr>
                <w:rStyle w:val="IndexLink"/>
                <w:rtl w:val="true"/>
              </w:rPr>
              <w:t>ادله خاص مشارکت زن در مجلس</w:t>
            </w:r>
            <w:r>
              <w:rPr>
                <w:rStyle w:val="IndexLink"/>
                <w:rtl w:val="true"/>
              </w:rPr>
              <w:tab/>
            </w:r>
            <w:r>
              <w:rPr>
                <w:rStyle w:val="IndexLink"/>
              </w:rPr>
              <w:t>204</w:t>
            </w:r>
          </w:hyperlink>
        </w:p>
        <w:p>
          <w:pPr>
            <w:pStyle w:val="Contents5"/>
            <w:tabs>
              <w:tab w:val="clear" w:pos="7892"/>
              <w:tab w:val="right" w:pos="9026" w:leader="dot"/>
            </w:tabs>
            <w:rPr/>
          </w:pPr>
          <w:hyperlink w:anchor="__RefHeading___Toc1597188_581953129">
            <w:r>
              <w:rPr>
                <w:webHidden/>
                <w:rStyle w:val="IndexLink"/>
                <w:rtl w:val="true"/>
              </w:rPr>
              <w:t>الف</w:t>
            </w:r>
            <w:r>
              <w:rPr>
                <w:rStyle w:val="IndexLink"/>
                <w:rtl w:val="true"/>
              </w:rPr>
              <w:t xml:space="preserve">) </w:t>
            </w:r>
            <w:r>
              <w:rPr>
                <w:rStyle w:val="IndexLink"/>
                <w:rtl w:val="true"/>
              </w:rPr>
              <w:t>زن و امربه‌معروف</w:t>
            </w:r>
            <w:r>
              <w:rPr>
                <w:rStyle w:val="IndexLink"/>
                <w:rtl w:val="true"/>
              </w:rPr>
              <w:tab/>
            </w:r>
            <w:r>
              <w:rPr>
                <w:rStyle w:val="IndexLink"/>
              </w:rPr>
              <w:t>204</w:t>
            </w:r>
          </w:hyperlink>
        </w:p>
        <w:p>
          <w:pPr>
            <w:pStyle w:val="Contents5"/>
            <w:tabs>
              <w:tab w:val="clear" w:pos="7892"/>
              <w:tab w:val="right" w:pos="9026" w:leader="dot"/>
            </w:tabs>
            <w:rPr/>
          </w:pPr>
          <w:hyperlink w:anchor="__RefHeading___Toc1597190_581953129">
            <w:r>
              <w:rPr>
                <w:webHidden/>
                <w:rStyle w:val="IndexLink"/>
                <w:rtl w:val="true"/>
              </w:rPr>
              <w:t>ب</w:t>
            </w:r>
            <w:r>
              <w:rPr>
                <w:rStyle w:val="IndexLink"/>
                <w:rtl w:val="true"/>
              </w:rPr>
              <w:t xml:space="preserve">) </w:t>
            </w:r>
            <w:r>
              <w:rPr>
                <w:rStyle w:val="IndexLink"/>
                <w:rtl w:val="true"/>
              </w:rPr>
              <w:t>زن و شورا</w:t>
            </w:r>
            <w:r>
              <w:rPr>
                <w:rStyle w:val="IndexLink"/>
                <w:rtl w:val="true"/>
              </w:rPr>
              <w:tab/>
            </w:r>
            <w:r>
              <w:rPr>
                <w:rStyle w:val="IndexLink"/>
              </w:rPr>
              <w:t>209</w:t>
            </w:r>
          </w:hyperlink>
        </w:p>
        <w:p>
          <w:pPr>
            <w:pStyle w:val="Contents3"/>
            <w:tabs>
              <w:tab w:val="clear" w:pos="8459"/>
              <w:tab w:val="right" w:pos="9026" w:leader="dot"/>
            </w:tabs>
            <w:rPr/>
          </w:pPr>
          <w:hyperlink w:anchor="__RefHeading___Toc1597192_581953129">
            <w:r>
              <w:rPr>
                <w:webHidden/>
                <w:rStyle w:val="IndexLink"/>
                <w:rtl w:val="true"/>
              </w:rPr>
              <w:t>نتیجه</w:t>
            </w:r>
            <w:r>
              <w:rPr>
                <w:rStyle w:val="IndexLink"/>
                <w:rtl w:val="true"/>
              </w:rPr>
              <w:tab/>
            </w:r>
            <w:r>
              <w:rPr>
                <w:rStyle w:val="IndexLink"/>
              </w:rPr>
              <w:t>217</w:t>
            </w:r>
          </w:hyperlink>
        </w:p>
        <w:p>
          <w:pPr>
            <w:pStyle w:val="Contents3"/>
            <w:tabs>
              <w:tab w:val="clear" w:pos="8459"/>
              <w:tab w:val="right" w:pos="9026" w:leader="dot"/>
            </w:tabs>
            <w:rPr/>
          </w:pPr>
          <w:hyperlink w:anchor="__RefHeading___Toc1597194_581953129">
            <w:r>
              <w:rPr>
                <w:webHidden/>
                <w:rStyle w:val="IndexLink"/>
                <w:rtl w:val="true"/>
              </w:rPr>
              <w:t>ناگفته ها</w:t>
            </w:r>
            <w:r>
              <w:rPr>
                <w:rStyle w:val="IndexLink"/>
                <w:rtl w:val="true"/>
              </w:rPr>
              <w:tab/>
            </w:r>
            <w:r>
              <w:rPr>
                <w:rStyle w:val="IndexLink"/>
              </w:rPr>
              <w:t>218</w:t>
            </w:r>
          </w:hyperlink>
        </w:p>
        <w:p>
          <w:pPr>
            <w:pStyle w:val="Contents4"/>
            <w:tabs>
              <w:tab w:val="clear" w:pos="8176"/>
              <w:tab w:val="right" w:pos="9026" w:leader="dot"/>
            </w:tabs>
            <w:rPr/>
          </w:pPr>
          <w:hyperlink w:anchor="__RefHeading___Toc1597196_581953129">
            <w:r>
              <w:rPr>
                <w:webHidden/>
                <w:rStyle w:val="IndexLink"/>
              </w:rPr>
              <w:t>1</w:t>
            </w:r>
            <w:r>
              <w:rPr>
                <w:rStyle w:val="IndexLink"/>
                <w:rtl w:val="true"/>
              </w:rPr>
              <w:t xml:space="preserve">- </w:t>
            </w:r>
            <w:r>
              <w:rPr>
                <w:rStyle w:val="IndexLink"/>
                <w:rtl w:val="true"/>
              </w:rPr>
              <w:t>مفهوم روشن فرضیه این اثر</w:t>
            </w:r>
            <w:r>
              <w:rPr>
                <w:rStyle w:val="IndexLink"/>
                <w:rtl w:val="true"/>
              </w:rPr>
              <w:tab/>
            </w:r>
            <w:r>
              <w:rPr>
                <w:rStyle w:val="IndexLink"/>
              </w:rPr>
              <w:t>218</w:t>
            </w:r>
          </w:hyperlink>
        </w:p>
        <w:p>
          <w:pPr>
            <w:pStyle w:val="Contents4"/>
            <w:tabs>
              <w:tab w:val="clear" w:pos="8176"/>
              <w:tab w:val="right" w:pos="9026" w:leader="dot"/>
            </w:tabs>
            <w:rPr/>
          </w:pPr>
          <w:hyperlink w:anchor="__RefHeading___Toc1597198_581953129">
            <w:r>
              <w:rPr>
                <w:webHidden/>
                <w:rStyle w:val="IndexLink"/>
              </w:rPr>
              <w:t>2</w:t>
            </w:r>
            <w:r>
              <w:rPr>
                <w:rStyle w:val="IndexLink"/>
                <w:rtl w:val="true"/>
              </w:rPr>
              <w:t xml:space="preserve">- </w:t>
            </w:r>
            <w:r>
              <w:rPr>
                <w:rStyle w:val="IndexLink"/>
                <w:rtl w:val="true"/>
              </w:rPr>
              <w:t>احترام به نقش های اختصاصی زنان</w:t>
            </w:r>
            <w:r>
              <w:rPr>
                <w:rStyle w:val="IndexLink"/>
                <w:rtl w:val="true"/>
              </w:rPr>
              <w:tab/>
            </w:r>
            <w:r>
              <w:rPr>
                <w:rStyle w:val="IndexLink"/>
              </w:rPr>
              <w:t>223</w:t>
            </w:r>
          </w:hyperlink>
        </w:p>
        <w:p>
          <w:pPr>
            <w:pStyle w:val="Contents4"/>
            <w:tabs>
              <w:tab w:val="clear" w:pos="8176"/>
              <w:tab w:val="right" w:pos="9026" w:leader="dot"/>
            </w:tabs>
            <w:rPr/>
          </w:pPr>
          <w:hyperlink w:anchor="__RefHeading___Toc1597200_581953129">
            <w:r>
              <w:rPr>
                <w:webHidden/>
                <w:rStyle w:val="IndexLink"/>
              </w:rPr>
              <w:t>3</w:t>
            </w:r>
            <w:r>
              <w:rPr>
                <w:rStyle w:val="IndexLink"/>
                <w:rtl w:val="true"/>
              </w:rPr>
              <w:t xml:space="preserve">- </w:t>
            </w:r>
            <w:r>
              <w:rPr>
                <w:rStyle w:val="IndexLink"/>
                <w:rtl w:val="true"/>
              </w:rPr>
              <w:t>مسأله حجاب</w:t>
            </w:r>
            <w:r>
              <w:rPr>
                <w:rStyle w:val="IndexLink"/>
                <w:rtl w:val="true"/>
              </w:rPr>
              <w:tab/>
            </w:r>
            <w:r>
              <w:rPr>
                <w:rStyle w:val="IndexLink"/>
              </w:rPr>
              <w:t>226</w:t>
            </w:r>
          </w:hyperlink>
        </w:p>
        <w:p>
          <w:pPr>
            <w:pStyle w:val="Contents2"/>
            <w:tabs>
              <w:tab w:val="clear" w:pos="8743"/>
              <w:tab w:val="right" w:pos="9026" w:leader="dot"/>
            </w:tabs>
            <w:rPr/>
          </w:pPr>
          <w:hyperlink w:anchor="__RefHeading___Toc1597202_581953129">
            <w:r>
              <w:rPr>
                <w:webHidden/>
                <w:rStyle w:val="IndexLink"/>
              </w:rPr>
              <w:t>5</w:t>
            </w:r>
            <w:r>
              <w:rPr>
                <w:rStyle w:val="IndexLink"/>
                <w:rtl w:val="true"/>
              </w:rPr>
              <w:t xml:space="preserve">- </w:t>
            </w:r>
            <w:r>
              <w:rPr>
                <w:rStyle w:val="IndexLink"/>
                <w:rtl w:val="true"/>
              </w:rPr>
              <w:t>دیدگاه ها و ادله مخالفان وکالت زن در مجلس</w:t>
            </w:r>
            <w:r>
              <w:rPr>
                <w:rStyle w:val="IndexLink"/>
                <w:rtl w:val="true"/>
              </w:rPr>
              <w:tab/>
            </w:r>
            <w:r>
              <w:rPr>
                <w:rStyle w:val="IndexLink"/>
              </w:rPr>
              <w:t>229</w:t>
            </w:r>
          </w:hyperlink>
        </w:p>
        <w:p>
          <w:pPr>
            <w:pStyle w:val="Contents3"/>
            <w:tabs>
              <w:tab w:val="clear" w:pos="8459"/>
              <w:tab w:val="right" w:pos="9026" w:leader="dot"/>
            </w:tabs>
            <w:rPr/>
          </w:pPr>
          <w:hyperlink w:anchor="__RefHeading___Toc1597204_581953129">
            <w:r>
              <w:rPr>
                <w:webHidden/>
                <w:rStyle w:val="IndexLink"/>
                <w:rtl w:val="true"/>
              </w:rPr>
              <w:t>نگاهی به</w:t>
            </w:r>
            <w:r>
              <w:rPr>
                <w:rStyle w:val="IndexLink"/>
                <w:rtl w:val="true"/>
              </w:rPr>
              <w:t xml:space="preserve">: </w:t>
            </w:r>
            <w:r>
              <w:rPr>
                <w:rStyle w:val="IndexLink"/>
                <w:rtl w:val="true"/>
              </w:rPr>
              <w:t>نقدها، دیدگاه ها و ادله مخالف</w:t>
            </w:r>
            <w:r>
              <w:rPr>
                <w:rStyle w:val="IndexLink"/>
                <w:rtl w:val="true"/>
              </w:rPr>
              <w:tab/>
            </w:r>
            <w:r>
              <w:rPr>
                <w:rStyle w:val="IndexLink"/>
              </w:rPr>
              <w:t>229</w:t>
            </w:r>
          </w:hyperlink>
        </w:p>
        <w:p>
          <w:pPr>
            <w:pStyle w:val="Contents3"/>
            <w:tabs>
              <w:tab w:val="clear" w:pos="8459"/>
              <w:tab w:val="right" w:pos="9026" w:leader="dot"/>
            </w:tabs>
            <w:rPr/>
          </w:pPr>
          <w:hyperlink w:anchor="__RefHeading___Toc1597206_581953129">
            <w:r>
              <w:rPr>
                <w:webHidden/>
                <w:rStyle w:val="IndexLink"/>
                <w:rtl w:val="true"/>
              </w:rPr>
              <w:t>ادله قرآنی مخالف مشارکت سیاسی زن</w:t>
            </w:r>
            <w:r>
              <w:rPr>
                <w:rStyle w:val="IndexLink"/>
                <w:rtl w:val="true"/>
              </w:rPr>
              <w:tab/>
            </w:r>
            <w:r>
              <w:rPr>
                <w:rStyle w:val="IndexLink"/>
              </w:rPr>
              <w:t>233</w:t>
            </w:r>
          </w:hyperlink>
        </w:p>
        <w:p>
          <w:pPr>
            <w:pStyle w:val="Contents4"/>
            <w:tabs>
              <w:tab w:val="clear" w:pos="8176"/>
              <w:tab w:val="right" w:pos="9026" w:leader="dot"/>
            </w:tabs>
            <w:rPr/>
          </w:pPr>
          <w:hyperlink w:anchor="__RefHeading___Toc1597208_581953129">
            <w:r>
              <w:rPr>
                <w:webHidden/>
                <w:rStyle w:val="IndexLink"/>
              </w:rPr>
              <w:t>1</w:t>
            </w:r>
            <w:r>
              <w:rPr>
                <w:rStyle w:val="IndexLink"/>
                <w:rtl w:val="true"/>
              </w:rPr>
              <w:t xml:space="preserve">- </w:t>
            </w:r>
            <w:r>
              <w:rPr>
                <w:rStyle w:val="IndexLink"/>
                <w:rtl w:val="true"/>
              </w:rPr>
              <w:t>آیه سرپرستی خانواده</w:t>
            </w:r>
            <w:r>
              <w:rPr>
                <w:rStyle w:val="IndexLink"/>
                <w:rtl w:val="true"/>
              </w:rPr>
              <w:tab/>
            </w:r>
            <w:r>
              <w:rPr>
                <w:rStyle w:val="IndexLink"/>
              </w:rPr>
              <w:t>233</w:t>
            </w:r>
          </w:hyperlink>
        </w:p>
        <w:p>
          <w:pPr>
            <w:pStyle w:val="Contents5"/>
            <w:tabs>
              <w:tab w:val="clear" w:pos="7892"/>
              <w:tab w:val="right" w:pos="9026" w:leader="dot"/>
            </w:tabs>
            <w:rPr/>
          </w:pPr>
          <w:hyperlink w:anchor="__RefHeading___Toc1597210_581953129">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597212_581953129">
            <w:r>
              <w:rPr>
                <w:webHidden/>
                <w:rStyle w:val="IndexLink"/>
                <w:rtl w:val="true"/>
              </w:rPr>
              <w:t>محدوده حقوق مرد نسبت به همسر و آرای فقها</w:t>
            </w:r>
            <w:r>
              <w:rPr>
                <w:rStyle w:val="IndexLink"/>
                <w:rtl w:val="true"/>
              </w:rPr>
              <w:tab/>
            </w:r>
            <w:r>
              <w:rPr>
                <w:rStyle w:val="IndexLink"/>
              </w:rPr>
              <w:t>245</w:t>
            </w:r>
          </w:hyperlink>
        </w:p>
        <w:p>
          <w:pPr>
            <w:pStyle w:val="Contents4"/>
            <w:tabs>
              <w:tab w:val="clear" w:pos="8176"/>
              <w:tab w:val="right" w:pos="9026" w:leader="dot"/>
            </w:tabs>
            <w:rPr/>
          </w:pPr>
          <w:hyperlink w:anchor="__RefHeading___Toc1597214_581953129">
            <w:r>
              <w:rPr>
                <w:webHidden/>
                <w:rStyle w:val="IndexLink"/>
              </w:rPr>
              <w:t>2</w:t>
            </w:r>
            <w:r>
              <w:rPr>
                <w:rStyle w:val="IndexLink"/>
                <w:rtl w:val="true"/>
              </w:rPr>
              <w:t xml:space="preserve">- </w:t>
            </w:r>
            <w:r>
              <w:rPr>
                <w:rStyle w:val="IndexLink"/>
                <w:rtl w:val="true"/>
              </w:rPr>
              <w:t>آیه طلاق</w:t>
            </w:r>
            <w:r>
              <w:rPr>
                <w:rStyle w:val="IndexLink"/>
                <w:rtl w:val="true"/>
              </w:rPr>
              <w:tab/>
            </w:r>
            <w:r>
              <w:rPr>
                <w:rStyle w:val="IndexLink"/>
              </w:rPr>
              <w:t>251</w:t>
            </w:r>
          </w:hyperlink>
        </w:p>
        <w:p>
          <w:pPr>
            <w:pStyle w:val="Contents4"/>
            <w:tabs>
              <w:tab w:val="clear" w:pos="8176"/>
              <w:tab w:val="right" w:pos="9026" w:leader="dot"/>
            </w:tabs>
            <w:rPr/>
          </w:pPr>
          <w:hyperlink w:anchor="__RefHeading___Toc1597216_581953129">
            <w:r>
              <w:rPr>
                <w:webHidden/>
                <w:rStyle w:val="IndexLink"/>
              </w:rPr>
              <w:t>3</w:t>
            </w:r>
            <w:r>
              <w:rPr>
                <w:rStyle w:val="IndexLink"/>
                <w:rtl w:val="true"/>
              </w:rPr>
              <w:t xml:space="preserve">- </w:t>
            </w:r>
            <w:r>
              <w:rPr>
                <w:rStyle w:val="IndexLink"/>
                <w:rtl w:val="true"/>
              </w:rPr>
              <w:t>آیه ناتوانی زنان در بیان دلیل</w:t>
            </w:r>
            <w:r>
              <w:rPr>
                <w:rStyle w:val="IndexLink"/>
                <w:rtl w:val="true"/>
              </w:rPr>
              <w:tab/>
            </w:r>
            <w:r>
              <w:rPr>
                <w:rStyle w:val="IndexLink"/>
              </w:rPr>
              <w:t>255</w:t>
            </w:r>
          </w:hyperlink>
        </w:p>
        <w:p>
          <w:pPr>
            <w:pStyle w:val="Contents4"/>
            <w:tabs>
              <w:tab w:val="clear" w:pos="8176"/>
              <w:tab w:val="right" w:pos="9026" w:leader="dot"/>
            </w:tabs>
            <w:rPr/>
          </w:pPr>
          <w:hyperlink w:anchor="__RefHeading___Toc1597218_581953129">
            <w:r>
              <w:rPr>
                <w:webHidden/>
                <w:rStyle w:val="IndexLink"/>
              </w:rPr>
              <w:t>4</w:t>
            </w:r>
            <w:r>
              <w:rPr>
                <w:rStyle w:val="IndexLink"/>
                <w:rtl w:val="true"/>
              </w:rPr>
              <w:t xml:space="preserve">- </w:t>
            </w:r>
            <w:r>
              <w:rPr>
                <w:rStyle w:val="IndexLink"/>
                <w:rtl w:val="true"/>
              </w:rPr>
              <w:t>روایت نبوی</w:t>
            </w:r>
            <w:r>
              <w:rPr>
                <w:rStyle w:val="IndexLink"/>
                <w:rtl w:val="true"/>
              </w:rPr>
              <w:tab/>
            </w:r>
            <w:r>
              <w:rPr>
                <w:rStyle w:val="IndexLink"/>
              </w:rPr>
              <w:t>256</w:t>
            </w:r>
          </w:hyperlink>
        </w:p>
        <w:p>
          <w:pPr>
            <w:pStyle w:val="Contents4"/>
            <w:tabs>
              <w:tab w:val="clear" w:pos="8176"/>
              <w:tab w:val="right" w:pos="9026" w:leader="dot"/>
            </w:tabs>
            <w:rPr/>
          </w:pPr>
          <w:hyperlink w:anchor="__RefHeading___Toc1597220_581953129">
            <w:r>
              <w:rPr>
                <w:webHidden/>
                <w:rStyle w:val="IndexLink"/>
              </w:rPr>
              <w:t>5</w:t>
            </w:r>
            <w:r>
              <w:rPr>
                <w:rStyle w:val="IndexLink"/>
                <w:rtl w:val="true"/>
              </w:rPr>
              <w:t xml:space="preserve">- </w:t>
            </w:r>
            <w:r>
              <w:rPr>
                <w:rStyle w:val="IndexLink"/>
                <w:rtl w:val="true"/>
              </w:rPr>
              <w:t>اجماع</w:t>
            </w:r>
            <w:r>
              <w:rPr>
                <w:rStyle w:val="IndexLink"/>
                <w:rtl w:val="true"/>
              </w:rPr>
              <w:tab/>
            </w:r>
            <w:r>
              <w:rPr>
                <w:rStyle w:val="IndexLink"/>
              </w:rPr>
              <w:t>264</w:t>
            </w:r>
          </w:hyperlink>
        </w:p>
        <w:p>
          <w:pPr>
            <w:pStyle w:val="Contents4"/>
            <w:tabs>
              <w:tab w:val="clear" w:pos="8176"/>
              <w:tab w:val="right" w:pos="9026" w:leader="dot"/>
            </w:tabs>
            <w:rPr/>
          </w:pPr>
          <w:hyperlink w:anchor="__RefHeading___Toc1597222_581953129">
            <w:r>
              <w:rPr>
                <w:webHidden/>
                <w:rStyle w:val="IndexLink"/>
              </w:rPr>
              <w:t>6</w:t>
            </w:r>
            <w:r>
              <w:rPr>
                <w:rStyle w:val="IndexLink"/>
                <w:rtl w:val="true"/>
              </w:rPr>
              <w:t xml:space="preserve">- </w:t>
            </w:r>
            <w:r>
              <w:rPr>
                <w:rStyle w:val="IndexLink"/>
                <w:rtl w:val="true"/>
              </w:rPr>
              <w:t>سیره مسلمانان</w:t>
            </w:r>
            <w:r>
              <w:rPr>
                <w:rStyle w:val="IndexLink"/>
                <w:rtl w:val="true"/>
              </w:rPr>
              <w:tab/>
            </w:r>
            <w:r>
              <w:rPr>
                <w:rStyle w:val="IndexLink"/>
              </w:rPr>
              <w:t>272</w:t>
            </w:r>
          </w:hyperlink>
        </w:p>
        <w:p>
          <w:pPr>
            <w:pStyle w:val="Contents3"/>
            <w:tabs>
              <w:tab w:val="clear" w:pos="8459"/>
              <w:tab w:val="right" w:pos="9026" w:leader="dot"/>
            </w:tabs>
            <w:rPr/>
          </w:pPr>
          <w:hyperlink w:anchor="__RefHeading___Toc1597224_581953129">
            <w:r>
              <w:rPr>
                <w:webHidden/>
                <w:rStyle w:val="IndexLink"/>
                <w:rtl w:val="true"/>
              </w:rPr>
              <w:t>نگاهی به نقدها</w:t>
            </w:r>
            <w:r>
              <w:rPr>
                <w:rStyle w:val="IndexLink"/>
                <w:rtl w:val="true"/>
              </w:rPr>
              <w:tab/>
            </w:r>
            <w:r>
              <w:rPr>
                <w:rStyle w:val="IndexLink"/>
              </w:rPr>
              <w:t>276</w:t>
            </w:r>
          </w:hyperlink>
        </w:p>
        <w:p>
          <w:pPr>
            <w:pStyle w:val="Contents3"/>
            <w:tabs>
              <w:tab w:val="clear" w:pos="8459"/>
              <w:tab w:val="right" w:pos="9026" w:leader="dot"/>
            </w:tabs>
            <w:rPr/>
          </w:pPr>
          <w:hyperlink w:anchor="__RefHeading___Toc1597226_581953129">
            <w:r>
              <w:rPr>
                <w:webHidden/>
                <w:rStyle w:val="IndexLink"/>
                <w:rtl w:val="true"/>
              </w:rPr>
              <w:t>نگاهی دوباره به خاستگاه ادله و نقدها</w:t>
            </w:r>
            <w:r>
              <w:rPr>
                <w:rStyle w:val="IndexLink"/>
                <w:rtl w:val="true"/>
              </w:rPr>
              <w:tab/>
            </w:r>
            <w:r>
              <w:rPr>
                <w:rStyle w:val="IndexLink"/>
              </w:rPr>
              <w:t>278</w:t>
            </w:r>
          </w:hyperlink>
        </w:p>
        <w:p>
          <w:pPr>
            <w:pStyle w:val="Contents3"/>
            <w:tabs>
              <w:tab w:val="clear" w:pos="8459"/>
              <w:tab w:val="right" w:pos="9026" w:leader="dot"/>
            </w:tabs>
            <w:rPr/>
          </w:pPr>
          <w:hyperlink w:anchor="__RefHeading___Toc1597228_581953129">
            <w:r>
              <w:rPr>
                <w:webHidden/>
                <w:rStyle w:val="IndexLink"/>
                <w:rtl w:val="true"/>
              </w:rPr>
              <w:t>عبور از قاعده</w:t>
            </w:r>
            <w:r>
              <w:rPr>
                <w:rStyle w:val="IndexLink"/>
                <w:rtl w:val="true"/>
              </w:rPr>
              <w:tab/>
            </w:r>
            <w:r>
              <w:rPr>
                <w:rStyle w:val="IndexLink"/>
              </w:rPr>
              <w:t>278</w:t>
            </w:r>
          </w:hyperlink>
        </w:p>
        <w:p>
          <w:pPr>
            <w:pStyle w:val="Contents3"/>
            <w:tabs>
              <w:tab w:val="clear" w:pos="8459"/>
              <w:tab w:val="right" w:pos="9026" w:leader="dot"/>
            </w:tabs>
            <w:rPr/>
          </w:pPr>
          <w:hyperlink w:anchor="__RefHeading___Toc1597230_581953129">
            <w:r>
              <w:rPr>
                <w:webHidden/>
                <w:rStyle w:val="IndexLink"/>
                <w:rtl w:val="true"/>
              </w:rPr>
              <w:t>بازگشت به عدالت به مثابه قاعده ای فقهی</w:t>
            </w:r>
            <w:r>
              <w:rPr>
                <w:rStyle w:val="IndexLink"/>
                <w:rtl w:val="true"/>
              </w:rPr>
              <w:tab/>
            </w:r>
            <w:r>
              <w:rPr>
                <w:rStyle w:val="IndexLink"/>
              </w:rPr>
              <w:t>281</w:t>
            </w:r>
          </w:hyperlink>
        </w:p>
        <w:p>
          <w:pPr>
            <w:pStyle w:val="Contents3"/>
            <w:tabs>
              <w:tab w:val="clear" w:pos="8459"/>
              <w:tab w:val="right" w:pos="9026" w:leader="dot"/>
            </w:tabs>
            <w:rPr/>
          </w:pPr>
          <w:hyperlink w:anchor="__RefHeading___Toc1597232_581953129">
            <w:r>
              <w:rPr>
                <w:webHidden/>
                <w:rStyle w:val="IndexLink"/>
                <w:rtl w:val="true"/>
              </w:rPr>
              <w:t>اصل عدم ولایت و طرح یک پرسش اساسی</w:t>
            </w:r>
            <w:r>
              <w:rPr>
                <w:rStyle w:val="IndexLink"/>
                <w:rtl w:val="true"/>
              </w:rPr>
              <w:tab/>
            </w:r>
            <w:r>
              <w:rPr>
                <w:rStyle w:val="IndexLink"/>
              </w:rPr>
              <w:t>286</w:t>
            </w:r>
          </w:hyperlink>
        </w:p>
        <w:p>
          <w:pPr>
            <w:pStyle w:val="Contents3"/>
            <w:tabs>
              <w:tab w:val="clear" w:pos="8459"/>
              <w:tab w:val="right" w:pos="9026" w:leader="dot"/>
            </w:tabs>
            <w:rPr/>
          </w:pPr>
          <w:hyperlink w:anchor="__RefHeading___Toc1597234_581953129">
            <w:r>
              <w:rPr>
                <w:webHidden/>
                <w:rStyle w:val="IndexLink"/>
                <w:rtl w:val="true"/>
              </w:rPr>
              <w:t>نتیجه گیری</w:t>
            </w:r>
            <w:r>
              <w:rPr>
                <w:rStyle w:val="IndexLink"/>
                <w:rtl w:val="true"/>
              </w:rPr>
              <w:tab/>
            </w:r>
            <w:r>
              <w:rPr>
                <w:rStyle w:val="IndexLink"/>
              </w:rPr>
              <w:t>289</w:t>
            </w:r>
          </w:hyperlink>
        </w:p>
        <w:p>
          <w:pPr>
            <w:pStyle w:val="Contents3"/>
            <w:tabs>
              <w:tab w:val="clear" w:pos="8459"/>
              <w:tab w:val="right" w:pos="9026" w:leader="dot"/>
            </w:tabs>
            <w:rPr/>
          </w:pPr>
          <w:hyperlink w:anchor="__RefHeading___Toc1597236_581953129">
            <w:r>
              <w:rPr>
                <w:webHidden/>
                <w:rStyle w:val="IndexLink"/>
                <w:rtl w:val="true"/>
              </w:rPr>
              <w:t>پیشنهادها</w:t>
            </w:r>
            <w:r>
              <w:rPr>
                <w:rStyle w:val="IndexLink"/>
                <w:rtl w:val="true"/>
              </w:rPr>
              <w:tab/>
            </w:r>
            <w:r>
              <w:rPr>
                <w:rStyle w:val="IndexLink"/>
              </w:rPr>
              <w:t>299</w:t>
            </w:r>
          </w:hyperlink>
        </w:p>
        <w:p>
          <w:pPr>
            <w:pStyle w:val="Contents2"/>
            <w:tabs>
              <w:tab w:val="clear" w:pos="8743"/>
              <w:tab w:val="right" w:pos="9026" w:leader="dot"/>
            </w:tabs>
            <w:rPr/>
          </w:pPr>
          <w:hyperlink w:anchor="__RefHeading___Toc1597238_581953129">
            <w:r>
              <w:rPr>
                <w:webHidden/>
                <w:rStyle w:val="IndexLink"/>
                <w:rtl w:val="true"/>
              </w:rPr>
              <w:t>کتابنامه</w:t>
            </w:r>
            <w:r>
              <w:rPr>
                <w:rStyle w:val="IndexLink"/>
                <w:rtl w:val="true"/>
              </w:rPr>
              <w:tab/>
            </w:r>
            <w:r>
              <w:rPr>
                <w:rStyle w:val="IndexLink"/>
              </w:rPr>
              <w:t>302</w:t>
            </w:r>
          </w:hyperlink>
        </w:p>
        <w:p>
          <w:pPr>
            <w:pStyle w:val="Contents3"/>
            <w:tabs>
              <w:tab w:val="clear" w:pos="8459"/>
              <w:tab w:val="right" w:pos="9026" w:leader="dot"/>
            </w:tabs>
            <w:rPr/>
          </w:pPr>
          <w:hyperlink w:anchor="__RefHeading___Toc1597240_581953129">
            <w:r>
              <w:rPr>
                <w:webHidden/>
                <w:rStyle w:val="IndexLink"/>
                <w:rtl w:val="true"/>
              </w:rPr>
              <w:t>فارسی</w:t>
            </w:r>
            <w:r>
              <w:rPr>
                <w:rStyle w:val="IndexLink"/>
                <w:rtl w:val="true"/>
              </w:rPr>
              <w:tab/>
            </w:r>
            <w:r>
              <w:rPr>
                <w:rStyle w:val="IndexLink"/>
              </w:rPr>
              <w:t>302</w:t>
            </w:r>
          </w:hyperlink>
        </w:p>
        <w:p>
          <w:pPr>
            <w:pStyle w:val="Contents3"/>
            <w:tabs>
              <w:tab w:val="clear" w:pos="8459"/>
              <w:tab w:val="right" w:pos="9026" w:leader="dot"/>
            </w:tabs>
            <w:rPr/>
          </w:pPr>
          <w:hyperlink w:anchor="__RefHeading___Toc1597242_581953129">
            <w:r>
              <w:rPr>
                <w:webHidden/>
                <w:rStyle w:val="IndexLink"/>
                <w:rtl w:val="true"/>
              </w:rPr>
              <w:t>عربی</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6_38262"/>
      <w:bookmarkStart w:id="1" w:name="pg5406_38262"/>
      <w:bookmarkEnd w:id="1"/>
    </w:p>
    <w:p>
      <w:pPr>
        <w:pStyle w:val="Heading2"/>
        <w:numPr>
          <w:ilvl w:val="1"/>
          <w:numId w:val="1"/>
        </w:numPr>
        <w:rPr/>
      </w:pPr>
      <w:bookmarkStart w:id="2" w:name="pg5406_38262"/>
      <w:bookmarkStart w:id="3" w:name="__RefHeading___Toc159702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محمدصادق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فقهی وکالت زن در دعاوی 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تدوین متون پژوهشی؛ </w:t>
      </w:r>
      <w:r>
        <w:rPr>
          <w:rFonts w:ascii="IRNazanin" w:hAnsi="IRNazanin" w:eastAsia="IRNazanin"/>
          <w:color w:val="111111"/>
          <w:sz w:val="28"/>
          <w:sz w:val="28"/>
          <w:szCs w:val="28"/>
          <w:lang w:bidi="fa-IR"/>
        </w:rPr>
        <w:t>۹۵۸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موسسه بوستان کتاب 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۳۶۵۸۹۹۷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702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بررسی فقهی وکالت زن در دعاوی و مجلس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محمدصادق فیاض</w:t>
      </w:r>
      <w:bookmarkStart w:id="7" w:name="pg5406_38272"/>
    </w:p>
    <w:p>
      <w:pPr>
        <w:pStyle w:val="Heading2"/>
        <w:numPr>
          <w:ilvl w:val="1"/>
          <w:numId w:val="1"/>
        </w:numPr>
        <w:rPr/>
      </w:pPr>
      <w:bookmarkStart w:id="8" w:name="__RefHeading___Toc159703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جهانی‌شدن ارتباطات، پرسش‌ها و چالش‌های نوینی در حوزه علوم انسانی فرا روی اندیشمندان مسلمان قرار گرفت که همه به نوعی برخاسته از مسئولیت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مطالعات و پژوهش‌های به‌روز، جامع، منسجم و کاربردی در حوزه دین، بر اساس معیارهای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با عنوان بررسی فقهی وکالت زن در دعاوی و مجلس حاصل پژوهش فاضل گرامی جناب آقای محمد صادق فیاض، کوششی است در به ثمر رساندن گوشه‌ای از این اهداف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تلاش همه عزیزانی را که در نشر این کتاب سهمی داشته‌اند، سپاس گزارده، ارباب فضل و معرفت را به یاری بخوانیم تا ما را از دیدگاه‌های سازنده خویش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406_38278"/>
    </w:p>
    <w:p>
      <w:pPr>
        <w:pStyle w:val="Heading2"/>
        <w:numPr>
          <w:ilvl w:val="1"/>
          <w:numId w:val="1"/>
        </w:numPr>
        <w:rPr/>
      </w:pPr>
      <w:bookmarkStart w:id="11" w:name="__RefHeading___Toc1597032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و تعاریف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معنا و مفهوم فقه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در لغت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در اصطلاح فقها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اسلام‌شناسی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رشته علمی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ماهیت تحقیق فقهی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معنا و مفهوم وکالت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در لغت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در اصطلاح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ارکان وکالت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موکل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قلمرو وکالت </w:t>
      </w:r>
      <w:r>
        <w:rPr>
          <w:rFonts w:eastAsia="IRNazanin" w:cs="IRNazanin"/>
          <w:color w:val="111111"/>
          <w:sz w:val="28"/>
          <w:szCs w:val="28"/>
          <w:lang w:bidi="fa-IR"/>
        </w:rPr>
        <w:t>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وکالت در شئون حکومتی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زن در دعاوی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وکالت زن در دعاوی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تبیین موضوع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وکالت دعاوی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موضوع یا پیشینه تحقیق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در جهان معاصر و نقش زنان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وکالت دعاوی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دعاوی در اسلام و جایگاه زنان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کوتاه به حکم وکالت دعاوی در فقه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وکالت زن در دعاوی؛ در فقه امامیه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وکالت زن و دیدگاه فقهای شیعه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ادله جواز وکالت زن در دعاوی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زن در دعاوی و شرایط وکیل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حق مشارکت دعوی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زن و فلسفه وکالت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مناقشه برانگیز وکالت زن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قراین تاریخی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نمایندگی سوده همدانی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نقدها و مخالفت‌ها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نگاهی به ماهیت نقدها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ادله قرآنی مخالف وکالت زن در دعاوی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زن در بیان دلیل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زنان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بررسی آیه شهادت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نقص عقل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اسناد روایی نقصان عقل زن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ناسازگاری نقصان عقل زن با قرآن و جهان‌بینی اسلامی </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نظر در معنای عقل، در ادبیات روایی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نظام‌واره احکام تشریعی درباره زن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ادله روایی مخالف وکالت زن در دعاوی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روایات منع از مشاوره با زنان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بررسی روایات منع از مشاوره با زنان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مشاوره با زنان در پرتو آیات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رفتار با زنان در سیره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جریان‌های حدیث‌ساز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زن در مجلس شورا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ویژگی‌ها و تفاوت‌های وکالت مجلس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سابقه بودن مجلس شورا در اندیشه فقهی شیعه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ویژه‌های مجلس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مشروعیت وکالت مجلس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مکانیسم وکالت مجلس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وکالت زن در مجلس شورا از منظر فقه امامیه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دیدگاه موافقان مشارکت سیاسی زن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ادله عام مشارکت سیاسی زن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قرآنی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بیعت زنان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داستان ملکه سبا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عقبه دوم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زنان در غدیر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خاص مشارکت زن در مجلس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امربه‌معروف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شورا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ناگفته‌ها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روشن فرضیه این اثر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نقش‌های اختصاصی زنان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حجاب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 و ادله مخالفان وکالت زن در مجلس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نگاهی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نقدها، دیدگاه‌ها و ادله مخالف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ادله قرآنی مخالف مشارکت سیاسی زن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سرپرستی خانواده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محدوده حقوق مرد نسبت به همسر و آرای فقها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طلاق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ناتوانی زنان در بیان دلیل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نبوی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مسلمانان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نگاهی به نقدها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نگاهی دوباره به خاستگاه ادله و نقدها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عبور از قاعده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بازگشت به عدالت به‌مثابه قاعده‌ای فقهی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اصل عدم ولایت و طرح یک پرسش اساسی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پیشنهادها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303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308</w:t>
      </w:r>
      <w:bookmarkStart w:id="13" w:name="pg5406_38290"/>
    </w:p>
    <w:p>
      <w:pPr>
        <w:pStyle w:val="Heading2"/>
        <w:numPr>
          <w:ilvl w:val="1"/>
          <w:numId w:val="1"/>
        </w:numPr>
        <w:rPr/>
      </w:pPr>
      <w:bookmarkStart w:id="14" w:name="__RefHeading___Toc1597034_581953129"/>
      <w:bookmarkStart w:id="15" w:name="_Toc5"/>
      <w:bookmarkEnd w:id="13"/>
      <w:bookmarkEnd w:id="14"/>
      <w:r>
        <w:rPr>
          <w:rtl w:val="true"/>
        </w:rPr>
        <w:t>مقدمه</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مسائل ویژه زنان از گذشته‌های دور در فقه اسلامی مورد توجه بوده و تألیفات مستقلی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متأسفانه این روند با توجه به تحولات ژرف جهان معاصر که شاکله زندگی انسان را با تغییرات عمیق دچار کرده، کم‌تر جدی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تحولات بیشتر ازآن‌رو در مسأله زنان حائز اهمیت است که مهم‌ترین حادثه ربع نخست قرن معاصر را از دید برخی نظریه‌پردازان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دنیای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می‌دهد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برخی دیگر نیز از این تحول یا تغییر زندگی زنان، به‌عنوان دومین مشکل که جهان پس از جنگ جهانی اول خود را به سان یک بحران با آن مواجه دید، یاد می‌کنند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درهرصورت، زن امروز حتی در جوامع اسلامی خود را با یک هویت متفاوت از گذشته روبه‌رو می‌بیند؛ زنی که اکثر، بلکه همه عرصه‌های</w:t>
      </w:r>
    </w:p>
    <w:p>
      <w:pPr>
        <w:pStyle w:val="BookText"/>
        <w:rPr/>
      </w:pPr>
      <w:r>
        <w:rPr>
          <w:rFonts w:ascii="IRNazanin" w:hAnsi="IRNazanin" w:eastAsia="IRNazanin"/>
          <w:color w:val="111111"/>
          <w:sz w:val="28"/>
          <w:sz w:val="28"/>
          <w:szCs w:val="28"/>
          <w:rtl w:val="true"/>
          <w:lang w:bidi="fa-IR"/>
        </w:rPr>
        <w:t>ممنوعه زن گذشته به رویش گشوده شده است، هم آموزش دیده و با هیچ رشته درسی بیگانه تلقی نمی‌شود، هم در سیاست مشارکت وسیعش تشویق می‌شود و هم در عرصه اقتصاد حضور زن به یکی از شاخص‌های توسعه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در فقه‌پژوهی معاصر، به‌ویژه در حوزه فقه شیعه توجه درخور بدان دیده نمی‌شود و طرح و حل مسائل زن همچنان پابست قالب‌های مانده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اذعان به این واقعیت ایجاب می‌کند مطالعات تازه فقهی به گفته شهید صدر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جهانی که گسترده‌تر و متفاوت‌تر از دوران قواعد علامه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
      </w:r>
      <w:r>
        <w:rPr>
          <w:rFonts w:ascii="IRNazanin" w:hAnsi="IRNazanin" w:eastAsia="IRNazanin"/>
          <w:color w:val="111111"/>
          <w:sz w:val="28"/>
          <w:sz w:val="28"/>
          <w:szCs w:val="28"/>
          <w:rtl w:val="true"/>
          <w:lang w:bidi="fa-IR"/>
        </w:rPr>
        <w:t>به سمت یک تحول افقی سازمان‌دهی شود،</w:t>
      </w:r>
      <w:r>
        <w:rPr>
          <w:rStyle w:val="FootnoteAnchor"/>
          <w:rtl w:val="true"/>
        </w:rPr>
        <w:footnoteReference w:id="5"/>
      </w:r>
      <w:r>
        <w:rPr>
          <w:rFonts w:ascii="IRNazanin" w:hAnsi="IRNazanin" w:eastAsia="IRNazanin"/>
          <w:color w:val="111111"/>
          <w:sz w:val="28"/>
          <w:sz w:val="28"/>
          <w:szCs w:val="28"/>
          <w:rtl w:val="true"/>
          <w:lang w:bidi="fa-IR"/>
        </w:rPr>
        <w:t>تا از این رهگذر موضوعات مستحدثه، از جمله مباحث جدید زن، پوشش مناسب را یافته و ابعاد احیاناً مسئله برانگیز آن مورد کاوش متمرکز و نظام‌مند قرار گیرد؛ پروسه‌ای که به‌یقین می‌تواند با کشف افق‌های جدید بحث، تهافت آرای موجود در این زمینه را به شکل چشم‌گیری تقلیل دهد و راه را بر ادعاهایی که میان قرآن و موقف فقها در مسأله حقوق زن نسبت تضاد یا تناقض می‌دهد</w:t>
      </w:r>
      <w:r>
        <w:rPr>
          <w:rStyle w:val="FootnoteAnchor"/>
          <w:rtl w:val="true"/>
        </w:rPr>
        <w:footnoteReference w:id="6"/>
      </w:r>
      <w:r>
        <w:rPr>
          <w:rFonts w:ascii="IRNazanin" w:hAnsi="IRNazanin" w:eastAsia="IRNazanin"/>
          <w:color w:val="111111"/>
          <w:sz w:val="28"/>
          <w:sz w:val="28"/>
          <w:szCs w:val="28"/>
          <w:rtl w:val="true"/>
          <w:lang w:bidi="fa-IR"/>
        </w:rPr>
        <w:t>ببندد تا در این میان، زن مسلمان از موقعیت مشوشی که حاصل چنین داوری‌های مغلطه اندازی است،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تحولات، به‌خصوص از این زاویه حایز اهمیت است که فقه شیعه اگرچه در گذشته بنا به الزامات عصر پابست مسائل فردی بود،</w:t>
      </w:r>
      <w:r>
        <w:rPr>
          <w:rStyle w:val="FootnoteAnchor"/>
          <w:rtl w:val="true"/>
        </w:rPr>
        <w:footnoteReference w:id="7"/>
      </w:r>
      <w:r>
        <w:rPr>
          <w:rFonts w:ascii="IRNazanin" w:hAnsi="IRNazanin" w:eastAsia="IRNazanin"/>
          <w:color w:val="111111"/>
          <w:sz w:val="28"/>
          <w:sz w:val="28"/>
          <w:szCs w:val="28"/>
          <w:rtl w:val="true"/>
          <w:lang w:bidi="fa-IR"/>
        </w:rPr>
        <w:t xml:space="preserve">امروزه به یمن مجاهدت فقهای راستین شیعه در بیش از یک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سهم حضرت امام خمینی </w:t>
      </w:r>
      <w:r>
        <w:rPr>
          <w:rFonts w:eastAsia="IRNazanin" w:cs="IRNazanin"/>
          <w:color w:val="111111"/>
          <w:sz w:val="28"/>
          <w:szCs w:val="28"/>
          <w:rtl w:val="true"/>
          <w:lang w:bidi="fa-IR"/>
        </w:rPr>
        <w:t>(</w:t>
      </w:r>
      <w:r>
        <w:rPr>
          <w:rFonts w:eastAsia="IRNazanin" w:cs="IRNazanin"/>
          <w:color w:val="111111"/>
          <w:sz w:val="28"/>
          <w:szCs w:val="28"/>
          <w:lang w:bidi="fa-IR"/>
        </w:rPr>
        <w:t>1368/1281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رهبری و پیروزی آن بی اندازه شگرف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محرومیت چند صد ساله از صحنه سیاست، در حال تجربه بنیانگذاری و اداره دولتی است که همه فلسفه سیاسی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جایگاهی که اینک زنان به پاس مجاهدت‌های خویش در مراکز مهم تصمیم‌گیری سیاسی دارند، همه و همه از مسائل زنان برای فقه که در هویت تنها مرجع تعیین‌کننده نحوه تعاملات انسانی در جامعه قدر می‌بیند، یک مسأله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Problem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است که عدم تعمیق و بی‌توجهی بدان افزون بر زیان‌های معرفتی موجب مشکلاتی خواهد شد که کم‌ترین آن آشفتگی‌های اجتماعی یا به قول هشام شرابی، هویت پاره پاره 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این نوشتار گام کوچکی است که می‌کوشد وکالت زن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Parliament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چشم انداز فقه شیعه بررسی کند و به عبارت دیگر، مسأله زن را از یک زاویه گزینش شده که در فقه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شده، تحلیل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بعداً توضیح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استنابه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و مقصود از آن این است که وقتی شخصی امر خاص یا امور خود را به دیگری واگذار می‌کند تا او به نمایندگی از وی اقدام کند به‌گونه‌ای که آثار حقوقی عمل به واگذار کننده برگردد، در این فرایند، از عمل</w:t>
      </w:r>
    </w:p>
    <w:p>
      <w:pPr>
        <w:pStyle w:val="BookText"/>
        <w:rPr/>
      </w:pPr>
      <w:r>
        <w:rPr>
          <w:rFonts w:ascii="IRNazanin" w:hAnsi="IRNazanin" w:eastAsia="IRNazanin"/>
          <w:color w:val="111111"/>
          <w:sz w:val="28"/>
          <w:sz w:val="28"/>
          <w:szCs w:val="28"/>
          <w:rtl w:val="true"/>
          <w:lang w:bidi="fa-IR"/>
        </w:rPr>
        <w:t>حقوقی‌ای که محقق می‌شود، به وکالت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موارد آن وکالت در دعاوی است که کسی امور دادگاهی‌اش را به دیگری واگذار می‌کند تا او به نمایندگی از وی در محدوده تعیین شده اقدام به مرافعه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آن، وکالت و نمایندگی مجلس شورا است که در نظام‌های برخوردار از سیستم تفکیک قوا رکن سوم حکومت، یعنی تقنین و برنامه‌ریزی را تمثیل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بررسی مسأله وکالت زن، با همه مصادیق آن، مقصود این تحقیق نیست، بلکه در همین دو محدوده مشخص، آن هم در نقش وکیل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نه وکالت مسأله منحصربه‌فرد زنان است و نه وکالت در این دو زمینه یاد شده تنها اقسام ممکن برای وکالت؛ چون از هر دو لحاظ، موضوع دارای ابعاد و جهات متعدد است؛ مانند زن و حکومت، زن و قضاوت، زن و ورزش، زن و خانواده، زن و اشتغال، و زن و هنر یا وکالت در تجارت، وکالت در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هریک از این موضوعات به‌طورکلی یا مستقل به عنایت و اهتمام ارباب نظر مورد بحث و پژوهش‌های مختلف قرار گرفته است، اما در این میان، وکالت زن از مسائلی است که هنوز طبق جستجوهای انجام شده کار تحقیقی مستقل و جامعی درباره آن از سوی مراکز پژوهشی اعمّ از حوزوی و دانشگاهی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توجه تا آنجاست که حتی احتمال یافتن مقاله‌ای منسجم درباره آن را مشکل و چه بسا غیرممکن می‌سازد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گفتگو در قالب سنت مباحث دینی درباره مشارکت سیاسی زنان</w:t>
      </w:r>
    </w:p>
    <w:p>
      <w:pPr>
        <w:pStyle w:val="BookText"/>
        <w:rPr/>
      </w:pPr>
      <w:r>
        <w:rPr>
          <w:rFonts w:ascii="IRNazanin" w:hAnsi="IRNazanin" w:eastAsia="IRNazanin"/>
          <w:color w:val="111111"/>
          <w:sz w:val="28"/>
          <w:sz w:val="28"/>
          <w:szCs w:val="28"/>
          <w:rtl w:val="true"/>
          <w:lang w:bidi="fa-IR"/>
        </w:rPr>
        <w:t>در انتخابات مجلس و حضور آنان در این عرصه و در کل نگاه به حوزه حقوق زن با رهیافت‌های جدید، واقعیتی است که بیش از یک قرن در آثار اندیشمندان دینی به طور جدی جریان داشته است، اما مشارکت سیاسی زن از نقطه‌نظر وکالت در فقه شیعه، جز به اشاره گذرا و در خلال مباحث دیگر</w:t>
      </w:r>
      <w:r>
        <w:rPr>
          <w:rStyle w:val="FootnoteAnchor"/>
          <w:rtl w:val="true"/>
        </w:rPr>
        <w:footnoteReference w:id="8"/>
      </w:r>
      <w:r>
        <w:rPr>
          <w:rFonts w:ascii="IRNazanin" w:hAnsi="IRNazanin" w:eastAsia="IRNazanin"/>
          <w:color w:val="111111"/>
          <w:sz w:val="28"/>
          <w:sz w:val="28"/>
          <w:szCs w:val="28"/>
          <w:rtl w:val="true"/>
          <w:lang w:bidi="fa-IR"/>
        </w:rPr>
        <w:t>در سکوت مطلق مانده است؛ هرچند کارهای انجام شده پیرامون حضور زن در مجلس در همان اندازه‌های کوچک و از همان زوایای دیگر، وضعیت بحث وکالت زن در مجلس را از نظر منابع تحقیقی در مقایسه با موضوع وکالت زن در دعاوی بهتر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حاصل جستجو برای یافتن مطلبی که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رویکردهای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وکالت دعاوی سروکار داشته باشد، یأسی شگفت انگیز خواهد بود؛ زیرا با آن همه حساسیت که درباره خروج زن از منزل در فقه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نگارنده وسائل الشیعه یک باب را به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امروزه از کنار عضویت زن در سازمان‌هایی که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می‌شود، به‌سادگی عبور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فقه‌پژوهان عرصه‌های جدید با چنین مسأله‌ای اساساً برخورد نکرده‌اند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و نیز درنظرداشتن این واقعیت که زنان نه تنها در جوامع شیعی، بلکه در اکثر جوامع اسلامی عملاً در این دو حوزه</w:t>
      </w:r>
    </w:p>
    <w:p>
      <w:pPr>
        <w:pStyle w:val="BookText"/>
        <w:rPr/>
      </w:pPr>
      <w:r>
        <w:rPr>
          <w:rFonts w:ascii="IRNazanin" w:hAnsi="IRNazanin" w:eastAsia="IRNazanin"/>
          <w:color w:val="111111"/>
          <w:sz w:val="28"/>
          <w:sz w:val="28"/>
          <w:szCs w:val="28"/>
          <w:rtl w:val="true"/>
          <w:lang w:bidi="fa-IR"/>
        </w:rPr>
        <w:t xml:space="preserve">به فعالیت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مجلس که از نخستین خاکریزهای سیاست است که پس از کشمکش‌های فراوان از سوی زنان فتح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این پژوهش روشن می‌نماید تا برای جبران خلأ در این باره پاسخ پرسش‌های موجود را با رویکرد فقهی در چارچوبی مستقل ارائه کند و از این طریق در حدّ امکان بر موقف دانش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قلمرو سیطره‌ای این مذهب، نخستین منبع حقوق است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روشنی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نوشتار در چندین فصل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این فصل مفاهیم و تعاریفی را که تا حدودی نقش چارچوب نظری دارد، به ضمیمه مقدمه‌ای که حاوی اطلاعات کلی درباره این اثر است، به بحث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مفهومی این بخش عمدتاًً بر محور وکالت به شکل عام، شرایط وکیل و قلمرو وکالت تمرکز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این فصل پس از نگاهی کلی به بحث وکالت دعاوی، وکالت زن در دعاوی را از منظر فقه شیعه به بحث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تلاش‌های استدلالی این قسمت با امعان نظر به شرایط وکیل، فلسفه کلی وکالت و وکالت دعوی، با تبیین مواضع مناقشه برانگیز وکالت زن که معطوف به اهلیت وی در وکالت خواهد بود، ادامه یافته و در فرجام با بیان قرینه‌های تاریخی پایان می‌پذیرد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به بررسی مبانی و دیدگاه‌های مخالف وکالت زن در دعاوی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کوشش می‌شود با نقد و تحلیل</w:t>
      </w:r>
    </w:p>
    <w:p>
      <w:pPr>
        <w:pStyle w:val="BookText"/>
        <w:rPr/>
      </w:pPr>
      <w:r>
        <w:rPr>
          <w:rFonts w:ascii="IRNazanin" w:hAnsi="IRNazanin" w:eastAsia="IRNazanin"/>
          <w:color w:val="111111"/>
          <w:sz w:val="28"/>
          <w:sz w:val="28"/>
          <w:szCs w:val="28"/>
          <w:rtl w:val="true"/>
          <w:lang w:bidi="fa-IR"/>
        </w:rPr>
        <w:t>عمده‌ترین مبانی‌ای که فعالیت زن در عرصه وکالت دعوی را به چالش می‌کشد، پایه‌های فرضیه جواز وکالت زن در دعاوی تحکیم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از این مطالب شکل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مهم‌ترین ویژگی‌های وکالت مجلس و تفاوت آن با وکالت دعاوی، ادله فقهی مشارکت سیاسی زن و ادله خاص مشارکت سیاسی زن در نمایندگی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مباحث این نکته توضیح داده خواهد شد که بحث وکالت زن در مجلس چرا از یک مرحله دورتر آغاز شده وخود بحث وکالت تا حدودی در سایه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نقدها و دیدگاه‌های انتقادی وکالت زن در مجلس را به بحث و بررسی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نیز مانند فصل گذشته درباره ادله و دیدگاه‌هایی که عموماً در نفی مشارکت سیاسی زن عنوان شده، بحث شده است و نیز برای اینکه چرا به این نقدهای کلی توجه شده،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پایانی به برخی مکانیسم‌های عبور از چالش‌های متداول وکالت زن در مجلس توجه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جمع‌بندی مباحث این نوشتار و یادآوری برخی کمبودها و پیشنهادهای مرتبط با این تحقیق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از حجج اسلام استاد سیدمحمد شفیعی مازندرانی و استاد حسین مهدی زاده کمال تشکر و امتنان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توفیقی برای این اثر علمی در میان باشد، به‌یقین مرهون راهنمایی دلسوزانه و مشورت‌های عالمانه این دو بزرگوار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توفیق ایشان و دیگر یاری رسانان تدوین این کتاب را در مسیر تحقیق و توسعه فرهنگ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خواهانم</w:t>
      </w:r>
      <w:r>
        <w:rPr>
          <w:rFonts w:eastAsia="IRNazanin" w:cs="IRNazanin"/>
          <w:color w:val="111111"/>
          <w:sz w:val="28"/>
          <w:szCs w:val="28"/>
          <w:rtl w:val="true"/>
          <w:lang w:bidi="fa-IR"/>
        </w:rPr>
        <w:t>.</w:t>
      </w:r>
      <w:bookmarkStart w:id="16" w:name="pg5406_38314"/>
    </w:p>
    <w:p>
      <w:pPr>
        <w:pStyle w:val="Heading2"/>
        <w:numPr>
          <w:ilvl w:val="1"/>
          <w:numId w:val="1"/>
        </w:numPr>
        <w:rPr/>
      </w:pPr>
      <w:bookmarkStart w:id="17" w:name="__RefHeading___Toc1597036_581953129"/>
      <w:bookmarkStart w:id="18" w:name="_Toc6"/>
      <w:bookmarkEnd w:id="16"/>
      <w:bookmarkEnd w:id="17"/>
      <w:r>
        <w:rPr/>
        <w:t>1</w:t>
      </w:r>
      <w:r>
        <w:rPr>
          <w:rtl w:val="true"/>
        </w:rPr>
        <w:t xml:space="preserve">- </w:t>
      </w:r>
      <w:r>
        <w:rPr>
          <w:rtl w:val="true"/>
        </w:rPr>
        <w:t>مفاهیم و تعاریف</w:t>
      </w:r>
      <w:bookmarkEnd w:id="18"/>
    </w:p>
    <w:p>
      <w:pPr>
        <w:pStyle w:val="Heading3"/>
        <w:numPr>
          <w:ilvl w:val="2"/>
          <w:numId w:val="1"/>
        </w:numPr>
        <w:rPr/>
      </w:pPr>
      <w:bookmarkStart w:id="19" w:name="__RefHeading___Toc1597038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این قسمت برآنیم که برخی مفاهیم کلیدی و نیز تعاریفی را که این اثر به آن پایبند خواهد بود، به‌اختصار ذکر کنیم، تا مقصود خود را از به‌کارگیری برخی اصطلاحات و نکات روشن کرده، از بروز ابهام جلوگیری نماییم</w:t>
      </w:r>
      <w:r>
        <w:rPr>
          <w:rFonts w:eastAsia="IRNazanin" w:cs="IRNazanin"/>
          <w:color w:val="111111"/>
          <w:sz w:val="28"/>
          <w:szCs w:val="28"/>
          <w:rtl w:val="true"/>
          <w:lang w:bidi="fa-IR"/>
        </w:rPr>
        <w:t>.</w:t>
      </w:r>
    </w:p>
    <w:p>
      <w:pPr>
        <w:pStyle w:val="Heading3"/>
        <w:numPr>
          <w:ilvl w:val="2"/>
          <w:numId w:val="1"/>
        </w:numPr>
        <w:rPr/>
      </w:pPr>
      <w:bookmarkStart w:id="21" w:name="__RefHeading___Toc1597040_581953129"/>
      <w:bookmarkStart w:id="22" w:name="_Toc8"/>
      <w:bookmarkEnd w:id="21"/>
      <w:r>
        <w:rPr>
          <w:rtl w:val="true"/>
        </w:rPr>
        <w:t>معنا و مفهوم فقه</w:t>
      </w:r>
      <w:bookmarkEnd w:id="22"/>
    </w:p>
    <w:p>
      <w:pPr>
        <w:pStyle w:val="Heading4"/>
        <w:numPr>
          <w:ilvl w:val="3"/>
          <w:numId w:val="1"/>
        </w:numPr>
        <w:rPr/>
      </w:pPr>
      <w:bookmarkStart w:id="23" w:name="__RefHeading___Toc1597042_581953129"/>
      <w:bookmarkStart w:id="24" w:name="_Toc9"/>
      <w:bookmarkEnd w:id="23"/>
      <w:r>
        <w:rPr/>
        <w:t>1</w:t>
      </w:r>
      <w:r>
        <w:rPr>
          <w:rtl w:val="true"/>
        </w:rPr>
        <w:t xml:space="preserve">- </w:t>
      </w:r>
      <w:r>
        <w:rPr>
          <w:rtl w:val="true"/>
        </w:rPr>
        <w:t>فقه در لغت</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فقه در لغت به آگاهی، دانستن و فهمیدن معنا شده است،</w:t>
      </w:r>
      <w:r>
        <w:rPr>
          <w:rStyle w:val="FootnoteAnchor"/>
          <w:rtl w:val="true"/>
        </w:rPr>
        <w:footnoteReference w:id="11"/>
      </w:r>
      <w:r>
        <w:rPr>
          <w:rFonts w:ascii="IRNazanin" w:hAnsi="IRNazanin" w:eastAsia="IRNazanin"/>
          <w:color w:val="111111"/>
          <w:sz w:val="28"/>
          <w:sz w:val="28"/>
          <w:szCs w:val="28"/>
          <w:rtl w:val="true"/>
          <w:lang w:bidi="fa-IR"/>
        </w:rPr>
        <w:t xml:space="preserve">چنان‌که برخی پژوهشگران گفته‌اند، صرفاً به معنای آگاهی یا معادل این واژه نخواهد بود، بلکه حاوی محتوایی ویژه است که شاخص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ازاین‌رو، شاهدی برای استعمال آن در معنای</w:t>
      </w:r>
      <w:bookmarkStart w:id="25" w:name="pg5406_38317"/>
    </w:p>
    <w:p>
      <w:pPr>
        <w:pStyle w:val="BookText"/>
        <w:rPr/>
      </w:pPr>
      <w:bookmarkEnd w:id="25"/>
      <w:r>
        <w:rPr>
          <w:rFonts w:ascii="IRNazanin" w:hAnsi="IRNazanin" w:eastAsia="IRNazanin"/>
          <w:color w:val="111111"/>
          <w:sz w:val="28"/>
          <w:sz w:val="28"/>
          <w:szCs w:val="28"/>
          <w:rtl w:val="true"/>
          <w:lang w:bidi="fa-IR"/>
        </w:rPr>
        <w:t>آگاهی و فهمیدنِ صرف از ادبیات و محاورات عرب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اینکه در برخی منابع لغت اساساً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w:t>
      </w:r>
      <w:r>
        <w:rPr>
          <w:rStyle w:val="FootnoteAnchor"/>
          <w:rtl w:val="true"/>
        </w:rPr>
        <w:footnoteReference w:id="13"/>
      </w:r>
      <w:r>
        <w:rPr>
          <w:rFonts w:ascii="IRNazanin" w:hAnsi="IRNazanin" w:eastAsia="IRNazanin"/>
          <w:color w:val="111111"/>
          <w:sz w:val="28"/>
          <w:sz w:val="28"/>
          <w:szCs w:val="28"/>
          <w:rtl w:val="true"/>
          <w:lang w:bidi="fa-IR"/>
        </w:rPr>
        <w:t xml:space="preserve">که در این صورت، معنا کردن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ساده‌سازی در معنای فقه تلقی خواهد شد</w:t>
      </w:r>
      <w:r>
        <w:rPr>
          <w:rFonts w:eastAsia="IRNazanin" w:cs="IRNazanin"/>
          <w:color w:val="111111"/>
          <w:sz w:val="28"/>
          <w:szCs w:val="28"/>
          <w:rtl w:val="true"/>
          <w:lang w:bidi="fa-IR"/>
        </w:rPr>
        <w:t>.</w:t>
      </w:r>
    </w:p>
    <w:p>
      <w:pPr>
        <w:pStyle w:val="Heading4"/>
        <w:numPr>
          <w:ilvl w:val="3"/>
          <w:numId w:val="1"/>
        </w:numPr>
        <w:rPr/>
      </w:pPr>
      <w:bookmarkStart w:id="26" w:name="__RefHeading___Toc1597044_581953129"/>
      <w:bookmarkStart w:id="27" w:name="_Toc10"/>
      <w:bookmarkEnd w:id="26"/>
      <w:r>
        <w:rPr/>
        <w:t>2</w:t>
      </w:r>
      <w:r>
        <w:rPr>
          <w:rtl w:val="true"/>
        </w:rPr>
        <w:t xml:space="preserve">- </w:t>
      </w:r>
      <w:r>
        <w:rPr>
          <w:rtl w:val="true"/>
        </w:rPr>
        <w:t>فقه در اصطلاح فقها</w:t>
      </w:r>
      <w:bookmarkEnd w:id="27"/>
    </w:p>
    <w:p>
      <w:pPr>
        <w:pStyle w:val="Heading5"/>
        <w:numPr>
          <w:ilvl w:val="4"/>
          <w:numId w:val="1"/>
        </w:numPr>
        <w:rPr/>
      </w:pPr>
      <w:bookmarkStart w:id="28" w:name="__RefHeading___Toc1597046_581953129"/>
      <w:bookmarkStart w:id="29" w:name="_Toc11"/>
      <w:bookmarkEnd w:id="28"/>
      <w:r>
        <w:rPr>
          <w:rtl w:val="true"/>
        </w:rPr>
        <w:t>الف</w:t>
      </w:r>
      <w:r>
        <w:rPr>
          <w:rtl w:val="true"/>
        </w:rPr>
        <w:t xml:space="preserve">) </w:t>
      </w:r>
      <w:r>
        <w:rPr>
          <w:rtl w:val="true"/>
        </w:rPr>
        <w:t>به معنای اسلام‌شناسی</w:t>
      </w:r>
      <w:bookmarkEnd w:id="29"/>
    </w:p>
    <w:p>
      <w:pPr>
        <w:pStyle w:val="BookText"/>
        <w:rPr/>
      </w:pPr>
      <w:r>
        <w:rPr>
          <w:rFonts w:ascii="IRNazanin" w:hAnsi="IRNazanin" w:eastAsia="IRNazanin"/>
          <w:color w:val="111111"/>
          <w:sz w:val="28"/>
          <w:sz w:val="28"/>
          <w:szCs w:val="28"/>
          <w:rtl w:val="true"/>
          <w:lang w:bidi="fa-IR"/>
        </w:rPr>
        <w:t xml:space="preserve">فقه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دقیق و جامع به همه آموزه‌های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است که در صدر اسلام متداول بوده، تا جایی که در عصر تابعین تنی چند از دانایانِ متبحر در علم دین،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نفر از تابعین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 سال شهادت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سعید بن مسیب و عروة بن زبیر از فقهای سبعه و سعید بن جبیر و برخی دیگر از فقهای مدینه درگذشتند،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به‌روشنی نشان دهنده تحول معنای فقه به یک مفهوم جدید است که بی‌شک روند آن قبل از این عصر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گزارشی روشن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فقها بر فضلای صحابه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دست نیست، کاربرد آن در این معنا، قسماً در روایات و برخی متون تاریخی مسلم می‌نماید، برای نمونه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الرسول ما لم یدخلوا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فقیهان امین پیامبرانند، مادامی‌که به دنیا رو نیاورده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واقعه احد افتاد، جماعتی از عرب از قبیله عضَل و قاره برِ پیغمبر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ما اسلام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بفرمایی تا در میان ما آیند و ایشان را احکام و فقه و قرآن درآموزد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واضح است که به تناسب اهمیت توصیف فقها در روایت نبوی و نیز تفکیکی که میان آموزش قرآن و احکام و فقه در گزارش ابن هشام آمده، فقه جز در معنایی که بعدها مصطلح می‌شود، قابل‌فهم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این واقعیت، پس از آن آسان خواهد بود که بدانیم واژه‌های هم‌ریشه فقه در قرآن غالباً در معنایی متفاوت با فهمیدن صرف</w:t>
      </w:r>
      <w:r>
        <w:rPr>
          <w:rStyle w:val="FootnoteAnchor"/>
          <w:rtl w:val="true"/>
        </w:rPr>
        <w:footnoteReference w:id="18"/>
      </w:r>
      <w:r>
        <w:rPr>
          <w:rFonts w:ascii="IRNazanin" w:hAnsi="IRNazanin" w:eastAsia="IRNazanin"/>
          <w:color w:val="111111"/>
          <w:sz w:val="28"/>
          <w:sz w:val="28"/>
          <w:szCs w:val="28"/>
          <w:rtl w:val="true"/>
          <w:lang w:bidi="fa-IR"/>
        </w:rPr>
        <w:t>و یا به‌معنای بصیرت در دین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واقع، فقه در این اصطلاح به مفهوم اسلام‌شناسی، متناسب با ظرفیت فرهنگی آن دوره، به کار می‌رفته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فوق تا عصر ابوحنیفه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داشته است</w:t>
      </w:r>
      <w:r>
        <w:rPr>
          <w:rStyle w:val="FootnoteAnchor"/>
          <w:rtl w:val="true"/>
        </w:rPr>
        <w:footnoteReference w:id="20"/>
      </w:r>
      <w:r>
        <w:rPr>
          <w:rFonts w:ascii="IRNazanin" w:hAnsi="IRNazanin" w:eastAsia="IRNazanin"/>
          <w:color w:val="111111"/>
          <w:sz w:val="28"/>
          <w:sz w:val="28"/>
          <w:szCs w:val="28"/>
          <w:rtl w:val="true"/>
          <w:lang w:bidi="fa-IR"/>
        </w:rPr>
        <w:t>و پس از آن در معنایی که در ذیل توضیح خواهیم داد، استعمال می‌شود</w:t>
      </w:r>
      <w:r>
        <w:rPr>
          <w:rFonts w:eastAsia="IRNazanin" w:cs="IRNazanin"/>
          <w:color w:val="111111"/>
          <w:sz w:val="28"/>
          <w:szCs w:val="28"/>
          <w:rtl w:val="true"/>
          <w:lang w:bidi="fa-IR"/>
        </w:rPr>
        <w:t>.</w:t>
      </w:r>
      <w:bookmarkStart w:id="30" w:name="pg5406_38323"/>
    </w:p>
    <w:p>
      <w:pPr>
        <w:pStyle w:val="Heading5"/>
        <w:numPr>
          <w:ilvl w:val="4"/>
          <w:numId w:val="1"/>
        </w:numPr>
        <w:rPr/>
      </w:pPr>
      <w:bookmarkStart w:id="31" w:name="__RefHeading___Toc1597048_581953129"/>
      <w:bookmarkStart w:id="32" w:name="_Toc12"/>
      <w:bookmarkEnd w:id="30"/>
      <w:bookmarkEnd w:id="31"/>
      <w:r>
        <w:rPr>
          <w:rtl w:val="true"/>
        </w:rPr>
        <w:t>ب</w:t>
      </w:r>
      <w:r>
        <w:rPr>
          <w:rtl w:val="true"/>
        </w:rPr>
        <w:t xml:space="preserve">) </w:t>
      </w:r>
      <w:r>
        <w:rPr>
          <w:rtl w:val="true"/>
        </w:rPr>
        <w:t>به معنای رشته علمی</w:t>
      </w:r>
      <w:bookmarkEnd w:id="32"/>
    </w:p>
    <w:p>
      <w:pPr>
        <w:pStyle w:val="BookText"/>
        <w:rPr/>
      </w:pPr>
      <w:r>
        <w:rPr>
          <w:rFonts w:ascii="IRNazanin" w:hAnsi="IRNazanin" w:eastAsia="IRNazanin"/>
          <w:color w:val="111111"/>
          <w:sz w:val="28"/>
          <w:sz w:val="28"/>
          <w:szCs w:val="28"/>
          <w:rtl w:val="true"/>
          <w:lang w:bidi="fa-IR"/>
        </w:rPr>
        <w:t>فقه در این معنا یک اصطلاح میان‌رشته‌ای است که از آن در فقه و اصول استفاده می‌شود و با اینکه تاریخ دقیق اختصاص آن بدین معنا مشخص نیست، حدس‌ها مبتنی بر این واقعیتند که پس از برجسته شدن نیاز و اقبال مردم به علم احکام</w:t>
      </w:r>
      <w:r>
        <w:rPr>
          <w:rStyle w:val="FootnoteAnchor"/>
          <w:rtl w:val="true"/>
        </w:rPr>
        <w:footnoteReference w:id="21"/>
      </w:r>
      <w:r>
        <w:rPr>
          <w:rFonts w:ascii="IRNazanin" w:hAnsi="IRNazanin" w:eastAsia="IRNazanin"/>
          <w:color w:val="111111"/>
          <w:sz w:val="28"/>
          <w:sz w:val="28"/>
          <w:szCs w:val="28"/>
          <w:rtl w:val="true"/>
          <w:lang w:bidi="fa-IR"/>
        </w:rPr>
        <w:t>و نیز نبود زمینه مناسب برای رشد سایر علوم دین، فقه به این معنا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از فقه از آن زین الدین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شهید 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پس از سپری شدن حداقل یک هزاره از تاریخ فقه شیعه به این مضمون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بالاحکام الشرعیة الفرعیة عن ادلتها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یعنی فقه عبارت است از علم به احکام فرعی شرعی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مسائل اصول اعتقادی یا تربیتی، بلکه 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منابع و ادله تفصیلی</w:t>
      </w:r>
      <w:r>
        <w:rPr>
          <w:rFonts w:eastAsia="IRNazanin" w:cs="IRNazanin"/>
          <w:color w:val="111111"/>
          <w:sz w:val="28"/>
          <w:szCs w:val="28"/>
          <w:rtl w:val="true"/>
          <w:lang w:bidi="fa-IR"/>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صاحب معالم در میان فقهای شیعه پیش‌گام است وگرنه 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پیش‌تر از او به چنین تعریفی مبادرت کرده است</w:t>
      </w:r>
      <w:r>
        <w:rPr>
          <w:rStyle w:val="FootnoteAnchor"/>
          <w:rtl w:val="true"/>
        </w:rPr>
        <w:footnoteReference w:id="24"/>
      </w:r>
      <w:r>
        <w:rPr>
          <w:rFonts w:ascii="IRNazanin" w:hAnsi="IRNazanin" w:eastAsia="IRNazanin"/>
          <w:color w:val="111111"/>
          <w:sz w:val="28"/>
          <w:sz w:val="28"/>
          <w:szCs w:val="28"/>
          <w:rtl w:val="true"/>
          <w:lang w:bidi="fa-IR"/>
        </w:rPr>
        <w:t>که به دلیل شباهت زیاد هر دو متن، این تعریف شاید از سخن شافعی اقتباس شده باشد</w:t>
      </w:r>
      <w:r>
        <w:rPr>
          <w:rFonts w:eastAsia="IRNazanin" w:cs="IRNazanin"/>
          <w:color w:val="111111"/>
          <w:sz w:val="28"/>
          <w:szCs w:val="28"/>
          <w:rtl w:val="true"/>
          <w:lang w:bidi="fa-IR"/>
        </w:rPr>
        <w:t>.</w:t>
      </w:r>
      <w:bookmarkStart w:id="33" w:name="pg5406_38326"/>
    </w:p>
    <w:p>
      <w:pPr>
        <w:pStyle w:val="Heading3"/>
        <w:numPr>
          <w:ilvl w:val="2"/>
          <w:numId w:val="1"/>
        </w:numPr>
        <w:rPr/>
      </w:pPr>
      <w:bookmarkStart w:id="34" w:name="__RefHeading___Toc1597050_581953129"/>
      <w:bookmarkStart w:id="35" w:name="_Toc13"/>
      <w:bookmarkEnd w:id="33"/>
      <w:bookmarkEnd w:id="34"/>
      <w:r>
        <w:rPr>
          <w:rtl w:val="true"/>
        </w:rPr>
        <w:t>ماهیت تحقیق فقهی</w:t>
      </w:r>
      <w:bookmarkEnd w:id="35"/>
    </w:p>
    <w:p>
      <w:pPr>
        <w:pStyle w:val="BookText"/>
        <w:rPr/>
      </w:pPr>
      <w:r>
        <w:rPr>
          <w:rFonts w:ascii="IRNazanin" w:hAnsi="IRNazanin" w:eastAsia="IRNazanin"/>
          <w:color w:val="111111"/>
          <w:sz w:val="28"/>
          <w:sz w:val="28"/>
          <w:szCs w:val="28"/>
          <w:rtl w:val="true"/>
          <w:lang w:bidi="fa-IR"/>
        </w:rPr>
        <w:t>به‌طور مسلم بررسی فقهی چیزی جز بررسی احکام شرعی یا تبیین مواضع شرع در قبال رفتار فرد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لازم است ابتدا نگاهی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وآن‌گاه به شیوه تطبیق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قانونی که خداوند متعال برای تنظیم زندگی انسان صادر فرموده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حکم به این معنا عموماً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و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صادر شده از سوی پروردگار را در خصوص افعال و کردار بندگان، اعم از امر، نهی، اجازه و رخصت، احکام تکلیفی می‌نامند که پنج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احکام مستقیماً و بی‌واسطه به افعال بندگان مرتبطند و به موجب آنها یا مکلفان مأمور، ممنوع و یا مجاز می‌شوند و یا بر فعل و ترک فعل آنها، مدح یا مذمت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احکام شرعی که مقتضای آنها الزام، منع و یا رخصت نیست و به طور مستقیم از سوی شارع نسبت به افعال مکلفان انشا نمی‌شوند، احکام وضعی نامیده می‌شوند؛ از قبیل مالکیت، زوجیت، اهلیت، سببیت، مانعیت، شرطیت، صحت 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احکام از سوی شارع جعل و وضع نشده و مدلول آنها ابتداءً الزام یا منع نیست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حکم تکلیفی همان پنج قسم نخست را تشکیل می‌دهد و هر</w:t>
      </w:r>
    </w:p>
    <w:p>
      <w:pPr>
        <w:pStyle w:val="BookText"/>
        <w:rPr/>
      </w:pPr>
      <w:r>
        <w:rPr>
          <w:rFonts w:ascii="IRNazanin" w:hAnsi="IRNazanin" w:eastAsia="IRNazanin"/>
          <w:color w:val="111111"/>
          <w:sz w:val="28"/>
          <w:sz w:val="28"/>
          <w:szCs w:val="28"/>
          <w:rtl w:val="true"/>
          <w:lang w:bidi="fa-IR"/>
        </w:rPr>
        <w:t>حکم غیر از آن حکم وضعی خواهد بود؛ یعنی بدون اینکه مکلف را بر عملی خاص ملزم کرده و ثواب یا عقاب اخروی بر آن مترتب باشد، التزام و عدم التزام بدان وضعیت معینی را رقم می‌زند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آنچه از حکم یا بررسی فقهی در این کتاب مد نظر قرار می‌گیرد، حکم وضعی است؛ چون زن بودن از زاویه شرطیت در وکالت بررسی خواهد شد و حداکثر دو فرضیه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وکالت شرعا مشروط به عدم آن است و در این صورت مثل اغلب معاملات و عبادات فاقد شرط، فاسد خواهد بود و آنچه بر وکالت صحیح مترتب می‌شود، بر وکالت زن در دعاوی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وکالت دعاوی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عدم آن نیست که در این صورت این وکالت صحیح بوده و هر پیامدی که یک وکالت صحیح داشته باشد، وکالت زن نیز آن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تا آنجا که به وکالت دعاوی مربوط می‌شود، پای احکام تکلیفی در میان نیست، اما در وکالت مجلس که قضیه شأن حکومتی دارد، گویا مسأله فرق کرده و فراتر از صحت و فساد، به حرمت که حکمی تکلیفی است هم تسری پیدا می‌کند که نه تنها عقد فاسد بوده و دارای اثر نیست که در صورت مشروط بودن تصدی شئون حکومتی به مرد بودن، نفس اقدام زن حرام و مستلزم معصیت 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تسری بر این پیش‌فرض عمده استوار است که نسبت همه شئون حکومتی را درباره زن یکسان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مرد بودن را از شرایط کلی تصدی مناصب حکومتی در همه سطوح اعم از رهبری، قضاء و مجلس فرض کرده و هرچه مثلاً در قضاوت معتبر دانسته شده، در</w:t>
      </w:r>
      <w:bookmarkStart w:id="36" w:name="pg5406_38332"/>
    </w:p>
    <w:p>
      <w:pPr>
        <w:pStyle w:val="BookText"/>
        <w:rPr/>
      </w:pPr>
      <w:bookmarkEnd w:id="36"/>
      <w:r>
        <w:rPr>
          <w:rFonts w:ascii="IRNazanin" w:hAnsi="IRNazanin" w:eastAsia="IRNazanin"/>
          <w:color w:val="111111"/>
          <w:sz w:val="28"/>
          <w:sz w:val="28"/>
          <w:szCs w:val="28"/>
          <w:rtl w:val="true"/>
          <w:lang w:bidi="fa-IR"/>
        </w:rPr>
        <w:t>نمایندگی مجلس هم صادق بدانیم؛</w:t>
      </w:r>
      <w:r>
        <w:rPr>
          <w:rStyle w:val="FootnoteAnchor"/>
          <w:rtl w:val="true"/>
        </w:rPr>
        <w:footnoteReference w:id="28"/>
      </w:r>
      <w:r>
        <w:rPr>
          <w:rFonts w:ascii="IRNazanin" w:hAnsi="IRNazanin" w:eastAsia="IRNazanin"/>
          <w:color w:val="111111"/>
          <w:sz w:val="28"/>
          <w:sz w:val="28"/>
          <w:szCs w:val="28"/>
          <w:rtl w:val="true"/>
          <w:lang w:bidi="fa-IR"/>
        </w:rPr>
        <w:t xml:space="preserve">زیرا در معنای اعتبار شرایط قضاء این نکته صریحاً عنوان شده است که معنای اعتبار شرایط که از جمله آنها مرد بودن است، تنها عدم صحت و نفوذ شرعی تصرفات فرد فاقد شرایط نیست، بلکه جنبه تحریم هم دارد؛ یعنی نه تنها قضاوت شخص فاقد شرایط اثر قضاوت صحیح را نداشته و خصومت را فصل و تنازع را رفع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این قضاء و فصل خصومت، هرچند در اشیاء حقیر، یک درهم و دو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مثل سایر محرمات شرعی</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37" w:name="__RefHeading___Toc1597052_581953129"/>
      <w:bookmarkStart w:id="38" w:name="_Toc14"/>
      <w:bookmarkEnd w:id="37"/>
      <w:r>
        <w:rPr>
          <w:rtl w:val="true"/>
        </w:rPr>
        <w:t>معنا و مفهوم وکالت</w:t>
      </w:r>
      <w:bookmarkEnd w:id="38"/>
    </w:p>
    <w:p>
      <w:pPr>
        <w:pStyle w:val="Heading4"/>
        <w:numPr>
          <w:ilvl w:val="3"/>
          <w:numId w:val="1"/>
        </w:numPr>
        <w:rPr/>
      </w:pPr>
      <w:bookmarkStart w:id="39" w:name="__RefHeading___Toc1597054_581953129"/>
      <w:bookmarkStart w:id="40" w:name="_Toc15"/>
      <w:bookmarkEnd w:id="39"/>
      <w:r>
        <w:rPr/>
        <w:t>1</w:t>
      </w:r>
      <w:r>
        <w:rPr>
          <w:rtl w:val="true"/>
        </w:rPr>
        <w:t xml:space="preserve">- </w:t>
      </w:r>
      <w:r>
        <w:rPr>
          <w:rtl w:val="true"/>
        </w:rPr>
        <w:t>وکالت در لغت</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مصدر توکیل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دانشمندان علم لغت از معنای این واژه به تعابیری مختلف یاد کرده‌اند که با توجه به محوریت یک مفهوم اساسی در همه این تعابیر می‌توان همه آنها را به یک معنی تحویل برد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واگذاری امر خود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
      </w:r>
      <w:r>
        <w:rPr>
          <w:rFonts w:ascii="IRNazanin" w:hAnsi="IRNazanin" w:eastAsia="IRNazanin"/>
          <w:color w:val="111111"/>
          <w:sz w:val="28"/>
          <w:sz w:val="28"/>
          <w:szCs w:val="28"/>
          <w:rtl w:val="true"/>
          <w:lang w:bidi="fa-IR"/>
        </w:rPr>
        <w:t>چنان‌که در التحقیق به این نکته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نخست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کردن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قید در ریشه واژه ملاحظه 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وکالت در این مفهوم، حامل معنایی نیست که بعدها مصطلح شده و در فقه و حقوق تحت عنوان یک قرارداد مورد شناسایی قرار می‌گیرد؛ به‌ویژه که کاربرد این واژه در معنای وصفی برای خداوند متعال در آیاتی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مارا بس است ونیکو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وَ تَوَکَّلْ عَلَی اللّهِ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رو برتاب و بر خدا توکل کن، وخدا بس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معنایی را که نتیجه حقوقی بدهد، منتفی می‌کند؛ زیرا وکیل‌بودن خدا به مفهوم فقهی آن نیست که شخصی پس از اعتقاد به وکالت او از خود سلب فعالیت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وکالت فقهی اصل فلسفه وکالت برای سلب فعالیت از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فقط از فواید فعالیت که به نمایندگی از او انجام یافته،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شخص با توکل به خداوند همچنان فعالیت کرده و تسلیم و اعتماد خویش به عنایت الهی را از طریق توکل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معنای قرآنی در سطوح نازل، یعنی شخص اعتماد خود را به خداوند از دست نداده و مطمئن باشد که در کنار فعالیت‌های مادی او زمینه‌های موفقیت معنوی او را هم خداوند فراهم می‌کند</w:t>
      </w:r>
      <w:r>
        <w:rPr>
          <w:rFonts w:eastAsia="IRNazanin" w:cs="IRNazanin"/>
          <w:color w:val="111111"/>
          <w:sz w:val="28"/>
          <w:szCs w:val="28"/>
          <w:rtl w:val="true"/>
          <w:lang w:bidi="fa-IR"/>
        </w:rPr>
        <w:t>.</w:t>
      </w:r>
      <w:r>
        <w:rPr>
          <w:rStyle w:val="FootnoteAnchor"/>
          <w:rtl w:val="true"/>
        </w:rPr>
        <w:footnoteReference w:id="35"/>
      </w:r>
      <w:bookmarkStart w:id="41" w:name="pg5406_38338"/>
    </w:p>
    <w:p>
      <w:pPr>
        <w:pStyle w:val="BookText"/>
        <w:rPr/>
      </w:pPr>
      <w:bookmarkEnd w:id="41"/>
      <w:r>
        <w:rPr>
          <w:rFonts w:ascii="IRNazanin" w:hAnsi="IRNazanin" w:eastAsia="IRNazanin"/>
          <w:color w:val="111111"/>
          <w:sz w:val="28"/>
          <w:sz w:val="28"/>
          <w:szCs w:val="28"/>
          <w:rtl w:val="true"/>
          <w:lang w:bidi="fa-IR"/>
        </w:rPr>
        <w:t xml:space="preserve">البته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بر این معنا هم تکیه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 آن است که بر دیگری اعتماد کنی و او را نایب خود قرار دهی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ولی با توجه به اینکه خود راغب در بیان مفردات این واژه در قرآن، به چنین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بازنمی‌گردد،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در اینجا فراتر از معنای لغوی بوده است و برای همین کسی از فقها در تبیین مشروعیت وکالت به آیات قرآنی که از این واژه استفاده شده، استدلال نکرده است؛ چون مشتقات این واژه فاقد چنان معنایی است که از آن به‌سوی وکالت در فقه و حقوق پل زده شود</w:t>
      </w:r>
      <w:r>
        <w:rPr>
          <w:rFonts w:eastAsia="IRNazanin" w:cs="IRNazanin"/>
          <w:color w:val="111111"/>
          <w:sz w:val="28"/>
          <w:szCs w:val="28"/>
          <w:rtl w:val="true"/>
          <w:lang w:bidi="fa-IR"/>
        </w:rPr>
        <w:t>.</w:t>
      </w:r>
    </w:p>
    <w:p>
      <w:pPr>
        <w:pStyle w:val="Heading4"/>
        <w:numPr>
          <w:ilvl w:val="3"/>
          <w:numId w:val="1"/>
        </w:numPr>
        <w:rPr/>
      </w:pPr>
      <w:bookmarkStart w:id="42" w:name="__RefHeading___Toc1597056_581953129"/>
      <w:bookmarkStart w:id="43" w:name="_Toc16"/>
      <w:bookmarkEnd w:id="42"/>
      <w:r>
        <w:rPr/>
        <w:t>2</w:t>
      </w:r>
      <w:r>
        <w:rPr>
          <w:rtl w:val="true"/>
        </w:rPr>
        <w:t xml:space="preserve">- </w:t>
      </w:r>
      <w:r>
        <w:rPr>
          <w:rtl w:val="true"/>
        </w:rPr>
        <w:t>وکالت در اصطلاح</w:t>
      </w:r>
      <w:bookmarkEnd w:id="43"/>
    </w:p>
    <w:p>
      <w:pPr>
        <w:pStyle w:val="BookText"/>
        <w:rPr/>
      </w:pPr>
      <w:r>
        <w:rPr>
          <w:rFonts w:ascii="IRNazanin" w:hAnsi="IRNazanin" w:eastAsia="IRNazanin"/>
          <w:color w:val="111111"/>
          <w:sz w:val="28"/>
          <w:sz w:val="28"/>
          <w:szCs w:val="28"/>
          <w:rtl w:val="true"/>
          <w:lang w:bidi="fa-IR"/>
        </w:rPr>
        <w:t xml:space="preserve">وکالت در فقه و حقوق اصطلاح خاصی است که از آن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اعطای نیابت ارادی است به وکیل تا در حدود اختیار تفویض‌شده به او اعمال حقوقی</w:t>
      </w:r>
      <w:r>
        <w:rPr>
          <w:rStyle w:val="FootnoteAnchor"/>
          <w:rtl w:val="true"/>
        </w:rPr>
        <w:footnoteReference w:id="37"/>
      </w:r>
      <w:r>
        <w:rPr>
          <w:rFonts w:ascii="IRNazanin" w:hAnsi="IRNazanin" w:eastAsia="IRNazanin"/>
          <w:color w:val="111111"/>
          <w:sz w:val="28"/>
          <w:sz w:val="28"/>
          <w:szCs w:val="28"/>
          <w:rtl w:val="true"/>
          <w:lang w:bidi="fa-IR"/>
        </w:rPr>
        <w:t>معینی را به نام و حساب موکّل خود انجام دهد</w:t>
      </w:r>
      <w:r>
        <w:rPr>
          <w:rFonts w:eastAsia="IRNazanin" w:cs="IRNazanin"/>
          <w:color w:val="111111"/>
          <w:sz w:val="28"/>
          <w:szCs w:val="28"/>
          <w:rtl w:val="true"/>
          <w:lang w:bidi="fa-IR"/>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در این معنا از عقودی است که به‌طورکلی در زندگی مردم رایج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قبل از شریعت اسلام در میان مردم متداول بوده و شارع آن را با اصلاح و تعدیل مختصری از طریق وضع پاره‌ای احکام،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ممتد و نیز روشن بودن</w:t>
      </w:r>
    </w:p>
    <w:p>
      <w:pPr>
        <w:pStyle w:val="BookText"/>
        <w:rPr/>
      </w:pPr>
      <w:r>
        <w:rPr>
          <w:rFonts w:ascii="IRNazanin" w:hAnsi="IRNazanin" w:eastAsia="IRNazanin"/>
          <w:color w:val="111111"/>
          <w:sz w:val="28"/>
          <w:sz w:val="28"/>
          <w:szCs w:val="28"/>
          <w:rtl w:val="true"/>
          <w:lang w:bidi="fa-IR"/>
        </w:rPr>
        <w:t>مفهوم آن در میان مردم سبب شده است که فقها تعریف آن را به عرف احاله داده و تعریف جداگانه‌ای ارائه نکنند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ازاین‌رو در دوره‌های متعدّدی از تاریخ فقه فقط به ذکر احکام و مصادیق آن همت گماشته شده است تا آنکه 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به تعریفی از آن مبادرت می‌کند که به دلیل شهرت و عظمت این اثر بعد از او، آن تعریف از وکالت نیز در زبان فقها شهره می‌گردد؛ چه اینکه غالب فقهای بعد از ایشان یا شارح شرایع ایشان بوده‌اند یا متأثر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کسی از شعاع اندیشه‌های او بی‌نصیب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توضیح و ارزیابی این تعریف و برخی نکاتی اشاره می‌کنیم که در روشن کردن مفهوم اصطلاحی آن کمکی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تعریف محقق در اینجا بپردازیم، یادآوری مختصری از سیر مباحث وکالت در فقه شیعه و نیز تعریفی که احیاناً قبل از آن صورت گرفته باشد، ضروری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وکالت نخستین بار در کتب فقهی شیعه از سوی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اختصاص یک فصل به این موضوع، از حکم وکالت دعاوی آغاز کرده، با تقسیم آن به عام و خاص و برخی مسایل مربوط به وکیل ادامه داده و در نهایت با آوردن یک نمونه وکالت‌نامه به این بحث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بعد از او تا حدودی در نهایه از سوی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شده است، اما در مبسوط یک‌باره به حجم بحث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کتاب با تفصیل و بسط بسیار اکثر مصادیق آن را به ترتیب ابواب فقه از طهارت تا دیات یک‌به‌یک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تا عصر ابن حمزه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از آن صورت</w:t>
      </w:r>
    </w:p>
    <w:p>
      <w:pPr>
        <w:pStyle w:val="BookText"/>
        <w:rPr/>
      </w:pPr>
      <w:r>
        <w:rPr>
          <w:rFonts w:ascii="IRNazanin" w:hAnsi="IRNazanin" w:eastAsia="IRNazanin"/>
          <w:color w:val="111111"/>
          <w:sz w:val="28"/>
          <w:sz w:val="28"/>
          <w:szCs w:val="28"/>
          <w:rtl w:val="true"/>
          <w:lang w:bidi="fa-IR"/>
        </w:rPr>
        <w:t>نگرفته و او نخستین فقیهی است که در الوسیلة الی نیل الفضیلة قبل از ورود به بیان احکام وکالت آن را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نحوه ای از تفویض امر خود به دیگری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یک قرن پس از او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کار ابن حمزه تعریف خود را این گونه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استنابت در تصرف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اقدام محقق نشان می‌دهد که ایشان به مسلم بودن یا رسا بودن تعریفی دیگر در این زمینه اذعان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بعدها تا جایی در میان فقها اعتبار پیدا می‌کند که در برخی منابع تحت عنوان تعریف مسلم فقهی از وکالت شناسایی شده</w:t>
      </w:r>
      <w:r>
        <w:rPr>
          <w:rStyle w:val="FootnoteAnchor"/>
          <w:rtl w:val="true"/>
        </w:rPr>
        <w:footnoteReference w:id="42"/>
      </w:r>
      <w:r>
        <w:rPr>
          <w:rFonts w:ascii="IRNazanin" w:hAnsi="IRNazanin" w:eastAsia="IRNazanin"/>
          <w:color w:val="111111"/>
          <w:sz w:val="28"/>
          <w:sz w:val="28"/>
          <w:szCs w:val="28"/>
          <w:rtl w:val="true"/>
          <w:lang w:bidi="fa-IR"/>
        </w:rPr>
        <w:t>و در برخی منابع حقوق مدنی هم عیناً ترجمه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با این حال، پرسش این است که آیا این تعریف واقعاً توانسته است ماهیت و ابعاد این عقد را چنان‌که باید توضیح دهد؟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مثبت به این پرسش دشوار است؛ زیرا 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وضوحی که دارد، تمییز وکالت از عقد</w:t>
      </w:r>
    </w:p>
    <w:p>
      <w:pPr>
        <w:pStyle w:val="BookText"/>
        <w:rPr/>
      </w:pPr>
      <w:r>
        <w:rPr>
          <w:rFonts w:ascii="IRNazanin" w:hAnsi="IRNazanin" w:eastAsia="IRNazanin"/>
          <w:color w:val="111111"/>
          <w:sz w:val="28"/>
          <w:sz w:val="28"/>
          <w:szCs w:val="28"/>
          <w:rtl w:val="true"/>
          <w:lang w:bidi="fa-IR"/>
        </w:rPr>
        <w:t>اجاره،</w:t>
      </w:r>
      <w:r>
        <w:rPr>
          <w:rStyle w:val="FootnoteAnchor"/>
          <w:rtl w:val="true"/>
        </w:rPr>
        <w:footnoteReference w:id="44"/>
      </w:r>
      <w:r>
        <w:rPr>
          <w:rFonts w:ascii="IRNazanin" w:hAnsi="IRNazanin" w:eastAsia="IRNazanin"/>
          <w:color w:val="111111"/>
          <w:sz w:val="28"/>
          <w:sz w:val="28"/>
          <w:szCs w:val="28"/>
          <w:rtl w:val="true"/>
          <w:lang w:bidi="fa-IR"/>
        </w:rPr>
        <w:t>قرارداد کار،</w:t>
      </w:r>
      <w:r>
        <w:rPr>
          <w:rStyle w:val="FootnoteAnchor"/>
          <w:rtl w:val="true"/>
        </w:rPr>
        <w:footnoteReference w:id="45"/>
      </w:r>
      <w:r>
        <w:rPr>
          <w:rFonts w:ascii="IRNazanin" w:hAnsi="IRNazanin" w:eastAsia="IRNazanin"/>
          <w:color w:val="111111"/>
          <w:sz w:val="28"/>
          <w:sz w:val="28"/>
          <w:szCs w:val="28"/>
          <w:rtl w:val="true"/>
          <w:lang w:bidi="fa-IR"/>
        </w:rPr>
        <w:t>مزارعه، مضاربه و مساقات</w:t>
      </w:r>
      <w:r>
        <w:rPr>
          <w:rStyle w:val="FootnoteAnchor"/>
          <w:rtl w:val="true"/>
        </w:rPr>
        <w:footnoteReference w:id="46"/>
      </w:r>
      <w:r>
        <w:rPr>
          <w:rFonts w:ascii="IRNazanin" w:hAnsi="IRNazanin" w:eastAsia="IRNazanin"/>
          <w:color w:val="111111"/>
          <w:sz w:val="28"/>
          <w:sz w:val="28"/>
          <w:szCs w:val="28"/>
          <w:rtl w:val="true"/>
          <w:lang w:bidi="fa-IR"/>
        </w:rPr>
        <w:t>بر اساس آن دشوار است؛ چون در این عقود هم یکی از طرفین از طرف دیگری می‌خواهد که به نیابت از او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ابهام، شهید ثانی را واداشت تا برای بالابردن میزان دقت و تفکیک وکالت از مزارعه، مضاربه و مساقات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تعریف شامل آنها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نماید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ما می‌فهمیم، این تعریف هنوز هم از ابهام رنج می‌برد و قید بالذات در اخراج عقود یاد شده از تحت این تعریف مشکل دارد؛ چون در واقع نیابت که اعطا می‌شود و برای تصرف است، در عقود دیگر هم هست و اینکه تصرف را درجه بندی کنیم که در وکالت مقصود تصرف ذاتی است، باز مشکل را حل نمی‌کند؛ زیرا صدق این سخن بیشتر با عقودی مناسبت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از انعقاد آن، انجام کار است و نیابت جنبه فرعی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طور مستقیم مورد معامله قرار می‌گیرد، منفعت معین یا تعهد به انجام کار است، اما در وکالت هدف اعطای نیابت است که از طریق تفویض اذن محقق می‌شود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دستمزد وکیل نتیجه اجرای این نمایندگی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از نتایج آن اعمال سود می‌برد و لذا وکالت در اصل عقدی جایز و به اعتبار نخستین اثر رایگان است؛ چون در برابر تفویض اذن یا اختیار عوضی در کار نیست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برخلاف عقود یاد شده که هم لازم است و هم از اصل با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تمایز جوهری است که برخی در عین تمایل به تعریف محقق حقیقت وکالت را این گونه تبیین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وکالت تنزیل شخصی به منزله دیگری است که به همین جهت عمل صادر شده از شخص دیگر به منزله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واضح است پایبندی به این تبیین جایی برای تعلق دیگر، یعنی سخن محقق نخواهد گذاشت که هدف‌گیری در تعریف وی بیشتر متوجه عمل است تا شخص و تناسب آن بیشتر با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وکالت؛ زیرا در تعریف نیابت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عبارت از تنزیل عمل شخص دیگر به منزله عمل منوب عنه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نیابت با فراتر از عمل صرف سروکار نداریم؛ از این رو انتساب آن به منوب عنه ممنوع است؛</w:t>
      </w:r>
      <w:r>
        <w:rPr>
          <w:rStyle w:val="FootnoteAnchor"/>
          <w:rtl w:val="true"/>
        </w:rPr>
        <w:footnoteReference w:id="51"/>
      </w:r>
      <w:r>
        <w:rPr>
          <w:rFonts w:ascii="IRNazanin" w:hAnsi="IRNazanin" w:eastAsia="IRNazanin"/>
          <w:color w:val="111111"/>
          <w:sz w:val="28"/>
          <w:sz w:val="28"/>
          <w:szCs w:val="28"/>
          <w:rtl w:val="true"/>
          <w:lang w:bidi="fa-IR"/>
        </w:rPr>
        <w:t xml:space="preserve">چون رابطه اساسی میان عامل و منوب‌عنه وجود ندارد، اما در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است که مقدم بر آن جابه‌جایی در جایگاه حقوقی طرفین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مراد از تصرف بالذات در سخن محقق را ابتداءً تصرف در شئون و اختیارات موکل بدانیم؛ نه در امور بیرونی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تحلیل فوق از وکالت منطبق می‌شود؛ یعنی اینکه وکیل حق دخالت در برخی اختیارات موکل پیدا می‌کند، به‌دلیل آن است که با وکالت ابتداءً تنزیل وکیل به‌جای موکل و یک تصرف ذاتی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شاخصه اصلی وکالت همان تصرف ذاتی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آنچه سنهوری حقوق‌دان برجسته مصری از شاخصه وکالت به تغلب اعتبار شخصی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Intuit - personoe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کرده، ناظر به همین تصرف ذاتی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تحلیل این شاخصه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عقد وکالت میان وکیل و موکل به‌صورت اعتباری نوعی درهم‌تنیدگی شخصیتی ایجاد شده و هریک با اعتبار خود، دیگری را در جایگاه حقوقی خود وارد می‌کند، و تا آنجا این رابطه تنگاتنگ است که با مرگ یکی از آنها یا هر دو عقد خودبه‌خود باطل می‌شود؛ چون با رفتن مبدأ اعتبار، همه چیز تمام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البته محدودیت یا مقید بودن اعتبار وکالت به حیات طرفین عقد، در دیدگاه فقهای شیعه یک شرط مسلم است</w:t>
      </w:r>
      <w:r>
        <w:rPr>
          <w:rStyle w:val="FootnoteAnchor"/>
          <w:rtl w:val="true"/>
        </w:rPr>
        <w:footnoteReference w:id="53"/>
      </w:r>
      <w:r>
        <w:rPr>
          <w:rFonts w:ascii="IRNazanin" w:hAnsi="IRNazanin" w:eastAsia="IRNazanin"/>
          <w:color w:val="111111"/>
          <w:sz w:val="28"/>
          <w:sz w:val="28"/>
          <w:szCs w:val="28"/>
          <w:rtl w:val="true"/>
          <w:lang w:bidi="fa-IR"/>
        </w:rPr>
        <w:t>که توجیه آن در صورت مرگ وکیل واضح است، اما با مرگ موکل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مناط تصرف در وکالت اذن است و این اذن در فرض مرگ موکل منقطع می‌شود، وکالت هم طبعاً منتفی می‌شود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از بطلان وکالت با مرگ موکل، از ناحیه سید یزدی</w:t>
      </w:r>
    </w:p>
    <w:p>
      <w:pPr>
        <w:pStyle w:val="BookText"/>
        <w:rPr/>
      </w:pPr>
      <w:r>
        <w:rPr>
          <w:rFonts w:ascii="IRNazanin" w:hAnsi="IRNazanin" w:eastAsia="IRNazanin"/>
          <w:color w:val="111111"/>
          <w:sz w:val="28"/>
          <w:sz w:val="28"/>
          <w:szCs w:val="28"/>
          <w:rtl w:val="true"/>
          <w:lang w:bidi="fa-IR"/>
        </w:rPr>
        <w:t xml:space="preserve">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دانسته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سیال و مستمر ندارد تا نفی و اثبات وکالت را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بدانیم، بلکه برای وکالت صرف حدوث اذن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کسی که وکالت را به طور مطلق فراموش کرده، تصرف وکیل در حق او نافذ و معتبر است پس باید محدود بودن را از جایی دیگر تعیین کرد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طبق تحلیل ما تعیین‌کننده در اینجا خود ماهیت و آثار عقد است که بعد از مرگ چون امکان تنزیل وکیل به‌جای موکل و به‌عکس وجود ندارد، عقد خودبه‌خود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این تحلیل، دست یافتن به شاخصه دیگر عقد وکالت است که وکالت با مرگ طرفین یا یک طرف باطل می‌شود، اما عقود چون اجاره، مزارعه و مساقات با مرگ یکی از طرفین عقد همچنان نافذ و صحیح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آنچه گفته شد، در نهایت باید به سخن صاحب جواهر اذعان کرد که موضوعات اعتباری فاقد شاخصه‌های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انتظار تعریف دقیق منطقی که بتواند همه جوانب آن را توضیح دهد، مشکل است؛ هرچند این ویژگی اساسی که در وکالت حقیقتاً برخی اختیارات و شئون موکل به وکیل منتقل می‌شود، تطبیق آن را به لحاظ تصوری بر نمایندگی در امور دعاوی و مجلس شورا آسان می‌کند، چون نمایندگی در این دو عرصه برای عمل مادی نیست که در قدم نخست، هدف تمثیل شخصیت موکل است</w:t>
      </w:r>
      <w:r>
        <w:rPr>
          <w:rFonts w:eastAsia="IRNazanin" w:cs="IRNazanin"/>
          <w:color w:val="111111"/>
          <w:sz w:val="28"/>
          <w:szCs w:val="28"/>
          <w:rtl w:val="true"/>
          <w:lang w:bidi="fa-IR"/>
        </w:rPr>
        <w:t>.</w:t>
      </w:r>
      <w:bookmarkStart w:id="44" w:name="pg5406_38359"/>
    </w:p>
    <w:p>
      <w:pPr>
        <w:pStyle w:val="Heading3"/>
        <w:numPr>
          <w:ilvl w:val="2"/>
          <w:numId w:val="1"/>
        </w:numPr>
        <w:rPr/>
      </w:pPr>
      <w:bookmarkStart w:id="45" w:name="__RefHeading___Toc1597058_581953129"/>
      <w:bookmarkStart w:id="46" w:name="_Toc17"/>
      <w:bookmarkEnd w:id="44"/>
      <w:bookmarkEnd w:id="45"/>
      <w:r>
        <w:rPr>
          <w:rtl w:val="true"/>
        </w:rPr>
        <w:t>ارکان وکالت</w:t>
      </w:r>
      <w:bookmarkEnd w:id="46"/>
    </w:p>
    <w:p>
      <w:pPr>
        <w:pStyle w:val="Heading4"/>
        <w:numPr>
          <w:ilvl w:val="3"/>
          <w:numId w:val="1"/>
        </w:numPr>
        <w:rPr/>
      </w:pPr>
      <w:bookmarkStart w:id="47" w:name="__RefHeading___Toc1597060_581953129"/>
      <w:bookmarkStart w:id="48" w:name="_Toc18"/>
      <w:bookmarkEnd w:id="47"/>
      <w:r>
        <w:rPr>
          <w:rtl w:val="true"/>
        </w:rPr>
        <w:t>اشاره</w:t>
      </w:r>
      <w:bookmarkEnd w:id="48"/>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برای وکالت عموماً چهار رکن قائلند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وکالت</w:t>
      </w:r>
      <w:r>
        <w:rPr>
          <w:rStyle w:val="FootnoteAnchor"/>
          <w:rtl w:val="true"/>
        </w:rPr>
        <w:footnoteReference w:id="58"/>
      </w:r>
    </w:p>
    <w:p>
      <w:pPr>
        <w:pStyle w:val="Heading4"/>
        <w:numPr>
          <w:ilvl w:val="3"/>
          <w:numId w:val="1"/>
        </w:numPr>
        <w:rPr/>
      </w:pPr>
      <w:bookmarkStart w:id="49" w:name="__RefHeading___Toc1597062_581953129"/>
      <w:bookmarkStart w:id="50" w:name="_Toc19"/>
      <w:bookmarkEnd w:id="49"/>
      <w:r>
        <w:rPr/>
        <w:t>1</w:t>
      </w:r>
      <w:r>
        <w:rPr>
          <w:rtl w:val="true"/>
        </w:rPr>
        <w:t xml:space="preserve">- </w:t>
      </w:r>
      <w:r>
        <w:rPr>
          <w:rtl w:val="true"/>
        </w:rPr>
        <w:t>عقد</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در لغت به‌معنای بستن و گره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طبق دیدگاه مورد نظر ما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دو قرار معاملی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این دو قرار به یکدیگر مرتبط و مقترن و به هم گره زده شود، عقد به وجود می‌آید و آثار حقوقی آن تحقق می‌یابد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عقد به این معنا در نگاهی کالبدشکافانه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آن به شکل ایجاب و قبول تجزیه می‌شود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عنصر اراده به وجود آوردن یک اثر حقوقی، نه وعده دوستانه یا اخلاقی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اراده</w:t>
      </w:r>
    </w:p>
    <w:p>
      <w:pPr>
        <w:pStyle w:val="BookText"/>
        <w:rPr/>
      </w:pPr>
      <w:r>
        <w:rPr>
          <w:rFonts w:ascii="IRNazanin" w:hAnsi="IRNazanin" w:eastAsia="IRNazanin"/>
          <w:color w:val="111111"/>
          <w:sz w:val="28"/>
          <w:sz w:val="28"/>
          <w:szCs w:val="28"/>
          <w:rtl w:val="true"/>
          <w:lang w:bidi="fa-IR"/>
        </w:rPr>
        <w:t>به‌صورت صریح اعلام شود که در غیر این صورت آثار حقوقی بر آن مترتب نمی‌شود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مفاد این عقد در اینجا همان اعطای نمایندگی از جانب موکل و پذیرش آن از جانب وکیل است که پس از رابطه میان دو قرار وکیل و موکل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از رابطه میان دو قرار و اهمیت دادن به قبول موکل، با آنکه حقیقت وکالت تنها اذن است</w:t>
      </w:r>
      <w:r>
        <w:rPr>
          <w:rStyle w:val="FootnoteAnchor"/>
          <w:rtl w:val="true"/>
        </w:rPr>
        <w:footnoteReference w:id="63"/>
      </w:r>
      <w:r>
        <w:rPr>
          <w:rFonts w:ascii="IRNazanin" w:hAnsi="IRNazanin" w:eastAsia="IRNazanin"/>
          <w:color w:val="111111"/>
          <w:sz w:val="28"/>
          <w:sz w:val="28"/>
          <w:szCs w:val="28"/>
          <w:rtl w:val="true"/>
          <w:lang w:bidi="fa-IR"/>
        </w:rPr>
        <w:t>و پای مبادله در بین نیست،</w:t>
      </w:r>
      <w:r>
        <w:rPr>
          <w:rStyle w:val="FootnoteAnchor"/>
          <w:rtl w:val="true"/>
        </w:rPr>
        <w:footnoteReference w:id="64"/>
      </w:r>
      <w:r>
        <w:rPr>
          <w:rFonts w:ascii="IRNazanin" w:hAnsi="IRNazanin" w:eastAsia="IRNazanin"/>
          <w:color w:val="111111"/>
          <w:sz w:val="28"/>
          <w:sz w:val="28"/>
          <w:szCs w:val="28"/>
          <w:rtl w:val="true"/>
          <w:lang w:bidi="fa-IR"/>
        </w:rPr>
        <w:t>منافات ندارد؛ چون مسلط کردن وکیل برای تصرف در شئون زندگی موکل به‌صورت قهری نمی‌تواند واقع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صورتی این امر محقق شده و آثار بر آن مترتب می‌شود که او نیز با اختیار بر سر آن توافق کرده و آن را اعلام کند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اعلام آن محدودیتی وجود ندارد و می‌شود به هر لفظی و حتی با فعل آن را اعلام کند</w:t>
      </w:r>
      <w:r>
        <w:rPr>
          <w:rStyle w:val="FootnoteAnchor"/>
          <w:rtl w:val="true"/>
        </w:rPr>
        <w:footnoteReference w:id="66"/>
      </w:r>
      <w:r>
        <w:rPr>
          <w:rFonts w:ascii="IRNazanin" w:hAnsi="IRNazanin" w:eastAsia="IRNazanin"/>
          <w:color w:val="111111"/>
          <w:sz w:val="28"/>
          <w:sz w:val="28"/>
          <w:szCs w:val="28"/>
          <w:rtl w:val="true"/>
          <w:lang w:bidi="fa-IR"/>
        </w:rPr>
        <w:t>که در این صورت به اعتقاد مشهور</w:t>
      </w:r>
      <w:r>
        <w:rPr>
          <w:rStyle w:val="FootnoteAnchor"/>
          <w:rtl w:val="true"/>
        </w:rPr>
        <w:footnoteReference w:id="67"/>
      </w:r>
      <w:r>
        <w:rPr>
          <w:rFonts w:ascii="IRNazanin" w:hAnsi="IRNazanin" w:eastAsia="IRNazanin"/>
          <w:color w:val="111111"/>
          <w:sz w:val="28"/>
          <w:sz w:val="28"/>
          <w:szCs w:val="28"/>
          <w:rtl w:val="true"/>
          <w:lang w:bidi="fa-IR"/>
        </w:rPr>
        <w:t>و صاحب جواهر از ماهیت عقد اصطلاحی تجرید می‌شود؛</w:t>
      </w:r>
      <w:r>
        <w:rPr>
          <w:rStyle w:val="FootnoteAnchor"/>
          <w:rtl w:val="true"/>
        </w:rPr>
        <w:footnoteReference w:id="68"/>
      </w:r>
      <w:r>
        <w:rPr>
          <w:rFonts w:ascii="IRNazanin" w:hAnsi="IRNazanin" w:eastAsia="IRNazanin"/>
          <w:color w:val="111111"/>
          <w:sz w:val="28"/>
          <w:sz w:val="28"/>
          <w:szCs w:val="28"/>
          <w:rtl w:val="true"/>
          <w:lang w:bidi="fa-IR"/>
        </w:rPr>
        <w:t>چون آن‌ها عقد را مساوی با ایجاب و قبول لفظی می‌دانند،</w:t>
      </w:r>
      <w:r>
        <w:rPr>
          <w:rStyle w:val="FootnoteAnchor"/>
          <w:rtl w:val="true"/>
        </w:rPr>
        <w:footnoteReference w:id="69"/>
      </w:r>
      <w:r>
        <w:rPr>
          <w:rFonts w:ascii="IRNazanin" w:hAnsi="IRNazanin" w:eastAsia="IRNazanin"/>
          <w:color w:val="111111"/>
          <w:sz w:val="28"/>
          <w:sz w:val="28"/>
          <w:szCs w:val="28"/>
          <w:rtl w:val="true"/>
          <w:lang w:bidi="fa-IR"/>
        </w:rPr>
        <w:t xml:space="preserve">ولی چون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عقود</w:t>
      </w:r>
    </w:p>
    <w:p>
      <w:pPr>
        <w:pStyle w:val="BookText"/>
        <w:rPr/>
      </w:pPr>
      <w:r>
        <w:rPr>
          <w:rFonts w:ascii="IRNazanin" w:hAnsi="IRNazanin" w:eastAsia="IRNazanin"/>
          <w:color w:val="111111"/>
          <w:sz w:val="28"/>
          <w:sz w:val="28"/>
          <w:szCs w:val="28"/>
          <w:rtl w:val="true"/>
          <w:lang w:bidi="fa-IR"/>
        </w:rPr>
        <w:t>انشاء شده با فعل مانند عقود انشاء شده با لفظ بوده و در دوره متأخر لفظ در عقد اعتبار گذشته‌اش را از دست داده است</w:t>
      </w:r>
      <w:r>
        <w:rPr>
          <w:rStyle w:val="FootnoteAnchor"/>
          <w:rtl w:val="true"/>
        </w:rPr>
        <w:footnoteReference w:id="70"/>
      </w:r>
      <w:r>
        <w:rPr>
          <w:rFonts w:ascii="IRNazanin" w:hAnsi="IRNazanin" w:eastAsia="IRNazanin"/>
          <w:color w:val="111111"/>
          <w:sz w:val="28"/>
          <w:sz w:val="28"/>
          <w:szCs w:val="28"/>
          <w:rtl w:val="true"/>
          <w:lang w:bidi="fa-IR"/>
        </w:rPr>
        <w:t xml:space="preserve">، بحث روی این موضوع ثمره نخواهد داشت؛ به‌خصوص با توجه به تحلیلی که صاحب مفتاح الکرامه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لزوم لفظ در عقد وکالت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مال مسلمان از تصرف غیر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تصرف در مال دیگران به اذن نیاز دارد و چون لفظ در کشف مقاصد باطنی ابزار مطمئنی است در ایجاب و قبول که مجوز تصرف واقع می‌شود، باید از آن استفاده شود؛ زیرا دلالت فعل ظنی است و چیزی را روشن نمی‌کند و ممکن است منشأ نزاع و اختلاف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واضح است که این تحلیل درباره عقد وکالت بااهمیت نیست؛ چون عقدی است که ماهیت آن جایز بوده و فرصت رفع نزاع و اختلاف تا سطح پاک کردن اصل صورت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برای این گونه نگرانی وجود ندارد تا خود را به چیزهای زاید و دست‌وپاگیر ملزم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ضرورت رعایت اصل مصلحت موکل در وکالت جا برای دغدغه تضییع منافع موکل نخواهد گذاشت</w:t>
      </w:r>
      <w:r>
        <w:rPr>
          <w:rFonts w:eastAsia="IRNazanin" w:cs="IRNazanin"/>
          <w:color w:val="111111"/>
          <w:sz w:val="28"/>
          <w:szCs w:val="28"/>
          <w:rtl w:val="true"/>
          <w:lang w:bidi="fa-IR"/>
        </w:rPr>
        <w:t>.</w:t>
      </w:r>
      <w:r>
        <w:rPr>
          <w:rStyle w:val="FootnoteAnchor"/>
          <w:rtl w:val="true"/>
        </w:rPr>
        <w:footnoteReference w:id="7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همین است که وکالت با قرار</w:t>
      </w:r>
    </w:p>
    <w:p>
      <w:pPr>
        <w:pStyle w:val="BookText"/>
        <w:rPr/>
      </w:pPr>
      <w:r>
        <w:rPr>
          <w:rFonts w:ascii="IRNazanin" w:hAnsi="IRNazanin" w:eastAsia="IRNazanin"/>
          <w:color w:val="111111"/>
          <w:sz w:val="28"/>
          <w:sz w:val="28"/>
          <w:szCs w:val="28"/>
          <w:rtl w:val="true"/>
          <w:lang w:bidi="fa-IR"/>
        </w:rPr>
        <w:t>طرفین وجود حقوقی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مفهوم عقد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اذنی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که در طبقه‌بندی عقود برای وکالت به کار می‌رود، چیست؟ آیا اذنی بودن وکالت با عقدی بودن آن قابل جمع است؟ تقریر مناسب این مطلب در بیان یکی از حقوق‌دانان‌های معاصر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وکالت در زمره عقود اذنی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اثر مستقیم آن ایجاد اذن است؛ اختیاری که به وکیل تفویض می‌شود و او به طور صریح یا ضمنی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نیز عقد وکالت جایز است و هیچ التزامی را برای وکیل و موکل ایجاد نمی‌کند و با فوت و حجر یکی از آنها منفسخ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تفویض اختیار و دادن اذن به وکیل متضمن این تعهد نیز هست که تا اذن باقی است، آثار حقوقی اعمالی را که او به نیابت انجام می‌دهد، موکل می‌پذیرد و مخارجی را که کرده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تحقق این تعهد منوط به اجرای وکالت است و تعهد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دیگران است و در واقع اثر اجرای اذن است، نه نتیجه عقد، وکالت را در مرحله نخست باید در شمار عقود اذنی آورد و به اعتبار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وکیل هم پذیرش اختیار تفویض شده او را ملتزم به اجرای وکالت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این التزام نیز نتیجه مستقیم عقد</w:t>
      </w:r>
      <w:bookmarkStart w:id="51" w:name="pg5406_38372"/>
    </w:p>
    <w:p>
      <w:pPr>
        <w:pStyle w:val="BookText"/>
        <w:rPr/>
      </w:pPr>
      <w:bookmarkEnd w:id="51"/>
      <w:r>
        <w:rPr>
          <w:rFonts w:ascii="IRNazanin" w:hAnsi="IRNazanin" w:eastAsia="IRNazanin"/>
          <w:color w:val="111111"/>
          <w:sz w:val="28"/>
          <w:sz w:val="28"/>
          <w:szCs w:val="28"/>
          <w:rtl w:val="true"/>
          <w:lang w:bidi="fa-IR"/>
        </w:rPr>
        <w:t>نیست و از لوازم نگهداری سمت امانت و نیابت به شمار می‌آید، وکیل در فسخ عقد آزاد است، ولی اگر رابطه قراردادی را نگاه دارد و بار امانت را بر دوش کشد باید به مفاد آن سمت نیز پایبند بماند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52" w:name="__RefHeading___Toc1597064_581953129"/>
      <w:bookmarkStart w:id="53" w:name="_Toc20"/>
      <w:bookmarkEnd w:id="52"/>
      <w:r>
        <w:rPr/>
        <w:t>2</w:t>
      </w:r>
      <w:r>
        <w:rPr>
          <w:rtl w:val="true"/>
        </w:rPr>
        <w:t xml:space="preserve">- </w:t>
      </w:r>
      <w:r>
        <w:rPr>
          <w:rtl w:val="true"/>
        </w:rPr>
        <w:t>موکل</w:t>
      </w:r>
      <w:bookmarkEnd w:id="53"/>
    </w:p>
    <w:p>
      <w:pPr>
        <w:pStyle w:val="BookText"/>
        <w:rPr/>
      </w:pPr>
      <w:r>
        <w:rPr>
          <w:rFonts w:ascii="IRNazanin" w:hAnsi="IRNazanin" w:eastAsia="IRNazanin"/>
          <w:color w:val="111111"/>
          <w:sz w:val="28"/>
          <w:sz w:val="28"/>
          <w:szCs w:val="28"/>
          <w:rtl w:val="true"/>
          <w:lang w:bidi="fa-IR"/>
        </w:rPr>
        <w:t>از وی به منوب‌عنه و مستنیب نیز تعبیر می‌شود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فردی است که از شخص دیگر درخواست نمایندگی کرده تا درباره فلان عمل مشخص یا عام به جای او اقدام به تصرف کند که بر این اساس، تمام مسئولیت و عواقب حقوقی عمل به موکل بازگشت می‌نماید؛ چون در واقع این اراده اوست که با خواستن آثار حقوقی عمل مورد توافق، با واسطه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اهلیت این شخص که شرعاً بتواند چنین اقدامی کند، در فقه امامیه سه شرط ذکر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یعنی رسیدن انسان به حدی که در اثر رشد و تقویت غرایز جنسی آمادگی برای ازدواج پیدا می‌کند که مطابق فقه شیعه به سه نشانه قابل شناسایی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روییدن موی خشن در زیر ناف؛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منی از مخرج معتاد؛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برای مردان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مزبور برای زنان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کامل؛ که در مقابل جنون</w:t>
      </w:r>
      <w:r>
        <w:rPr>
          <w:rStyle w:val="FootnoteAnchor"/>
          <w:rtl w:val="true"/>
        </w:rPr>
        <w:footnoteReference w:id="77"/>
      </w:r>
      <w:r>
        <w:rPr>
          <w:rFonts w:ascii="IRNazanin" w:hAnsi="IRNazanin" w:eastAsia="IRNazanin"/>
          <w:color w:val="111111"/>
          <w:sz w:val="28"/>
          <w:sz w:val="28"/>
          <w:szCs w:val="28"/>
          <w:rtl w:val="true"/>
          <w:lang w:bidi="fa-IR"/>
        </w:rPr>
        <w:t>به کار می‌رود، نه در برابر غیر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آن عرف و وجدان عمومی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ممنوعیت شرعی از تصرف در عمل مورد وکالت؛ یعنی خود موکل بتواند به طور مستقیم در آن عمل دخالت کند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کودکی که به سن بلوغ نرسیده و مجنون که قوای دماغی او سالم نیست و دچار اختلال شده، فاقد اهلیت برای توکیلند؛ چون اراده که باید پشتوانه هر قرار عقلایی باشد و تمام اثر بر آن مترتب شود،</w:t>
      </w:r>
      <w:r>
        <w:rPr>
          <w:rStyle w:val="FootnoteAnchor"/>
          <w:rtl w:val="true"/>
        </w:rPr>
        <w:footnoteReference w:id="79"/>
      </w:r>
      <w:r>
        <w:rPr>
          <w:rFonts w:ascii="IRNazanin" w:hAnsi="IRNazanin" w:eastAsia="IRNazanin"/>
          <w:color w:val="111111"/>
          <w:sz w:val="28"/>
          <w:sz w:val="28"/>
          <w:szCs w:val="28"/>
          <w:rtl w:val="true"/>
          <w:lang w:bidi="fa-IR"/>
        </w:rPr>
        <w:t>در اینها وجود ندارد؛ ازاین‌رو درباره هیچ تصمیمی از آنها اطمینان بر دوام و ثبات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شخصی که از تصرف عاقلانه در اموال خود عاجز است و آن را صرف اغراض نادرست می‌کند</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فرد ورشکسته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توکیل در اموال خود ندارند؛ چون تصرف آنها در این حیطه شرعاً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می‌توانند در غیر امور مالی برای خود وکیل بگیرند؛</w:t>
      </w:r>
      <w:r>
        <w:rPr>
          <w:rStyle w:val="FootnoteAnchor"/>
          <w:rtl w:val="true"/>
        </w:rPr>
        <w:footnoteReference w:id="81"/>
      </w:r>
      <w:r>
        <w:rPr>
          <w:rFonts w:ascii="IRNazanin" w:hAnsi="IRNazanin" w:eastAsia="IRNazanin"/>
          <w:color w:val="111111"/>
          <w:sz w:val="28"/>
          <w:sz w:val="28"/>
          <w:szCs w:val="28"/>
          <w:rtl w:val="true"/>
          <w:lang w:bidi="fa-IR"/>
        </w:rPr>
        <w:t>زیرا مبنای حجر این افراد حمایت از اتلاف اموال آن‌هاست</w:t>
      </w:r>
      <w:r>
        <w:rPr>
          <w:rStyle w:val="FootnoteAnchor"/>
          <w:rtl w:val="true"/>
        </w:rPr>
        <w:footnoteReference w:id="82"/>
      </w:r>
      <w:r>
        <w:rPr>
          <w:rFonts w:ascii="IRNazanin" w:hAnsi="IRNazanin" w:eastAsia="IRNazanin"/>
          <w:color w:val="111111"/>
          <w:sz w:val="28"/>
          <w:sz w:val="28"/>
          <w:szCs w:val="28"/>
          <w:rtl w:val="true"/>
          <w:lang w:bidi="fa-IR"/>
        </w:rPr>
        <w:t>که در این فرض منتفی است</w:t>
      </w:r>
      <w:r>
        <w:rPr>
          <w:rFonts w:eastAsia="IRNazanin" w:cs="IRNazanin"/>
          <w:color w:val="111111"/>
          <w:sz w:val="28"/>
          <w:szCs w:val="28"/>
          <w:rtl w:val="true"/>
          <w:lang w:bidi="fa-IR"/>
        </w:rPr>
        <w:t>.</w:t>
      </w:r>
      <w:bookmarkStart w:id="54" w:name="pg5406_38378"/>
    </w:p>
    <w:p>
      <w:pPr>
        <w:pStyle w:val="BookText"/>
        <w:rPr/>
      </w:pPr>
      <w:bookmarkEnd w:id="54"/>
      <w:r>
        <w:rPr>
          <w:rFonts w:ascii="IRNazanin" w:hAnsi="IRNazanin" w:eastAsia="IRNazanin"/>
          <w:color w:val="111111"/>
          <w:sz w:val="28"/>
          <w:sz w:val="28"/>
          <w:szCs w:val="28"/>
          <w:rtl w:val="true"/>
          <w:lang w:bidi="fa-IR"/>
        </w:rPr>
        <w:t xml:space="preserve">همان‌گونه که روشن است، این شرایط در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وکیل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تفصیل یک شرط اساسی است و آن جواز تصرف مستقیم خود شخص موکل در موضوع مورد وکالت است؛ یعنی اینکه مجنون یا طفل و یا محجور حق توکیل ندارند، به دلیل آن است که قبلاً از آنها حق تصرف سلب شده است و در یک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اهلیت موکل برای اعطای نمایندگی با اهلیت برای انجام کار ارتباط پیدا می‌کند و نمی‌توان این دو صلاحیت را از هم تفکیک کرد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55" w:name="__RefHeading___Toc1597066_581953129"/>
      <w:bookmarkStart w:id="56" w:name="_Toc21"/>
      <w:bookmarkEnd w:id="55"/>
      <w:r>
        <w:rPr/>
        <w:t>3</w:t>
      </w:r>
      <w:r>
        <w:rPr>
          <w:rtl w:val="true"/>
        </w:rPr>
        <w:t xml:space="preserve">- </w:t>
      </w:r>
      <w:r>
        <w:rPr>
          <w:rtl w:val="true"/>
        </w:rPr>
        <w:t>وکیل</w:t>
      </w:r>
      <w:bookmarkEnd w:id="56"/>
    </w:p>
    <w:p>
      <w:pPr>
        <w:pStyle w:val="BookText"/>
        <w:rPr/>
      </w:pPr>
      <w:r>
        <w:rPr>
          <w:rFonts w:ascii="IRNazanin" w:hAnsi="IRNazanin" w:eastAsia="IRNazanin"/>
          <w:color w:val="111111"/>
          <w:sz w:val="28"/>
          <w:sz w:val="28"/>
          <w:szCs w:val="28"/>
          <w:rtl w:val="true"/>
          <w:lang w:bidi="fa-IR"/>
        </w:rPr>
        <w:t>وکیل فردی است که پذیرفته عمل یا اعمالی را طبق نیابت از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وکیل، به‌طور عمده همان شرایط موکل است که برای همین برخی منابع اصلاً میان شرایط کلی آن دو تفکیک نکرده‌اند</w:t>
      </w:r>
      <w:r>
        <w:rPr>
          <w:rStyle w:val="FootnoteAnchor"/>
          <w:rtl w:val="true"/>
        </w:rPr>
        <w:footnoteReference w:id="84"/>
      </w:r>
      <w:r>
        <w:rPr>
          <w:rFonts w:ascii="IRNazanin" w:hAnsi="IRNazanin" w:eastAsia="IRNazanin"/>
          <w:color w:val="111111"/>
          <w:sz w:val="28"/>
          <w:sz w:val="28"/>
          <w:szCs w:val="28"/>
          <w:rtl w:val="true"/>
          <w:lang w:bidi="fa-IR"/>
        </w:rPr>
        <w:t>و باز آنچه نقش یک قاعده را در اینجا ایفا می‌کند، همان شرط سوم است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ان یلیه بنفسه، و تصح النیابة فیه، صح ان یکون فیه وکیلا؛</w:t>
      </w:r>
      <w:r>
        <w:rPr>
          <w:rStyle w:val="FootnoteAnchor"/>
          <w:rtl w:val="true"/>
        </w:rPr>
        <w:footnoteReference w:id="85"/>
      </w:r>
      <w:r>
        <w:rPr>
          <w:rFonts w:ascii="IRNazanin" w:hAnsi="IRNazanin" w:eastAsia="IRNazanin"/>
          <w:color w:val="111111"/>
          <w:sz w:val="28"/>
          <w:sz w:val="28"/>
          <w:szCs w:val="28"/>
          <w:rtl w:val="true"/>
          <w:lang w:bidi="fa-IR"/>
        </w:rPr>
        <w:t>در هر موردی که شخصی حق تصرف داشته و آن مورد وکالت‌پذیر هم باشد، وکالتش درست است</w:t>
      </w:r>
      <w:r>
        <w:rPr>
          <w:rFonts w:eastAsia="IRNazanin" w:cs="IRNazanin"/>
          <w:color w:val="111111"/>
          <w:sz w:val="28"/>
          <w:szCs w:val="28"/>
          <w:rtl w:val="true"/>
          <w:lang w:bidi="fa-IR"/>
        </w:rPr>
        <w:t>.»</w:t>
      </w:r>
      <w:bookmarkStart w:id="57" w:name="pg5406_38380"/>
    </w:p>
    <w:p>
      <w:pPr>
        <w:pStyle w:val="BookText"/>
        <w:rPr/>
      </w:pPr>
      <w:bookmarkEnd w:id="57"/>
      <w:r>
        <w:rPr>
          <w:rFonts w:ascii="IRNazanin" w:hAnsi="IRNazanin" w:eastAsia="IRNazanin"/>
          <w:color w:val="111111"/>
          <w:sz w:val="28"/>
          <w:sz w:val="28"/>
          <w:szCs w:val="28"/>
          <w:rtl w:val="true"/>
          <w:lang w:bidi="fa-IR"/>
        </w:rPr>
        <w:t>به‌عبارتی باید شخص وکیل در موردی که وکالت می‌پذیرد، قبلاً و بدون این وکالت اقدام و دخالتش معقول باشد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برای او تحریم نشده باشد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وکالت برای هر تصرفی اهلیت‌ساز نیست، بلکه تغییری در مسیر آثار حقوقی عمل توسط آن از عامل به‌سوی موکل است که همه حقوق و تعهدات ناشی از آن متوجه شخص موکل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صلاح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دانایی وکیل به زبان محاوره را هم واجب دانسته‌اند که فقهای بعدی بدان اعتنا نکرده و حداکثر به‌صورت استحباب ارشادی آن را پذیرفته‌اند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58" w:name="__RefHeading___Toc1597068_581953129"/>
      <w:bookmarkStart w:id="59" w:name="_Toc22"/>
      <w:bookmarkEnd w:id="58"/>
      <w:r>
        <w:rPr/>
        <w:t>4</w:t>
      </w:r>
      <w:r>
        <w:rPr>
          <w:rtl w:val="true"/>
        </w:rPr>
        <w:t xml:space="preserve">- </w:t>
      </w:r>
      <w:r>
        <w:rPr>
          <w:rtl w:val="true"/>
        </w:rPr>
        <w:t>قلمرو وکالت</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وکالت یا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مواردی است که برای آن نیابت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متنوعی از زندگی انسان از چنین قابلیتی برخوردار است و در مقابل، بخشی از آن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برای اولین بار در مبسوط موارد نیابت‌پذیر را فهرست کرده و در جاهایی هم تلویحاً دست به قاعده‌سازی برده است؛ مثل آن که درباره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حد قذف مثل قصاص از حقوق</w:t>
      </w:r>
    </w:p>
    <w:p>
      <w:pPr>
        <w:pStyle w:val="BookText"/>
        <w:rPr/>
      </w:pPr>
      <w:r>
        <w:rPr>
          <w:rFonts w:ascii="IRNazanin" w:hAnsi="IRNazanin" w:eastAsia="IRNazanin"/>
          <w:color w:val="111111"/>
          <w:sz w:val="28"/>
          <w:sz w:val="28"/>
          <w:szCs w:val="28"/>
          <w:rtl w:val="true"/>
          <w:lang w:bidi="fa-IR"/>
        </w:rPr>
        <w:t>انسانی است، وکالت در آن اشکال ندارد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روشن است که ایشان حقوق انسانی را قبلاً به‌عنوان یک قاعده در نظر گرفته که به همین جهت وکالت در قذف را به این مسأله ارجاع کرده است، ولی حقوق آدمی همه از این دست نیست؛ مثلاً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از حقوق انسانی است، نیابت‌پذیر نیست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بنابراین، آنچه تا حدودی در صبغه یک قاعده مورد قبول واقع شده و در برخی متون حقوقی مبتنی بر فقه شیعه هم راه یافته،</w:t>
      </w:r>
      <w:r>
        <w:rPr>
          <w:rStyle w:val="FootnoteAnchor"/>
          <w:rtl w:val="true"/>
        </w:rPr>
        <w:footnoteReference w:id="91"/>
      </w:r>
      <w:r>
        <w:rPr>
          <w:rFonts w:ascii="IRNazanin" w:hAnsi="IRNazanin" w:eastAsia="IRNazanin"/>
          <w:color w:val="111111"/>
          <w:sz w:val="28"/>
          <w:sz w:val="28"/>
          <w:szCs w:val="28"/>
          <w:rtl w:val="true"/>
          <w:lang w:bidi="fa-IR"/>
        </w:rPr>
        <w:t>بیانی از علامه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انجام آن از سوی موکل؛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نیابت دادن به دیگری؛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بودن آن هرچند به اجمال</w:t>
      </w:r>
      <w:r>
        <w:rPr>
          <w:rFonts w:eastAsia="IRNazanin" w:cs="IRNazanin"/>
          <w:color w:val="111111"/>
          <w:sz w:val="28"/>
          <w:szCs w:val="28"/>
          <w:rtl w:val="true"/>
          <w:lang w:bidi="fa-IR"/>
        </w:rPr>
        <w:t>.</w:t>
      </w:r>
      <w:r>
        <w:rPr>
          <w:rStyle w:val="FootnoteAnchor"/>
          <w:rtl w:val="true"/>
        </w:rPr>
        <w:footnoteReference w:id="9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موضوعی که وکالت داده می‌شود باید برای موکل منع عقلی یا شرعی نداشته باشد؛ یعنی مقصود توانایی صرفاً عملی نیست تا گفته شود شخصی که خود آگاهی حقوقی لازم ندارد، فاقد اهلیت توکیل است، و یا مردم که به طور عموم شایستگی تصدی کار حکومتی ندارند، حق گزینش افراد دیگر به‌عنوان وکیل هم نخواهند داشت، بلکه مقصود از امکان انجام،</w:t>
      </w:r>
    </w:p>
    <w:p>
      <w:pPr>
        <w:pStyle w:val="BookText"/>
        <w:rPr/>
      </w:pPr>
      <w:r>
        <w:rPr>
          <w:rFonts w:ascii="IRNazanin" w:hAnsi="IRNazanin" w:eastAsia="IRNazanin"/>
          <w:color w:val="111111"/>
          <w:sz w:val="28"/>
          <w:sz w:val="28"/>
          <w:szCs w:val="28"/>
          <w:rtl w:val="true"/>
          <w:lang w:bidi="fa-IR"/>
        </w:rPr>
        <w:t>آن چیزی است که در زبان حقوقی بدان توانایی حقوقی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شخصی که در زندان و یا مریض است و نمی‌تواند برای تنظیم سند رسمی و یا انجام معامله‌ای حاضر شود و به دیگری وکالت دهد، هیچ‌کس در نفوذ چنین وکالتی تردید ندارد؛ زیرا وکالت برای برداشتن همین‌گونه موانع و راه‌گشایی برای موکل است تا گرفتاری‌ها و مشکل‌های عملی نتواند او را از انجام اعمال حقوقی مورد نیاز بازدارد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قابل یادآوری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 از شرط نخست مبنی بر تقریری است که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قراین موجود در کلام خود علامه و انتقادهایی که در این باره شده، ارائه کرده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خود عمل باید نیابت‌پذیر باشد؛ یعنی از اعمالی باشد که شارع مصلحتش را در مباشرت فرد مکلف منوط نکرده باشد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عمده اعمال عبادی این طور نیست، بلکه غرض از آن فقط با مباشرت فرد مکلف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جریان وکالت در گستره بسیاری از آن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به‌معنای این نیست که در اعمال عبادی اصل را بر وکالت‌ناپذیری بگذاریم که در باب وکالت طبق فرموده صاحب جواهر یک اصل بیشتر وجود ندارد و آن وکالت‌پذیری هر عمل به اقتضای طبع خودش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لذا چشم‌دوختن به ادله شرعی برای آن</w:t>
      </w:r>
      <w:bookmarkStart w:id="60" w:name="pg5406_38389"/>
    </w:p>
    <w:p>
      <w:pPr>
        <w:pStyle w:val="BookText"/>
        <w:rPr/>
      </w:pPr>
      <w:bookmarkEnd w:id="60"/>
      <w:r>
        <w:rPr>
          <w:rFonts w:ascii="IRNazanin" w:hAnsi="IRNazanin" w:eastAsia="IRNazanin"/>
          <w:color w:val="111111"/>
          <w:sz w:val="28"/>
          <w:sz w:val="28"/>
          <w:szCs w:val="28"/>
          <w:rtl w:val="true"/>
          <w:lang w:bidi="fa-IR"/>
        </w:rPr>
        <w:t>است که بدانیم کدام عمل، اعم از عبادی و غیر آن وکالت‌پذیر نیست تا از آن به‌جای یک قاعده شکاف‌ناپذیر در این باره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شرط، عدم علم به حرمت کافی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درباره شرط سوم، علم به تفصیل و جزئیات متعلق وکالت مقصود نیست، بلکه میزانی از معلومیت موردنظر است که یک سردرگمی مطلق در کار نباشد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61" w:name="__RefHeading___Toc1597070_581953129"/>
      <w:bookmarkStart w:id="62" w:name="_Toc23"/>
      <w:bookmarkEnd w:id="61"/>
      <w:r>
        <w:rPr>
          <w:rtl w:val="true"/>
        </w:rPr>
        <w:t>وکالت در شئون حکومتی</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تحلیل از حکومت بر اساس وکالت فقهی که تمام اقتدار و اختیار آن را مبتنی بر این نوع قرارداد می‌داند، هم بحثی جدید است و هم برخلاف وکالت در شئون شخصی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تحلیل قابل‌توجه از آن در حکمت و حکومت</w:t>
      </w:r>
      <w:r>
        <w:rPr>
          <w:rStyle w:val="FootnoteAnchor"/>
          <w:rtl w:val="true"/>
        </w:rPr>
        <w:footnoteReference w:id="99"/>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منبع، این موضوع حداقل در مطالعات فقهی شیعه به طور جدی دنبال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بخواهیم بررسی سنخ‌شناسانه نماییم، می‌توان برای آن نمونه‌ای نشان داد که فقها امکان وکالت در برخی شئون حکومتی را مطرح کرده‌اند؛ برای مثال شیخ طوسی در همان فهرست یاد شده از موارد قابل نیابت به</w:t>
      </w:r>
    </w:p>
    <w:p>
      <w:pPr>
        <w:pStyle w:val="BookText"/>
        <w:rPr/>
      </w:pPr>
      <w:r>
        <w:rPr>
          <w:rFonts w:ascii="IRNazanin" w:hAnsi="IRNazanin" w:eastAsia="IRNazanin"/>
          <w:color w:val="111111"/>
          <w:sz w:val="28"/>
          <w:sz w:val="28"/>
          <w:szCs w:val="28"/>
          <w:rtl w:val="true"/>
          <w:lang w:bidi="fa-IR"/>
        </w:rPr>
        <w:t>جواز وکالت در قضاء تصریح کرده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بدون تردید توکیل در این زمینه، توکیل در امور شخصی نیست، بلکه از اهمِ شئون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بعدها از سوی فقهای دیگر تعقیب شده</w:t>
      </w:r>
      <w:r>
        <w:rPr>
          <w:rStyle w:val="FootnoteAnchor"/>
          <w:rtl w:val="true"/>
        </w:rPr>
        <w:footnoteReference w:id="101"/>
      </w:r>
      <w:r>
        <w:rPr>
          <w:rFonts w:ascii="IRNazanin" w:hAnsi="IRNazanin" w:eastAsia="IRNazanin"/>
          <w:color w:val="111111"/>
          <w:sz w:val="28"/>
          <w:sz w:val="28"/>
          <w:szCs w:val="28"/>
          <w:rtl w:val="true"/>
          <w:lang w:bidi="fa-IR"/>
        </w:rPr>
        <w:t>تا اینکه صاحب جواهر با تعمیق بیشتر در کتاب القضاء</w:t>
      </w:r>
      <w:r>
        <w:rPr>
          <w:rStyle w:val="FootnoteAnchor"/>
          <w:rtl w:val="true"/>
        </w:rPr>
        <w:footnoteReference w:id="102"/>
      </w:r>
      <w:r>
        <w:rPr>
          <w:rFonts w:ascii="IRNazanin" w:hAnsi="IRNazanin" w:eastAsia="IRNazanin"/>
          <w:color w:val="111111"/>
          <w:sz w:val="28"/>
          <w:sz w:val="28"/>
          <w:szCs w:val="28"/>
          <w:rtl w:val="true"/>
          <w:lang w:bidi="fa-IR"/>
        </w:rPr>
        <w:t>و کتاب الوکالة</w:t>
      </w:r>
      <w:r>
        <w:rPr>
          <w:rStyle w:val="FootnoteAnchor"/>
          <w:rtl w:val="true"/>
        </w:rPr>
        <w:footnoteReference w:id="103"/>
      </w:r>
      <w:r>
        <w:rPr>
          <w:rFonts w:ascii="IRNazanin" w:hAnsi="IRNazanin" w:eastAsia="IRNazanin"/>
          <w:color w:val="111111"/>
          <w:sz w:val="28"/>
          <w:sz w:val="28"/>
          <w:szCs w:val="28"/>
          <w:rtl w:val="true"/>
          <w:lang w:bidi="fa-IR"/>
        </w:rPr>
        <w:t>به جواز آن قائل گردیده که توکیل در این زمینه از سوی متولیان اصیل آن، یعنی شخص امام و یا فقیه جامع الشرایط، در عصر حضور و غیبت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 در فقه اهل سنت، مطابق تحلیل زحیلی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مشروعیت قضاوت اصولاً به وکالت از مردم پیوند زده می‌شود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به‌صورت پیش‌زمینه نیاز است، این است که توکیل در شئون حکومتی دست‌کم در شکل تفکیک شده و یا سطوح حداقلی آن به شهادت همین مورد، در فقه شیعه امر شناخته شده و قابل پذیرشی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بحث بر وکالت زن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موضوع این کتاب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به دلیل ماهیت حکوتی آن، از نظر سنخی موضوعی عاری از هرگونه سوابق نخواهد بود تا سخن از وکالت زن در این حوزه مبتنی بر یک پیش‌فرض موهوم و پاک بی‌معنا بوده باشد و در نتیجه هرگونه بحث در این فرع تطویل بلاطایل تلقی شود</w:t>
      </w:r>
      <w:r>
        <w:rPr>
          <w:rFonts w:eastAsia="IRNazanin" w:cs="IRNazanin"/>
          <w:color w:val="111111"/>
          <w:sz w:val="28"/>
          <w:szCs w:val="28"/>
          <w:rtl w:val="true"/>
          <w:lang w:bidi="fa-IR"/>
        </w:rPr>
        <w:t>.</w:t>
      </w:r>
      <w:bookmarkStart w:id="63" w:name="pg5406_38397"/>
    </w:p>
    <w:p>
      <w:pPr>
        <w:pStyle w:val="Heading2"/>
        <w:numPr>
          <w:ilvl w:val="1"/>
          <w:numId w:val="1"/>
        </w:numPr>
        <w:rPr/>
      </w:pPr>
      <w:bookmarkStart w:id="64" w:name="__RefHeading___Toc1597072_581953129"/>
      <w:bookmarkStart w:id="65" w:name="_Toc24"/>
      <w:bookmarkEnd w:id="63"/>
      <w:bookmarkEnd w:id="64"/>
      <w:r>
        <w:rPr/>
        <w:t>2</w:t>
      </w:r>
      <w:r>
        <w:rPr>
          <w:rtl w:val="true"/>
        </w:rPr>
        <w:t xml:space="preserve">- </w:t>
      </w:r>
      <w:r>
        <w:rPr>
          <w:rtl w:val="true"/>
        </w:rPr>
        <w:t>وکالت زن در دعاوی</w:t>
      </w:r>
      <w:bookmarkEnd w:id="65"/>
    </w:p>
    <w:p>
      <w:pPr>
        <w:pStyle w:val="Heading3"/>
        <w:numPr>
          <w:ilvl w:val="2"/>
          <w:numId w:val="1"/>
        </w:numPr>
        <w:rPr/>
      </w:pPr>
      <w:bookmarkStart w:id="66" w:name="__RefHeading___Toc1597074_581953129"/>
      <w:bookmarkStart w:id="67" w:name="_Toc25"/>
      <w:bookmarkEnd w:id="66"/>
      <w:r>
        <w:rPr>
          <w:rtl w:val="true"/>
        </w:rPr>
        <w:t>وکالت زن در دعاوی</w:t>
      </w:r>
      <w:bookmarkEnd w:id="67"/>
    </w:p>
    <w:p>
      <w:pPr>
        <w:pStyle w:val="Heading3"/>
        <w:numPr>
          <w:ilvl w:val="2"/>
          <w:numId w:val="1"/>
        </w:numPr>
        <w:rPr/>
      </w:pPr>
      <w:bookmarkStart w:id="68" w:name="__RefHeading___Toc1597076_581953129"/>
      <w:bookmarkStart w:id="69" w:name="_Toc26"/>
      <w:bookmarkEnd w:id="68"/>
      <w:r>
        <w:rPr>
          <w:rtl w:val="true"/>
        </w:rPr>
        <w:t>تبیین موضوع</w:t>
      </w:r>
      <w:bookmarkEnd w:id="69"/>
    </w:p>
    <w:p>
      <w:pPr>
        <w:pStyle w:val="Heading4"/>
        <w:numPr>
          <w:ilvl w:val="3"/>
          <w:numId w:val="1"/>
        </w:numPr>
        <w:rPr/>
      </w:pPr>
      <w:bookmarkStart w:id="70" w:name="__RefHeading___Toc1597078_581953129"/>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وکالت زن در دعاوی زیرمجموعه وکالت به‌معنای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آن به وکالت خاص یا مقید هم یاد کرد؛ چون مورد وکالت مشخص شده و وکیل فقط در همان دایره مورد توافق ایفای نمایندگی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ابعاد این موضوع را در ضمن محورهایی که عموما به اصل و کلیت وکالت دعاوی مرتبط است، پی 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وکالت دعاوی؛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موضوع یا پیشینه اثر؛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وکالت دعاوی در جهان معاصر و نقش زنان؛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وکالت دعاوی؛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دعاوی در اسلام و جایگاه زنان؛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نگرشی کوتاه به حکم وکالت دعاوی در فقه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72" w:name="pg5406_38400"/>
    </w:p>
    <w:p>
      <w:pPr>
        <w:pStyle w:val="Heading4"/>
        <w:numPr>
          <w:ilvl w:val="3"/>
          <w:numId w:val="1"/>
        </w:numPr>
        <w:rPr/>
      </w:pPr>
      <w:bookmarkStart w:id="73" w:name="__RefHeading___Toc1597080_581953129"/>
      <w:bookmarkStart w:id="74" w:name="_Toc28"/>
      <w:bookmarkEnd w:id="72"/>
      <w:bookmarkEnd w:id="73"/>
      <w:r>
        <w:rPr/>
        <w:t>1</w:t>
      </w:r>
      <w:r>
        <w:rPr>
          <w:rtl w:val="true"/>
        </w:rPr>
        <w:t>-</w:t>
      </w:r>
      <w:r>
        <w:rPr>
          <w:rtl w:val="true"/>
        </w:rPr>
        <w:t>تعریف وکالت دعاوی</w:t>
      </w:r>
      <w:bookmarkEnd w:id="74"/>
    </w:p>
    <w:p>
      <w:pPr>
        <w:pStyle w:val="BookText"/>
        <w:rPr/>
      </w:pPr>
      <w:r>
        <w:rPr>
          <w:rFonts w:ascii="IRNazanin" w:hAnsi="IRNazanin" w:eastAsia="IRNazanin"/>
          <w:color w:val="111111"/>
          <w:sz w:val="28"/>
          <w:sz w:val="28"/>
          <w:szCs w:val="28"/>
          <w:rtl w:val="true"/>
          <w:lang w:bidi="fa-IR"/>
        </w:rPr>
        <w:t>وکالت دعاوی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این واژه در عصر ما همان وکالت در خصومت است که پیش‌تر در بیان برخی از فقها آمده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متون حقوق کشورهای عربی بدان محامات</w:t>
      </w:r>
      <w:r>
        <w:rPr>
          <w:rStyle w:val="FootnoteAnchor"/>
          <w:rtl w:val="true"/>
        </w:rPr>
        <w:footnoteReference w:id="108"/>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کسی که مسئولیت در چنین وکالتی را می‌پذیرد، در حقوق ایران وکیل دعاوی و یا وکیل دادگستری، در عربی محامی و در انگلیسی </w:t>
      </w:r>
      <w:r>
        <w:rPr>
          <w:rFonts w:eastAsia="Times New Roman" w:cs="Times New Roman" w:ascii="Times New Roman" w:hAnsi="Times New Roman"/>
          <w:color w:val="111111"/>
          <w:sz w:val="28"/>
          <w:szCs w:val="28"/>
          <w:lang w:val="en-US" w:bidi="en-US"/>
        </w:rPr>
        <w:t>attorny at 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به‌راستی مفهوم این وکالت چیست؟ و به عبارتی مشخصات آن در مقایسه با مصادیق دیگر کدام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متأسفانه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 وکالت دعاوی در دوره‌های اولیه فقه تنها نمونه بارز و نخست وکالت بوده و</w:t>
      </w:r>
    </w:p>
    <w:p>
      <w:pPr>
        <w:pStyle w:val="BookText"/>
        <w:rPr/>
      </w:pPr>
      <w:r>
        <w:rPr>
          <w:rFonts w:ascii="IRNazanin" w:hAnsi="IRNazanin" w:eastAsia="IRNazanin"/>
          <w:color w:val="111111"/>
          <w:sz w:val="28"/>
          <w:sz w:val="28"/>
          <w:szCs w:val="28"/>
          <w:rtl w:val="true"/>
          <w:lang w:bidi="fa-IR"/>
        </w:rPr>
        <w:t>اصولاً وکالت در تاریخ فقه با این فرض آغاز شده</w:t>
      </w:r>
      <w:r>
        <w:rPr>
          <w:rStyle w:val="FootnoteAnchor"/>
          <w:rtl w:val="true"/>
        </w:rPr>
        <w:footnoteReference w:id="109"/>
      </w:r>
      <w:r>
        <w:rPr>
          <w:rFonts w:ascii="IRNazanin" w:hAnsi="IRNazanin" w:eastAsia="IRNazanin"/>
          <w:color w:val="111111"/>
          <w:sz w:val="28"/>
          <w:sz w:val="28"/>
          <w:szCs w:val="28"/>
          <w:rtl w:val="true"/>
          <w:lang w:bidi="fa-IR"/>
        </w:rPr>
        <w:t>و پس از آن هم همواره در کتاب‌های فقهی استمرار داشته است، پاسخی که به مثابه یک تعریف کلاسیک در این زمینه ارائه شود، دشوار است؛ چون دست‌کم طبق اطلاعات نگارنده، در گذشته و حال تعریفی از آن در مواضعی که مناسب آن بوده از سوی فقها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سعی می‌شود برای جبران این خلأ از شاخصه‌های کارکردی که برای محامات در پژوهش‌های جدید از ناحیه اندیشمندان اهل سنت ساماندهی شده است، استفاده کرده و بدین سان از پیچیدگی‌های نسبتاً بی‌حاصل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تعریف‌های اصطلاحی گزیرناپذیر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کنیم و نیز دیگر به مفروضات باب وکالت و تجزیه مفردات آن بازنخواهیم گشت؛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موضوعات اعتباری فاقد دقت‌هایی است که معمولاً از یک تعریف مصطلح انتظار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شاخصه‌ها اجمالاً در بیان فقهای شیعه به‌عنوان وظیفه وکیل دعاوی مسلم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آن بعداً اشاره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کارکردهای محامات به شاخصه‌های وکالت دعاوی ازآن‌رو پرمناسبت است که بسیاری از پژوهش‌گران این عرصه به یکسانی و وحدت آن اذعان کرده‌اند</w:t>
      </w:r>
      <w:r>
        <w:rPr>
          <w:rStyle w:val="FootnoteAnchor"/>
          <w:rtl w:val="true"/>
        </w:rPr>
        <w:footnoteReference w:id="110"/>
      </w:r>
      <w:r>
        <w:rPr>
          <w:rFonts w:ascii="IRNazanin" w:hAnsi="IRNazanin" w:eastAsia="IRNazanin"/>
          <w:color w:val="111111"/>
          <w:sz w:val="28"/>
          <w:sz w:val="28"/>
          <w:szCs w:val="28"/>
          <w:rtl w:val="true"/>
          <w:lang w:bidi="fa-IR"/>
        </w:rPr>
        <w:t>و هرچند محامات با تشکیلات و تشریفات</w:t>
      </w:r>
    </w:p>
    <w:p>
      <w:pPr>
        <w:pStyle w:val="BookText"/>
        <w:rPr/>
      </w:pPr>
      <w:r>
        <w:rPr>
          <w:rFonts w:ascii="IRNazanin" w:hAnsi="IRNazanin" w:eastAsia="IRNazanin"/>
          <w:color w:val="111111"/>
          <w:sz w:val="28"/>
          <w:sz w:val="28"/>
          <w:szCs w:val="28"/>
          <w:rtl w:val="true"/>
          <w:lang w:bidi="fa-IR"/>
        </w:rPr>
        <w:t>ویژه‌ای شناخته می‌شود، تحلیل آن در نهایت جز بر اساس قواعد وکالت امکان‌پذیر نیست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حداکثر آنکه محامات شکل تکامل یافته وکالت دعاوی است که به مقتضیات زمانه با احتیاطها و عقلانیت بشری بیشتر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 با این ملاحظات شاخصه‌های وکالت دعاوی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از موکل در همه مراحل دادرسی؛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دعوی در محکمه، اقامه بینه و کارهایی که خود موکل چه در جایگاه مدعی و چه در جایگاه مدعی‌علیه برای پی‌گیری آن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آگاهی‌های لازم به موکل خود تا با آشنایی و استفاده از راه‌های مشروع که قانون در اختیار او گذاشته، اهداف مورد نظرش را با موفقیت تعقیب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موکل خود در محدوده‌ای که مجاز خواهد بود</w:t>
      </w:r>
      <w:r>
        <w:rPr>
          <w:rFonts w:eastAsia="IRNazanin" w:cs="IRNazanin"/>
          <w:color w:val="111111"/>
          <w:sz w:val="28"/>
          <w:szCs w:val="28"/>
          <w:rtl w:val="true"/>
          <w:lang w:bidi="fa-IR"/>
        </w:rPr>
        <w:t>.</w:t>
      </w:r>
      <w:r>
        <w:rPr>
          <w:rStyle w:val="FootnoteAnchor"/>
          <w:rtl w:val="true"/>
        </w:rPr>
        <w:footnoteReference w:id="112"/>
      </w:r>
      <w:bookmarkStart w:id="75" w:name="pg5406_38408"/>
    </w:p>
    <w:p>
      <w:pPr>
        <w:pStyle w:val="BookText"/>
        <w:rPr/>
      </w:pPr>
      <w:bookmarkEnd w:id="75"/>
      <w:r>
        <w:rPr>
          <w:rFonts w:ascii="IRNazanin" w:hAnsi="IRNazanin" w:eastAsia="IRNazanin"/>
          <w:color w:val="111111"/>
          <w:sz w:val="28"/>
          <w:sz w:val="28"/>
          <w:szCs w:val="28"/>
          <w:rtl w:val="true"/>
          <w:lang w:bidi="fa-IR"/>
        </w:rPr>
        <w:t>به این ترتیب، وکالت زن در دعاوی واجد همین شاخصه‌های فوق خواهد بود که در جریان این نوع از وکالت بدان‌ها اقدام می‌کند؛ یعنی نمایندگی از موکل برای انجام امور دادرسی، دادن آگاهی و مشورت‌های لازم و دفاع از موکل</w:t>
      </w:r>
      <w:r>
        <w:rPr>
          <w:rFonts w:eastAsia="IRNazanin" w:cs="IRNazanin"/>
          <w:color w:val="111111"/>
          <w:sz w:val="28"/>
          <w:szCs w:val="28"/>
          <w:rtl w:val="true"/>
          <w:lang w:bidi="fa-IR"/>
        </w:rPr>
        <w:t>.</w:t>
      </w:r>
    </w:p>
    <w:p>
      <w:pPr>
        <w:pStyle w:val="Heading4"/>
        <w:numPr>
          <w:ilvl w:val="3"/>
          <w:numId w:val="1"/>
        </w:numPr>
        <w:rPr/>
      </w:pPr>
      <w:bookmarkStart w:id="76" w:name="__RefHeading___Toc1597082_581953129"/>
      <w:bookmarkStart w:id="77" w:name="_Toc29"/>
      <w:bookmarkEnd w:id="76"/>
      <w:r>
        <w:rPr/>
        <w:t>2</w:t>
      </w:r>
      <w:r>
        <w:rPr>
          <w:rtl w:val="true"/>
        </w:rPr>
        <w:t xml:space="preserve">- </w:t>
      </w:r>
      <w:r>
        <w:rPr>
          <w:rtl w:val="true"/>
        </w:rPr>
        <w:t>ادبیات موضوع یا پیشینه تحقیق</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فهم و اشراف بیشتری بر ادبیات و سوابق تلاش‌های تحقیقی درباره وکالت زن در دعاوی به‌دست آوریم، ابتدا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ادبیات کل وکالت دعاوی داشته باشیم تا پس از آشنایی و اشراف بر کارهای صورت گرفته بر اصل قضیه سهم اختصاصی شاخه‌های آن را در این میان مشخص کنیم، این نحوه بررسی، علاوه بر توسعه اطلاعات در این باره، علت کم و کیف ادبیات این حوزه را به‌طور جزئی نیز پیشاپیش توضیح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p>
    <w:p>
      <w:pPr>
        <w:pStyle w:val="BookText"/>
        <w:rPr/>
      </w:pP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دعاوی از موضوعات مغفولی است که طبق جست‌وجوهای انجام شده، تحقیقی درباره آن قابل یافت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تحقیق، پژوهش سازمان یافته، مستقل، جامع و روشمند و در یک سخن به‌معنای امروزی آن است؛ نه نفی هرگونه طرح و بحثی در این زمینه به‌طور مطلق، که در گذشته به این نکته اشاره شد که کتاب‌هایی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المقعنه، الخلاف، المبسوط و النهایه باب وکالت را با این مصداق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بعد از این است که پرداختن بدان همگام با تحولات جامعه و آنچه در این شغل پدید آمده، نبوده تا با استفاده از روش‌های روزآمد زوایای آن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 مطالب در این زمینه جز آنچه به شکل فتواهای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گزیده ومختصرند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 چون در جواز و وظایف و نیز قسماً شرایط این نوع وکالت هم همان است که در استفتائات برخی مراجع معاصر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نسبتاً مفصل از آن که در الفقه آمده،</w:t>
      </w:r>
      <w:r>
        <w:rPr>
          <w:rStyle w:val="FootnoteAnchor"/>
          <w:rtl w:val="true"/>
        </w:rPr>
        <w:footnoteReference w:id="113"/>
      </w:r>
      <w:r>
        <w:rPr>
          <w:rFonts w:ascii="IRNazanin" w:hAnsi="IRNazanin" w:eastAsia="IRNazanin"/>
          <w:color w:val="111111"/>
          <w:sz w:val="28"/>
          <w:sz w:val="28"/>
          <w:szCs w:val="28"/>
          <w:rtl w:val="true"/>
          <w:lang w:bidi="fa-IR"/>
        </w:rPr>
        <w:t>از دو صفحه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روایی بابت وکالت دعوی تنها یک روایت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دعایم الاسلام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وکل وکیلا حکم علی وکیله، وتجوز الوکالة بغیر محضر من الخصم</w:t>
      </w:r>
      <w:r>
        <w:rPr>
          <w:rStyle w:val="FootnoteAnchor"/>
          <w:rtl w:val="true"/>
        </w:rPr>
        <w:footnoteReference w:id="114"/>
      </w:r>
      <w:r>
        <w:rPr>
          <w:rFonts w:ascii="IRNazanin" w:hAnsi="IRNazanin" w:eastAsia="IRNazanin"/>
          <w:color w:val="111111"/>
          <w:sz w:val="28"/>
          <w:sz w:val="28"/>
          <w:szCs w:val="28"/>
          <w:rtl w:val="true"/>
          <w:lang w:bidi="fa-IR"/>
        </w:rPr>
        <w:t>هرکه وکیل گرفت، حکم بر وکیل او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وکالت بدون حضور خصم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مفصلی دیگر چون وسائل الشیعه روایتی در این باره به چشم نمی‌خورد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این‌ها عمدتاً تحقیقات با رویکرد فقهی در این حوزها از آن</w:t>
      </w:r>
    </w:p>
    <w:p>
      <w:pPr>
        <w:pStyle w:val="BookText"/>
        <w:rPr/>
      </w:pPr>
      <w:r>
        <w:rPr>
          <w:rFonts w:ascii="IRNazanin" w:hAnsi="IRNazanin" w:eastAsia="IRNazanin"/>
          <w:color w:val="111111"/>
          <w:sz w:val="28"/>
          <w:sz w:val="28"/>
          <w:szCs w:val="28"/>
          <w:rtl w:val="true"/>
          <w:lang w:bidi="fa-IR"/>
        </w:rPr>
        <w:t xml:space="preserve">نویسندگان اهل سنت است که طبق اعتراف محمود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معاصر حوزه وکالت دعاوی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شغل را در وجهه جدید آن مورد مطالعه جدی قرار داد، احمد فتحی زغلول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قرن قبل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تحت عنوان المحاماة منتشر کرد</w:t>
      </w:r>
      <w:r>
        <w:rPr>
          <w:rStyle w:val="FootnoteAnchor"/>
          <w:rtl w:val="true"/>
        </w:rPr>
        <w:footnoteReference w:id="115"/>
      </w:r>
      <w:r>
        <w:rPr>
          <w:rFonts w:ascii="IRNazanin" w:hAnsi="IRNazanin" w:eastAsia="IRNazanin"/>
          <w:color w:val="111111"/>
          <w:sz w:val="28"/>
          <w:sz w:val="28"/>
          <w:szCs w:val="28"/>
          <w:rtl w:val="true"/>
          <w:lang w:bidi="fa-IR"/>
        </w:rPr>
        <w:t>که پس از آن، سنت تحقیق در این زمینه از سوی فقه‌پژوهان جامعه عرب ادامه پیدا می‌کند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اینک با توجه به اینکه وکالت دعاوی به‌کلی در مطالعات فقه‌پژوهان شیعه سهمی نداشته، به‌روشنی می‌توان پرونده وکالت زن در دعاوی را همین جا خاتمه یافته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سرگذشت اصل مسأله این گونه مسکوت باشد، انتظار شکل‌گیری ادبیات پیرامون فروع آن معقول نخواهد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درحلقه پژوهش‌گران که این موضوع باب نقد و نظر بوده، مسأله زن بازتاب لازم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از کسانی که اخیراً اثری در این ارتباط نگاشته است، درباره اهمیت کارش می‌گوید</w:t>
      </w:r>
      <w:r>
        <w:rPr>
          <w:rFonts w:eastAsia="IRNazanin" w:cs="IRNazanin"/>
          <w:color w:val="111111"/>
          <w:sz w:val="28"/>
          <w:szCs w:val="28"/>
          <w:rtl w:val="true"/>
          <w:lang w:bidi="fa-IR"/>
        </w:rPr>
        <w:t>:</w:t>
      </w:r>
      <w:bookmarkStart w:id="78" w:name="pg5406_38417"/>
    </w:p>
    <w:p>
      <w:pPr>
        <w:pStyle w:val="BookText"/>
        <w:rPr/>
      </w:pPr>
      <w:bookmarkEnd w:id="78"/>
      <w:r>
        <w:rPr>
          <w:rFonts w:ascii="IRNazanin" w:hAnsi="IRNazanin" w:eastAsia="IRNazanin"/>
          <w:color w:val="111111"/>
          <w:sz w:val="28"/>
          <w:sz w:val="28"/>
          <w:szCs w:val="28"/>
          <w:rtl w:val="true"/>
          <w:lang w:bidi="fa-IR"/>
        </w:rPr>
        <w:t>از جمله امتیازات کتاب او پرداختن به یک‌سری مسائلی است که قبل از آن کسی جرئت طرح آن را پیدا نکرده بود؛ ابتکاری که سبب شد نشر این کتاب در میان نحله‌های لاییک، قضات، وکلا و قانون‌گذاران با مناقشات تندی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جمله مسائلی که او برای اولین بار به چالش کشیده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المرأة فی مهنة المحاماة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فعالیت زن درحرفه محامات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که اگر فتح باب این موضوع از سوی ایشان صورت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به‌احتمال زیاد در شکل گسترده و جدی آن همین طور است</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سال بیشتر از آن نمی‌گذرد، و از سویی، دسترسی ما به جریاناتی که در محیط نویسنده اتفاق افتاده مشکل است، صورت مساله از این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وکالت زن در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 از طرفی مشکلات نقد و ارزیابی کار انجام شده در این رابطه را به‌شدت تقلیل داده، از طرفی هم بر مشکل این تحقیق افزوده است که گام نهادن در این حیطه را حداقل بدون الگوهای شکلی به پیش بریم</w:t>
      </w:r>
      <w:r>
        <w:rPr>
          <w:rFonts w:eastAsia="IRNazanin" w:cs="IRNazanin"/>
          <w:color w:val="111111"/>
          <w:sz w:val="28"/>
          <w:szCs w:val="28"/>
          <w:rtl w:val="true"/>
          <w:lang w:bidi="fa-IR"/>
        </w:rPr>
        <w:t>.</w:t>
      </w:r>
    </w:p>
    <w:p>
      <w:pPr>
        <w:pStyle w:val="Heading4"/>
        <w:numPr>
          <w:ilvl w:val="3"/>
          <w:numId w:val="1"/>
        </w:numPr>
        <w:rPr/>
      </w:pPr>
      <w:bookmarkStart w:id="79" w:name="__RefHeading___Toc1597084_581953129"/>
      <w:bookmarkStart w:id="80" w:name="_Toc30"/>
      <w:bookmarkEnd w:id="79"/>
      <w:r>
        <w:rPr/>
        <w:t>3</w:t>
      </w:r>
      <w:r>
        <w:rPr>
          <w:rtl w:val="true"/>
        </w:rPr>
        <w:t>-</w:t>
      </w:r>
      <w:r>
        <w:rPr>
          <w:rtl w:val="true"/>
        </w:rPr>
        <w:t>وکالت در جهان معاصر و نقش زنان</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آنچه در تاریخ این حرفه، انقطاع و گسست‌های درازآهنگ دیده می‌شود و بریده از آنکه در گذشته از اعتبار لازم و وجهه آبرومند برخوردار نبوده است، در جهان معاصر وکالت دعاوی به‌عنوان یک تخصص علمی دارای حقوق تعریف شده و نیز تشریفات قانونی شناخته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عمران محمد موریس یک دائرة‌المعارف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را به گردآوری معلومات وسیع پیرامون قوانین وکالت، اسامی وکلا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جهان عرب اختصاص داده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چندین سازمان بدون مرز وضعیت و روند جهانی دفاع متهم و حقوق او را در سطح جهانی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اتحادیه جهانی وکلا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IRNazanin" w:hAnsi="IRNazanin" w:eastAsia="IRNazanin"/>
          <w:color w:val="111111"/>
          <w:sz w:val="28"/>
          <w:sz w:val="28"/>
          <w:szCs w:val="28"/>
          <w:rtl w:val="true"/>
          <w:lang w:bidi="fa-IR"/>
        </w:rPr>
        <w:t>در سطح بین الملل هماهنگ کردن روابط کانون‌های وکلای جهان و وکلای مدافع و همه شئون مربوط به وکالت و حق دفاع و فروع آن را وجهه همت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سازمان که مرکز آن در لندن است،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مستقل وکلا از کشورهای مختلف جهان و نیز صدها وکیل عضویت دارند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سلبی، برخی از نویسندگان پاره ای از نتایج تلخ تاریخ قضاوت را ناشی از فقدان نهاد وکالت می‌دانند؛ چون وقتی قضاوت با همه امکانات بر محور قاضی ساختارمند باشد، نگرانی درباره حقوق افراد جامعه غیرمنطقی نخواهد بود که قدرت در شکل گسترده و یک‌طرفه آن همواره مردم را در بیم و دلواپسی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تاریخ دادرسی اسلامی نوعی بدبینی به کل این نهاد دیده می‌شود و شخصیت‌هایی چون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پیشنهاد دستگاه حاکم</w:t>
      </w:r>
    </w:p>
    <w:p>
      <w:pPr>
        <w:pStyle w:val="BookText"/>
        <w:rPr/>
      </w:pPr>
      <w:r>
        <w:rPr>
          <w:rFonts w:ascii="IRNazanin" w:hAnsi="IRNazanin" w:eastAsia="IRNazanin"/>
          <w:color w:val="111111"/>
          <w:sz w:val="28"/>
          <w:sz w:val="28"/>
          <w:szCs w:val="28"/>
          <w:rtl w:val="true"/>
          <w:lang w:bidi="fa-IR"/>
        </w:rPr>
        <w:t>از پذیرش آن سر باز می‌زنند و در میان مردم ضرب‌المثل‌هایی از این دست شایع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گنه کرد در بلخ آهنگری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زدن گردن مسگری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نهادی وجود نداشته که از حقوق متهم فارغ از ترس عواقب کار دفاع و موضوع را چنان‌که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دلخواه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کنند، گاهی حقیقت امر، بر قضات تا جایی تیره و خلط می‌شد که چه بسا افرادی بی‌جا محاکمه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در گامی فراتر، ضعف قانون‌گرایی و طفره رفتن از قانون را در کل تمدن خاورمیانه از همین زوایه تحلیل می‌کند که وقتی سیاست و حقوق، هر دو در اختیار دستگاه حاکم قرار می‌گیرد و نهاد مدنی دیگری در میان نیست، نتیجه جز آن نخواهد بود که در مواردی قانون به نفع سیاست دور زده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هر حال، درست یا نادرست، این‌ها گذشته است؛ آنچه اهمیت دارد، اعتبار کنونی این نهاد است که با وجود خاستگاه اولیه آن که حقوق مدنی بود، امروزه وکالت دعاوی در حقوق اساسی راه یافته و در قانون اساسی بسیاری از کشورها و برخی میثاق‌های بین المللی، اصل یا ماده‌ای بدان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موردی در این زمینه می‌توان به قانون اساسی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بازنگری شده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اساسی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مقرر می‌دارد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دادگاه‌ها طرفین دعوی حق دارند برای خود وکیل انتخاب</w:t>
      </w:r>
    </w:p>
    <w:p>
      <w:pPr>
        <w:pStyle w:val="BookText"/>
        <w:rPr/>
      </w:pPr>
      <w:r>
        <w:rPr>
          <w:rFonts w:ascii="IRNazanin" w:hAnsi="IRNazanin" w:eastAsia="IRNazanin"/>
          <w:color w:val="111111"/>
          <w:sz w:val="28"/>
          <w:sz w:val="28"/>
          <w:szCs w:val="28"/>
          <w:rtl w:val="true"/>
          <w:lang w:bidi="fa-IR"/>
        </w:rPr>
        <w:t>نمایند و اگر توانایی انتخاب وکیل را نداشته باشند باید برای آنها امکانات تعیین وکیل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افغانستان در اصل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می‌تواند برای رفع اتهام به مجدد گرفتاری و یا اثبات حق خود وکیل مدافع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قضایای جنایی برای افراد بی‌بضاعت وکیل مدافع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میثاق بین المللی حقوق مدنی و سیاسی، ذیل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حقوق متهم آورده است که حق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محاکمه حاضر بشود و شخصاً به وسیله وکیل منتخب خود از خود دفاع کند و درصورتی‌که وکیل نداشته باشد، حق داشتن یک وکیل به او اطلاع داده شود و در مواردی که مصالح دادگستری اقتضا نماید، از طرف دادگاه برای او وکیل تعیین بشود که در صورت عجز او از پرداخت حق الوکاله هزینه‌ای نخواهد داشت</w:t>
      </w:r>
      <w:r>
        <w:rPr>
          <w:rFonts w:eastAsia="IRNazanin" w:cs="IRNazanin"/>
          <w:color w:val="111111"/>
          <w:sz w:val="28"/>
          <w:szCs w:val="28"/>
          <w:rtl w:val="true"/>
          <w:lang w:bidi="fa-IR"/>
        </w:rPr>
        <w:t>.»</w:t>
      </w:r>
      <w:r>
        <w:rPr>
          <w:rStyle w:val="FootnoteAnchor"/>
          <w:rtl w:val="true"/>
        </w:rPr>
        <w:footnoteReference w:id="12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زنان در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بدون آنکه بخواهیم با آمار و ارقام از حجم فعالیت زنان در این زمینه سخن بگوییم، ترجیح می‌دهم نتیجه ای کلی که ویل دورانت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فعالیت زنان در عرصه‌های مختلف تا دوران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اثر تحولات جدید فرصت‌های آموزشی و شغلی به‌صورت مساوی میان زن و مرد توزیع گردید، نتیجه‌ای که از آن به‌دست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عالمی از تحیر باز ماند</w:t>
      </w:r>
      <w:r>
        <w:rPr>
          <w:rFonts w:eastAsia="IRNazanin" w:cs="IRNazanin"/>
          <w:color w:val="111111"/>
          <w:sz w:val="28"/>
          <w:szCs w:val="28"/>
          <w:rtl w:val="true"/>
          <w:lang w:bidi="fa-IR"/>
        </w:rPr>
        <w:t>.»</w:t>
      </w:r>
      <w:bookmarkStart w:id="81" w:name="pg5406_38425"/>
    </w:p>
    <w:p>
      <w:pPr>
        <w:pStyle w:val="BookText"/>
        <w:rPr/>
      </w:pPr>
      <w:bookmarkEnd w:id="81"/>
      <w:r>
        <w:rPr>
          <w:rFonts w:ascii="IRNazanin" w:hAnsi="IRNazanin" w:eastAsia="IRNazanin"/>
          <w:color w:val="111111"/>
          <w:sz w:val="28"/>
          <w:sz w:val="28"/>
          <w:szCs w:val="28"/>
          <w:rtl w:val="true"/>
          <w:lang w:bidi="fa-IR"/>
        </w:rPr>
        <w:t>طی سه نسل زنان توانستند در هر میدانی که قدرت جسمانی ضروری نبوده، راه خود را باز کرده و با مردان رقابت جدی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در صدر عرصه‌هایی که زنان به‌خوبی درخشیده و قابلیت‌های خود را به اثبات رسانده‌اند، از وکالت دادگستری نام می‌برد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نتیجه‌گیری اگر اغراق آمیز هم باشد، سهم واقعیت نهفته در آن را 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که در زمان نشر اثر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شتاب آلود و یا دست‌کم در صدق و شمول آن به فراتر از جوامع غربی تردید بود، اینک پس از گذشت هفت دهه، که فراگیری آموزش‌های تخصصی در بسیاری از کشورها نهادینه شده و همه سیاست‌ها جبراً یا جهلاً و یا طوعاً جانبی را در پیش گرفته که شکاف‌های ناشی از هویت جنسی را کم‌تر کرده یا از بین برده است، جایگاه زن در این عرصه بیش‌ازپیش و در هر عرصه دیگری به‌گونه‌ای تثبیت شده است که امروزه کم‌تر تشکیلات منطقه‌ای و بین‌المللی در وکالت است که زنان در یکی از پست‌های مهم آن حضور نداشته و یا در اکثر پرونده‌ها رد پایی ازخود به‌جا نگذاشته باشند</w:t>
      </w:r>
      <w:r>
        <w:rPr>
          <w:rFonts w:eastAsia="IRNazanin" w:cs="IRNazanin"/>
          <w:color w:val="111111"/>
          <w:sz w:val="28"/>
          <w:szCs w:val="28"/>
          <w:rtl w:val="true"/>
          <w:lang w:bidi="fa-IR"/>
        </w:rPr>
        <w:t>.</w:t>
      </w:r>
    </w:p>
    <w:p>
      <w:pPr>
        <w:pStyle w:val="Heading4"/>
        <w:numPr>
          <w:ilvl w:val="3"/>
          <w:numId w:val="1"/>
        </w:numPr>
        <w:rPr/>
      </w:pPr>
      <w:bookmarkStart w:id="82" w:name="__RefHeading___Toc1597086_581953129"/>
      <w:bookmarkStart w:id="83" w:name="_Toc31"/>
      <w:bookmarkEnd w:id="82"/>
      <w:r>
        <w:rPr/>
        <w:t>4</w:t>
      </w:r>
      <w:r>
        <w:rPr>
          <w:rtl w:val="true"/>
        </w:rPr>
        <w:t xml:space="preserve">- </w:t>
      </w:r>
      <w:r>
        <w:rPr>
          <w:rtl w:val="true"/>
        </w:rPr>
        <w:t>تاریخچه وکالت دعاوی</w:t>
      </w:r>
      <w:bookmarkEnd w:id="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اذعان برخی از کسانی که در این عرصه تحقیق کرده‌اند، تاریخ وکالت دعاوی به گذشته بسیار دوری برمی‌گردد که انسان تازه برای دفاع از خویش به راهکارهای عقلانی روی آورده بود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چون در حقیقت</w:t>
      </w:r>
    </w:p>
    <w:p>
      <w:pPr>
        <w:pStyle w:val="BookText"/>
        <w:rPr/>
      </w:pPr>
      <w:r>
        <w:rPr>
          <w:rFonts w:ascii="IRNazanin" w:hAnsi="IRNazanin" w:eastAsia="IRNazanin"/>
          <w:color w:val="111111"/>
          <w:sz w:val="28"/>
          <w:sz w:val="28"/>
          <w:szCs w:val="28"/>
          <w:rtl w:val="true"/>
          <w:lang w:bidi="fa-IR"/>
        </w:rPr>
        <w:t>وکالت در این زمینه گونه ای از دفاع است</w:t>
      </w:r>
      <w:r>
        <w:rPr>
          <w:rStyle w:val="FootnoteAnchor"/>
          <w:rtl w:val="true"/>
        </w:rPr>
        <w:footnoteReference w:id="127"/>
      </w:r>
      <w:r>
        <w:rPr>
          <w:rFonts w:ascii="IRNazanin" w:hAnsi="IRNazanin" w:eastAsia="IRNazanin"/>
          <w:color w:val="111111"/>
          <w:sz w:val="28"/>
          <w:sz w:val="28"/>
          <w:szCs w:val="28"/>
          <w:rtl w:val="true"/>
          <w:lang w:bidi="fa-IR"/>
        </w:rPr>
        <w:t xml:space="preserve">و کاملاً هم منطقی است که انسان از همان آغاز که برای دفاع از خویش سازوکارهای وحشیانه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و به راه‌حل‌های نسبتاً عقلانی و مدنی روی آورده باشد، از دیگران هم برای تحقق بهینه این هدف در سطوح مختلف مثل مشاوره و نمایندگی یاری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اجمالاً چیزی بیش از این را در اختیار ما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آنچه به‌طور مشخص سابقه تاریخی این شغل را باز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آگاهان به قانون در جامعه یهود به حرفه مشابه آنچه امروزه به‌نام وکالت دعاوی شناخته می‌شود،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حل مشکلات قانونی مردم در دادگاه‌ها و همکاری‌های دیگر در این زمینه جزء کسانی بودند که در جهت مصالح عامه از بیت المال سهم اختصاصی دریافت می‌کردند و با خود طرفین دعوی چنین قراری نمی‌بستند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روند این شغل به شکلی که بعدها هم کسانی در جامعه و یا دستگاه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سنت دین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کسب درآمد و وجاهت کرده باشند، بدون مستند واضح و صریح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ادوار گذشته این حرفه، تنها موردی که بدان توجه شده، مربوط به یونان باستان است که با پیدایش عده‌ای خطیب برجسته و نیازی که به محاکم طبق علل خاص تشدید می‌شود، وکالت در دعاوی هم نشاط اجتماعی یافت و آموزش خطابه به‌عنوان یکی از عوامل مهم موفقیت در</w:t>
      </w:r>
      <w:bookmarkStart w:id="84" w:name="pg5406_38429"/>
    </w:p>
    <w:p>
      <w:pPr>
        <w:pStyle w:val="BookText"/>
        <w:rPr/>
      </w:pPr>
      <w:bookmarkEnd w:id="84"/>
      <w:r>
        <w:rPr>
          <w:rFonts w:ascii="IRNazanin" w:hAnsi="IRNazanin" w:eastAsia="IRNazanin"/>
          <w:color w:val="111111"/>
          <w:sz w:val="28"/>
          <w:sz w:val="28"/>
          <w:szCs w:val="28"/>
          <w:rtl w:val="true"/>
          <w:lang w:bidi="fa-IR"/>
        </w:rPr>
        <w:t>محاکم رونق پیدا کرد که البته کاربرد آن به مثابه یک شغل جز در وکالت دعاوی نمی‌توانست مد نظر قرار گیرد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85" w:name="__RefHeading___Toc1597088_581953129"/>
      <w:bookmarkStart w:id="86" w:name="_Toc32"/>
      <w:bookmarkEnd w:id="85"/>
      <w:r>
        <w:rPr/>
        <w:t>5</w:t>
      </w:r>
      <w:r>
        <w:rPr>
          <w:rtl w:val="true"/>
        </w:rPr>
        <w:t xml:space="preserve">- </w:t>
      </w:r>
      <w:r>
        <w:rPr>
          <w:rtl w:val="true"/>
        </w:rPr>
        <w:t>وکالت دعاوی در اسلام و جایگاه زنان</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وکالت دعاوی، در جهان اسلام به‌عنوان یک تخصص حرفه‌ای از سابقه چندان روشن و برجسته ای برخوردار نیست تا بتوان به شکل پیوسته در هر عصر برای آن نمونه‌ها، حلقه استاد و شاگردی، روابط ویژه و قوانین منظم شناسایی کرد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متون تاریخی گزارش مستندی راجع به این مطالب و نیز روش و چگونگی حضور وکیل و دفاع او در دادگاه‌های اسلامی در دست نیست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افزون بر این، سکوت کتاب‌هایی که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آئین دادرسی اسلام نگاشته شده، از وکیل دعاوی و نیز عدم بازتاب آن در ادبیات تازی و پارسی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برخی مستشرقان اصل واقعیت این نهاد را در جوامع اسلامی انکار کنند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این ادعا به شکل ضمنی از جانب برخی دیگر به‌گونه‌ای مدلل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مدیریت اسلامی شدیداً خصلت فردگرایی دارد، در تمام نهادهای اساسی آن زمینه مشارکت جمعی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دادگاه وجود ندارد که تنها قاضی دارد، و دولت هم ندارد، بلکه حاکم 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نویسندگان مسلمان هم هستند کسانی چون دکتر خادم حسین که هرگونه پیشینه این شغل را در اسلام نفی کرده و گفته‌اند چنین شغلی در حیات هزار و دو بیست‌ساله مسلمین شناخته شده نیست و خود مولود استعمار و عوامل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علاوه بر ادله دیگری که دارد، از این‌جا به عدم مشروعیت آن پل می‌زند که اگر چنین چیزی مشروعیت داشت، باید در میان مسلمانان قبل از این هم متداول و معمول می‌بود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واضح است موضع‌گیری‌های شدیداً انکارگرایانه از این دست، با توجه به ادله ذیل از انصاف و یا حداقل معیارهای تحقیق علمی به‌دور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وکالت دعوی به‌عنوان یک فرض زنده در اکثر، بلکه در همه متون فقهی نشان‌دهنده حضور زنده آن در اجتماع است که اگر چنین نبود، فرضی صرفاً انتزاعی و پرداخته ذهن این‌گونه دوام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در کتاب‌های دوره اول فقه، وکالت غالباً با این فرض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معقول خواهد بود که یک باب معتبر فقهی بر محور یک مثال متروک و غیر روشن و ناشناخته توضیح و تحلیل شود؟</w:t>
      </w:r>
      <w:r>
        <w:rPr>
          <w:rStyle w:val="FootnoteAnchor"/>
          <w:rtl w:val="true"/>
        </w:rPr>
        <w:footnoteReference w:id="1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پژوهشی در این باب نشان می‌دهد که در قرن دوم هجری، در زمان قاضی القضات امام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اجرت در قبال این شغل، قانونی وضع شده بود که براساس آن وکیل بابت هر بار حضور در محکمه دو درهم از موکلش دریافت 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ناگفته پیداست که اگر وکالت دعاوی از زمینه‌های مناسب در فقه و فرهنگ دادرسی اسلامی برخوردار نبود، در یک برهه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صرف واقعیت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امکان رشد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مطمناً آنچه تا این سطح نهادینه می‌شود، هرچند در مقطعی بسیار کوتاه، پتانسیل‌های حیات خود را بعد از این هم به‌آسانی از دست نخواهد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چیزی که نباید نادیده گرفت، این است که وکالت دعاوی به رغم مشروعیت اجماعی که داشته، همواره یک شغل حقیر و کاملاً ازچشم‌افتاده بوده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 دلیل همین دید هنوز وکالت برای کسانی که از شخصیتی برخوردارند، مستحب توصیه می‌شود که مبادا خود مستقیم به این کار وارد شوند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این بی‌آنکه ناشی از توجه به جنبه‌های کارشناسی قضیه باشد، قطعاً هشداری از مخاطرات آن و بر این مفروض عیان استوار بوده است که متصدیان این حرفه افراد باشخصیتی نبوده‌اند که اگر چنین نبود، چنین ذهنیتی شکل نمی‌گرفت و احاله دعوی به آنان نیز همین محذور را در پی داشت تا حداقل به‌صورت یک سئوال احتمالی مطرح کنند که اگر برای افراد باشخصیت خوب نیست، پس چاره چیست تا در شکل وکالت آن با این بن بست روبه‌رو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تعامل تحقیرآمیز با وکالت دعاوی در اخلاق 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فیض کاشانی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سخن غزالی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خصومت مذموم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خصومت مطلقاً مذموم و نکوهیده نیست خصوصاً آنجا که برای رفع ظلم و یا اخذ حقی به‌کار گرفته شود، بلکه مقصود خصومت‌هایی است که یا از روی باطل طرح می‌شود یا بر حق است، اما جاهلانه اقدام و تعقیب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ایشان مثالی را که برای این موارد می‌آورد، جالب است و در صدر آن به تعبیر خودش وکیل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قبل ان یعرف ان الحق فی ای جانب، هو یتوکل فی الخصومة من ای جانب هی تکون، فیخاصم من 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حقیقت این شخص بدون آنکه تشخیص دهد حق در کدام جانب است، وکالت در دعوی را قبول می‌کند و بی‌آنکه کدام جانبی برایش اهمیت داشته باشد، غیرعالمانه وارد دعوی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تداوم و گسترش این نوع نگاه، رفته‌رفته زمینه انزوا و در نهایت حذف این شغل را از جامعه اسلامی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زوال آن در دوره‌های اخیر تا حدودی مسلم است</w:t>
      </w:r>
      <w:r>
        <w:rPr>
          <w:rStyle w:val="FootnoteAnchor"/>
          <w:rtl w:val="true"/>
        </w:rPr>
        <w:footnoteReference w:id="140"/>
      </w:r>
      <w:r>
        <w:rPr>
          <w:rFonts w:ascii="IRNazanin" w:hAnsi="IRNazanin" w:eastAsia="IRNazanin"/>
          <w:color w:val="111111"/>
          <w:sz w:val="28"/>
          <w:sz w:val="28"/>
          <w:szCs w:val="28"/>
          <w:rtl w:val="true"/>
          <w:lang w:bidi="fa-IR"/>
        </w:rPr>
        <w:t>و شاهد آن نیز همان است که در فقه بدون دادن بهای لازم به این مسأله، از اختصاص بیش از یک سطر به آن دریغ شده است؛ چون حداکثر یک اتفاق بوده است، نه یک روند در دادرسی و نه یک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نخستین نمونه تاریخی وکالت دعاوی که از صدر اسلام گزارش شده و به آن استناد هم گردیده، وکالت عقیل بن ابی طالب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خود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عقیل مردی مشهور به فصاحت و متانت در پاسخ‌گویی و در دوران جاهلیت جزء چهار نفری بوده که مردم دعاوی خود را پیش آنها می‌بردند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نقش زن در تاریخ وکالت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 و رکودی که تاریخ وکالت دعاوی در جهان و به‌خصوص جوامع اسلامی داشته، نتیجه‌گیری درباره نقش زنان در این عرصه سهل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جایگاه تحقیرشده زن در طول تاریخ چشم‌انداز مسأله را در گستره جهانی آن روشن می‌کند؛ زیرا زن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بخش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قرن پیش از حقوق مدنی خود محروم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قدم برای آزادی مادران بزرگ ما قانون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زنان برتانیای کبیر از آن پس از امتیازی بی‌سابقه برخوردار می‌شدند و آن اینکه پولی را که به دست می‌آوردند، حق داشتند برای خود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اخلاقی و عالی مسیحی را کارخانه‌داران مجلس عوام انگلستان وضع کردند تا بتوانند زنان انگلستان را به کارخانه‌ها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سال تا به امسال سودجویی مقاومت‌ناپذیری آنان را از بندگی در خانه رهانیده، گرفتار بندگی و جان کندن در مغازه و کارخانه کرده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بر این اساس، این نخستین گام هم نه برای احقاق حقوق زن و نه به دلیل عقب‌نشینی مردان از موضع گذشته در قبال زن، که ترفندی بود برای سودجویی از زن در عرصه‌هایی که ماشین و انقلاب صنعتی اقتضا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انسان‌شناسی غرب، اصل انسانیت و برخورداری زن از روح انسانی مورد تردید و بلکه نفی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سالش از چهل بگذرد و از کتاب اوتو واینینگر که در آن کوشیده است بی‌روح بودن زن را ثابت کند، نامی نبرد؟ کدام مرد است که از خواندن این جمله شوپنهاور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درباره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ناقص الخلقه تنگ شانه پهن کفل وکوتاه پا؟</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با این همه نشیب وفراز، قانونی که به فعالیت زن در وکالت دعاوی در غرب اجازه داد و نقطه عطفی در این رابطه شمرده شده، قانون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فرانسه بود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جهان اسلام هرچند حقوق مدنی زن در آموزه‌های اسلامی به شکلی بی‌سابقه و اعجاب انگیز مورد توجه قرار گرفت، ولی پنهان</w:t>
      </w:r>
    </w:p>
    <w:p>
      <w:pPr>
        <w:pStyle w:val="BookText"/>
        <w:rPr/>
      </w:pPr>
      <w:r>
        <w:rPr>
          <w:rFonts w:ascii="IRNazanin" w:hAnsi="IRNazanin" w:eastAsia="IRNazanin"/>
          <w:color w:val="111111"/>
          <w:sz w:val="28"/>
          <w:sz w:val="28"/>
          <w:szCs w:val="28"/>
          <w:rtl w:val="true"/>
          <w:lang w:bidi="fa-IR"/>
        </w:rPr>
        <w:t>نمی‌توان کرد که تاریخ مسلمانان سیری متفاوت را نسبت به زنان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بدترین محرومیت‌ها چون ممنوعیت از رفت وآمد به مسجد که نخستین کانون پرستش و آگاهی‌بخش جامعه اسلامی بود،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امن‌ترین جا، وتنها جایی است که به فعالیت عبادی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توجیهات به‌شدت تحقیرآمیز از آمد و شد به آن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نامدار که بعد از خود سنگین‌ترین تأثیر را در حوزه فقه شیعه به یادگار گذاشته، در توجیه منع زنان از رفتن به مسجد برای نماز، به مسأله‌ای اشاره کرده که بازتابنده یک باور عمومی درباره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افضلیت نماز در مسجد نسبت به خانه مختص مردان است؛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اطلاق تعابیر برخی از فقهای ما شامل زنان هم می‌شود، این مسأله تقریباً اجماعی است که نماز زن در منزل بهتر از نماز وی در مسجد است؛ به دلیل تستری که از آن‌ها خواسته شده و نیز به علت ترس از فتنه و اختلاط زن و مرد که هنگام رفت و آمد به مسجد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دسترسی زنان به بسیاری از زشتی‌ها جلوگیری می‌شود؛ زیرا زن‌ها عقلشان ناقص و شهوت بر آنها غلبه دارد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ترس و احتیاط افراطی که در رفتن زن‌ها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زن‌ها خود انسان‌هایی مطمئن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بخشی مهم از وضعیت زن در قبال حضور در مراکز اجتماعی و آموزشی را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این فرهنگ حکایت‌های تاریخی از این قبیل چقدر طبیعی و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الدین کرت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بامرالله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 که عورات زنان، روز از خانه بیرون نیاید و هر عورتی که روز از خانه بیرون آید، شمس الدین قدسی که محتسب است چادر او را سیاه کند و او را سربرهنه به محله‌ها و کوچه‌ها برآرد تا تجربه دیگران 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شیوه تعامل تاریخی با زن می‌تواند پاسخی ضمنی به پرسش از نقش تاریخی زن در وکالت دعاوی باشد با این پیشینه که زنان در طول تاریخ به خانه‌نشینی محکوم بوده‌اند، چگونه می‌توان از ایشان انتظار فعالیت در عرصه‌ای داشت که هم بیرون از محیط خانه و خانواده بوده و هم نیازمند آگاهی‌هایی که اهداف موکل خود را بهتر از او تأمین کنند؟ زیرا کسی که کارش را به وکالت می‌سپارد، غالباً و عقلاً برای انجام بهینه آن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دستیابی به آماری که فعالیت زن در عرصه وکالت دعاوی را منعکس کرده و کدهای تاریخی را در اختیار ما بگذارد، بسیار دشوار است؛ هرچند ممکن است در آینده تا حدودی با تکلف برای آن دست به قرینه‌سازی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کلی این بحث، اذعان محمود سلمان را مبنی بر انکار وکالت زن در تاریخ دعاوی مسلمانان تأیید می‌کنیم که آری، نه در صدر اسلام و نه پس از آن کسی به زنان چنین مسئولیتی را واگذار نکرده</w:t>
      </w:r>
      <w:r>
        <w:rPr>
          <w:rStyle w:val="FootnoteAnchor"/>
          <w:rtl w:val="true"/>
        </w:rPr>
        <w:footnoteReference w:id="148"/>
      </w:r>
      <w:r>
        <w:rPr>
          <w:rFonts w:ascii="IRNazanin" w:hAnsi="IRNazanin" w:eastAsia="IRNazanin"/>
          <w:color w:val="111111"/>
          <w:sz w:val="28"/>
          <w:sz w:val="28"/>
          <w:szCs w:val="28"/>
          <w:rtl w:val="true"/>
          <w:lang w:bidi="fa-IR"/>
        </w:rPr>
        <w:t>و یا دست‌کم اطلاعی از آن قابل دریافت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تأیید، منحصر در اصل این ادعا است که ایشان در ادامه، از همین نقطه به</w:t>
      </w:r>
      <w:bookmarkStart w:id="87" w:name="pg5406_38445"/>
    </w:p>
    <w:p>
      <w:pPr>
        <w:pStyle w:val="BookText"/>
        <w:rPr/>
      </w:pPr>
      <w:bookmarkEnd w:id="87"/>
      <w:r>
        <w:rPr>
          <w:rFonts w:ascii="IRNazanin" w:hAnsi="IRNazanin" w:eastAsia="IRNazanin"/>
          <w:color w:val="111111"/>
          <w:sz w:val="28"/>
          <w:sz w:val="28"/>
          <w:szCs w:val="28"/>
          <w:rtl w:val="true"/>
          <w:lang w:bidi="fa-IR"/>
        </w:rPr>
        <w:t>عدم مشروعیت آن عزیمت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هماهنگی کامل با ایشان تا آن دوردست‌ها برای ما خطرناک می‌شود</w:t>
      </w:r>
      <w:r>
        <w:rPr>
          <w:rFonts w:eastAsia="IRNazanin" w:cs="IRNazanin"/>
          <w:color w:val="111111"/>
          <w:sz w:val="28"/>
          <w:szCs w:val="28"/>
          <w:rtl w:val="true"/>
          <w:lang w:bidi="fa-IR"/>
        </w:rPr>
        <w:t>.</w:t>
      </w:r>
    </w:p>
    <w:p>
      <w:pPr>
        <w:pStyle w:val="Heading4"/>
        <w:numPr>
          <w:ilvl w:val="3"/>
          <w:numId w:val="1"/>
        </w:numPr>
        <w:rPr/>
      </w:pPr>
      <w:bookmarkStart w:id="88" w:name="__RefHeading___Toc1597090_581953129"/>
      <w:bookmarkStart w:id="89" w:name="_Toc33"/>
      <w:bookmarkEnd w:id="88"/>
      <w:r>
        <w:rPr/>
        <w:t>6</w:t>
      </w:r>
      <w:r>
        <w:rPr>
          <w:rtl w:val="true"/>
        </w:rPr>
        <w:t xml:space="preserve">- </w:t>
      </w:r>
      <w:r>
        <w:rPr>
          <w:rtl w:val="true"/>
        </w:rPr>
        <w:t>نگرشی کوتاه به حکم وکالت دعاوی در فقه</w:t>
      </w:r>
      <w:bookmarkEnd w:id="89"/>
    </w:p>
    <w:p>
      <w:pPr>
        <w:pStyle w:val="BookText"/>
        <w:rPr/>
      </w:pPr>
      <w:r>
        <w:rPr>
          <w:rFonts w:ascii="IRNazanin" w:hAnsi="IRNazanin" w:eastAsia="IRNazanin"/>
          <w:color w:val="111111"/>
          <w:sz w:val="28"/>
          <w:sz w:val="28"/>
          <w:szCs w:val="28"/>
          <w:rtl w:val="true"/>
          <w:lang w:bidi="fa-IR"/>
        </w:rPr>
        <w:t>بدون تردید حکم وکالت دعاوی ذاتاً قطع نظر از آنکه کدام عنوان ثانوی را پیدا کند، امری جایز است؛</w:t>
      </w:r>
      <w:r>
        <w:rPr>
          <w:rStyle w:val="FootnoteAnchor"/>
          <w:rtl w:val="true"/>
        </w:rPr>
        <w:footnoteReference w:id="149"/>
      </w:r>
      <w:r>
        <w:rPr>
          <w:rFonts w:ascii="IRNazanin" w:hAnsi="IRNazanin" w:eastAsia="IRNazanin"/>
          <w:color w:val="111111"/>
          <w:sz w:val="28"/>
          <w:sz w:val="28"/>
          <w:szCs w:val="28"/>
          <w:rtl w:val="true"/>
          <w:lang w:bidi="fa-IR"/>
        </w:rPr>
        <w:t>یعنی درباره اقدام به مرافعه و تعقیب امور دادگاهی از طریق وکالت و نمایندگی حتی در شکل جدید آن که به وکالت دادگستری یا محامات معروف است،</w:t>
      </w:r>
      <w:r>
        <w:rPr>
          <w:rStyle w:val="FootnoteAnchor"/>
          <w:rtl w:val="true"/>
        </w:rPr>
        <w:footnoteReference w:id="150"/>
      </w:r>
      <w:r>
        <w:rPr>
          <w:rFonts w:ascii="IRNazanin" w:hAnsi="IRNazanin" w:eastAsia="IRNazanin"/>
          <w:color w:val="111111"/>
          <w:sz w:val="28"/>
          <w:sz w:val="28"/>
          <w:szCs w:val="28"/>
          <w:rtl w:val="true"/>
          <w:lang w:bidi="fa-IR"/>
        </w:rPr>
        <w:t>از ناحیه شرع، منع و یا الزامی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حکم این است که اگر وکالت دعاوی تحت شرایطی خاص قرار گیرد، آن‌گاه حکم مسأله مطابق همان شرایط متفاوت خواهد شد؛ مثل آنچه در کتاب‌های فقهی آمده است که اگر طرف دعوی از افراد باشخصیت بود، مستحب است که برای خود در خصوص دعوی وکیل بگیرد؛ زیرا فضای دادگاه فضایی مملو از تنازع و جدال است و ورود این قبیل اشخاص به آن موجب هتک حرمت و حیثیتشان می‌شود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روایتی از طریق عامه ذکر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للخصومة قحما، وان الشیطان یحضرها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اکره ان احضرها؛</w:t>
      </w:r>
      <w:r>
        <w:rPr>
          <w:rStyle w:val="FootnoteAnchor"/>
          <w:rtl w:val="true"/>
        </w:rPr>
        <w:footnoteReference w:id="152"/>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خصومت سختی‌هایی هلاک‌کننده است که شیطان در آن حضور می‌یابد و من از حضور در آن اکراه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اگر وکالت در بعضی شرایط، تقویت ظلم یا دفاع از دعوایی که عدم مشروعیتش برای وکیل محرز گردیده، تلقی شود، در این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فتاوی صادره در این باره به این قید توجه شده که مبادا شخص در دعوایی که به بطلان و ظالمانه بودن آن باور دارد، وکالت بپذیرد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نحوه از برخورد فقهی با مسأله مبتنی بر یک فرض واقع بینانه است که گیرم قرار وکالت به شکل نانوشته برای دفاع از موکل تنظیم شود، چون وکیل نماد و نماینده صاحب دعوی است و هدف هیچ صاحب دعوایی از رفتن به محکمه جز دفاع از خود نیست، پس وکیل نباید در جایی که نمایندگی او در جهت دفاع از جرمی ارزیابی می‌شود،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البته غیر از آن تصویر آرمان‌گرایانه‌ای است که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وکیل از دفاع، روشن کردن وضع حقوقی موکل با توجه به مدارک و دلایل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مدافعات، وضع</w:t>
      </w:r>
      <w:bookmarkStart w:id="90" w:name="pg5406_38449"/>
    </w:p>
    <w:p>
      <w:pPr>
        <w:pStyle w:val="BookText"/>
        <w:rPr/>
      </w:pPr>
      <w:bookmarkEnd w:id="90"/>
      <w:r>
        <w:rPr>
          <w:rFonts w:ascii="IRNazanin" w:hAnsi="IRNazanin" w:eastAsia="IRNazanin"/>
          <w:color w:val="111111"/>
          <w:sz w:val="28"/>
          <w:sz w:val="28"/>
          <w:szCs w:val="28"/>
          <w:rtl w:val="true"/>
          <w:lang w:bidi="fa-IR"/>
        </w:rPr>
        <w:t>حقوقی موکل از هر جهت برای دادگاه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فرض اینکه وکیل عالم بر گناهکار بودن موکل خود باشد، به هیچ وجه مانعی برای دفاع نخواهد بود؛ 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کمک به دادگاه از جهت تطبیق وضع متهم با قوانین را دارد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همین پیش‌فرض آرمانی است که دست به این تجویز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وکیلی دفاع متهم را به این علت رد کند که اتهام وارد را قابل دفاع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چنین وکیلی وظیفه قاضی را انجام داده و به وکالت لباس قضاوت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گفت با اعلام یک نظر اشتباهی سنگی در کفه ترازوی عدالت به‌ضرر متهم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شاهین عدالت را در اثر یک نظر اشتباهی در جهت مجرمیت متهم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را که قاضی پس از استماع دفاع طرفین انجام می‌دهد، او انجام داده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آری، آن‌گاه که منظور از دفاع، روشن کردن وضعیت حقوقی متهم باشد و چنین آرمانی نهادینه شود، پیداست که حکم مسأله هم همان خواهد بود که در آغاز بود، اما دریغا که تا آن زمان، تجویز دفاع از حق وکالت رها از هرگونه قید و بستی ممکن است در مواردی ترحم بر پلنگ تیزدندانی را ماند که نتیجه آن جفاکاری بر گوسفندان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91" w:name="__RefHeading___Toc1597092_581953129"/>
      <w:bookmarkStart w:id="92" w:name="_Toc34"/>
      <w:bookmarkEnd w:id="91"/>
      <w:r>
        <w:rPr>
          <w:rtl w:val="true"/>
        </w:rPr>
        <w:t>وکالت زن در دعاوی؛ در فقه امامیه</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این تمهیدات به یک بخش از پرسش اساسی این نوشتار می‌پردازیم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وکالت زن در دعاوی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w:t>
      </w:r>
      <w:bookmarkStart w:id="93" w:name="pg5406_38451"/>
    </w:p>
    <w:p>
      <w:pPr>
        <w:pStyle w:val="BookText"/>
        <w:rPr/>
      </w:pPr>
      <w:bookmarkEnd w:id="93"/>
      <w:r>
        <w:rPr>
          <w:rFonts w:ascii="IRNazanin" w:hAnsi="IRNazanin" w:eastAsia="IRNazanin"/>
          <w:color w:val="111111"/>
          <w:sz w:val="28"/>
          <w:sz w:val="28"/>
          <w:szCs w:val="28"/>
          <w:rtl w:val="true"/>
          <w:lang w:bidi="fa-IR"/>
        </w:rPr>
        <w:t xml:space="preserve">پرسش و پرسش‌های دیگر از این قبیل در حقیقت مهم‌ترین مسأله‌ای است که فقه با آن سروکار دارد؛ چون هدف اصلی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عرصه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چارچوب رفتاری انسان در سپهر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حوزه متمرکز فعالیت این کتاب نیز به دلیل رویکرد فقهی آن جز این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تفصیل و تعمیق پاسخ این پرسش بپردازیم، اجمالاً دیدگاه فقهای شیعه را در این زمینه یادآور می‌شویم</w:t>
      </w:r>
      <w:r>
        <w:rPr>
          <w:rFonts w:eastAsia="IRNazanin" w:cs="IRNazanin"/>
          <w:color w:val="111111"/>
          <w:sz w:val="28"/>
          <w:szCs w:val="28"/>
          <w:rtl w:val="true"/>
          <w:lang w:bidi="fa-IR"/>
        </w:rPr>
        <w:t>.</w:t>
      </w:r>
    </w:p>
    <w:p>
      <w:pPr>
        <w:pStyle w:val="Heading3"/>
        <w:numPr>
          <w:ilvl w:val="2"/>
          <w:numId w:val="1"/>
        </w:numPr>
        <w:rPr/>
      </w:pPr>
      <w:bookmarkStart w:id="94" w:name="__RefHeading___Toc1597094_581953129"/>
      <w:bookmarkStart w:id="95" w:name="_Toc35"/>
      <w:bookmarkEnd w:id="94"/>
      <w:r>
        <w:rPr>
          <w:rtl w:val="true"/>
        </w:rPr>
        <w:t>وکالت زن و دیدگاه فقهای شیعه</w:t>
      </w:r>
      <w:bookmarkEnd w:id="95"/>
    </w:p>
    <w:p>
      <w:pPr>
        <w:pStyle w:val="BookText"/>
        <w:rPr/>
      </w:pPr>
      <w:r>
        <w:rPr>
          <w:rFonts w:ascii="IRNazanin" w:hAnsi="IRNazanin" w:eastAsia="IRNazanin"/>
          <w:color w:val="111111"/>
          <w:sz w:val="28"/>
          <w:sz w:val="28"/>
          <w:szCs w:val="28"/>
          <w:rtl w:val="true"/>
          <w:lang w:bidi="fa-IR"/>
        </w:rPr>
        <w:t>این نکته را یادآوری کنم که در فقه شیعه به وکالت زن در دعاوی سلباً یا ایجاباً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می‌توان با استفاده از مباحث کلی وکالت، جواز اقدام زن به این حرفه را مسلم دانست که به‌اقتضای ماهیت عمل، یعنی وکالت‌بودنش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لافرق بین نیابة الذکر والانثی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نمایندگی میان زن و مرد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ناحیه وکیل شدن زن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تجوز استنابتها فی‌کل ما تصح الاستنابة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وکالت زن در همه مواردی که نیابت در آن صحیح است،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وتجوز وکالة المرأة عن الرجل وعن المرأة وعن قومها حتی فی الامور السیاسیة والاحکام السلطانیة، الا التصدی لنصب القضاء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وکالت زن از طرف مرد و زن و نیز از قومش، حتی در امور سیاسی و شئون حکومتی جایز است، مگر برای تصدی منصب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مسأله در بیان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اهل سنت هم آمده است</w:t>
      </w:r>
      <w:r>
        <w:rPr>
          <w:rFonts w:eastAsia="IRNazanin" w:cs="IRNazanin"/>
          <w:color w:val="111111"/>
          <w:sz w:val="28"/>
          <w:szCs w:val="28"/>
          <w:rtl w:val="true"/>
          <w:lang w:bidi="fa-IR"/>
        </w:rPr>
        <w:t>:</w:t>
      </w:r>
      <w:bookmarkStart w:id="96" w:name="pg5406_38453"/>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وکلت امرأة رجلا، اورجل امرأة، اومسلم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کلّه جائز لعموم الحاجة الی الوکالة فی‌حق هؤلاء</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هرگاه زن به مرد یا مرد به زن یا مسلمان به ذمی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بدهد، همه اینها جایز است؛ چون همه اینها به آن نیاز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زن شرعاً مجاز است برای انجام امور دادگاهی هر کدام از طرفین دعوی نمایندگی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اجمال را در چند محور جمع‌بندی شده دنبال خواهیم کرد؛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دعاوی زن از مصادیق وکالت عام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این مورد قابل ارزیابی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معاملات است، می‌شود بر اساس فلسفه این نوع از معامله آن را بررسی کرد؛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مباحث پراکنده‌ای که در ارتباط با وکالت زن شکل گرفته و نیز برخی یافته‌های تاریخی در این باره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بحث را از مورد نخست پی می‌گیریم</w:t>
      </w:r>
      <w:r>
        <w:rPr>
          <w:rFonts w:eastAsia="IRNazanin" w:cs="IRNazanin"/>
          <w:color w:val="111111"/>
          <w:sz w:val="28"/>
          <w:szCs w:val="28"/>
          <w:rtl w:val="true"/>
          <w:lang w:bidi="fa-IR"/>
        </w:rPr>
        <w:t>.</w:t>
      </w:r>
    </w:p>
    <w:p>
      <w:pPr>
        <w:pStyle w:val="Heading3"/>
        <w:numPr>
          <w:ilvl w:val="2"/>
          <w:numId w:val="1"/>
        </w:numPr>
        <w:rPr/>
      </w:pPr>
      <w:bookmarkStart w:id="97" w:name="__RefHeading___Toc1597096_581953129"/>
      <w:bookmarkStart w:id="98" w:name="_Toc36"/>
      <w:bookmarkEnd w:id="97"/>
      <w:r>
        <w:rPr>
          <w:rtl w:val="true"/>
        </w:rPr>
        <w:t>ادله جواز وکالت زن در دعاوی</w:t>
      </w:r>
      <w:bookmarkEnd w:id="98"/>
    </w:p>
    <w:p>
      <w:pPr>
        <w:pStyle w:val="Heading4"/>
        <w:numPr>
          <w:ilvl w:val="3"/>
          <w:numId w:val="1"/>
        </w:numPr>
        <w:rPr/>
      </w:pPr>
      <w:bookmarkStart w:id="99" w:name="__RefHeading___Toc1597098_581953129"/>
      <w:bookmarkStart w:id="100" w:name="_Toc37"/>
      <w:bookmarkEnd w:id="99"/>
      <w:r>
        <w:rPr/>
        <w:t>1</w:t>
      </w:r>
      <w:r>
        <w:rPr>
          <w:rtl w:val="true"/>
        </w:rPr>
        <w:t xml:space="preserve">. </w:t>
      </w:r>
      <w:r>
        <w:rPr>
          <w:rtl w:val="true"/>
        </w:rPr>
        <w:t>وکالت زن در دعاوی و شرایط وکیل</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وکالت زن در دعاوی گونه‌ای از وکالت عام یا به عبارتی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برای جواز یا عدم جواز اقدام زن به آن در شرایط کلی وکیل درنگ کرد تا مشخص شود که آیا در فقه برای اهلیت وکیل، مرد بودن شرط شده است یا نه؟ در ارتباط با موضوع وکالت نزدیک به ده روایت در منابع شیعی آمده که در هیچ‌یک از آنها مضمونی که القا کننده شرط مرد بودن در وکالت باشد،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مضمون‌هایی این دسته روایات حول محور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پرسش‌کنندگان و در ارتباط با مشکلات آن‌هاست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اما آنچه در بیان فقها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تردیدی دراین باره نمی‌گذارد که شرطهایی از این قبیل در وکالت، اعتباری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شرایطی که بر آن تمرکز اساسی صورت گرفته، همان شرایط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معقولیت دخالت او در موضوع مورد وکالت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واقع این شرایط عمدتاً در همه معاملات مبنای اهلیت طرفین معامله را شکل داده و به باب وکالت اختصاص ندارد؛</w:t>
      </w:r>
      <w:r>
        <w:rPr>
          <w:rStyle w:val="FootnoteAnchor"/>
          <w:rtl w:val="true"/>
        </w:rPr>
        <w:footnoteReference w:id="163"/>
      </w:r>
      <w:r>
        <w:rPr>
          <w:rFonts w:ascii="IRNazanin" w:hAnsi="IRNazanin" w:eastAsia="IRNazanin"/>
          <w:color w:val="111111"/>
          <w:sz w:val="28"/>
          <w:sz w:val="28"/>
          <w:szCs w:val="28"/>
          <w:rtl w:val="true"/>
          <w:lang w:bidi="fa-IR"/>
        </w:rPr>
        <w:t>زیرا آنچه در معامله تعیین‌کننده خواهد بود، توافق آگاهانه متعاقدین در چارچوب شرع است</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این توافق در صورتی به این درجه از اعتبار دست می‌یابد که کودکانه و دیوانه‌وار اتخاذ نشده باشد؛ زیرا تصمیم و اقدامات این دو صنف غالباً برخوردار از عقلانیت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سود و زیان، و اعتبار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محقق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تحلیلی که برای جواز بیع کودک ارائه می‌کند، از بعد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سود و زیان، و اعتبار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بررسی قضیه شده که اگر در معامله کودکان محاسبه سود و زیان به طور معقول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اذعان ایشان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آنان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وصیت و عتق کودک به مقتضای احادیث درست است، بُعدی ندارد که به جواز همه معاملات کودک قائل شویم؛ درصورتی‌که بتواند نفع و ضرر و راه‌های نگهداری و مصرف را در امور مالی تشخیص دهد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ضرورت برجستگی همین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است که صاحب جواهر را واداشته تا برخلاف محقق اردبیلی موضع گرفته و معامله کودکان و دیوانگان را درست نداند؛ چون به عقیده ایشان قول و قرار لفظی این هردو صنف مانند اصوات حیوانات از روی آگاهی و اراده معتبر ناشی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فساد اجرای عقد از سوی کودک و دیوانه می‌فرماید این مطلب بدان جهت مسلم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تاثیر عبارت آنان در عقود امری بدیهی است؛ چون الفاظ کودک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اصوات بهایم و حیوانات بوده و کسی برای آن اعتباری قائل نیست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کودک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این فقیه برخلاف مقدس اردبیلی فاقد اهلیت در معامله بوده و نگاه آنها به دو نتیجه متفاوت منتهی می‌شود، نوع این تحلیل از مبنای اعتبار شرایط، علاوه بر تصریحات فقها در آغاز این بحث، ما را به اینجا رهنمون می‌شود که اگر از همان زوایایی که ضرورت شرایط دیگر در معاملات کاوش شده به جنسیت نگاه کنیم، میان زن و مرد در وکالت و در همه عقد و قرارهای معاملی تفاوتی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فقه کسی برای اهلیت زن وارد استدلال نشده، بلکه به اشتراک زن و مرد به‌عنوان یک پیش‌فرض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برخی منابع برای اهلیت زن در اجرای عقد نکاح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زن در فقه شیعه معتبر</w:t>
      </w:r>
    </w:p>
    <w:p>
      <w:pPr>
        <w:pStyle w:val="BookText"/>
        <w:rPr/>
      </w:pPr>
      <w:r>
        <w:rPr>
          <w:rFonts w:ascii="IRNazanin" w:hAnsi="IRNazanin" w:eastAsia="IRNazanin"/>
          <w:color w:val="111111"/>
          <w:sz w:val="28"/>
          <w:sz w:val="28"/>
          <w:szCs w:val="28"/>
          <w:rtl w:val="true"/>
          <w:lang w:bidi="fa-IR"/>
        </w:rPr>
        <w:t>است؛ چون از آگاهی و اراده ناشی می‌شود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 یا آنچه در حدائق به عدم تفاوت وکالت زن و مرد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همین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حساسیت موضوع بوده است؛ نه آنکه به شکل موردی و استثنایی از اهلیت زن در این دو زمینه رفع تشکیک کرده باشند؛ زیرا اصولاً این ذهنیت در میان فقهای شیعه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اگر وکالت زن را از زاویه شرط اختصاصی وکیل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یعنی اهلیت و معقولیت دخالت او در موضوع 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کنیم، باز هم زن و مرد در وضعیت برابر قرار می‌گیرند؛ چون اگر بخواهیم اهلیت وکالت کسی را بر مبنای این شرط بسنجیم، فارغ از جنسیت، از اهلیت دخالت او در همان موضوع خواهیم پرسید و نوبت به پرسش از زن بودن و مرد بودن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که پوشش‌دهنده کل صلاحیت وکیل، و در صبغه یک قاعده مسلم در همه موارد باب وکالت مسلط است، در واقع بیان شرطهای دیگر را به طور مستقل جلوه می‌دهد؛ چراکه ابتدایی‌ترین مرحله اهلیت بدون بلوغ و عقل غیر قابل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مفاد این قاعده بیان کامل شرایط اهلیت وکیل بوده و در واقع، مسأله همان دغدغه اهلیت شخص وکیل است؛ اهلیتی که البته مستقیماً جنسیت‌مدار نبوده و از سویی اینکه در فقه شیعه اهلیت تصرف انسان حداقل در اجرای عقود بر اساس جنسیت طبقه‌بندی نشده است، غیر مستقیم هم ناظر به این مسأله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از چشم‌انداز کلی اهلیت، به‌ویژه در ارتباط با معاملات، در فقه کاری به زمین مانده است و یا دست‌کم انسجام آن توضیح داده</w:t>
      </w:r>
    </w:p>
    <w:p>
      <w:pPr>
        <w:pStyle w:val="BookText"/>
        <w:rPr/>
      </w:pPr>
      <w:r>
        <w:rPr>
          <w:rFonts w:ascii="IRNazanin" w:hAnsi="IRNazanin" w:eastAsia="IRNazanin"/>
          <w:color w:val="111111"/>
          <w:sz w:val="28"/>
          <w:sz w:val="28"/>
          <w:szCs w:val="28"/>
          <w:rtl w:val="true"/>
          <w:lang w:bidi="fa-IR"/>
        </w:rPr>
        <w:t>نشده است، ولی آنچه اخیراً مرحوم مغنیه در بحث از مراحل و مقتضیات اهلیت پس از تتبع و سیر در ابواب فقه مورد امعان نظر قرار داده، در اینجا می‌تواند راهگشای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معاصر در آنجا بدون ابهام به مثابه یک قاعده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اهلیت در تصرفات مالی و غیر مالی تن‌ها رشد عقلی و سنی کافی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براین‌اساس دیگر برای اینکه بدانیم آیا زن در فلان مورد می‌تواند وکیل شود یا نه، وسوسه دلیل خاص که ابتدا مشروعیت دخالت زن را به طور مشخص اثبات کند، نخواهیم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حداکثر آنکه اگر در کارآمدی این قاعده تردید شود و این پرسش با وجود عدم نص شرعی همچنان باقی بماند که مبادا ذکوریت به‌عنوان شرط در وکالت اخذ شده باشد، مسأله از مصادیق شک در شرطیت است که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نهایی می‌شود؛ چون دلیلی که بر اعتبار آن دلالت کند، دست‌کم در دست نیست؛ ازاین‌رو این اصل بدون معارض و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خواهد بود</w:t>
      </w:r>
      <w:r>
        <w:rPr>
          <w:rFonts w:eastAsia="IRNazanin" w:cs="IRNazanin"/>
          <w:color w:val="111111"/>
          <w:sz w:val="28"/>
          <w:szCs w:val="28"/>
          <w:rtl w:val="true"/>
          <w:lang w:bidi="fa-IR"/>
        </w:rPr>
        <w:t>.</w:t>
      </w:r>
      <w:r>
        <w:rPr>
          <w:rStyle w:val="FootnoteAnchor"/>
          <w:rtl w:val="true"/>
        </w:rPr>
        <w:footnoteReference w:id="170"/>
      </w:r>
      <w:bookmarkStart w:id="101" w:name="pg5406_38462"/>
    </w:p>
    <w:p>
      <w:pPr>
        <w:pStyle w:val="BookText"/>
        <w:rPr/>
      </w:pPr>
      <w:bookmarkEnd w:id="101"/>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شرایط اهلیت وکیل ذکوریت دیده نمی‌شود و هم طبق قاعده که به طور کلان نقشی در وکالت ندارد و نیز به مقتضای اصل منفی است، در وکالت دعاوی هم که عقدی مستقل نیست، جنسیت تاثیرگذار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جواز آن برای زن در فقه منعی دیده نمی‌شود</w:t>
      </w:r>
      <w:r>
        <w:rPr>
          <w:rFonts w:eastAsia="IRNazanin" w:cs="IRNazanin"/>
          <w:color w:val="111111"/>
          <w:sz w:val="28"/>
          <w:szCs w:val="28"/>
          <w:rtl w:val="true"/>
          <w:lang w:bidi="fa-IR"/>
        </w:rPr>
        <w:t>.</w:t>
      </w:r>
    </w:p>
    <w:p>
      <w:pPr>
        <w:pStyle w:val="Heading4"/>
        <w:numPr>
          <w:ilvl w:val="3"/>
          <w:numId w:val="1"/>
        </w:numPr>
        <w:rPr/>
      </w:pPr>
      <w:bookmarkStart w:id="102" w:name="__RefHeading___Toc1597100_581953129"/>
      <w:bookmarkStart w:id="103" w:name="_Toc38"/>
      <w:bookmarkEnd w:id="102"/>
      <w:r>
        <w:rPr/>
        <w:t>2</w:t>
      </w:r>
      <w:r>
        <w:rPr>
          <w:rtl w:val="true"/>
        </w:rPr>
        <w:t xml:space="preserve">. </w:t>
      </w:r>
      <w:r>
        <w:rPr>
          <w:rtl w:val="true"/>
        </w:rPr>
        <w:t>زن و حق مشارکت دعوی</w:t>
      </w:r>
      <w:bookmarkEnd w:id="1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محور، با پیش‌فرض وکالت‌پذیری دعاوی، ازآن‌رو حایز اهمیت است که فقهای عمده‌ای صلاحیت افراد برای تصدی هر گونه وکالت را منوط به حق مشارکت و مداخله مستقیم آنها در عمل مورد وکالت دانسته‌اند؛ یعنی اگر فردی بخواهد در زمینه‌ای، وکالت بپذیرد، باید اقدام و تصرفش در آن معقول و مشروع و حداقل برای وی به طور مشخص تحریم نشده باشد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در واقع 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 را در اهلیت وکیل بازی می‌کنند چون همه کسانی که صلاحیتشان در وکالت انکار شده، بر همین اساس بازگشت می‌کند؛ یعنی چون از تصرف معتبر در موضوع خاص یا به طور عموم عاجزند، شایستگی‌شان در همان محدوده زیر سوال قرار دارد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ازاین‌رو در حدود که تصرفات کودک پذیرفته شده تلقی می‌شود، وکالت او نیز حداقل محل مناقشه و به‌طور قاطع نفی آن دشوار و بلکه مجاز دانسته شده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همچنین در دیدگاه فقهایی که برای منع کودک از تصرف</w:t>
      </w:r>
    </w:p>
    <w:p>
      <w:pPr>
        <w:pStyle w:val="BookText"/>
        <w:rPr/>
      </w:pPr>
      <w:r>
        <w:rPr>
          <w:rFonts w:ascii="IRNazanin" w:hAnsi="IRNazanin" w:eastAsia="IRNazanin"/>
          <w:color w:val="111111"/>
          <w:sz w:val="28"/>
          <w:sz w:val="28"/>
          <w:szCs w:val="28"/>
          <w:rtl w:val="true"/>
          <w:lang w:bidi="fa-IR"/>
        </w:rPr>
        <w:t>در امور مالی دلیل قائل نبوده‌اند، راه برای وکالت کودک علی القاعده هموار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به‌هرحال، مفهوم روشن این شرط که در هویت یک قاعده مسلم ظاهر شده،</w:t>
      </w:r>
      <w:r>
        <w:rPr>
          <w:rStyle w:val="FootnoteAnchor"/>
          <w:rtl w:val="true"/>
        </w:rPr>
        <w:footnoteReference w:id="176"/>
      </w:r>
      <w:r>
        <w:rPr>
          <w:rFonts w:ascii="IRNazanin" w:hAnsi="IRNazanin" w:eastAsia="IRNazanin"/>
          <w:color w:val="111111"/>
          <w:sz w:val="28"/>
          <w:sz w:val="28"/>
          <w:szCs w:val="28"/>
          <w:rtl w:val="true"/>
          <w:lang w:bidi="fa-IR"/>
        </w:rPr>
        <w:t>این است که برای اهلیت وکیل تنها بلوغ و رشد عقلی کافی نیست که ممکن است شخص در عین اجتماع این شرایط از وکالت شرعا ممنوع شده باشد؛ مثل کسی که در حج به‌سر می‌برد و لباس احرام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چون از مبادرت در اجرای عقد نکاح و شکار تحریم شده است، برای دیگران هم چنین حقی ندارد و نخواهد توانست که از طریق وکالت این قبیل اقدامات را انجام دهد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 این اساس، اگر شایستگی زن در وکالت دعاوی از این نقطه نظر مورد توجه قرار بگیرد، به‌خوبی روشن خواهد شد که حق تصرف زن در دعاوی تا آنجا در فقه اسلامی مسلم و بدون تشکیک است که کسی برای آن نیاز به استدلال و حتی تذکر را ندیده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تنها آنچه در اینجا بدان توجه شده، همان شرایط شخصی است که در همه ابواب معامله بر آن تأکید می‌شود؛ یعنی بلوغ و عقل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بیان برخی فقها با محفوظ بودن این حق برای زنان آمده که اگر حضور در دادگاه کسر شخصیت برای برخی از آنها تلقی شده و</w:t>
      </w:r>
    </w:p>
    <w:p>
      <w:pPr>
        <w:pStyle w:val="BookText"/>
        <w:rPr/>
      </w:pPr>
      <w:r>
        <w:rPr>
          <w:rFonts w:ascii="IRNazanin" w:hAnsi="IRNazanin" w:eastAsia="IRNazanin"/>
          <w:color w:val="111111"/>
          <w:sz w:val="28"/>
          <w:sz w:val="28"/>
          <w:szCs w:val="28"/>
          <w:rtl w:val="true"/>
          <w:lang w:bidi="fa-IR"/>
        </w:rPr>
        <w:t>خودشان از حضور در آن امتناع ورزند، حاکم شرع برای حفظ احترام آنها باید وکیل بگیرد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بی‌آنکه مایل به تفصیل این بحث باشیم، یادآوری نمونه‌هایی از تاریخ صدر اسلام ضروری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آیات قرآن دو آیه به شهادت شأن نزول و به‌ویژه دلالت مضمون در ارتباط با مشارکت زنان در دعاوی نازل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مردان سرپرست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خدا برخی از ایشان را بر برخی برتری داده و نیز به دلیل آنکه از اموالشان خرج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به‌اتفاق مفسران این آیه در جریان شکایت حبیبه دختر زید همسر سعد بن ربیع انصاری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برای دادخواهی از شوهرش که به صورت او سیلی زده بود، برای قضاوت نزد پیامبر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ماجرا از سوی این زن و اتفاقات کوچکی این آیه نازل 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 إِنَّ اللّهَ سَمِیعٌ بَصِیرٌ</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خدا گفتار زنی را که درباره شوهرش با تو گفتگو می‌کرد شنید؛ و خدا گفتگوی شما را می‌شنود؛ زیرا خدا شنوای داناست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نزول آیه روایت شده است که یکی از زنان صحابی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شکایت برد که شوهرم با من که جوان و مورد رغبت بودم، ازدواج کرد و اکنون که سنین عمرم زیاد شده و چند بچه آورده‌ام، مرا مانند مادرش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در جاهلیت به منزله تحریم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چند کودک خردسال دارم و استطاعت وجه معاش ایشان مرا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وی واگذارم، ضایع می‌شوند و اگر خودم سرپرستی کنم، گرسنه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قضیه تو بی‌اطلاعم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وی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شکایت خویش به خدا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را طلبید و او را بین طلاق زنش و نگهداری با تأدیه کفاره مخیر ساخت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همان گونه که ملاحظه می‌شود، این دو آیه در جریان دادخواهی زنانی نازل شده که از بدرفتاری شوهرانشان مستقیماً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کرده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میان قضاوت‌های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متعددی وجود دارد که در بسیاری از آنها زن در جایگاه شاکی یا متهم حضور یافته است</w:t>
      </w:r>
      <w:r>
        <w:rPr>
          <w:rFonts w:eastAsia="IRNazanin" w:cs="IRNazanin"/>
          <w:color w:val="111111"/>
          <w:sz w:val="28"/>
          <w:szCs w:val="28"/>
          <w:rtl w:val="true"/>
          <w:lang w:bidi="fa-IR"/>
        </w:rPr>
        <w:t>.</w:t>
      </w:r>
      <w:r>
        <w:rPr>
          <w:rStyle w:val="FootnoteAnchor"/>
          <w:rtl w:val="true"/>
        </w:rPr>
        <w:footnoteReference w:id="184"/>
      </w:r>
      <w:bookmarkStart w:id="104" w:name="pg5406_38470"/>
    </w:p>
    <w:p>
      <w:pPr>
        <w:pStyle w:val="BookText"/>
        <w:rPr/>
      </w:pPr>
      <w:bookmarkEnd w:id="104"/>
      <w:r>
        <w:rPr>
          <w:rFonts w:ascii="IRNazanin" w:hAnsi="IRNazanin" w:eastAsia="IRNazanin"/>
          <w:color w:val="111111"/>
          <w:sz w:val="28"/>
          <w:sz w:val="28"/>
          <w:szCs w:val="28"/>
          <w:rtl w:val="true"/>
          <w:lang w:bidi="fa-IR"/>
        </w:rPr>
        <w:t xml:space="preserve">این نمونه‌ها از متن شریعت و مربوط به دوره‌ای است که قضاوت اسلامی عملاً بر محور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اتکا داشته و آستان عدالت این گونه مرجع و ملجأ تظلم افراد از هر قشر و صنف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از افتخارات نظام فقهی اسلام است که از همان آغاز برخلاف برخی آیین‌های دیگر برای زن در اقدام به دعاوی اهلیت کامل قائل شده است؛</w:t>
      </w:r>
      <w:r>
        <w:rPr>
          <w:rStyle w:val="FootnoteAnchor"/>
          <w:rtl w:val="true"/>
        </w:rPr>
        <w:footnoteReference w:id="185"/>
      </w:r>
      <w:r>
        <w:rPr>
          <w:rFonts w:ascii="IRNazanin" w:hAnsi="IRNazanin" w:eastAsia="IRNazanin"/>
          <w:color w:val="111111"/>
          <w:sz w:val="28"/>
          <w:sz w:val="28"/>
          <w:szCs w:val="28"/>
          <w:rtl w:val="true"/>
          <w:lang w:bidi="fa-IR"/>
        </w:rPr>
        <w:t>چنان‌که در تضمین همه حقوق مدنی او نیز پیش‌گام همه بوده است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نقطه‌نظر اهلیت در دعاوی، وکالت زن منطبق بر مبنای فقهی وکالت و دارای سوابق روشن تاریخی در اسلام است</w:t>
      </w:r>
      <w:r>
        <w:rPr>
          <w:rFonts w:eastAsia="IRNazanin" w:cs="IRNazanin"/>
          <w:color w:val="111111"/>
          <w:sz w:val="28"/>
          <w:szCs w:val="28"/>
          <w:rtl w:val="true"/>
          <w:lang w:bidi="fa-IR"/>
        </w:rPr>
        <w:t>.</w:t>
      </w:r>
    </w:p>
    <w:p>
      <w:pPr>
        <w:pStyle w:val="Heading4"/>
        <w:numPr>
          <w:ilvl w:val="3"/>
          <w:numId w:val="1"/>
        </w:numPr>
        <w:rPr/>
      </w:pPr>
      <w:bookmarkStart w:id="105" w:name="__RefHeading___Toc1597102_581953129"/>
      <w:bookmarkStart w:id="106" w:name="_Toc39"/>
      <w:bookmarkEnd w:id="105"/>
      <w:r>
        <w:rPr/>
        <w:t>3</w:t>
      </w:r>
      <w:r>
        <w:rPr>
          <w:rtl w:val="true"/>
        </w:rPr>
        <w:t xml:space="preserve">. </w:t>
      </w:r>
      <w:r>
        <w:rPr>
          <w:rtl w:val="true"/>
        </w:rPr>
        <w:t>وکالت زن و فلسفه وکالت</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از معاملات، آن آثاری است که ترتب پیدا می‌کند، آن احکامی است که برآن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می‌خرد؟ حتی نه به‌منظور اینکه صرفاً مالک خانه باشد؛ نه، ملکیت هم مقدّمیت بر آن آثار دارد تا بتواند در این خانه سکونت کند، از منافع خانه بهره ببرد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یک اغراض و آثاری مورد نظر است که آن اغراض و آثار به عنوان رکنیت و اصالت، در باب معاملات مورد نظر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همین سخن را در باب وکالت دعاوی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یکی از مصادیق معاملات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وکالت در دعاوی دست یافتن به آثار مورد نظر موکل است؛ یعنی پیشرفت جریان دادرسی به‌گونه‌ای که وکالت به تضییع و تفویت مصالح موکل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باب معاملات می‌تواند یکی از محورهای بررسی در مشروعیت وکالت زن قرار گیرد تا وکالت زن در دعاوی معطوف به هدف ارزیابی شود که آیا پیش‌برد اهداف وکالت دعوا از سوی زن امکان دارد؟ چون شرعاً اقدامات 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 و زیان در آن محاسبه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فاقد اعتبار است و تازه فلسفه مشروعیت وکالت عموما، وخصوصاً در دعاوی برآورد نیازی است که در این باره احساس می‌شود؛ زیرا به هر دلیلی برای همه امکان مباشرت در دعوا وجود ندارد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پرواضح است که اگر وکالت دعاوی از این زاویه تحلیل شود، جنسیت متغیر تعیین‌کننده نخواهد بود، بلکه آنچه در این ارتباط نقش محوری دارد، آگاهی، تجربه و حداکثر تخصص حرفه‌ای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امکان کسب و فراگیری دانش و تخصص فراراه همه است و زن از این بابت با هیچ کمبود فطری مواجه نیست</w:t>
      </w:r>
      <w:r>
        <w:rPr>
          <w:rStyle w:val="FootnoteAnchor"/>
          <w:rtl w:val="true"/>
        </w:rPr>
        <w:footnoteReference w:id="189"/>
      </w:r>
      <w:r>
        <w:rPr>
          <w:rFonts w:ascii="IRNazanin" w:hAnsi="IRNazanin" w:eastAsia="IRNazanin"/>
          <w:color w:val="111111"/>
          <w:sz w:val="28"/>
          <w:sz w:val="28"/>
          <w:szCs w:val="28"/>
          <w:rtl w:val="true"/>
          <w:lang w:bidi="fa-IR"/>
        </w:rPr>
        <w:t>تا تجویز و احاله این گونه وکالت به زن تجویز کاری باشد که در منطق عقل و به‌طریق اولی در شرع به‌دلیل فقدان مصلحت محکوم باشد که مثلاً چون این عمل افزون بر توانایی‌های ذاتی اوست، بیهوده و در نتیجه غیرمشروع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وکالت زن در مواردی که موکل زن باشد نه تنها با فلسفه وکالت تضاد ندارد که تقارن و تطبیق آن با روح وکالت دعاوی بیشتر است؛ زیرا آنکه به‌درستی می‌تواند رازآشنای یک زن باشد، کسی است که در تجارب تلخ و شیرین زندگی و نوع عواطف و افکار، بیشترین اشتراک و همسویی را با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زنان و موقعیت‌های روحی و مشکلات زندگی زنان با نفوذ محرمانه به دنیای آنان میسر است و چنین کاری فقط از عهده هم‌صنفان آنان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زنانند که اگر نگوییم تنها مدافع، حداقل مناسب ترین مدافع همدیگر در این گونه صحنه‌های زندگی‌اند و با محفوظ ماندن اسرار و نبود موانع و احتیاط شرعی می‌توانند جوانب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امور موکل هم‌جنس خود را بررسی کنند، بی‌آنکه رعایت حجب و حیا طرف مقابل را ناچار به خودسانسوری نماید</w:t>
      </w:r>
      <w:r>
        <w:rPr>
          <w:rFonts w:eastAsia="IRNazanin" w:cs="IRNazanin"/>
          <w:color w:val="111111"/>
          <w:sz w:val="28"/>
          <w:szCs w:val="28"/>
          <w:rtl w:val="true"/>
          <w:lang w:bidi="fa-IR"/>
        </w:rPr>
        <w:t>.</w:t>
      </w:r>
      <w:r>
        <w:rPr>
          <w:rStyle w:val="FootnoteAnchor"/>
          <w:rtl w:val="true"/>
        </w:rPr>
        <w:footnoteReference w:id="19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وکالت زن در دعاوی گذشته از مواردی که تنها گزینه مناسب برای مصلحت کلان این نوع معامله است، حداقل در تحقق آن مانع تلقی نخواهد شد، بلکه عکس قضیه محرز است؛ چه اگر زن‌ها نمی‌توانستند، یا زن بودن آنها مخل این مصلحت بود، عقلای جهان معاصر وکالت زنان را نمی‌پذیرفتند</w:t>
      </w:r>
      <w:r>
        <w:rPr>
          <w:rFonts w:eastAsia="IRNazanin" w:cs="IRNazanin"/>
          <w:color w:val="111111"/>
          <w:sz w:val="28"/>
          <w:szCs w:val="28"/>
          <w:rtl w:val="true"/>
          <w:lang w:bidi="fa-IR"/>
        </w:rPr>
        <w:t>.</w:t>
      </w:r>
      <w:bookmarkStart w:id="107" w:name="pg5406_38475"/>
    </w:p>
    <w:p>
      <w:pPr>
        <w:pStyle w:val="Heading4"/>
        <w:numPr>
          <w:ilvl w:val="3"/>
          <w:numId w:val="1"/>
        </w:numPr>
        <w:rPr/>
      </w:pPr>
      <w:bookmarkStart w:id="108" w:name="__RefHeading___Toc1597104_581953129"/>
      <w:bookmarkStart w:id="109" w:name="_Toc40"/>
      <w:bookmarkEnd w:id="107"/>
      <w:bookmarkEnd w:id="108"/>
      <w:r>
        <w:rPr/>
        <w:t>4</w:t>
      </w:r>
      <w:r>
        <w:rPr>
          <w:rtl w:val="true"/>
        </w:rPr>
        <w:t xml:space="preserve">. </w:t>
      </w:r>
      <w:r>
        <w:rPr>
          <w:rtl w:val="true"/>
        </w:rPr>
        <w:t>مواضع مناقشه برانگیز وکالت زن</w:t>
      </w:r>
      <w:bookmarkEnd w:id="109"/>
    </w:p>
    <w:p>
      <w:pPr>
        <w:pStyle w:val="BookText"/>
        <w:rPr/>
      </w:pPr>
      <w:r>
        <w:rPr>
          <w:rFonts w:ascii="IRNazanin" w:hAnsi="IRNazanin" w:eastAsia="IRNazanin"/>
          <w:color w:val="111111"/>
          <w:sz w:val="28"/>
          <w:sz w:val="28"/>
          <w:szCs w:val="28"/>
          <w:rtl w:val="true"/>
          <w:lang w:bidi="fa-IR"/>
        </w:rPr>
        <w:t>در همه ابواب فقه که سخن از وکالت به میان آمده است، دو مورد جود دارد که فقها با تصریح به جواز وکالت زن وارد استدلال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زن در نکاح؛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زن از جانب شوهر در طلاق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طرح گزینشی این دو مورد معنی‌دار است و این قبیل پرسش‌ها را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موارد جواز قطعی وکالت زن در همین دو مورد خلاصه می‌شود؟ یا کدام مناقشه در کار است که برای رفع تشکیک آن فقها روی این دو محور تمرکز کرده‌اند؟ گفتن ندارد که با وجود تصریحات فقها مبنی بر تعمیم جواز وکالت زن در همه گستره امور وکالت‌پذیر،</w:t>
      </w:r>
      <w:r>
        <w:rPr>
          <w:rStyle w:val="FootnoteAnchor"/>
          <w:rtl w:val="true"/>
        </w:rPr>
        <w:footnoteReference w:id="191"/>
      </w:r>
      <w:r>
        <w:rPr>
          <w:rFonts w:ascii="IRNazanin" w:hAnsi="IRNazanin" w:eastAsia="IRNazanin"/>
          <w:color w:val="111111"/>
          <w:sz w:val="28"/>
          <w:sz w:val="28"/>
          <w:szCs w:val="28"/>
          <w:rtl w:val="true"/>
          <w:lang w:bidi="fa-IR"/>
        </w:rPr>
        <w:t>فرضیه‌سازی در پاسخ پرسش نخست،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شایان تأمل خواهد ماند، همان بخش دوم پرسش است که می‌توان پاسخ رگه‌های آن را از خلال مباحث مطرح شده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طوسی در خلاف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زن جایز است که در عقد ازدواج خود، دیگران، دختر و خواهرش اقدام نماید و نیز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ابوحنییفه هم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مرد یا زن در عقد وکیل شود، ولی از نظر شافعی هیچ‌یک از این موارد درست نیست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بیان صاحب جواهر همراه با تشریح دیدگاه محقق</w:t>
      </w:r>
      <w:r>
        <w:rPr>
          <w:rStyle w:val="FootnoteAnchor"/>
          <w:rtl w:val="true"/>
        </w:rPr>
        <w:footnoteReference w:id="1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عقد از سوی زنی بالغ و دارای رشد در فقه امامیه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خود را به عقد کسی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اینکه در مسأله اختلاف باشد، می‌تواند از جانب دیگران در عقد وکیل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در مسأله اجماع به‌دست آورد و اشکالی هم ندارد؛ چون ادله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قائل شدن به ولایت پدر یا جد بر دختر بالغ و رشید نیز مستلزم این نیست که عقدش را در حق دیگران نافذ ندانیم، بلکه برای خودش نیز با اذن ولی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دیدگاه شافعی مبنی بر مسلوب‌العباره بودن زن واضح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همان گونه که ملاحظه می‌شود، لب استدلال صاحب جواهر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اهلیت زن در فقه شیعه مسلم و از این جهت سخن او در این قبیل اقدامات پذیرفتنی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ولایت پدر یا جد در نکاح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مخل اهلیت آنان نبوده، بلکه فلسفه‌ای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دلایل مشروعیت نکاح، اطلاق داشته و در آن قیدی که مباشرت فاعل خاص را الزام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مضافاً به اجماع که در مسأله حاصل است، دیدگاه شافعی واضح البطلان و وکالت برای زن در این عرصه‌ها مجاز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مطلب را ایشان در کتاب وکاله با تأکید بیشتر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در فقه امامیه در سطح ضروریات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 xml:space="preserve">حرمت اقدام زن برای نکاح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وکالت‌پذیر بودن اجرای 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وکالت زن در این زمینه مطابق ادله جواز عقد نکاح و قاعده باب وکالت بدون اشکال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منظور از قاعده، همان قاعده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صلاحیت تصرف در عملی داشته باشد، می‌تواند در آن برای دیگران وکالت بپذیرد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بر این نمونه‌ها به‌روشنی مبنای مناقشه را باز می‌گوید که علت طرح مسأله به شکل گزینش شده نقد 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دیدگاه وی زن مطلقا فاقد اهلیت در نکاح تعریف شده است</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رویکردی که برای زن در نکاح خودش شایستگی قائل نیست، اقدام وی برای دیگران در این زمینه را هم علی القاعده مجاز نخواهد دانست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براین‌اساس، فقهای شیعه بحث را به محور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اهلیت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کرده‌اند که با وجود جمع بودن شرایط اهلیت در زن دلیلی که توجیه کننده محرومیت به‌خصوص او باشد، وجود</w:t>
      </w:r>
    </w:p>
    <w:p>
      <w:pPr>
        <w:pStyle w:val="BookText"/>
        <w:rPr/>
      </w:pPr>
      <w:r>
        <w:rPr>
          <w:rFonts w:ascii="IRNazanin" w:hAnsi="IRNazanin" w:eastAsia="IRNazanin"/>
          <w:color w:val="111111"/>
          <w:sz w:val="28"/>
          <w:sz w:val="28"/>
          <w:szCs w:val="28"/>
          <w:rtl w:val="true"/>
          <w:lang w:bidi="fa-IR"/>
        </w:rPr>
        <w:t>ندارد تا بر پایه آن، اهلیت را که ضرورتاً زن واجد آن است، حداقل به شکل موردی تعلیق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طلاق دو مشکل دیگر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ضروریات شریعت است که طلاق حق مرد بوده، زن ذاتاً اهلیتی در این موضوع ندارد تا اصالتاً یا وکالتاً اقدامی در این زمینه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شیخ طوسی نسبت داده شده است که علاوه بر استناد به روایت، از باب لزوم مغایرت میان وکیل و مورد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وکالت زن در طلاق را مردود دانسته است؛</w:t>
      </w:r>
      <w:r>
        <w:rPr>
          <w:rStyle w:val="FootnoteAnchor"/>
          <w:rtl w:val="true"/>
        </w:rPr>
        <w:footnoteReference w:id="198"/>
      </w:r>
      <w:r>
        <w:rPr>
          <w:rFonts w:ascii="IRNazanin" w:hAnsi="IRNazanin" w:eastAsia="IRNazanin"/>
          <w:color w:val="111111"/>
          <w:sz w:val="28"/>
          <w:sz w:val="28"/>
          <w:szCs w:val="28"/>
          <w:rtl w:val="true"/>
          <w:lang w:bidi="fa-IR"/>
        </w:rPr>
        <w:t>یعنی وکیل در حقیقت برای</w:t>
      </w:r>
    </w:p>
    <w:p>
      <w:pPr>
        <w:pStyle w:val="BookText"/>
        <w:rPr/>
      </w:pPr>
      <w:r>
        <w:rPr>
          <w:rFonts w:ascii="IRNazanin" w:hAnsi="IRNazanin" w:eastAsia="IRNazanin"/>
          <w:color w:val="111111"/>
          <w:sz w:val="28"/>
          <w:sz w:val="28"/>
          <w:szCs w:val="28"/>
          <w:rtl w:val="true"/>
          <w:lang w:bidi="fa-IR"/>
        </w:rPr>
        <w:t>دیگری وارد عمل می‌شود و در وکالت زن برای طلاق خود این مرز به‌هم می‌ریزد؛ پس وکالت زن در طلاق خود علاوه بر آنکه برخلاف قاعده مسلم اهلیت وکیل است، با این مشکل نیز روبه‌رو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جالب توجه آنکه با وجود این چالش‌ها که در اینجا وجود دارد، صاحب حدائق جواز وکالت زن در طلاق خود را به مشهور نسبت داده است</w:t>
      </w:r>
      <w:r>
        <w:rPr>
          <w:rStyle w:val="FootnoteAnchor"/>
          <w:rtl w:val="true"/>
        </w:rPr>
        <w:footnoteReference w:id="200"/>
      </w:r>
      <w:r>
        <w:rPr>
          <w:rFonts w:ascii="IRNazanin" w:hAnsi="IRNazanin" w:eastAsia="IRNazanin"/>
          <w:color w:val="111111"/>
          <w:sz w:val="28"/>
          <w:sz w:val="28"/>
          <w:szCs w:val="28"/>
          <w:rtl w:val="true"/>
          <w:lang w:bidi="fa-IR"/>
        </w:rPr>
        <w:t>و صاحب جواهر هم علی رغم احتیاطی که در کتاب طلاق در این موضوع مصروف داشته،</w:t>
      </w:r>
      <w:r>
        <w:rPr>
          <w:rStyle w:val="FootnoteAnchor"/>
          <w:rtl w:val="true"/>
        </w:rPr>
        <w:footnoteReference w:id="201"/>
      </w:r>
      <w:r>
        <w:rPr>
          <w:rFonts w:ascii="IRNazanin" w:hAnsi="IRNazanin" w:eastAsia="IRNazanin"/>
          <w:color w:val="111111"/>
          <w:sz w:val="28"/>
          <w:sz w:val="28"/>
          <w:szCs w:val="28"/>
          <w:rtl w:val="true"/>
          <w:lang w:bidi="fa-IR"/>
        </w:rPr>
        <w:t>در کتاب وکالت تصریح می‌کند که بر اساس اقتضای ادله عام جواز طلاق که در اجرای آن مباشرت مرد شرط نشده و نیز به‌دلیل آنکه در مسأله تغایر اعتباری حاصل است و افزون بر این، در اعتباریات چیزی ضرورت ندارد، اشکال شیخ طوسی مبنی بر لزوم مغایرت در وکیل و موکل‌فیه وارد نیست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تجزیه و تحلیل کامل راه برون‌رفت از این مشکل منظور ما نخواهد بود که آنچه اهمیت دارد و ما به دنبال آنیم، کشف آن رازی است که این مناقشه را برانگیخته تا جایی که فقهای شیعه از میان همه موارد روی این دو موضوع برای تحکیم موقف خود وارد استدلال</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این نکته روشن گردید که آن راز یا مبنای مناقشه حداقل در فقه شیعه تشکیک در اهلیت زن نبوده است تا جنسیت را به شکل یک مانع، هرچند جزئی این گونه برجسته کرده باشند، بلکه منبع آن تردیدها و تشکیک‌ها آبخشورهای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مورد هم اهلیت زن در معرض سوال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طلاق میدان این مانور است و می‌توان به صورت جدی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برای طلاق خود فاقد صلاحیت بوده و وکالت او ابتداءً خروج از قاعده اهلیت تلقی می‌شود، تجویز وکالت وی مبتنی بر کدام محمل اهلیت‌ساز دیگر است؟ عدم اهلیت زن در این زمینه بسترساز اصلی مسأله است، ولی در فقه به این نکته اشاره نشده و شیخ هم که از منتقدان وکالت زن در طلاق است، بر مبانی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مغایرت میان وکیل و موکل‌فیه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شده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پاسخ‌های داده شده به همان پرسش‌های دیگر هم همگی بر مبنای اهلیت کلی زن دور می‌زند و گویا از آن به مثابه یک الگوی مسلط برای حل این گونه مناقشات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محصول این نقض و ابرام‌ها تأکید بر اهلیت همه‌جانبه شخصیت زن خواهد بود که نه تنها در نکاح و طلاق که به فراتر از آن، از جمله وکالت دعاوی هم کارآمدی تام و تمام دارد؛ زیرا علت یا پاسخی که در قبال تردیدها گفته شد، به طور خلاصه این است</w:t>
      </w:r>
      <w:r>
        <w:rPr>
          <w:rFonts w:eastAsia="IRNazanin" w:cs="IRNazanin"/>
          <w:color w:val="111111"/>
          <w:sz w:val="28"/>
          <w:szCs w:val="28"/>
          <w:rtl w:val="true"/>
          <w:lang w:bidi="fa-IR"/>
        </w:rPr>
        <w:t>:</w:t>
      </w:r>
      <w:bookmarkStart w:id="110" w:name="pg5406_38486"/>
    </w:p>
    <w:p>
      <w:pPr>
        <w:pStyle w:val="BookText"/>
        <w:rPr/>
      </w:pPr>
      <w:bookmarkEnd w:id="1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نّها کاملة فی العقل والبلوغ والاختیار؛</w:t>
      </w:r>
      <w:r>
        <w:rPr>
          <w:rStyle w:val="FootnoteAnchor"/>
          <w:rtl w:val="true"/>
        </w:rPr>
        <w:footnoteReference w:id="204"/>
      </w:r>
      <w:r>
        <w:rPr>
          <w:rFonts w:ascii="IRNazanin" w:hAnsi="IRNazanin" w:eastAsia="IRNazanin"/>
          <w:color w:val="111111"/>
          <w:sz w:val="28"/>
          <w:sz w:val="28"/>
          <w:szCs w:val="28"/>
          <w:rtl w:val="true"/>
          <w:lang w:bidi="fa-IR"/>
        </w:rPr>
        <w:t>حقیقتاً کمال زن در بلوغ و عقل و نیز اختیار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وجود این مؤلفه‌ها زمینه تردید در مشروعیت وکالت زن در دعاوی نخواهد ماند</w:t>
      </w:r>
      <w:r>
        <w:rPr>
          <w:rFonts w:eastAsia="IRNazanin" w:cs="IRNazanin"/>
          <w:color w:val="111111"/>
          <w:sz w:val="28"/>
          <w:szCs w:val="28"/>
          <w:rtl w:val="true"/>
          <w:lang w:bidi="fa-IR"/>
        </w:rPr>
        <w:t>.</w:t>
      </w:r>
    </w:p>
    <w:p>
      <w:pPr>
        <w:pStyle w:val="Heading3"/>
        <w:numPr>
          <w:ilvl w:val="2"/>
          <w:numId w:val="1"/>
        </w:numPr>
        <w:rPr/>
      </w:pPr>
      <w:bookmarkStart w:id="111" w:name="__RefHeading___Toc1597106_581953129"/>
      <w:bookmarkStart w:id="112" w:name="_Toc41"/>
      <w:bookmarkEnd w:id="111"/>
      <w:r>
        <w:rPr>
          <w:rtl w:val="true"/>
        </w:rPr>
        <w:t>قراین تاریخی</w:t>
      </w:r>
      <w:bookmarkEnd w:id="112"/>
    </w:p>
    <w:p>
      <w:pPr>
        <w:pStyle w:val="Heading4"/>
        <w:numPr>
          <w:ilvl w:val="3"/>
          <w:numId w:val="1"/>
        </w:numPr>
        <w:rPr/>
      </w:pPr>
      <w:bookmarkStart w:id="113" w:name="__RefHeading___Toc1597108_581953129"/>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آنچه در این قسمت تحت عنوان قراین تاریخی وکالت زن ارائه می‌شود، نقض یا ابطال دیدگاه تأیید شده پیشین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دیدگاه مبنی بر نفی نمونه‌های تاریخی وکالت زن در دادرسی اسلامی به‌معنای مصطلح کلمه کماکان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آنکه یافته‌های تاریخی که در این جهت پیش‌بینی شده، در شکل یک قرینه و مؤید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نمونه تاریخی از صدر اسلام ارائه می‌شود</w:t>
      </w:r>
      <w:r>
        <w:rPr>
          <w:rFonts w:eastAsia="IRNazanin" w:cs="IRNazanin"/>
          <w:color w:val="111111"/>
          <w:sz w:val="28"/>
          <w:szCs w:val="28"/>
          <w:rtl w:val="true"/>
          <w:lang w:bidi="fa-IR"/>
        </w:rPr>
        <w:t>.</w:t>
      </w:r>
    </w:p>
    <w:p>
      <w:pPr>
        <w:pStyle w:val="Heading4"/>
        <w:numPr>
          <w:ilvl w:val="3"/>
          <w:numId w:val="1"/>
        </w:numPr>
        <w:rPr/>
      </w:pPr>
      <w:bookmarkStart w:id="115" w:name="__RefHeading___Toc1597110_581953129"/>
      <w:bookmarkStart w:id="116" w:name="_Toc43"/>
      <w:bookmarkEnd w:id="115"/>
      <w:r>
        <w:rPr/>
        <w:t>1</w:t>
      </w:r>
      <w:r>
        <w:rPr>
          <w:rtl w:val="true"/>
        </w:rPr>
        <w:t xml:space="preserve">. </w:t>
      </w:r>
      <w:r>
        <w:rPr>
          <w:rtl w:val="true"/>
        </w:rPr>
        <w:t xml:space="preserve">دفاع زهرا </w:t>
      </w:r>
      <w:r>
        <w:rPr>
          <w:rtl w:val="true"/>
        </w:rPr>
        <w:t>(</w:t>
      </w:r>
      <w:r>
        <w:rPr>
          <w:rtl w:val="true"/>
        </w:rPr>
        <w:t>علیها السلام</w:t>
      </w:r>
      <w:r>
        <w:rPr>
          <w:rtl w:val="true"/>
        </w:rPr>
        <w:t xml:space="preserve">) </w:t>
      </w:r>
      <w:r>
        <w:rPr>
          <w:rtl w:val="true"/>
        </w:rPr>
        <w:t xml:space="preserve">از امام علی </w:t>
      </w:r>
      <w:r>
        <w:rPr>
          <w:rtl w:val="true"/>
        </w:rPr>
        <w:t>(</w:t>
      </w:r>
      <w:r>
        <w:rPr>
          <w:rtl w:val="true"/>
        </w:rPr>
        <w:t>علیه السلام</w:t>
      </w:r>
      <w:r>
        <w:rPr>
          <w:rtl w:val="true"/>
        </w:rPr>
        <w:t>)</w:t>
      </w:r>
      <w:bookmarkEnd w:id="1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تردیدی نیست که بزرگ‌ترین مشکلی که پس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نومسلمان آن روز با آن روبه‌رو شد، موضوع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رویدادهایی که از همان لحظه نخست وداع تا چند روز پس از آن به انزوای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فرجام به تضییع حق مسلم او انجامید، کم و بیش واکنش‌هایی را در پی داشت که مؤثرترین آن از ناحیه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اطلاع یافت خلیفه اول فدک را مصادره کرده است، در مسجد حضور یافته، در ازدحام مهاجران و انصار طی</w:t>
      </w:r>
    </w:p>
    <w:p>
      <w:pPr>
        <w:pStyle w:val="BookText"/>
        <w:rPr/>
      </w:pPr>
      <w:r>
        <w:rPr>
          <w:rFonts w:ascii="IRNazanin" w:hAnsi="IRNazanin" w:eastAsia="IRNazanin"/>
          <w:color w:val="111111"/>
          <w:sz w:val="28"/>
          <w:sz w:val="28"/>
          <w:szCs w:val="28"/>
          <w:rtl w:val="true"/>
          <w:lang w:bidi="fa-IR"/>
        </w:rPr>
        <w:t>خطبه‌ای بلند شخص خلیفه و برخوردهای عناصر دخیل در قضایای بعد از وفات پدرش را به انتقاد گرفت و همگی را عتاب کرد که چرا این گونه و به یکباره به بیراهه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حرتم بعد البیان؟</w:t>
      </w:r>
    </w:p>
    <w:p>
      <w:pPr>
        <w:pStyle w:val="BookText"/>
        <w:rPr/>
      </w:pPr>
      <w:r>
        <w:rPr>
          <w:rFonts w:ascii="IRNazanin" w:hAnsi="IRNazanin" w:eastAsia="IRNazanin"/>
          <w:color w:val="111111"/>
          <w:sz w:val="28"/>
          <w:sz w:val="28"/>
          <w:szCs w:val="28"/>
          <w:rtl w:val="true"/>
          <w:lang w:bidi="fa-IR"/>
        </w:rPr>
        <w:t>واسررتم بعد الاعلان؟</w:t>
      </w:r>
    </w:p>
    <w:p>
      <w:pPr>
        <w:pStyle w:val="BookText"/>
        <w:rPr/>
      </w:pPr>
      <w:r>
        <w:rPr>
          <w:rFonts w:ascii="IRNazanin" w:hAnsi="IRNazanin" w:eastAsia="IRNazanin"/>
          <w:color w:val="111111"/>
          <w:sz w:val="28"/>
          <w:sz w:val="28"/>
          <w:szCs w:val="28"/>
          <w:rtl w:val="true"/>
          <w:lang w:bidi="fa-IR"/>
        </w:rPr>
        <w:t>ونکثتم بعد الاقدام؟</w:t>
      </w:r>
    </w:p>
    <w:p>
      <w:pPr>
        <w:pStyle w:val="BookText"/>
        <w:rPr/>
      </w:pPr>
      <w:r>
        <w:rPr>
          <w:rFonts w:ascii="IRNazanin" w:hAnsi="IRNazanin" w:eastAsia="IRNazanin"/>
          <w:color w:val="111111"/>
          <w:sz w:val="28"/>
          <w:sz w:val="28"/>
          <w:szCs w:val="28"/>
          <w:rtl w:val="true"/>
          <w:lang w:bidi="fa-IR"/>
        </w:rPr>
        <w:t>واشرکتم بعد الایمان؟</w:t>
      </w:r>
    </w:p>
    <w:p>
      <w:pPr>
        <w:pStyle w:val="BookText"/>
        <w:rPr/>
      </w:pPr>
      <w:r>
        <w:rPr>
          <w:rFonts w:ascii="IRNazanin" w:hAnsi="IRNazanin" w:eastAsia="IRNazanin"/>
          <w:color w:val="111111"/>
          <w:sz w:val="28"/>
          <w:sz w:val="28"/>
          <w:szCs w:val="28"/>
          <w:rtl w:val="true"/>
          <w:lang w:bidi="fa-IR"/>
        </w:rPr>
        <w:t>چرا پس از روشنی حقیقت حیران شدید؟ و پس از اظهار آن پنهان می‌دارید؟ و بعد از پیشروی عقب‌نشینی کردید؟ و پس از ایمان به شرک افتادید؟</w:t>
      </w:r>
      <w:r>
        <w:rPr>
          <w:rFonts w:eastAsia="IRNazanin" w:cs="IRNazanin"/>
          <w:color w:val="111111"/>
          <w:sz w:val="28"/>
          <w:szCs w:val="28"/>
          <w:rtl w:val="true"/>
          <w:lang w:bidi="fa-IR"/>
        </w:rPr>
        <w:t>!</w:t>
      </w:r>
      <w:r>
        <w:rPr>
          <w:rStyle w:val="FootnoteAnchor"/>
          <w:rtl w:val="true"/>
        </w:rPr>
        <w:footnoteReference w:id="20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هشدارها و فرازهای دیگری از خطبه اگر در قالب یک دفاعیه از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ارزیابی است، از بعد دیگر دفاع و تظلم از یار بزرگ او، یعنی امامت نیز هست و بلکه جز این نیست، که فدک هم تا آنجا که به تقویت این سیاست فاطمی ارتباط پیدا می‌کند، مطرح می‌شود چون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اسلام و کفر، مسأله ایمان و نفاق و مسأله نص و شورا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درست است که این واکنش بیشتر در برابر غصب فدک شناسایی شده، اما در واقع فدک بهانه و فرصت بود و خطبه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خود به کل محور فتنه هجوم برده بود و ماجرای فدک یکی از پیامدهای اندک آن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احتوای سیاسی به فدک از ناحیه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فدک در طول تاریخ به یک رمز سیاسی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بعدها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فدک همین استفاده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بازگرداندن فدک به امام پیشنهاد می‌کند که آن‌را حدودگذاری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اولش، عدن؛</w:t>
      </w:r>
    </w:p>
    <w:p>
      <w:pPr>
        <w:pStyle w:val="BookText"/>
        <w:rPr/>
      </w:pPr>
      <w:r>
        <w:rPr>
          <w:rFonts w:ascii="IRNazanin" w:hAnsi="IRNazanin" w:eastAsia="IRNazanin"/>
          <w:color w:val="111111"/>
          <w:sz w:val="28"/>
          <w:sz w:val="28"/>
          <w:szCs w:val="28"/>
          <w:rtl w:val="true"/>
          <w:lang w:bidi="fa-IR"/>
        </w:rPr>
        <w:t>حد دومش، سمرقند؛</w:t>
      </w:r>
    </w:p>
    <w:p>
      <w:pPr>
        <w:pStyle w:val="BookText"/>
        <w:rPr/>
      </w:pPr>
      <w:r>
        <w:rPr>
          <w:rFonts w:ascii="IRNazanin" w:hAnsi="IRNazanin" w:eastAsia="IRNazanin"/>
          <w:color w:val="111111"/>
          <w:sz w:val="28"/>
          <w:sz w:val="28"/>
          <w:szCs w:val="28"/>
          <w:rtl w:val="true"/>
          <w:lang w:bidi="fa-IR"/>
        </w:rPr>
        <w:t>حد سومش، آفریقا؛</w:t>
      </w:r>
    </w:p>
    <w:p>
      <w:pPr>
        <w:pStyle w:val="BookText"/>
        <w:rPr/>
      </w:pPr>
      <w:r>
        <w:rPr>
          <w:rFonts w:ascii="IRNazanin" w:hAnsi="IRNazanin" w:eastAsia="IRNazanin"/>
          <w:color w:val="111111"/>
          <w:sz w:val="28"/>
          <w:sz w:val="28"/>
          <w:szCs w:val="28"/>
          <w:rtl w:val="true"/>
          <w:lang w:bidi="fa-IR"/>
        </w:rPr>
        <w:t>و حد چهارم آن نیز نواحی ارمنیه و بحر خزر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این یعنی آنکه فدک کل قلمرو حکومت اسلامی را در بر می‌گیرد که از دست ما غصب شده است و یک جغرافیای همیشه محدود نیست؛ آن گونه که از آغاز هم محدود به گستره یک منطقه نبوده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چالش با این مسأله به شکل صریح‌تر و آن چنان که باید در سیاست علوی یا فاطمی دیده نمی‌شود، برای آن است که حرکت‌های خارج از این چارچوب هزینه‌هایی داشت که از رویارویی با آن به‌شدت پرهیز می‌شد؛ چون امواج فتنه ممکن بود که در جهش‌های دیوانه‌وار خود، اصل صورت مسأله را به‌کلی پاک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تاک نشان ماند و نه از تاکنشان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فدک آن گونه که شهید صدر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یک خاک، نه یک قریه، که رمزی از یک اندیشه بزرگ و اراده انقلابی بود که می‌خواست سنگ بنایی را که دیوار حکومت موجود روی آن کج برآمده بود، از بن برکند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نقاب از چهره مدعیان اسلام و اتحاد امت براندازد که دیوار اتحاد جز براساس پایبندی به آموزه‌ها و اطاعت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الایمان تطهیرا لکم من الشرک، و الصلوة تنزیها لکم عن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طاعتنا نظاما للملة، و امامتنا اماناً للفرقة ؛ خداوند ایمان را برای تطهیر قلوب شما از آلودگی شرک قرار داده و ادای نماز را برای دوری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ما را نظامی برای آیین و امامتمان را موجب امنیت از تفرقه و جدایی مؤمنان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جز این، هر راهکاری اتخاذ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سقوط در بلایا و فتنه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ابتداراً زعمتم خوف الفتنة، الا فی الفتنة سقطوا، و ان جهنم لمیحطة بالکافرین، فهیهات منکم، و کیف بکم، و انّی تؤفکون؟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حریصانه آشوب کردید و اعمال خود را جلوگیر فتنه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مردم هنگام امتحان باختند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خود سقوط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مردم کافر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از شما به‌دور است و جای چه عجب است و چگونه دروغ می‌گویید؟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فرازها که از امامت در کنار ایمان و نماز یاد می‌کند و آینده</w:t>
      </w:r>
    </w:p>
    <w:p>
      <w:pPr>
        <w:pStyle w:val="BookText"/>
        <w:rPr/>
      </w:pPr>
      <w:r>
        <w:rPr>
          <w:rFonts w:ascii="IRNazanin" w:hAnsi="IRNazanin" w:eastAsia="IRNazanin"/>
          <w:color w:val="111111"/>
          <w:sz w:val="28"/>
          <w:sz w:val="28"/>
          <w:szCs w:val="28"/>
          <w:rtl w:val="true"/>
          <w:lang w:bidi="fa-IR"/>
        </w:rPr>
        <w:t xml:space="preserve">جریان‌های موجود را به کفر منتهی می‌داند، به‌خوبی روشنگر مقاصد بلند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می‌خواست از چه کسی و کدام حق دفاع کند و آیا آن غیر از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او بود؟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پس، با اینکه بنا نیست حرکت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محمل وکالت فقهی توجیه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قطع از آن آموخته می‌شود، الگودهی مشروعیت دفاع در محکمه به شکل وسیع آن برای همه است که از سیره یک فرد معصوم استنباط 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اولاً معصوم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مطلقاً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غیر پیامبر قول و فعل و تقریر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سکوت و رفتار و برخوردش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اسلامی محسوب می‌شود؛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حجت است و تفاوتی در حجیت سنت زهرا و علی نیست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آخر باید افزود،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جایگاهی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شیعی دارد، در همان شرایط دشوار که همه معادلات برضدّ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کرده و بهانه‌جوی‌های اصطلاحاٌ دینی و شبه‌دینی باب روز بود، انتقادی درباره حضور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حضور یک زن بود، دیده نمی‌شود که کسی گفته باشد فدک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دارند حریم دین و سنت را این گونه می‌شکنند</w:t>
      </w:r>
      <w:r>
        <w:rPr>
          <w:rFonts w:eastAsia="IRNazanin" w:cs="IRNazanin"/>
          <w:color w:val="111111"/>
          <w:sz w:val="28"/>
          <w:szCs w:val="28"/>
          <w:rtl w:val="true"/>
          <w:lang w:bidi="fa-IR"/>
        </w:rPr>
        <w:t>.</w:t>
      </w:r>
      <w:bookmarkStart w:id="117" w:name="pg5406_38496"/>
    </w:p>
    <w:p>
      <w:pPr>
        <w:pStyle w:val="Heading4"/>
        <w:numPr>
          <w:ilvl w:val="3"/>
          <w:numId w:val="1"/>
        </w:numPr>
        <w:rPr/>
      </w:pPr>
      <w:bookmarkStart w:id="118" w:name="__RefHeading___Toc1597112_581953129"/>
      <w:bookmarkStart w:id="119" w:name="_Toc44"/>
      <w:bookmarkEnd w:id="117"/>
      <w:bookmarkEnd w:id="118"/>
      <w:r>
        <w:rPr/>
        <w:t>2</w:t>
      </w:r>
      <w:r>
        <w:rPr>
          <w:rtl w:val="true"/>
        </w:rPr>
        <w:t xml:space="preserve">. </w:t>
      </w:r>
      <w:r>
        <w:rPr>
          <w:rtl w:val="true"/>
        </w:rPr>
        <w:t>نمایندگی سوده همدانی</w:t>
      </w:r>
      <w:bookmarkEnd w:id="119"/>
    </w:p>
    <w:p>
      <w:pPr>
        <w:pStyle w:val="BookText"/>
        <w:rPr/>
      </w:pP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دیگری که در این بحث به‌کار می‌آید، جریان معروف دادخواهی سوده دختر عماره همدانی است که به نمایندگی از اهل قریه اش در زمان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کارگزار حضرت در مرکز خلافت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ماجرا از زبان خود این زن که در دربار معاویه نقل شده،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برای شکایت از کارگزاری که بر ما ظلم روا داشته بود، پیش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وی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با مهربانی و توجهی رئوفانه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ماجرایی که بر ما رفته بود،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آن گریه‌اش گرفت و دست‌هایش را به‌سوی آسمان بلند کرد و عرض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لم‌آمرهم بظلم خلقک و لا ترک حقک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ستم در حق بندگانت و ترک حق فرمان تو نداده‌ام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از آن قطعه پوستی از جیب درآورد و با نام خدا چنین نگاشت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جاءَتْکُمْ بَیِّنَةٌ مِنْ رَبِّکُمْ فَأَوْفُوا الْکَیْلَ وَ الْمِیزانَ وَ لا تَبْخَسُوا النّاسَ أَشْیاءَهُمْ وَ لا تُفْسِدُوا فِی الْأَرْضِ بَعْدَ إِصْلاحِها ذلِکُمْ خَیْرٌ لَکُمْ إِنْ کُنْتُمْ مُؤْمِنِینَ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فاذا اتاک</w:t>
      </w:r>
    </w:p>
    <w:p>
      <w:pPr>
        <w:pStyle w:val="BookText"/>
        <w:rPr/>
      </w:pPr>
      <w:r>
        <w:rPr>
          <w:rFonts w:ascii="IRNazanin" w:hAnsi="IRNazanin" w:eastAsia="IRNazanin"/>
          <w:color w:val="111111"/>
          <w:sz w:val="28"/>
          <w:sz w:val="28"/>
          <w:szCs w:val="28"/>
          <w:rtl w:val="true"/>
          <w:lang w:bidi="fa-IR"/>
        </w:rPr>
        <w:t>کتابی هذا فاحفظ بما فی یدک من عملنا حتی یقدم علیکم من یقبضه منک، والسلام؛</w:t>
      </w:r>
    </w:p>
    <w:p>
      <w:pPr>
        <w:pStyle w:val="BookText"/>
        <w:rPr/>
      </w:pPr>
      <w:r>
        <w:rPr>
          <w:rFonts w:ascii="IRNazanin" w:hAnsi="IRNazanin" w:eastAsia="IRNazanin"/>
          <w:color w:val="111111"/>
          <w:sz w:val="28"/>
          <w:sz w:val="28"/>
          <w:szCs w:val="28"/>
          <w:rtl w:val="true"/>
          <w:lang w:bidi="fa-IR"/>
        </w:rPr>
        <w:t>در حقیقت، برای شما را از جانب پروردگاتان برهانی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پیمانه و ترازو را تمام نهید و اموال مردم را کم مدهید و در زمین پس از اصلاح آن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این نامه را خواندی، هر آنچه از اموال حکومتی پیشت هست، به امانت نگه‌دار تا آنکه مامور بعدی برای تحویل گرفتن آن از دست تو برسد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این نامه را بدون مهر و تشریفات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تحویل داد و وقتی آن را آوردم، آن مامور از منصب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حکایت، امام پس از شنیدن شکایت سوده فرمان عزل آن مامور را صادر کرد که به صرف رسیدن نامه از مسئولیت برکنار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تاریخی که حکایت رجوع یک زن برای دادخواهی در مرکز خلافت اسلامی است، نشان‌دهنده واقعیت نمایندگی زنان در دادگاه اسلامی و شاهد بر مشروعیت آن نیز هست؛ زیرا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یک زن برای دیگران پذیرفته شده، و ایشان به حرف‌های او ترتیب اثر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نیز به‌خوبی درک کرده بود که کارهایی از این سنخ با شئون زنانگی او در تضاد نیست؛ به‌ویژه اینکه چنان سندی را از امام دریافت کرد و برای همین وقتی مشابه این قضیه در زمان خلافت معاویه اتفاق می‌افتد و سوده و قومش با جفای حاکم وقت روبه‌رو می‌شوند، دوباره رهسپار مرکز خلافت می‌شود؛ اما دریغا که این بار به</w:t>
      </w:r>
    </w:p>
    <w:p>
      <w:pPr>
        <w:pStyle w:val="BookText"/>
        <w:rPr/>
      </w:pPr>
      <w:r>
        <w:rPr>
          <w:rFonts w:ascii="IRNazanin" w:hAnsi="IRNazanin" w:eastAsia="IRNazanin"/>
          <w:color w:val="111111"/>
          <w:sz w:val="28"/>
          <w:sz w:val="28"/>
          <w:szCs w:val="28"/>
          <w:rtl w:val="true"/>
          <w:lang w:bidi="fa-IR"/>
        </w:rPr>
        <w:t xml:space="preserve">گفته خود وی 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العدل مدفوناً؛</w:t>
      </w:r>
      <w:r>
        <w:rPr>
          <w:rStyle w:val="FootnoteAnchor"/>
          <w:rtl w:val="true"/>
        </w:rPr>
        <w:footnoteReference w:id="217"/>
      </w:r>
      <w:r>
        <w:rPr>
          <w:rFonts w:ascii="IRNazanin" w:hAnsi="IRNazanin" w:eastAsia="IRNazanin"/>
          <w:color w:val="111111"/>
          <w:sz w:val="28"/>
          <w:sz w:val="28"/>
          <w:szCs w:val="28"/>
          <w:rtl w:val="true"/>
          <w:lang w:bidi="fa-IR"/>
        </w:rPr>
        <w:t>عدالت در خاک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تا چشمش به سوده افتاد، شروع به شماتت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زنی که در صفین برادرانت را بر ضدّ ما به‌شدت تحریک کردی و این اشعار را می‌خواندی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هم آویختن نیزه‌ها چون پدر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خواری نشاندن هند و زاده هند، علی و یارانش را یاری کن</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 شنیدن این حرف‌ها زخم‌های کهنه این زن لب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معاویه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الراس و بتر الذنب، فدع عنک تذکار ما قد 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ای 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دلم نیشتر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اگر این گونه به هر راه و سویی پریشان و آشفته درمانده‌اند، ازآن‌روست که سر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مسئول جامعه تو هستی و نباید این گونه ستم‌ها روا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شعر معروفش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الاله علی روح تضمّنها قبر فصار العدل مدفونا</w:t>
      </w:r>
    </w:p>
    <w:p>
      <w:pPr>
        <w:pStyle w:val="BookText"/>
        <w:rPr/>
      </w:pPr>
      <w:r>
        <w:rPr>
          <w:rFonts w:ascii="IRNazanin" w:hAnsi="IRNazanin" w:eastAsia="IRNazanin"/>
          <w:color w:val="111111"/>
          <w:sz w:val="28"/>
          <w:sz w:val="28"/>
          <w:szCs w:val="28"/>
          <w:rtl w:val="true"/>
          <w:lang w:bidi="fa-IR"/>
        </w:rPr>
        <w:t>درود خدا بر روان کسی که وقتی قبر او را در بر گرفت، عدالت در خاک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حالف الحق لا یبغی به ثمنا فصار بالحق و الایمان مقرونا</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پیوند و پیمانش با حق و حقیقت آن گونه ناگسستنی بود که همواره با حقیقت و ایمان هم‌نشین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ماجرا را تعریف کرد که وقتی ما برای مشابه این قضیه به او شکایت بردیم،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معاویه هم به خواست او احترام گذاشت و دستور داد حقوق ضایع شده شخص وی، برگردانده شود، اما سوده قبول نکرد که این مسأله‌ای شخصی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اذا الفحشاء ان کان عدلا شاملاً و الا فانا کسائر قومی؛</w:t>
      </w:r>
      <w:r>
        <w:rPr>
          <w:rStyle w:val="FootnoteAnchor"/>
          <w:rtl w:val="true"/>
        </w:rPr>
        <w:footnoteReference w:id="221"/>
      </w:r>
      <w:r>
        <w:rPr>
          <w:rFonts w:ascii="IRNazanin" w:hAnsi="IRNazanin" w:eastAsia="IRNazanin"/>
          <w:color w:val="111111"/>
          <w:sz w:val="28"/>
          <w:sz w:val="28"/>
          <w:szCs w:val="28"/>
          <w:rtl w:val="true"/>
          <w:lang w:bidi="fa-IR"/>
        </w:rPr>
        <w:t>این اجازه به ترویج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به عدالت رفتار شود، حق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 هم مثل آنها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تحلیل این حکایت همین نکته بود که در میان جریان‌های دادرسی اسلامی و شبه اسلامی چنین قضیه‌ای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در دوران عمرش دو بار داوطلبانه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به‌احتمال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خلافت اسلامی که مرکز قضاوت هم بود، از اهل محله‌اش چنین دفاع کرده و یک مورد آن در حضور و دوران حاکمیت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امام از حرکت این زن و تأیید آن می‌تواند تقریری از ناحیه معصوم بر مشروعیت نمایندگی زن در دعاوی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جمع‌بندی</w:t>
      </w:r>
    </w:p>
    <w:p>
      <w:pPr>
        <w:pStyle w:val="BookText"/>
        <w:rPr/>
      </w:pPr>
      <w:r>
        <w:rPr>
          <w:rFonts w:ascii="IRNazanin" w:hAnsi="IRNazanin" w:eastAsia="IRNazanin"/>
          <w:color w:val="111111"/>
          <w:sz w:val="28"/>
          <w:sz w:val="28"/>
          <w:szCs w:val="28"/>
          <w:rtl w:val="true"/>
          <w:lang w:bidi="fa-IR"/>
        </w:rPr>
        <w:t>مجموع آنچه پیرامون جواز وکالت زن در دعاوی مرور شد، بدین ترتیب قابل جمع‌بندی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عموماً در دیدگاه فقهای شیعه به‌منزله یک فرصت مساوی برای زن و مرد تلقی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شرایط وکالت و نیز موشکافی مبنایی درباره اهلیت در معاملات، بحثی از جنسیت به میان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دعوی یا حق دادخواهی در حقوق اسلامی جزء حقوق مسلم است که به برخورداری همه از این حق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برای صنف و یا قشر خاصی در نظر گرفته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تأمین مصلحت وکالت دعاوی، نه تنها در شایستگی زنان در برآوردن این مهم تردیدی نیست که در مواردی به طور انحصاری تحقق مصلحت وکالت دعوا در گرو وکالت زن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پراکنده‌ای که در فقه شیعه راجع به موارد وکالت زن شکل گرفته، همه اهلیت وکالت زن را به طور مطلق اثبات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قراین تاریخی علاوه بر بازگوکردن واقعیت تاریخی نمایندگی زن در دفاع از دیگران، روایت از تقریر دوجانبه معصوم نیز در این ارتباط دارد</w:t>
      </w:r>
      <w:r>
        <w:rPr>
          <w:rFonts w:eastAsia="IRNazanin" w:cs="IRNazanin"/>
          <w:color w:val="111111"/>
          <w:sz w:val="28"/>
          <w:szCs w:val="28"/>
          <w:rtl w:val="true"/>
          <w:lang w:bidi="fa-IR"/>
        </w:rPr>
        <w:t>.</w:t>
      </w:r>
      <w:bookmarkStart w:id="120" w:name="pg5406_38508"/>
    </w:p>
    <w:p>
      <w:pPr>
        <w:pStyle w:val="Heading2"/>
        <w:numPr>
          <w:ilvl w:val="1"/>
          <w:numId w:val="1"/>
        </w:numPr>
        <w:rPr/>
      </w:pPr>
      <w:bookmarkStart w:id="121" w:name="__RefHeading___Toc1597114_581953129"/>
      <w:bookmarkStart w:id="122" w:name="_Toc45"/>
      <w:bookmarkEnd w:id="120"/>
      <w:bookmarkEnd w:id="121"/>
      <w:r>
        <w:rPr/>
        <w:t>3</w:t>
      </w:r>
      <w:r>
        <w:rPr>
          <w:rtl w:val="true"/>
        </w:rPr>
        <w:t xml:space="preserve">- </w:t>
      </w:r>
      <w:r>
        <w:rPr>
          <w:rtl w:val="true"/>
        </w:rPr>
        <w:t>نقدها و مخالفت ها</w:t>
      </w:r>
      <w:bookmarkEnd w:id="122"/>
    </w:p>
    <w:p>
      <w:pPr>
        <w:pStyle w:val="Heading3"/>
        <w:numPr>
          <w:ilvl w:val="2"/>
          <w:numId w:val="1"/>
        </w:numPr>
        <w:rPr/>
      </w:pPr>
      <w:bookmarkStart w:id="123" w:name="__RefHeading___Toc1597116_581953129"/>
      <w:bookmarkStart w:id="124" w:name="_Toc46"/>
      <w:bookmarkEnd w:id="123"/>
      <w:r>
        <w:rPr>
          <w:rtl w:val="true"/>
        </w:rPr>
        <w:t>نگاهی به ماهیت نقدها</w:t>
      </w:r>
      <w:bookmarkEnd w:id="124"/>
    </w:p>
    <w:p>
      <w:pPr>
        <w:pStyle w:val="BookText"/>
        <w:rPr/>
      </w:pPr>
      <w:r>
        <w:rPr>
          <w:rFonts w:ascii="IRNazanin" w:hAnsi="IRNazanin" w:eastAsia="IRNazanin"/>
          <w:color w:val="111111"/>
          <w:sz w:val="28"/>
          <w:sz w:val="28"/>
          <w:szCs w:val="28"/>
          <w:rtl w:val="true"/>
          <w:lang w:bidi="fa-IR"/>
        </w:rPr>
        <w:t>در این بخش تلاش می‌شود چالش‌ها و تعارضات جواز وکالت زن در دعاوی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گونه که انتظار می‌رود، جای طرح این مباحث در پژوهش‌هایی است که اگر نه در خصوص وکالت زن در دعاوی، دست‌کم درباره وکالت دعاوی نگارش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منابعی که در ابتدای فصل از آنها نام برده‌ایم، به شکلی به این قضیه و غالباً با رویکرد انتقادی پرداخته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زن در این عرصه با روح شریعت که مبتنی بر سدّ ذرایع، منع اختلاط زن و مرد، حفظ حجاب و صیانت از کرامت زن است، سازگار نیست؛ چون وارد شدن در این گونه کارها بدون کنار گذاشتن پاره‌ای از این حدود شرعی میسر نیست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مشکلات شرعی فوق و تردیدی که در توان زن برای انجام این مهم وجود داشته، در تاریخ دادرسی مسلمانان هم چنین پدیده</w:t>
      </w:r>
    </w:p>
    <w:p>
      <w:pPr>
        <w:pStyle w:val="BookText"/>
        <w:rPr/>
      </w:pPr>
      <w:r>
        <w:rPr>
          <w:rFonts w:ascii="IRNazanin" w:hAnsi="IRNazanin" w:eastAsia="IRNazanin"/>
          <w:color w:val="111111"/>
          <w:sz w:val="28"/>
          <w:sz w:val="28"/>
          <w:szCs w:val="28"/>
          <w:rtl w:val="true"/>
          <w:lang w:bidi="fa-IR"/>
        </w:rPr>
        <w:t>ای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حکایت از وجود یک بازدارندگی شرعی است که اگر نمی‌بود، حداقل نمونه‌ای دیده می‌شد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زنان را از تسلط بر مردان منع می‌کنند؛ زیرا مردان نسبت به زنان از تحمل بالاتری برای به‌دوش کشیدن مسئولیت‌های زندگی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طبق مفاد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ولیتهم امرأة؛</w:t>
      </w:r>
      <w:r>
        <w:rPr>
          <w:rStyle w:val="FootnoteAnchor"/>
          <w:rtl w:val="true"/>
        </w:rPr>
        <w:footnoteReference w:id="224"/>
      </w:r>
      <w:r>
        <w:rPr>
          <w:rFonts w:ascii="IRNazanin" w:hAnsi="IRNazanin" w:eastAsia="IRNazanin"/>
          <w:color w:val="111111"/>
          <w:sz w:val="28"/>
          <w:sz w:val="28"/>
          <w:szCs w:val="28"/>
          <w:rtl w:val="true"/>
          <w:lang w:bidi="fa-IR"/>
        </w:rPr>
        <w:t>گروهی که زمام امرش را به دست زن بسپارد هرگز رستگار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امور مهمی چون وکالت دعوا به زن سپرده شود که شخص موکل به رستگاری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ملاحظات به زن نباید اجازه وکالت دعاوی داده نشود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به چند جهت ما به این نقدها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رویکرد تحقیقی این نوشتار است؛ چون رویکرد انتخاب شده برای تحقیق این موضوع، فقه شیعه برگزیده شده است؛ هرچند که روش مطالعات در خصوص این موضوع از گرایش‌های فرقه‌ای تأثیرپذیر نباشد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عدم جواز اختلاط و حفظ حجاب افراطی که هرگونه تعامل زنان و مردان را نتیجه بدهد، بیشتر متأثر از فرهنگ‌های محلی است تا الزامات فقهی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فرض یک محیط آلوده و عاری از ضوابط مسلمانی نیست، بلکه روی زن بودن و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شرایط دیگر، از قبیل آمادگی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و مساعدت وضع اجتماع به لحاظ فعالیت زنان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نقدها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معطوف به عدم توان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بخش، و قسمت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معطوف به نهی روایت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ضمن بررسی دیدگاهی انتقادی به مسأله بررسی خواهد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مشکل نبود نمونه‌های تاریخی وکالت زن در دعاوی را قبلاً ضمن نقش زن در تاریخ وکالت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طرح دیدگاه و احیاناً مستندات تفسیرهایی خواهیم پرداخت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فقه شیعه مطرح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زن را بر پایه زن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بکشد و هرچند با این موضوع ارتباط مستقیم نداشته باشد، نتیجه یا لازمه مستقیم آن به این مسأله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مجموع این طیف دیدگاه‌ها می‌توان تحت عنوان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آنکه به دلیل تسلط سایه سکوت بر متن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آن در فقه شیعه، از جمله وکالت دعاوی زن در جای مناسب</w:t>
      </w:r>
    </w:p>
    <w:p>
      <w:pPr>
        <w:pStyle w:val="BookText"/>
        <w:rPr/>
      </w:pPr>
      <w:r>
        <w:rPr>
          <w:rFonts w:ascii="IRNazanin" w:hAnsi="IRNazanin" w:eastAsia="IRNazanin"/>
          <w:color w:val="111111"/>
          <w:sz w:val="28"/>
          <w:sz w:val="28"/>
          <w:szCs w:val="28"/>
          <w:rtl w:val="true"/>
          <w:lang w:bidi="fa-IR"/>
        </w:rPr>
        <w:t>خود نقد و تحلیل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می‌شود اشکالات مقدّر در ضمن دیدگاه‌ها به شکلی بازسازی شود، هر چند برخی به اجمال تذکری کلی داده‌اند که از معامله با زنان باید برحذر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شرایع که مقصودشان هدایت مردم به‌سوی حق و تسهیل و تنظیم اجتماع انسانی بوده، اتفاق دارند بر اینکه معامله با زنان مانند معامله با شخص قاصر و محتاج به ولی و کافل و قیم کامل است؛ چراکه زنان تکویناً، خلقتاً، بدناً، ادباً، رأیاً، عقلاً و عملاً نسبت به مردان ناقصند؛ چنان‌که علمای اخلاق زنان را به مغلوبیت و تسلیم در برابر شهوات معرفی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لهو و لعب و تعلق به اوهام و پذیرفتن دسایس و انقلابات و تلون مزاج در زنان بیش از مردان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صراحت بیان را ممکن است در خصوص معامله یا وکالت دعوای زن از ناحیه فقیهی دیگر نداشته باشیم، اما مبانی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نقطه عزیمت ما در این بخش، مبانی‌ای است که عمدتاً جنبه انسان‌شناسی نسبت به زن دارد و در جای خود هریک به ادله قرآنی و روایی مستند شده و به سبب آن گونه‌ای تقسیم حوزه کار به دو ساحت خصوصی و عمومی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شیوه کار ما به یک معنی تأمل و بررسی برخی پشتوانه‌های کلان نگاهی است که چنین مرزی را به شکل ممتد و گسترده به‌وجوده آورده است و اگر به آنها بازگشت شود، عمل زن در این حیطه نیز در ساحتی قرار می‌گیرد که حوزه کار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بازگشت به آن مبانی این تقسیم را برجسته ساخته و توصیه‌هایی در بر دارد که از تعامل و فعالیت زنان در</w:t>
      </w:r>
      <w:bookmarkStart w:id="125" w:name="pg5406_38515"/>
    </w:p>
    <w:p>
      <w:pPr>
        <w:pStyle w:val="BookText"/>
        <w:rPr/>
      </w:pPr>
      <w:bookmarkEnd w:id="125"/>
      <w:r>
        <w:rPr>
          <w:rFonts w:ascii="IRNazanin" w:hAnsi="IRNazanin" w:eastAsia="IRNazanin"/>
          <w:color w:val="111111"/>
          <w:sz w:val="28"/>
          <w:sz w:val="28"/>
          <w:szCs w:val="28"/>
          <w:rtl w:val="true"/>
          <w:lang w:bidi="fa-IR"/>
        </w:rPr>
        <w:t>بیرون از محیط خانه به‌شدت می‌کاهد تا جایی که درباره هر کاری بیرون از این محیط وسوسه مشروعیت آن را نباید از خاطر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درآمد، مجموع آنچه در این زمینه لازم دیده شده است، به ترتیب اهمیت محتوایی آن به شکل طبقه‌بندی شده ارائه می‌شود</w:t>
      </w:r>
      <w:r>
        <w:rPr>
          <w:rFonts w:eastAsia="IRNazanin" w:cs="IRNazanin"/>
          <w:color w:val="111111"/>
          <w:sz w:val="28"/>
          <w:szCs w:val="28"/>
          <w:rtl w:val="true"/>
          <w:lang w:bidi="fa-IR"/>
        </w:rPr>
        <w:t>.</w:t>
      </w:r>
    </w:p>
    <w:p>
      <w:pPr>
        <w:pStyle w:val="Heading3"/>
        <w:numPr>
          <w:ilvl w:val="2"/>
          <w:numId w:val="1"/>
        </w:numPr>
        <w:rPr/>
      </w:pPr>
      <w:bookmarkStart w:id="126" w:name="__RefHeading___Toc1597118_581953129"/>
      <w:bookmarkStart w:id="127" w:name="_Toc47"/>
      <w:bookmarkEnd w:id="126"/>
      <w:r>
        <w:rPr>
          <w:rtl w:val="true"/>
        </w:rPr>
        <w:t>ادله قرآنی مخالف وکالت زن در دعاوی</w:t>
      </w:r>
      <w:bookmarkEnd w:id="127"/>
    </w:p>
    <w:p>
      <w:pPr>
        <w:pStyle w:val="Heading4"/>
        <w:numPr>
          <w:ilvl w:val="3"/>
          <w:numId w:val="1"/>
        </w:numPr>
        <w:rPr/>
      </w:pPr>
      <w:bookmarkStart w:id="128" w:name="__RefHeading___Toc1597120_581953129"/>
      <w:bookmarkStart w:id="129" w:name="_Toc48"/>
      <w:bookmarkEnd w:id="128"/>
      <w:r>
        <w:rPr>
          <w:rtl w:val="true"/>
        </w:rPr>
        <w:t>آیه اول</w:t>
      </w:r>
      <w:r>
        <w:rPr>
          <w:rtl w:val="true"/>
        </w:rPr>
        <w:t xml:space="preserve">: </w:t>
      </w:r>
      <w:r>
        <w:rPr>
          <w:rtl w:val="true"/>
        </w:rPr>
        <w:t>ناتوانی زن در بیان دلیل</w:t>
      </w:r>
      <w:bookmarkEnd w:id="129"/>
    </w:p>
    <w:p>
      <w:pPr>
        <w:pStyle w:val="BookText"/>
        <w:rPr/>
      </w:pPr>
      <w:r>
        <w:rPr>
          <w:rFonts w:ascii="IRNazanin" w:hAnsi="IRNazanin" w:eastAsia="IRNazanin"/>
          <w:color w:val="111111"/>
          <w:sz w:val="28"/>
          <w:sz w:val="28"/>
          <w:szCs w:val="28"/>
          <w:rtl w:val="true"/>
          <w:lang w:bidi="fa-IR"/>
        </w:rPr>
        <w:t>یکی از آیاتی که راجع به زن مورد توجه و گاه مبنای انسان‌شناختی زن قرار گرفته،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یُنَشَّؤُا فِی الْحِلْیَةِ وَ هُوَ فِی الْخِصامِ غَیْرُ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آیا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شریک خدا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زر و زیور پرورش یافته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بیانش غیر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زن به دو ویژگی توصیف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نشو و نما در تعلق به زینت و تجمل؛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از بیان دلیل در هنگام منازعه و جدال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چند آیه قبل و بعد از خود قسمتی از اقوال و عقاید طوایفی از کفار را حکایت می‌کند؛ مثل اینکه می‌گفتند خدا فرزند دارد و ملائکه دختران خدایند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قرآن کریم در مقام ردّ پندارهای موهوم و جاهلی آنان از دو ویژگی فوق این صنف که به فرزندی خدا نسبت داده شده نیز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تبیان</w:t>
      </w:r>
      <w:r>
        <w:rPr>
          <w:rStyle w:val="FootnoteAnchor"/>
          <w:rtl w:val="true"/>
        </w:rPr>
        <w:footnoteReference w:id="230"/>
      </w:r>
      <w:r>
        <w:rPr>
          <w:rFonts w:ascii="IRNazanin" w:hAnsi="IRNazanin" w:eastAsia="IRNazanin"/>
          <w:color w:val="111111"/>
          <w:sz w:val="28"/>
          <w:sz w:val="28"/>
          <w:szCs w:val="28"/>
          <w:rtl w:val="true"/>
          <w:lang w:bidi="fa-IR"/>
        </w:rPr>
        <w:t>و مجمع البیان</w:t>
      </w:r>
      <w:r>
        <w:rPr>
          <w:rStyle w:val="FootnoteAnchor"/>
          <w:rtl w:val="true"/>
        </w:rPr>
        <w:footnoteReference w:id="231"/>
      </w:r>
      <w:r>
        <w:rPr>
          <w:rFonts w:ascii="IRNazanin" w:hAnsi="IRNazanin" w:eastAsia="IRNazanin"/>
          <w:color w:val="111111"/>
          <w:sz w:val="28"/>
          <w:sz w:val="28"/>
          <w:szCs w:val="28"/>
          <w:rtl w:val="true"/>
          <w:lang w:bidi="fa-IR"/>
        </w:rPr>
        <w:t xml:space="preserve">احتمال دیگری هم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آورده‌اند که مراد از این آیه، بت‌های آراسته به زیور مشرکانند که فاقد هرگونه شعور و بیان بودند؛ ولی این رأی را اکثر مفسران نپذیرفته‌اند و در خود مجمع البیان صرفاً به‌صورت احتمال ذکر شده و شیخ طوسی هم پس از ذکر این احتمال، دوباره به تفسیر نخست بازگشت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والاول 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که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 المرأة؛</w:t>
      </w:r>
      <w:r>
        <w:rPr>
          <w:rStyle w:val="FootnoteAnchor"/>
          <w:rtl w:val="true"/>
        </w:rPr>
        <w:footnoteReference w:id="232"/>
      </w:r>
      <w:r>
        <w:rPr>
          <w:rFonts w:ascii="IRNazanin" w:hAnsi="IRNazanin" w:eastAsia="IRNazanin"/>
          <w:color w:val="111111"/>
          <w:sz w:val="28"/>
          <w:sz w:val="28"/>
          <w:szCs w:val="28"/>
          <w:rtl w:val="true"/>
          <w:lang w:bidi="fa-IR"/>
        </w:rPr>
        <w:t>مقصود از آیه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تفسیرهای معتبر معاصر هم همین تفسیر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علامه در المیزان این گونه به توضیح آیه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یُنَشَّؤُا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آیا خدا دختران را فرزند خود گرفته و یا این مشرکانند که از جنس بشر آنها را که در ناز و نعمت و زر و زیور بار می‌آیند، فرزند خدا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بیان و تقریر دلیل گفته خود و اثبات ادعایشان عاجزند و دلیل روشن ندارند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صفت که برای زنان آورده برای این است که زن بالطبع دارای عاطفه و شفقتی بیشتر و تعقل ضعیف‌تر از مرد است و به‌عکس مرد بالطبع دارای عواطف کم‌تر و تعقل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روشن‌ترین مظاهر قوت عاطفه زن علاقه شدیدی است که به زینت و زیور دارد و از تقریر حجت و دلیل که اساسش قوه عاقله است، ضعیف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ملاحظه‌ای که در بیان علامه شایان تأمل است، این است که ایشان با استفاده از کلمه بالطبع ذاتی و دائمی بودن این دو صفت را برای زن خاطرنشان می‌کند؛ چنان‌که شیخ طوسی هم با قاطعیت تذکر می‌دهد که زنان برخلاف مردها فاقد صلاحیت جدال در خصومتند</w:t>
      </w:r>
      <w:r>
        <w:rPr>
          <w:rStyle w:val="FootnoteAnchor"/>
          <w:rtl w:val="true"/>
        </w:rPr>
        <w:footnoteReference w:id="234"/>
      </w:r>
      <w:r>
        <w:rPr>
          <w:rFonts w:ascii="IRNazanin" w:hAnsi="IRNazanin" w:eastAsia="IRNazanin"/>
          <w:color w:val="111111"/>
          <w:sz w:val="28"/>
          <w:sz w:val="28"/>
          <w:szCs w:val="28"/>
          <w:rtl w:val="true"/>
          <w:lang w:bidi="fa-IR"/>
        </w:rPr>
        <w:t>و در مجمع البیان به شکل نتیجه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زنی اقدام به استدلال کرده که به ضرر او منتهی نشده باشد؛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لایمکنها ان یتبین الحجة عند الخصومة لضعفها و سفهها؛</w:t>
      </w:r>
      <w:r>
        <w:rPr>
          <w:rStyle w:val="FootnoteAnchor"/>
          <w:rtl w:val="true"/>
        </w:rPr>
        <w:footnoteReference w:id="235"/>
      </w:r>
      <w:r>
        <w:rPr>
          <w:rFonts w:ascii="IRNazanin" w:hAnsi="IRNazanin" w:eastAsia="IRNazanin"/>
          <w:color w:val="111111"/>
          <w:sz w:val="28"/>
          <w:sz w:val="28"/>
          <w:szCs w:val="28"/>
          <w:rtl w:val="true"/>
          <w:lang w:bidi="fa-IR"/>
        </w:rPr>
        <w:t xml:space="preserve">زیرا زنان به‌دلیل ضعف و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خصومت نمی‌توانند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این تفسیرها آنچه به‌دست می‌آید، ذاتی بودن این ویژگی‌ها برای زنان است و از همین رو شیخ در تبیان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با نسبت دادن دختران به فرزندی خداوند بدترین صفات را به او نسبت داده‌اند؛ چون دختران، یعنی موجوداتی با این ویژگی‌های پست وحقیر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برخی تفسیرهای اهل سنت نیز به این نکته توجه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با نسبت دادن دختران به فرزندی خدا جرم مضاعف را مرتکب شده‌اند؛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نسبت محال است و حرام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دختر افضل است، و معنای این نسبت آن است که</w:t>
      </w:r>
    </w:p>
    <w:p>
      <w:pPr>
        <w:pStyle w:val="BookText"/>
        <w:rPr/>
      </w:pPr>
      <w:r>
        <w:rPr>
          <w:rFonts w:ascii="IRNazanin" w:hAnsi="IRNazanin" w:eastAsia="IRNazanin"/>
          <w:color w:val="111111"/>
          <w:sz w:val="28"/>
          <w:sz w:val="28"/>
          <w:szCs w:val="28"/>
          <w:rtl w:val="true"/>
          <w:lang w:bidi="fa-IR"/>
        </w:rPr>
        <w:t xml:space="preserve">خداوند فاقد برخی کمالات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بندگانش پسر هم دارند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البته ما فعلاً در صدد آن نیستیم که وارد تعلیل بیشتر شده و مشخص کنیم چرا زن در این دیدگاه‌ها این گونه شناسایی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فرقی نمی‌کند، چه ناشی از کمبود عقل زنان باشد یا عاطفه بسیار و یا هر دوی اینها؛ آنچه نقداً در پرتو این تفاسیر اثبات شده، این است که ناتوانی زن در بیان دلیل و اثبات ادعایش، مسلم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گیرم که اساساً مبتنی بر حکمت خفیه باشد؛ به‌هرروی، چنین نگاهی به زن یا به عبارتی، این انسان‌شناسی که زن را فاقد قدرت بیان و استدلال در هنگام منازعه تصویر می‌کند، جواز وکالت او در دعاوی را حداقل با دو مبنای پذیرفته شده و اجماعی وکالت در تعارض قرار می‌دهد؛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وکالت هرکس و یا اهلیت او مبتنی بر این قاعده است که خود وی قبلاً قدرت شرعی و عقلی بر انجام عمل مورد وکالت را داشته باشد؛ یعنی شرعاً منعی برای او نرسیده و عقلاً نیز انجام آن برایش ممکن باشد تا بتواند خود وی به‌طور مستقیم جدا از همه نوع قرار و اعتبار دیگری در تصرف آن اقدام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وکالت زن در دعاوی، وکالت در موردی است که خود او فاقد صلاحیت و اهلیت لازم در اقدام به این عمل است و تجویز وکالت برای زن در این زمینه با قائل شدن جواز وکالت برای کودک و دیوانه تفاوت ماهوی ندارد؛ زیرا طبق</w:t>
      </w:r>
    </w:p>
    <w:p>
      <w:pPr>
        <w:pStyle w:val="BookText"/>
        <w:rPr/>
      </w:pPr>
      <w:r>
        <w:rPr>
          <w:rFonts w:ascii="IRNazanin" w:hAnsi="IRNazanin" w:eastAsia="IRNazanin"/>
          <w:color w:val="111111"/>
          <w:sz w:val="28"/>
          <w:sz w:val="28"/>
          <w:szCs w:val="28"/>
          <w:rtl w:val="true"/>
          <w:lang w:bidi="fa-IR"/>
        </w:rPr>
        <w:t>نظر برخی فقها شرط بلوغ در معاملات شرط روایی نیست و لزوم آن حداکثر عقلایی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معقول بودن تصرفات کودک در عرف تردید بوده، در فقه هم این شرط معتبر دانسته شده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معاملات که وکالت یکی از مصادیق آن است، یا رکنیت آن یا فلسفه جوازش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فرموده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منافع عقلایی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است که در ارتباط با وضعیت حقوقی طرفین معامله قرار دارد و اگر جز این باشد، محکوم به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عبادة لایترتب علیها غرض اخروی تقع فاسدة، کما ان کل معاملة لایترتب علیها غرض دنیاوی کذلک؛</w:t>
      </w:r>
      <w:r>
        <w:rPr>
          <w:rStyle w:val="FootnoteAnchor"/>
          <w:rtl w:val="true"/>
        </w:rPr>
        <w:footnoteReference w:id="240"/>
      </w:r>
      <w:r>
        <w:rPr>
          <w:rFonts w:ascii="IRNazanin" w:hAnsi="IRNazanin" w:eastAsia="IRNazanin"/>
          <w:color w:val="111111"/>
          <w:sz w:val="28"/>
          <w:sz w:val="28"/>
          <w:szCs w:val="28"/>
          <w:rtl w:val="true"/>
          <w:lang w:bidi="fa-IR"/>
        </w:rPr>
        <w:t>هر عبادتی که غرض اخروی بر آن بار نشود، فاسد است، چنان‌که هر معامله‌ای که غرض دنیوی بر آن مترتب نباشد،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تجویز وکالت زن در دعاوی با توجه به رویکردی که زن را ذاتاً شایسته این عرصه نمی‌داند، تجویز معامله ای است که مصلحت موکل در آن فوت می‌شود و در نتیجه غرض دنیوی‌ای که طی چنین معامله‌ای تعقیب می‌شود، حاصل نخواهد شد و در نهایت این معامله فاسد است؛ چون مبنای کلی باب معاملات در اینجا به طور صریح دور زده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وکالت زن در دعاوی مصلحتی که باید طی این تشریفات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به‌دست آید، نخواهد آمد و ازاین‌رو جواز آن مشکل دارد؛ چون اجازه دادن زن به ورود در کاری است که فاقد اهلیت لازم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همان گونه که گذشت، دراین آیه، زن به دو ویژگی توصیف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و تعلق به زینت و زیور؛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هنگام منازعه و خصومت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ترتیب آیه و قراین تجربی به‌دست می‌آید، برقراربودن ارتباط نسبتا علّی و معلولی میان این اوصاف است؛ به‌گونه‌ای که ضعف زنان در این عرصه پیامد بارآمدن آنان درنازپروردگی و فضای عاری از تحمل مسئولیت، حس استقلال و اعتماد به نفس است که آمادگی آنان را در رویارویی با چالش‌های دشوار زندگی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در برخی تفسیرهای غالبا دارای رویکرد حدیثی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تفاسیر در ذیل آیه روایتی را آورده‌اند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تمثُّل در حالی بر فرعون ظاهر می‌شود که بر فرش زرین نشسته است و این وضعیت موفقیت او را در دید فرعون ناباورانه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روایت این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قدرتی داد که بر فرعون در حالی ظاهر شود که بر فرش زرین و طلایی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دیدن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زر و زیور بزرگ شده و در خصومت ناتوان است، می‌تواند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بیانی روشن دارد و نه می‌تواند در میان مردم قدرتمندانه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بود باید از مردم نمی‌بود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مضمون این روایت که ارتباط عدم موفقیت با زندگی آسوده را خیالی فرعونی می‌نمایاند، تأیید دیدگاهی است که محتوای آیه را تماماً حکایت پندار جاهلی جامعه عرب آن روز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می‌خواهیم به نوعی فهم تکیه کنیم که این اوصاف را به‌طور علّی به‌هم وابسته می‌دید، بی‌آنکه خصوصیتی برای زن در این مورد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روایتی را که گویای این ارتباط در غیر مورد زنان بوده در اینجا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هم هست که انسان با چنین سوابق واقعی اعم از زن ومرد نتواند از دفاع خود در میدان‌های پرکشمکش و خصمانه با موفقیت بیرون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 پرورد تنعم نبرد راه به جاه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اما اینکه ناتوانی زنان در دفاع از خود در میدان منازعه ریشه در نقص عقل و سفاهت</w:t>
      </w:r>
      <w:r>
        <w:rPr>
          <w:rStyle w:val="FootnoteAnchor"/>
          <w:rtl w:val="true"/>
        </w:rPr>
        <w:footnoteReference w:id="243"/>
      </w:r>
      <w:r>
        <w:rPr>
          <w:rFonts w:ascii="IRNazanin" w:hAnsi="IRNazanin" w:eastAsia="IRNazanin"/>
          <w:color w:val="111111"/>
          <w:sz w:val="28"/>
          <w:sz w:val="28"/>
          <w:szCs w:val="28"/>
          <w:rtl w:val="true"/>
          <w:lang w:bidi="fa-IR"/>
        </w:rPr>
        <w:t>یا شدت عاطفه و ضعف نیروی تعقل داشته باشد،</w:t>
      </w:r>
      <w:r>
        <w:rPr>
          <w:rStyle w:val="FootnoteAnchor"/>
          <w:rtl w:val="true"/>
        </w:rPr>
        <w:footnoteReference w:id="244"/>
      </w:r>
      <w:r>
        <w:rPr>
          <w:rFonts w:ascii="IRNazanin" w:hAnsi="IRNazanin" w:eastAsia="IRNazanin"/>
          <w:color w:val="111111"/>
          <w:sz w:val="28"/>
          <w:sz w:val="28"/>
          <w:szCs w:val="28"/>
          <w:rtl w:val="true"/>
          <w:lang w:bidi="fa-IR"/>
        </w:rPr>
        <w:t>خارج از ظرفیت ظهور آیه، بلکه مبتنی بر پیش‌فرض‌های خارج از متن است؛ مانند پیش‌فرضی نقص ذاتی زن در تعقل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چالش‌های جدی این پیش‌فرض و پیش‌فرض‌های هم‌خانواده آن با نصوص قرآنی بعداً توجه خواهیم کرد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ناتوانی زن در این صحنه حداکثر ناشی از نازپروردگی او خواهد بود و آن هم به نوبه خود محصول جامعه‌پذیری و عوامل تربیت‌ساز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واقعیت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چند</w:t>
      </w:r>
    </w:p>
    <w:p>
      <w:pPr>
        <w:pStyle w:val="BookText"/>
        <w:rPr/>
      </w:pPr>
      <w:r>
        <w:rPr>
          <w:rFonts w:ascii="IRNazanin" w:hAnsi="IRNazanin" w:eastAsia="IRNazanin"/>
          <w:color w:val="111111"/>
          <w:sz w:val="28"/>
          <w:sz w:val="28"/>
          <w:szCs w:val="28"/>
          <w:rtl w:val="true"/>
          <w:lang w:bidi="fa-IR"/>
        </w:rPr>
        <w:t>اصالتاً به‌معنای ایجاد و آفرینش می‌آید، در اینجا به مفهوم تربیت و پرورش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توضیح بیشتر این مطلب را از تفسیر من وحی القرآن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با این توصیف، شخصیت انسانی زن را تعریف می‌کند که با استغراق در زینت‌های دنیوی دچار ضعف شده و در نتیجه فاقد قدرت دفاع از خویش است، یا تصویر شخصیت زن از خلال عوامل تربیتی موجود بوده که با تحمیل یک شیوه خاص زندگی، او را چنان بار آورده که عناصر قوت جای خود را به عناصر ضعف داده است؟</w:t>
      </w:r>
    </w:p>
    <w:p>
      <w:pPr>
        <w:pStyle w:val="BookText"/>
        <w:rPr/>
      </w:pPr>
      <w:r>
        <w:rPr>
          <w:rFonts w:ascii="IRNazanin" w:hAnsi="IRNazanin" w:eastAsia="IRNazanin"/>
          <w:color w:val="111111"/>
          <w:sz w:val="28"/>
          <w:sz w:val="28"/>
          <w:szCs w:val="28"/>
          <w:rtl w:val="true"/>
          <w:lang w:bidi="fa-IR"/>
        </w:rPr>
        <w:t xml:space="preserve">از تعبیری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 استفاده می‌کنیم که این مسأله در اثر ظرفیت‌های تربیتی بوده است؛ چون زن ذاتا قابلیت استفاده از ابزارهای قدرت فکری و عملی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قرآن هنگام سخن از نمونه‌های تاثیرگذار در زندگی اجتماعی، از زن مسلمان در کنار مرد مسلمان یاد شده و نیز زنانی چون همسر فرعون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سرمشق و نمونه معرفی شده‌اند، علاوه بر اینها در تاریخ و در عصر حاضر کم نبوده‌اند زنانی که از قدرت مناظره دفاعی و اراده آهنین در مقابله با تهدیدها برخوردار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در استبعاد مطلب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هویت او نیست، بلکه از مقتضیات محیط است که جانب پرورش استعدادهای فکری و عقلایی او را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ما منکر قوت عاطفه در زن نخواهیم بود، اما نه به اندازه‌ای که امکان رشد عقلی و فکری را از زن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ناظر به موقعیت خاص زمان نزول است و به همین</w:t>
      </w:r>
    </w:p>
    <w:p>
      <w:pPr>
        <w:pStyle w:val="BookText"/>
        <w:rPr/>
      </w:pPr>
      <w:r>
        <w:rPr>
          <w:rFonts w:ascii="IRNazanin" w:hAnsi="IRNazanin" w:eastAsia="IRNazanin"/>
          <w:color w:val="111111"/>
          <w:sz w:val="28"/>
          <w:sz w:val="28"/>
          <w:szCs w:val="28"/>
          <w:rtl w:val="true"/>
          <w:lang w:bidi="fa-IR"/>
        </w:rPr>
        <w:t>جهت این پرسش را طرح می‌کند که با تلقی موجود از زن چرا او را به فرزندی خداوند نسبت می‌دهید؟</w:t>
      </w:r>
      <w:r>
        <w:rPr>
          <w:rStyle w:val="FootnoteAnchor"/>
          <w:rtl w:val="true"/>
        </w:rPr>
        <w:footnoteReference w:id="24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اگر تعلق به خودآرایی و تجمل زاده عوامل محیط و تربیت باشد، امکان آن وجود دارد که با تغییر نظام‌های تربیتی این ویژگی‌ها هم در زنان جای خود را به آرمان‌ها و دلبستگی‌هایی چون تحصیل و مشارکت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بدهد؛ چنان‌که در عصر حاضر مطلب از همین قرار است، دیگر حتی فضیلت ازدواج زودرس که در روایات آمده هم فراموش می‌شود؛</w:t>
      </w:r>
      <w:r>
        <w:rPr>
          <w:rStyle w:val="FootnoteAnchor"/>
          <w:rtl w:val="true"/>
        </w:rPr>
        <w:footnoteReference w:id="248"/>
      </w:r>
      <w:r>
        <w:rPr>
          <w:rFonts w:ascii="IRNazanin" w:hAnsi="IRNazanin" w:eastAsia="IRNazanin"/>
          <w:color w:val="111111"/>
          <w:sz w:val="28"/>
          <w:sz w:val="28"/>
          <w:szCs w:val="28"/>
          <w:rtl w:val="true"/>
          <w:lang w:bidi="fa-IR"/>
        </w:rPr>
        <w:t>چون در اثر تغییرات زندگی بشر جدید انتظارات هم تا حدودی از یک زن و شیوه اداره زندگی خوب تغییر کرده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130" w:name="pg5406_38533"/>
    </w:p>
    <w:p>
      <w:pPr>
        <w:pStyle w:val="BookText"/>
        <w:rPr/>
      </w:pPr>
      <w:bookmarkEnd w:id="130"/>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جامعه‌ای که فرهنگ مسلط خشونت است و جنگ تعیین‌کننده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جامعه‌ای که دست‌کم ناخواسته وارث چنین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دفاع خویش در میدان‌های منازعه ناتوان خواهد بود؛ چون همه چیز بر اساس کارکرد در جنگ ارزیابی شده و وجود دختر اساساً از این بابت مساوی با ننگ می‌شود؛</w:t>
      </w:r>
      <w:r>
        <w:rPr>
          <w:rStyle w:val="FootnoteAnchor"/>
          <w:rtl w:val="true"/>
        </w:rPr>
        <w:footnoteReference w:id="250"/>
      </w:r>
      <w:r>
        <w:rPr>
          <w:rFonts w:ascii="IRNazanin" w:hAnsi="IRNazanin" w:eastAsia="IRNazanin"/>
          <w:color w:val="111111"/>
          <w:sz w:val="28"/>
          <w:sz w:val="28"/>
          <w:szCs w:val="28"/>
          <w:rtl w:val="true"/>
          <w:lang w:bidi="fa-IR"/>
        </w:rPr>
        <w:t>زیرا نه تنها نیرو برای مقاصد جنگی نیست که در معرض آسیب‌های جدی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اثر تغییر در نگاه مدیریتی تربیت، زن پا به پای مرد رشد می‌کند و با هیچ رشته درسی‌ای بیگانه تلقی نمی‌شود، این زن دیگر آن زنی نیست که نازپرورده بود و از خود قدرت دفاع نداشت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اصالت از خود دفاع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عن ان‌یتولی امره بنفسه؛</w:t>
      </w:r>
      <w:r>
        <w:rPr>
          <w:rStyle w:val="FootnoteAnchor"/>
          <w:rtl w:val="true"/>
        </w:rPr>
        <w:footnoteReference w:id="251"/>
      </w:r>
      <w:r>
        <w:rPr>
          <w:rFonts w:ascii="IRNazanin" w:hAnsi="IRNazanin" w:eastAsia="IRNazanin"/>
          <w:color w:val="111111"/>
          <w:sz w:val="28"/>
          <w:sz w:val="28"/>
          <w:szCs w:val="28"/>
          <w:rtl w:val="true"/>
          <w:lang w:bidi="fa-IR"/>
        </w:rPr>
        <w:t>زن از اینکه امور خویش را به عهده گیرد،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وکالت از دیگران این مهم را خواهد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 وکالت او با زیربناهای اساسی این عقد در تعارض است</w:t>
      </w:r>
      <w:r>
        <w:rPr>
          <w:rFonts w:eastAsia="IRNazanin" w:cs="IRNazanin"/>
          <w:color w:val="111111"/>
          <w:sz w:val="28"/>
          <w:szCs w:val="28"/>
          <w:rtl w:val="true"/>
          <w:lang w:bidi="fa-IR"/>
        </w:rPr>
        <w:t>.</w:t>
      </w:r>
    </w:p>
    <w:p>
      <w:pPr>
        <w:pStyle w:val="Heading4"/>
        <w:numPr>
          <w:ilvl w:val="3"/>
          <w:numId w:val="1"/>
        </w:numPr>
        <w:rPr/>
      </w:pPr>
      <w:bookmarkStart w:id="131" w:name="__RefHeading___Toc1597122_581953129"/>
      <w:bookmarkStart w:id="132" w:name="_Toc49"/>
      <w:bookmarkEnd w:id="131"/>
      <w:r>
        <w:rPr>
          <w:rtl w:val="true"/>
        </w:rPr>
        <w:t>آیه دوم</w:t>
      </w:r>
      <w:r>
        <w:rPr>
          <w:rtl w:val="true"/>
        </w:rPr>
        <w:t xml:space="preserve">: </w:t>
      </w:r>
      <w:r>
        <w:rPr>
          <w:rtl w:val="true"/>
        </w:rPr>
        <w:t>شهادت زنان</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 فَإِنْ لَمْ یَکُونا رَجُلَیْنِ فَرَجُلٌ وَ امْرَأَتانِ مِمَّنْ تَرْضَوْنَ مِنَ الشُّهَداءِ أَنْ تَضِلَّ إِحْداهُما فَتُذَکِّرَ إِحْداهُمَا الْأُخْری</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شاهد از مردانتان را به شهادت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مرد</w:t>
      </w:r>
    </w:p>
    <w:p>
      <w:pPr>
        <w:pStyle w:val="BookText"/>
        <w:rPr/>
      </w:pPr>
      <w:r>
        <w:rPr>
          <w:rFonts w:ascii="IRNazanin" w:hAnsi="IRNazanin" w:eastAsia="IRNazanin"/>
          <w:color w:val="111111"/>
          <w:sz w:val="28"/>
          <w:sz w:val="28"/>
          <w:szCs w:val="28"/>
          <w:rtl w:val="true"/>
          <w:lang w:bidi="fa-IR"/>
        </w:rPr>
        <w:t>نبودند، مردی را با دو زن از میان گواهانی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 دیگری وی را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فقره بخشی از آیه بلندی است که مشتمل بر </w:t>
      </w:r>
      <w:r>
        <w:rPr>
          <w:rFonts w:eastAsia="IRNazanin" w:cs="IRNazanin"/>
          <w:color w:val="111111"/>
          <w:sz w:val="28"/>
          <w:szCs w:val="28"/>
          <w:lang w:bidi="fa-IR"/>
        </w:rPr>
        <w:t>18</w:t>
      </w:r>
      <w:r>
        <w:rPr>
          <w:rStyle w:val="FootnoteAnchor"/>
          <w:rtl w:val="true"/>
        </w:rPr>
        <w:footnoteReference w:id="25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Style w:val="FootnoteAnchor"/>
          <w:rtl w:val="true"/>
        </w:rPr>
        <w:footnoteReference w:id="254"/>
      </w:r>
      <w:r>
        <w:rPr>
          <w:rFonts w:ascii="IRNazanin" w:hAnsi="IRNazanin" w:eastAsia="IRNazanin"/>
          <w:color w:val="111111"/>
          <w:sz w:val="28"/>
          <w:sz w:val="28"/>
          <w:szCs w:val="28"/>
          <w:rtl w:val="true"/>
          <w:lang w:bidi="fa-IR"/>
        </w:rPr>
        <w:t>حکم فقهی در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فوق مربوط به شهادت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برای آن دو مرد یا یک مرد و دو زن شاهد گرفته شود تا درصورتی‌که یکی از زنان موضوع شهادت را فراموش کرد، دیگری به او یاد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 تعدد زنان در شهادت پیشگیری از فراموشی یا جبران است باید هر دو زن با هم شهادت دهند و هرکدام قسمت‌های فراموش شده شهادت را به یکدیگر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صریح آیه است، اما علت آن چیست؟ به عبارتی، چرا این فرض درباره مردان مطرح نشده است؟ آیا آنها از عارضه فراموشی کاملاً در امانند؟</w:t>
      </w:r>
    </w:p>
    <w:p>
      <w:pPr>
        <w:pStyle w:val="BookText"/>
        <w:rPr/>
      </w:pPr>
      <w:r>
        <w:rPr>
          <w:rFonts w:ascii="IRNazanin" w:hAnsi="IRNazanin" w:eastAsia="IRNazanin"/>
          <w:color w:val="111111"/>
          <w:sz w:val="28"/>
          <w:sz w:val="28"/>
          <w:szCs w:val="28"/>
          <w:rtl w:val="true"/>
          <w:lang w:bidi="fa-IR"/>
        </w:rPr>
        <w:t>در پاسخ به این پرسش، مفسرانی که به این نکته اشاره کرده‌اند، غالباً حکم مسأله را به ضعف و نقص عقل زنان تعلیق کرده و یا دست‌کم آن را مؤثر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تفسیر فقهی کنز العرفان تصریح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ذلک مخافة ان تضلّ احدیهما ای تنسی فانهنّ لضعف عقولهنّ وبرد مزاجهنّ امیل الی النسیان بخلاف الرجال فانهم ابعد عن النسیان لزیادة عُقولهم وحرارة مزاجهم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این بدان جهت است که</w:t>
      </w:r>
    </w:p>
    <w:p>
      <w:pPr>
        <w:pStyle w:val="BookText"/>
        <w:rPr/>
      </w:pPr>
      <w:r>
        <w:rPr>
          <w:rFonts w:ascii="IRNazanin" w:hAnsi="IRNazanin" w:eastAsia="IRNazanin"/>
          <w:color w:val="111111"/>
          <w:sz w:val="28"/>
          <w:sz w:val="28"/>
          <w:szCs w:val="28"/>
          <w:rtl w:val="true"/>
          <w:lang w:bidi="fa-IR"/>
        </w:rPr>
        <w:t>از ضلالت یکی از آن دو، یعنی فراموشی او، بیم می‌رود؛ چون زنان به‌دلیل ضعف عقل و سردی مزاجشان به فراموشی نزدیک‌ترند، برخلاف مردان که از فراموشی دورترند؛ زیرا از عقل بیشتر و مزاج گرم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تفسیر کنز الدقائق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لنقصان عقلهنّ و قلة ضبطهنّ؛</w:t>
      </w:r>
      <w:r>
        <w:rPr>
          <w:rStyle w:val="FootnoteAnchor"/>
          <w:rtl w:val="true"/>
        </w:rPr>
        <w:footnoteReference w:id="256"/>
      </w:r>
      <w:r>
        <w:rPr>
          <w:rFonts w:ascii="IRNazanin" w:hAnsi="IRNazanin" w:eastAsia="IRNazanin"/>
          <w:color w:val="111111"/>
          <w:sz w:val="28"/>
          <w:sz w:val="28"/>
          <w:szCs w:val="28"/>
          <w:rtl w:val="true"/>
          <w:lang w:bidi="fa-IR"/>
        </w:rPr>
        <w:t>این تعدد شهادت به‌دلیل نقص عقل زنان و کمبودی است که در حفظ و نگهداری وقایع در ذهن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البرهان هم همین مضمون با ذکر روایتی مفصل تأیید شده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در ریاض المسائل وقتی جواز شهادت زنان را در مواردی که به‌تنهایی مسموع است مورد بحث قرار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در صورتی به‌تنهایی مقبول واقع می‌شود که کم‌تر از چهار تن نباشند؛ زیرا مورد متیقنی که شهادت زن‌ها بدون ضمیمه مردان پذیرفته می‌شود، همین صورت است و غیر آن همه تحت اصل عدم قبول شهادت زن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اصل، ایشان در ادامه به روایتی استناد می‌کند که در وسائل به نقل از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 علت ضلالت زنان در شهادت را به نقص عقل و دین آنان مستند کرده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اصل روایت این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تضل احدیهما فتذکر احدیهما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خلت احدیهما من الشهادة فنسیتها، ذکرت احدیهما الاخری، فاستقاما فی اداء الشهادة عند</w:t>
      </w:r>
    </w:p>
    <w:p>
      <w:pPr>
        <w:pStyle w:val="BookText"/>
        <w:rPr/>
      </w:pPr>
      <w:r>
        <w:rPr>
          <w:rFonts w:ascii="IRNazanin" w:hAnsi="IRNazanin" w:eastAsia="IRNazanin"/>
          <w:color w:val="111111"/>
          <w:sz w:val="28"/>
          <w:sz w:val="28"/>
          <w:szCs w:val="28"/>
          <w:rtl w:val="true"/>
          <w:lang w:bidi="fa-IR"/>
        </w:rPr>
        <w:t>الله شهادة امرأتین بشهادة رجل لنقصان عقولهنّ ودینهنّ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یکی از زنان دچار ضلالت شد و شهادت را فراموش کرد، دیگری به‌یادش آورد، که در پیشگاه خداوند شهادت دو زن، معادل شهادت یک مرد است؛ چون زنان در عقل و دین ناقصند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نیز به این مضمون خطبه ای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 النساء نواقص الایمان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نقصان ایمانهنّ فقعودهنّ عن الصلوة والصوم فی ایام حیضهنّ، واما نقصان حظوظهنّ فمواریثهنّ علی الانصاف من مواریث الرجال، واما نقصان عقولهنّ فشهادة امرأة کشهادة الرجل الواحد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زنان ناتمام است، بهره آنان ناتمام و خرد ایشان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ناتمامی ایمان، معذور بودنشان از نماز و روزه است به هنگام عادتشان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نقصان بهره ایشان نصف بودن سهم آنان از میراث نسبت به سهم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ناتمامی خرد آنان این است که گواهی دو زن چون گواهی یک مرد به حساب می‌آید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نقص عقل زن به طور عام، احادیث دیگری هم وارد شده که معتبرترین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عدة من اصحابنا، عن احمد بن ابی عبدالله، عن ابیه، عن سلیمان بن جعفر الجعفری، عمن ذکره،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ضعیفات الدین وناقصات العقول لذی لبٍّ منکن</w:t>
      </w:r>
      <w:r>
        <w:rPr>
          <w:rStyle w:val="FootnoteAnchor"/>
          <w:rtl w:val="true"/>
        </w:rPr>
        <w:footnoteReference w:id="261"/>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سست‌دین وکم‌خردانی که عقل‌دزدتر از شما زنان باشد،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برخی مفسران حداقل نقص عقل زنان را با استفاده از این روایات به‌مثابه علت در تعدد شهادت زن مورد توجه قرار داده‌اند؛ هرچند به علل دیگر هم اشاره کرده‌اند که ما به آنها کار نداریم؛ چون نقص دین که در روایات و به تبع آن در بیان مفسران و فقها آمده است، در برخی روایت‌ها عادت ماهیانه توضیح داده شده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همچنین سردی مزاج یک ویژگی ذاتی برای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گونه علل موقت، موردی و قابل حلند و حداقل در هویت زنانگی دخیل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نقص عقل است که به‌عنوان یک نقص ذاتی برای زنان مطرح شده و بر پایه آن این حکم توجیه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دو زاویه برای فرضیه وکالت زن مشکل‌ساز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تعلیل که در بیان برخی مفسران آمده و صاحب ریاض هم به آن استناد کرده است که چون زنان ناقص العقل هستند باید درباره پذیرش شهادت آنان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صاحب این تعلیل که در</w:t>
      </w:r>
    </w:p>
    <w:p>
      <w:pPr>
        <w:pStyle w:val="BookText"/>
        <w:rPr/>
      </w:pPr>
      <w:r>
        <w:rPr>
          <w:rFonts w:ascii="IRNazanin" w:hAnsi="IRNazanin" w:eastAsia="IRNazanin"/>
          <w:color w:val="111111"/>
          <w:sz w:val="28"/>
          <w:sz w:val="28"/>
          <w:szCs w:val="28"/>
          <w:rtl w:val="true"/>
          <w:lang w:bidi="fa-IR"/>
        </w:rPr>
        <w:t xml:space="preserve">دل آن انسان شناسی ویژه‌ای نسبت به زنان نهفته و برای یک گزارش ساده در شکل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صرفاً بازگویی واقعه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احتیاطی را اندیشیده، سپردن مسئولیت وکالتی و یا به عبارتی، معامله با آنان را در شکل وکالت دعاوی برنخواهد تافت؛ چون فلسفه تشریع وکالت رفع نیاز و تأمین مصلحت موکل است که در سپردن آن به زنان با چنین نگاهی به زن، نه تنها تضمینی برای تحقق آن وجود ندارد که از آغاز این وظیفه به کسانی احاله شده که از یک مشکل عمیق فطری رنج می‌برند و نمی‌توانند هیچ تعهدی را در این زمینه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کاشف الغطاء غرض دنیوی‌ای که از هر معامله‌ای انتظار می‌رود، در اینجا منتفی است و در نتیجه این معامله فاسد خواهد بود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سرانجام از یاد نبریم که اکثر شرایط باب وکالت و حتی بلوغ و عقل فاقد منشأ روایی و بیشتر بر اساس کارآمدی عرفی آن، در فقه مورد توجه قرار گرفته‌اند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فقها اذعان دارند که همه احکام متفاوت برای زنان از عدم جواز امامت در نماز گرفته تا عدم نفوذ شهادت آن‌ها، همگی در جهت یک هدف اساسی تمهید شده‌اند و آن عدم اختلاط زنان و مردان و در کل حفظ حریم زنانگی و صیانت از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شرع در حوزه‌های بسیاری، شهادت زنان مسموع نیست؛ چون از قبل زمینه حضور آنها در این موارد ممنوع شده و نفوذ شهادت زنان، از یک مرحله قبل پیشگیری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33" w:name="pg5406_38546"/>
    </w:p>
    <w:p>
      <w:pPr>
        <w:pStyle w:val="BookText"/>
        <w:rPr/>
      </w:pPr>
      <w:bookmarkEnd w:id="133"/>
      <w:r>
        <w:rPr>
          <w:rFonts w:ascii="IRNazanin" w:hAnsi="IRNazanin" w:eastAsia="IRNazanin"/>
          <w:color w:val="111111"/>
          <w:sz w:val="28"/>
          <w:sz w:val="28"/>
          <w:szCs w:val="28"/>
          <w:rtl w:val="true"/>
          <w:lang w:bidi="fa-IR"/>
        </w:rPr>
        <w:t>این ادعا بی‌آنکه در کلیت آن مورد تأیید باشد، دست‌کم در بخش شهادت و حضور در دادگاه، برای نقد وکالت دعاوی، قابل تأمل است؛ زیرا نظام‌واره احکام مربوط به زنان در امور دادگاه آهنگی را تعقیب می‌کند که حضور زنان را در این عرصه 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دو محور مهم نظام قضایی که عبارت از قضاوت و شهادت است، زن‌ها به‌کلی از تصدی سمت‌های این دو منع شده‌اند،</w:t>
      </w:r>
      <w:r>
        <w:rPr>
          <w:rStyle w:val="FootnoteAnchor"/>
          <w:rtl w:val="true"/>
        </w:rPr>
        <w:footnoteReference w:id="265"/>
      </w:r>
      <w:r>
        <w:rPr>
          <w:rFonts w:ascii="IRNazanin" w:hAnsi="IRNazanin" w:eastAsia="IRNazanin"/>
          <w:color w:val="111111"/>
          <w:sz w:val="28"/>
          <w:sz w:val="28"/>
          <w:szCs w:val="28"/>
          <w:rtl w:val="true"/>
          <w:lang w:bidi="fa-IR"/>
        </w:rPr>
        <w:t>بلکه آنچه اهمیت یافته، حفظ حریم آنان است؛ نه پیشبرد مقاصد قضایی از سوی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چنین تمهیدی که خواسته حضور زنان را در این عرصه کاهش دهد، لازم است در جواز وکالت دعاوی هم جانب احتیاط را فرونگذاریم و حکم آن را متناسب با فضای کلی احکام زنان حداقل در حوزه نظام قضا درک و فهم کنیم و از آن فاصله نگیریم</w:t>
      </w:r>
      <w:r>
        <w:rPr>
          <w:rFonts w:eastAsia="IRNazanin" w:cs="IRNazanin"/>
          <w:color w:val="111111"/>
          <w:sz w:val="28"/>
          <w:szCs w:val="28"/>
          <w:rtl w:val="true"/>
          <w:lang w:bidi="fa-IR"/>
        </w:rPr>
        <w:t>.</w:t>
      </w:r>
    </w:p>
    <w:p>
      <w:pPr>
        <w:pStyle w:val="Heading3"/>
        <w:numPr>
          <w:ilvl w:val="2"/>
          <w:numId w:val="1"/>
        </w:numPr>
        <w:rPr/>
      </w:pPr>
      <w:bookmarkStart w:id="134" w:name="__RefHeading___Toc1597124_581953129"/>
      <w:bookmarkStart w:id="135" w:name="_Toc50"/>
      <w:bookmarkEnd w:id="134"/>
      <w:r>
        <w:rPr>
          <w:rtl w:val="true"/>
        </w:rPr>
        <w:t>بررسی آیه شهادت</w:t>
      </w:r>
      <w:bookmarkEnd w:id="135"/>
    </w:p>
    <w:p>
      <w:pPr>
        <w:pStyle w:val="Heading4"/>
        <w:numPr>
          <w:ilvl w:val="3"/>
          <w:numId w:val="1"/>
        </w:numPr>
        <w:rPr/>
      </w:pPr>
      <w:bookmarkStart w:id="136" w:name="__RefHeading___Toc1597126_581953129"/>
      <w:bookmarkStart w:id="137" w:name="_Toc51"/>
      <w:bookmarkEnd w:id="136"/>
      <w:r>
        <w:rPr/>
        <w:t>1</w:t>
      </w:r>
      <w:r>
        <w:rPr>
          <w:rtl w:val="true"/>
        </w:rPr>
        <w:t>-</w:t>
      </w:r>
      <w:r>
        <w:rPr>
          <w:rtl w:val="true"/>
        </w:rPr>
        <w:t>زن و نقص عقل</w:t>
      </w:r>
      <w:bookmarkEnd w:id="137"/>
    </w:p>
    <w:p>
      <w:pPr>
        <w:pStyle w:val="Heading5"/>
        <w:numPr>
          <w:ilvl w:val="4"/>
          <w:numId w:val="1"/>
        </w:numPr>
        <w:rPr/>
      </w:pPr>
      <w:bookmarkStart w:id="138" w:name="__RefHeading___Toc1597128_581953129"/>
      <w:bookmarkStart w:id="139" w:name="_Toc52"/>
      <w:bookmarkEnd w:id="138"/>
      <w:r>
        <w:rPr>
          <w:rtl w:val="true"/>
        </w:rPr>
        <w:t>اشاره</w:t>
      </w:r>
      <w:bookmarkEnd w:id="13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تفسیر آیه شریفه را در دو محور پی می‌گیریم؛ نخست تفسیرهای مبتنی بر نقص عقل زن در روایات به بحث گذاشته می‌شود؛ چون در هر صورت اندیشه نقص عقل زن اندیشه‌ای تجربی یا فلسفی نیست، بلکه ریشه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نظام‌واره احکام تشریعی زنان می‌پردازم که باز الهام گرفته از حکم تعدد شهادت زنان است</w:t>
      </w:r>
      <w:r>
        <w:rPr>
          <w:rFonts w:eastAsia="IRNazanin" w:cs="IRNazanin"/>
          <w:color w:val="111111"/>
          <w:sz w:val="28"/>
          <w:szCs w:val="28"/>
          <w:rtl w:val="true"/>
          <w:lang w:bidi="fa-IR"/>
        </w:rPr>
        <w:t>.</w:t>
      </w:r>
      <w:bookmarkStart w:id="140" w:name="pg5406_38547"/>
    </w:p>
    <w:p>
      <w:pPr>
        <w:pStyle w:val="Heading5"/>
        <w:numPr>
          <w:ilvl w:val="4"/>
          <w:numId w:val="1"/>
        </w:numPr>
        <w:rPr/>
      </w:pPr>
      <w:bookmarkStart w:id="141" w:name="__RefHeading___Toc1597130_581953129"/>
      <w:bookmarkStart w:id="142" w:name="_Toc53"/>
      <w:bookmarkEnd w:id="140"/>
      <w:bookmarkEnd w:id="141"/>
      <w:r>
        <w:rPr>
          <w:rtl w:val="true"/>
        </w:rPr>
        <w:t>الف</w:t>
      </w:r>
      <w:r>
        <w:rPr>
          <w:rtl w:val="true"/>
        </w:rPr>
        <w:t xml:space="preserve">) </w:t>
      </w:r>
      <w:r>
        <w:rPr>
          <w:rtl w:val="true"/>
        </w:rPr>
        <w:t>تأمل در اسناد روایی نقصان عقل زن</w:t>
      </w:r>
      <w:bookmarkEnd w:id="142"/>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تعدد زنان در شهادت، خود معلل به نص صریح و قطعی نقص عقل نیست و برای همین برخی آن را حکمی تعبدی دانسته‌اند که نباید بیش از این در آن کاوش و دقت عقلانی کرد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عمده مطالب نقص عقل که به‌عنوان علت در پاره‌ای از روایات عنوان شده، از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تفسیر اعتبار رجالی ندارد؛ چون انتساب آن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نیست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 خطبه نهج البلاغه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منابعی که برای این خطبه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قوت القلوب ابوطالب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المسترشد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روشن است که تذکرة الخواص و شرح راوندی منبع نهج البلاغه نمی‌توانند باشند؛ چون ابن جوزی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می‌زیسته است و طبعاً تاریخ تألیف این دو کتاب بعد از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فراز آخر این خطبه را در کافی آورده است و قوت القلوب با اینکه از نظر تاریخی پیشینه</w:t>
      </w:r>
    </w:p>
    <w:p>
      <w:pPr>
        <w:pStyle w:val="BookText"/>
        <w:rPr/>
      </w:pPr>
      <w:r>
        <w:rPr>
          <w:rFonts w:ascii="IRNazanin" w:hAnsi="IRNazanin" w:eastAsia="IRNazanin"/>
          <w:color w:val="111111"/>
          <w:sz w:val="28"/>
          <w:sz w:val="28"/>
          <w:szCs w:val="28"/>
          <w:rtl w:val="true"/>
          <w:lang w:bidi="fa-IR"/>
        </w:rPr>
        <w:t xml:space="preserve">قابل‌توجهی نسبت به نهج البلاغه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سید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بدون سند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منبع که این فرازها را در ضمن خطبه‌ای مفصل باز به طور مرسل از عامر بن شراحیل از شریح بن هانی نقل کرده، ابن جریرطبری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المسترشد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درباره عامر گفته‌اند که کذاب، فاجر و از دشمنان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ارسال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حاکی از نقص عقل از سند متصل و قابل اعتماد براساس موازین رجالی برخوردار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ندارد که به مثابه یک مناط منصوص و قطعی</w:t>
      </w:r>
      <w:r>
        <w:rPr>
          <w:rStyle w:val="FootnoteAnchor"/>
          <w:rtl w:val="true"/>
        </w:rPr>
        <w:footnoteReference w:id="272"/>
      </w:r>
      <w:r>
        <w:rPr>
          <w:rFonts w:ascii="IRNazanin" w:hAnsi="IRNazanin" w:eastAsia="IRNazanin"/>
          <w:color w:val="111111"/>
          <w:sz w:val="28"/>
          <w:sz w:val="28"/>
          <w:szCs w:val="28"/>
          <w:rtl w:val="true"/>
          <w:lang w:bidi="fa-IR"/>
        </w:rPr>
        <w:t>یا ظهور عام این حکم</w:t>
      </w:r>
      <w:r>
        <w:rPr>
          <w:rStyle w:val="FootnoteAnchor"/>
          <w:rtl w:val="true"/>
        </w:rPr>
        <w:footnoteReference w:id="273"/>
      </w:r>
      <w:r>
        <w:rPr>
          <w:rFonts w:ascii="IRNazanin" w:hAnsi="IRNazanin" w:eastAsia="IRNazanin"/>
          <w:color w:val="111111"/>
          <w:sz w:val="28"/>
          <w:sz w:val="28"/>
          <w:szCs w:val="28"/>
          <w:rtl w:val="true"/>
          <w:lang w:bidi="fa-IR"/>
        </w:rPr>
        <w:t>در نظر گرفته شود و آن‌گاه با تعمیم آن بر وکالت زن در دعاوی چنان نتیجه‌ای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باب ملازمه عقلی هم نخواهد بود؛ چون منع وکالت زن بر اساس یک علت مظنون صورت گرفته است، نه علت معقول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از مشکلات فوق مطمئنا ًسند این دست روایات به تواتر نمی‌رسد و حداکثر از درجه خبر واحد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باید توجه داشت که حوزه حجیت خبر واحد معتبر، محدود به مواردی است که امکان تعبد شرعی وجود داشته باشد؛ یعنی حامل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یک مبنا فلسفه اساسی حجیت ظن، اهتمام شارع برای</w:t>
      </w:r>
      <w:bookmarkStart w:id="143" w:name="pg5406_38551"/>
    </w:p>
    <w:p>
      <w:pPr>
        <w:pStyle w:val="BookText"/>
        <w:rPr/>
      </w:pPr>
      <w:bookmarkEnd w:id="143"/>
      <w:r>
        <w:rPr>
          <w:rFonts w:ascii="IRNazanin" w:hAnsi="IRNazanin" w:eastAsia="IRNazanin"/>
          <w:color w:val="111111"/>
          <w:sz w:val="28"/>
          <w:sz w:val="28"/>
          <w:szCs w:val="28"/>
          <w:rtl w:val="true"/>
          <w:lang w:bidi="fa-IR"/>
        </w:rPr>
        <w:t>بر زمین نماندن تکلیف مظنون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ازاین‌رو بزرگانی چون شیخ مفید،</w:t>
      </w:r>
      <w:r>
        <w:rPr>
          <w:rStyle w:val="FootnoteAnchor"/>
          <w:rtl w:val="true"/>
        </w:rPr>
        <w:footnoteReference w:id="275"/>
      </w:r>
      <w:r>
        <w:rPr>
          <w:rFonts w:ascii="IRNazanin" w:hAnsi="IRNazanin" w:eastAsia="IRNazanin"/>
          <w:color w:val="111111"/>
          <w:sz w:val="28"/>
          <w:sz w:val="28"/>
          <w:szCs w:val="28"/>
          <w:rtl w:val="true"/>
          <w:lang w:bidi="fa-IR"/>
        </w:rPr>
        <w:t>شیخ طوسی،</w:t>
      </w:r>
      <w:r>
        <w:rPr>
          <w:rStyle w:val="FootnoteAnchor"/>
          <w:rtl w:val="true"/>
        </w:rPr>
        <w:footnoteReference w:id="276"/>
      </w:r>
      <w:r>
        <w:rPr>
          <w:rFonts w:ascii="IRNazanin" w:hAnsi="IRNazanin" w:eastAsia="IRNazanin"/>
          <w:color w:val="111111"/>
          <w:sz w:val="28"/>
          <w:sz w:val="28"/>
          <w:szCs w:val="28"/>
          <w:rtl w:val="true"/>
          <w:lang w:bidi="fa-IR"/>
        </w:rPr>
        <w:t>و اخیراً علامه طباطبایی</w:t>
      </w:r>
      <w:r>
        <w:rPr>
          <w:rStyle w:val="FootnoteAnchor"/>
          <w:rtl w:val="true"/>
        </w:rPr>
        <w:footnoteReference w:id="277"/>
      </w:r>
      <w:r>
        <w:rPr>
          <w:rFonts w:ascii="IRNazanin" w:hAnsi="IRNazanin" w:eastAsia="IRNazanin"/>
          <w:color w:val="111111"/>
          <w:sz w:val="28"/>
          <w:sz w:val="28"/>
          <w:szCs w:val="28"/>
          <w:rtl w:val="true"/>
          <w:lang w:bidi="fa-IR"/>
        </w:rPr>
        <w:t xml:space="preserve">خبر واحد را در تفسیر فاقد اعتبار می‌دانند؛ مگر آنکه با شواهد صدق همراه بوده یا متواتر باشد تا از حالت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حالت یقینی و قطعی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این بزرگان اصل مطرح شده از شیخ مفید است که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نداشتن حجیت تعبدی به مواردی که هدف حصول علم و یقین است، نه عمل؛ زیرا تعبد تنها درباره عمل امکان پذیر است، نه در مسائل اعتقادی و تفسیر و تاریخ که حصول اطمینان قطعی مطلوب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بنابراین، درباره روایتی که صرفاً حاوی مضمون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اثر شرعی ندارد و ظن در این موارد که علم موضوعیت دارد جای‌گزین علم نخواهد شد، تعبد به ظن هم نتیجتاً معنا ندارد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144" w:name="__RefHeading___Toc1597132_581953129"/>
      <w:bookmarkStart w:id="145" w:name="_Toc54"/>
      <w:bookmarkEnd w:id="144"/>
      <w:r>
        <w:rPr>
          <w:rtl w:val="true"/>
        </w:rPr>
        <w:t>ب</w:t>
      </w:r>
      <w:r>
        <w:rPr>
          <w:rtl w:val="true"/>
        </w:rPr>
        <w:t xml:space="preserve">) </w:t>
      </w:r>
      <w:r>
        <w:rPr>
          <w:rtl w:val="true"/>
        </w:rPr>
        <w:t>تأمل در ناسازگاری نقصان عقل زن با قرآن و جهان‌بینی اسلامی</w:t>
      </w:r>
      <w:bookmarkEnd w:id="14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چنین روایاتی با روح جهان‌بینی اسلامی موافق باشد، تردید جدی وجود دارد؛ زیرا در این روایات به محور نقص عقل و دین زنان توجه شده است، درحالی‌که مسلما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از ظاهر این دست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فطری از شایستگی درک و دین‌داری مساوی با مردان برخوردار نبود، مخاطب پیام مشترک با مردها در ایمان آوردن نمی‌شد و از او چنین اطاعتی خواسته نمی‌شد؛</w:t>
      </w:r>
      <w:r>
        <w:rPr>
          <w:rStyle w:val="FootnoteAnchor"/>
          <w:rtl w:val="true"/>
        </w:rPr>
        <w:footnoteReference w:id="280"/>
      </w:r>
      <w:r>
        <w:rPr>
          <w:rFonts w:ascii="IRNazanin" w:hAnsi="IRNazanin" w:eastAsia="IRNazanin"/>
          <w:color w:val="111111"/>
          <w:sz w:val="28"/>
          <w:sz w:val="28"/>
          <w:szCs w:val="28"/>
          <w:rtl w:val="true"/>
          <w:lang w:bidi="fa-IR"/>
        </w:rPr>
        <w:t>چون درک آن پیام و تعهد بدان بدون کمال عقل و استعداد لازم میسر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اثبات کردند که اگر نه پیش‌قدم‌تر از مردها دست‌کم همگام با آنان می‌توانند نبوغ و شهامت خویش را در پذیرش ایمان و تحمل مسؤلیت‌های مؤمنانه در محیط شرک، به نمایش بگذارند؛ زیرا تشخیص حقانیت آن از نظر عقل نظری نیاز به هوشمندی داشته و پذیرش آن از جهت عقل عملی نیازمند عزمی پولادین بوده است تا هرگونه خطر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کسی که در آن شرایط پیش از دیگران مسلمان می‌شد، از برجستگی خاصی برخوردار بود و همین سبقت از فضایل او به شمار می‌رفت؛ چنان‌که سبقت اسلام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ایشان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می‌توان به هوشمندی و نبوغ زنانی پی برد که قبل از همسران خود دین حنیف اسلام را پذیرفته و حقانیت آن را با استدلال تشخیص داده و در پرتو عزمی استوار به آن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موطأ خود نقل می‌کند که عده ای از زنان در حالی اسلام آورده بودند که شوهرانشان کافر بودند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این تردید در سازگاری مدلول این روایات با قرآن ازاین‌رو جدی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آیه در قرآن وجود ندارد که در این دو موضوع عقل و ایمان، مردها را بر زنان یا بالعکس زنان را به مردان ترجیح بدهد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بلکه در قرآن زن و مرد هردو به طور مساوی خردمند خوانده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 آفرینش آسمان‌ها و زمین و در پی یکدیگر آمدن شب و روز، برای خردمندان نشانه‌هایی قانع‌کننده است؛ همانان که خدا را در همه احوال ایستاده و نشسته و به پهلو آرمیده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آفرینش آسمان‌ها و زمین می‌اندیشند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تو در آتش درآوری، یقیناً رسوایش کرده‌ای، و برای ستمکاران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به‌وسیله فرستادگانت به ما وعده داده‌ای، به ما عطا کن وما را روز رستاخیز رسوا مگردان؛ زیرا تو وعده ات را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46" w:name="pg5406_38557"/>
    </w:p>
    <w:p>
      <w:pPr>
        <w:pStyle w:val="BookText"/>
        <w:rPr/>
      </w:pPr>
      <w:bookmarkEnd w:id="146"/>
      <w:r>
        <w:rPr>
          <w:rFonts w:ascii="IRNazanin" w:hAnsi="IRNazanin" w:eastAsia="IRNazanin"/>
          <w:color w:val="111111"/>
          <w:sz w:val="28"/>
          <w:sz w:val="28"/>
          <w:szCs w:val="28"/>
          <w:rtl w:val="true"/>
          <w:lang w:bidi="fa-IR"/>
        </w:rPr>
        <w:t>پروردگارشان دعای آنان را اجابت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و زن، که همه از یکدیگرید، تباه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ویژگی‌های اولو الالباب</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 ناب، عقل به‌دور از شوائب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المیزان اولو الالباب را به راسخان در علم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رفتار وگفتارشان از علم و آگاهی سرچشمه می‌گیرد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به همین جهت با تفکر عمیقشان در آیات الهی همواره به یاد خدا بوده و نظام‌مند بودن خلقت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چون راسخان در علمند در برابر هر حقیقتی، ازجمله دعوت پیامبر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بار سنگین بر زن و مرد هر دو اطلاق شده است و این یعنی اینکه خرد در انحصار هیچ صنفی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همان اندازه از رهگذر تفکر در آیات الهی، به ایمان به معاد خواهد رسید که مرد، و طبعا به همان پیمانه از نیروی عقل برخوردار است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پایان با صراحت بیشتر می‌فرماید که پاداش عمل و استجابت دعای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باشند، ضایع نمی‌شود و هیچ ربطی به جنسیت ندارد</w:t>
      </w:r>
      <w:r>
        <w:rPr>
          <w:rFonts w:eastAsia="IRNazanin" w:cs="IRNazanin"/>
          <w:color w:val="111111"/>
          <w:sz w:val="28"/>
          <w:szCs w:val="28"/>
          <w:rtl w:val="true"/>
          <w:lang w:bidi="fa-IR"/>
        </w:rPr>
        <w:t>.</w:t>
      </w:r>
    </w:p>
    <w:p>
      <w:pPr>
        <w:pStyle w:val="Heading5"/>
        <w:numPr>
          <w:ilvl w:val="4"/>
          <w:numId w:val="1"/>
        </w:numPr>
        <w:rPr/>
      </w:pPr>
      <w:bookmarkStart w:id="147" w:name="__RefHeading___Toc1597134_581953129"/>
      <w:bookmarkStart w:id="148" w:name="_Toc55"/>
      <w:bookmarkEnd w:id="147"/>
      <w:r>
        <w:rPr>
          <w:rtl w:val="true"/>
        </w:rPr>
        <w:t>ج</w:t>
      </w:r>
      <w:r>
        <w:rPr>
          <w:rtl w:val="true"/>
        </w:rPr>
        <w:t xml:space="preserve">) </w:t>
      </w:r>
      <w:r>
        <w:rPr>
          <w:rtl w:val="true"/>
        </w:rPr>
        <w:t>تجدید نظر در معنای عقل، در ادبیات روایی</w:t>
      </w:r>
      <w:bookmarkEnd w:id="14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اصرار بر صحت اسناد و دلالت روایات حاکی از نقص عقل زن، این امکان هست که دست به یک توافق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p>
    <w:p>
      <w:pPr>
        <w:pStyle w:val="BookText"/>
        <w:rPr/>
      </w:pPr>
      <w:r>
        <w:rPr>
          <w:rFonts w:ascii="IRNazanin" w:hAnsi="IRNazanin" w:eastAsia="IRNazanin"/>
          <w:color w:val="111111"/>
          <w:sz w:val="28"/>
          <w:sz w:val="28"/>
          <w:szCs w:val="28"/>
          <w:rtl w:val="true"/>
          <w:lang w:bidi="fa-IR"/>
        </w:rPr>
        <w:t xml:space="preserve">نقص عقل را در این روایات به‌معنای نقص فطری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استعداد زن در درک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نکنیم 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کاملِ بالفطره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بلکه مقصود از آن طبق جمع‌بندی صاحب وسائل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حدودی علامه مجلسی و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عقل در برابر جهل و به عبارتی تعقل و دانش‌اندوزی بدانیم که خود توسط ابزار و راهکارهایش نقص و کمال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در این ارتباط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تتبع در احادیث دانسته می‌شود که عقل در روایات در سه معنا به‌کار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از هم تمییز داده می‌شود و نیز اسباب و علل با آن شناخته می‌گردد، و این ملاک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ای که انسان را به انتخاب منافع و خوبی و دوری از شر و بدی‌ها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تعقل؛ یعنی علم و دانش که در برابر جهل قرار می‌گیرد؛ نه جنون و دیوانگی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این باب و غیر آن که واژه عقل استفاده شده، بیشتر در همین دو معنای اخیر به کار گرفته شده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می‌شود، نقص عقل در معنای نخست درباره زنان صدق نمی‌کند که به نص قرآن مجید هر انسانی از چنین استعدادی که پذیرای تکلیف باشد، برخوردار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همچنین غیر قابل‌تصور بودن</w:t>
      </w:r>
      <w:bookmarkStart w:id="149" w:name="pg5406_38561"/>
    </w:p>
    <w:p>
      <w:pPr>
        <w:pStyle w:val="BookText"/>
        <w:rPr/>
      </w:pPr>
      <w:bookmarkEnd w:id="149"/>
      <w:r>
        <w:rPr>
          <w:rFonts w:ascii="IRNazanin" w:hAnsi="IRNazanin" w:eastAsia="IRNazanin"/>
          <w:color w:val="111111"/>
          <w:sz w:val="28"/>
          <w:sz w:val="28"/>
          <w:szCs w:val="28"/>
          <w:rtl w:val="true"/>
          <w:lang w:bidi="fa-IR"/>
        </w:rPr>
        <w:t>نقص عقل به‌معنای دوم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فرض سوم می‌ماند که گفته شود روایات نقص عقل، ناظر به شرایط خاص تاریخی بوده که فراگیری دانش برای زن محدودیت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زمینه مناسب برای تعقل و خردورزی زنان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زنان از این بابت محدودیت‌های را محتمل شده و کم‌تر عالم در میان آنان دیده شده است؛ چون اغلب اسیر جهل تحمیل شده از ناحیه عوامل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مغنیه از تقصیر مردان،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معزل عن العلم وتجارب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برکنار از میدان علم و آزمون‌های زندگی بوده‌اند؛</w:t>
      </w:r>
      <w:r>
        <w:rPr>
          <w:rStyle w:val="FootnoteAnchor"/>
          <w:rtl w:val="true"/>
        </w:rPr>
        <w:footnoteReference w:id="290"/>
      </w:r>
      <w:r>
        <w:rPr>
          <w:rFonts w:ascii="IRNazanin" w:hAnsi="IRNazanin" w:eastAsia="IRNazanin"/>
          <w:color w:val="111111"/>
          <w:sz w:val="28"/>
          <w:sz w:val="28"/>
          <w:szCs w:val="28"/>
          <w:rtl w:val="true"/>
          <w:lang w:bidi="fa-IR"/>
        </w:rPr>
        <w:t>نه آنکه در اثر نقص ذاتی در عقل، در گروه دیوانگان یا در مرز میان عاقل و مجنون قرار داشته باشند</w:t>
      </w:r>
      <w:r>
        <w:rPr>
          <w:rFonts w:eastAsia="IRNazanin" w:cs="IRNazanin"/>
          <w:color w:val="111111"/>
          <w:sz w:val="28"/>
          <w:szCs w:val="28"/>
          <w:rtl w:val="true"/>
          <w:lang w:bidi="fa-IR"/>
        </w:rPr>
        <w:t>.</w:t>
      </w:r>
    </w:p>
    <w:p>
      <w:pPr>
        <w:pStyle w:val="Heading4"/>
        <w:numPr>
          <w:ilvl w:val="3"/>
          <w:numId w:val="1"/>
        </w:numPr>
        <w:rPr/>
      </w:pPr>
      <w:bookmarkStart w:id="150" w:name="__RefHeading___Toc1597136_581953129"/>
      <w:bookmarkStart w:id="151" w:name="_Toc56"/>
      <w:bookmarkEnd w:id="150"/>
      <w:r>
        <w:rPr/>
        <w:t>2</w:t>
      </w:r>
      <w:r>
        <w:rPr>
          <w:rtl w:val="true"/>
        </w:rPr>
        <w:t xml:space="preserve">- </w:t>
      </w:r>
      <w:r>
        <w:rPr>
          <w:rtl w:val="true"/>
        </w:rPr>
        <w:t>نظام واره احکام تشریعی درباره زن</w:t>
      </w:r>
      <w:bookmarkEnd w:id="151"/>
    </w:p>
    <w:p>
      <w:pPr>
        <w:pStyle w:val="BookText"/>
        <w:rPr/>
      </w:pPr>
      <w:r>
        <w:rPr>
          <w:rFonts w:ascii="IRNazanin" w:hAnsi="IRNazanin" w:eastAsia="IRNazanin"/>
          <w:color w:val="111111"/>
          <w:sz w:val="28"/>
          <w:sz w:val="28"/>
          <w:szCs w:val="28"/>
          <w:rtl w:val="true"/>
          <w:lang w:bidi="fa-IR"/>
        </w:rPr>
        <w:t>درباره جهت‌گیری نظام‌واره احکام مربوط به زنان و یا به تعبیری وجود یک جو تشریعی</w:t>
      </w:r>
      <w:r>
        <w:rPr>
          <w:rStyle w:val="FootnoteAnchor"/>
          <w:rtl w:val="true"/>
        </w:rPr>
        <w:footnoteReference w:id="291"/>
      </w:r>
      <w:r>
        <w:rPr>
          <w:rFonts w:ascii="IRNazanin" w:hAnsi="IRNazanin" w:eastAsia="IRNazanin"/>
          <w:color w:val="111111"/>
          <w:sz w:val="28"/>
          <w:sz w:val="28"/>
          <w:szCs w:val="28"/>
          <w:rtl w:val="true"/>
          <w:lang w:bidi="fa-IR"/>
        </w:rPr>
        <w:t>که خواهان به حاشیه راندن زنان از عرصه اجتماع 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احکام تعبدی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امامت زن در نماز جماعت برای مردها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برای ابواب معامله، در شکل قاعده‌سازی یا نظام‌سازی بسیار دشوار است؛ چون احکام این دو حوزه گذشته از تفاوت در موضوع، از دو ناحیه دیگر نیز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عبادی همه خاستگاه تعبدی دارند که باید طبق نصوص</w:t>
      </w:r>
    </w:p>
    <w:p>
      <w:pPr>
        <w:pStyle w:val="BookText"/>
        <w:rPr/>
      </w:pPr>
      <w:r>
        <w:rPr>
          <w:rFonts w:ascii="IRNazanin" w:hAnsi="IRNazanin" w:eastAsia="IRNazanin"/>
          <w:color w:val="111111"/>
          <w:sz w:val="28"/>
          <w:sz w:val="28"/>
          <w:szCs w:val="28"/>
          <w:rtl w:val="true"/>
          <w:lang w:bidi="fa-IR"/>
        </w:rPr>
        <w:t>تشریع آن عمل شده و به ثبات آن هیچ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که در مواردی به ناسازگاری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فهم خُرد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 درحالی‌که احکام باب معاملات به دلیل قابل کشف بودن ملاکات و علل آن مستعد توسعه و تضییق بوده و از این جهت انعطاف‌پذیرند و نمی‌شود با منطق تعبد محض با آنها مواجه 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معاملات غالباً ماهیت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دارند که شرع آنها را نه تأسیس و ابداع، بلکه تأیید و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 هم ویژگی‌ای است که زمینه ثبات و تقید به شکل ثابت آن را سلب می‌کند؛ چون شارع برای انتظام امور دنیوی آنها را تأیید کرده است؛ نه اینکه خودبه‌خود موضوعیت برای شرع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راه امکان اجتهادات اصلاحی در شکل وسیع آن در این حوزه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وجود این، خلط احکام این دو حوزه که یکی اجمالاً قابل انعطاف و تغییر است، با دیگری که همه منطق آن تعبد و ثبات است،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جهت‌گیری در خصوص احکام قضایی یا نظام قضا ادعا شود، باز این ملاحظات قابل‌تأمل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محوری که زن از ورود به آن به‌عنوان متصدی و مسئول منع شده، مسئولیت قضاوت است و مهم‌ترین دلیلی که تا حال گفته شده اجماع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امروزه منع قضاوت زن بر پایه چنین دلیلی</w:t>
      </w:r>
    </w:p>
    <w:p>
      <w:pPr>
        <w:pStyle w:val="BookText"/>
        <w:rPr/>
      </w:pPr>
      <w:r>
        <w:rPr>
          <w:rFonts w:ascii="IRNazanin" w:hAnsi="IRNazanin" w:eastAsia="IRNazanin"/>
          <w:color w:val="111111"/>
          <w:sz w:val="28"/>
          <w:sz w:val="28"/>
          <w:szCs w:val="28"/>
          <w:rtl w:val="true"/>
          <w:lang w:bidi="fa-IR"/>
        </w:rPr>
        <w:t>قاطعیت گذشته اش را از دست داده است که یا به‌کلی مسکوت گذارده می‌شود</w:t>
      </w:r>
      <w:r>
        <w:rPr>
          <w:rStyle w:val="FootnoteAnchor"/>
          <w:rtl w:val="true"/>
        </w:rPr>
        <w:footnoteReference w:id="293"/>
      </w:r>
      <w:r>
        <w:rPr>
          <w:rFonts w:ascii="IRNazanin" w:hAnsi="IRNazanin" w:eastAsia="IRNazanin"/>
          <w:color w:val="111111"/>
          <w:sz w:val="28"/>
          <w:sz w:val="28"/>
          <w:szCs w:val="28"/>
          <w:rtl w:val="true"/>
          <w:lang w:bidi="fa-IR"/>
        </w:rPr>
        <w:t>یا به لحن سابق از آن دفاعی نشده</w:t>
      </w:r>
      <w:r>
        <w:rPr>
          <w:rStyle w:val="FootnoteAnchor"/>
          <w:rtl w:val="true"/>
        </w:rPr>
        <w:footnoteReference w:id="294"/>
      </w:r>
      <w:r>
        <w:rPr>
          <w:rFonts w:ascii="IRNazanin" w:hAnsi="IRNazanin" w:eastAsia="IRNazanin"/>
          <w:color w:val="111111"/>
          <w:sz w:val="28"/>
          <w:sz w:val="28"/>
          <w:szCs w:val="28"/>
          <w:rtl w:val="true"/>
          <w:lang w:bidi="fa-IR"/>
        </w:rPr>
        <w:t>و یا آنکه در اعتبارش در این خصوص تردید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که به طور مشروح و مستدل در این باره بحث کرده‌اند، برهان قطعی بر اشتراط مرد بودن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گاهی به اجماع تمسک می‌کنند که بر فرض تمامیت اتفاق واقعی همه فقیهان دین، احتمال استناد آنان به یک یا چند وجه دیگر که در مسأله مطرح است، مظنون می‌باشد و چنین اجماعی فاقد شرط حجیت و اعتبار است، و گاهی به حدیث نبوی ضعیف</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از همه مهم‌تر تردید مقدس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ادله این مسأله، به‌خصوص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منع زنان از تصدی قضاوت به‌طور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امور زنان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شهرت دلیل روشنی در دست نداریم، مگر آنکه کسی ادعای اجماع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منع زنان به‌طور کلی جای بحث دارد؛ زیرا اگر زنی با اجتماع شرایط قضاوت و با استماع شهادت زنان؛ در میان آنها قضاوت کند، محذور شرعی ندارد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می‌شود، آنچه برای این فقیه دغدغه بوده است، مسائل جانبی چون اختلاط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دلیلی که مستقیماً زن</w:t>
      </w:r>
    </w:p>
    <w:p>
      <w:pPr>
        <w:pStyle w:val="BookText"/>
        <w:rPr/>
      </w:pPr>
      <w:r>
        <w:rPr>
          <w:rFonts w:ascii="IRNazanin" w:hAnsi="IRNazanin" w:eastAsia="IRNazanin"/>
          <w:color w:val="111111"/>
          <w:sz w:val="28"/>
          <w:sz w:val="28"/>
          <w:szCs w:val="28"/>
          <w:rtl w:val="true"/>
          <w:lang w:bidi="fa-IR"/>
        </w:rPr>
        <w:t>را به‌دلیل زن بودن از این مسئولیت باز بدارد، چون وجود نداشته، برایش اهمیت هم نداشته است و در وجود اجماع هم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راه حل را از منظری دیگر ارائه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شهادت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 شد که یا نباید وارد تعلیل آن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نص در این باره ساکت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اگر وارد تعلیل شدیم، نباید تعلیل‌های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همه مبتنی بر حدس و گمانند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 بداریم؛ مثل آنکه اشتغال به کارهای منزل، بچه داری و مادری و دور بودن زن از مسائل مالی و تجارت سبب تعدد شهادت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بدان معنا نیست که هدف شرع و احکام آن خانه‌نشینی زنان و دوری آنها از اشتغال به امور تجاری باشد، بلکه این مطلب نیازمند بررسی جداگانه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نظر قانون‌گذار دینی این عدم اشتغال مطلوب و ارزشمند است یا سنت حاکم بر جامعه بوده و باید تغییرکند؟ و آیا بر فرض مطلوب و ارزشمند بودن، اگر جامعه به این ارزش پایبند نشد و زنان به‌سان مردان در غیر حریم محرم شرعی حضور یافتند و این امر به حد غالب درآمد، باز شهادت زن نصف شهادت مردان ارزش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برخی از فقها عین همین اشکال را در شهادت مرد درصورتی‌که زندگی بسته و برکنار از حوادث روز داشته باشد، مطرح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را فرض کنیم که از قرارگرفتن در امواج و خطوط پر</w:t>
      </w:r>
      <w:bookmarkStart w:id="152" w:name="pg5406_38570"/>
    </w:p>
    <w:p>
      <w:pPr>
        <w:pStyle w:val="BookText"/>
        <w:rPr/>
      </w:pPr>
      <w:bookmarkEnd w:id="152"/>
      <w:r>
        <w:rPr>
          <w:rFonts w:ascii="IRNazanin" w:hAnsi="IRNazanin" w:eastAsia="IRNazanin"/>
          <w:color w:val="111111"/>
          <w:sz w:val="28"/>
          <w:sz w:val="28"/>
          <w:szCs w:val="28"/>
          <w:rtl w:val="true"/>
          <w:lang w:bidi="fa-IR"/>
        </w:rPr>
        <w:t>پیچ‌وخم حوادث زندگی برکنار بوده باشد و این برکناربودن ارتباطات عادی او را با جهان عینی و زندگی محدود نماید، بدون تردید شهادت او هم در اموری که معمولاً از آن‌ها برکنار است، دچار اشکال می‌گردد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با توجه به این ملاحظات، نظام‌سازی از مجموع احکام مربوط به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تکلیف و حقوقی متفاوت برای آنان ایجاب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منع وکالت زن راه به‌جایی نخواهد برد</w:t>
      </w:r>
      <w:r>
        <w:rPr>
          <w:rFonts w:eastAsia="IRNazanin" w:cs="IRNazanin"/>
          <w:color w:val="111111"/>
          <w:sz w:val="28"/>
          <w:szCs w:val="28"/>
          <w:rtl w:val="true"/>
          <w:lang w:bidi="fa-IR"/>
        </w:rPr>
        <w:t>.</w:t>
      </w:r>
    </w:p>
    <w:p>
      <w:pPr>
        <w:pStyle w:val="Heading3"/>
        <w:numPr>
          <w:ilvl w:val="2"/>
          <w:numId w:val="1"/>
        </w:numPr>
        <w:rPr/>
      </w:pPr>
      <w:bookmarkStart w:id="153" w:name="__RefHeading___Toc1597138_581953129"/>
      <w:bookmarkStart w:id="154" w:name="_Toc57"/>
      <w:bookmarkEnd w:id="153"/>
      <w:r>
        <w:rPr>
          <w:rtl w:val="true"/>
        </w:rPr>
        <w:t>ادله روایی مخالف وکالت زن در دعاوی</w:t>
      </w:r>
      <w:bookmarkEnd w:id="154"/>
    </w:p>
    <w:p>
      <w:pPr>
        <w:pStyle w:val="Heading4"/>
        <w:numPr>
          <w:ilvl w:val="3"/>
          <w:numId w:val="1"/>
        </w:numPr>
        <w:rPr/>
      </w:pPr>
      <w:bookmarkStart w:id="155" w:name="__RefHeading___Toc1597140_581953129"/>
      <w:bookmarkStart w:id="156" w:name="_Toc58"/>
      <w:bookmarkEnd w:id="155"/>
      <w:r>
        <w:rPr>
          <w:rtl w:val="true"/>
        </w:rPr>
        <w:t>روایات منع از مشاوره با زنان</w:t>
      </w:r>
      <w:bookmarkEnd w:id="156"/>
    </w:p>
    <w:p>
      <w:pPr>
        <w:pStyle w:val="BookText"/>
        <w:rPr/>
      </w:pPr>
      <w:r>
        <w:rPr>
          <w:rFonts w:ascii="IRNazanin" w:hAnsi="IRNazanin" w:eastAsia="IRNazanin"/>
          <w:color w:val="111111"/>
          <w:sz w:val="28"/>
          <w:sz w:val="28"/>
          <w:szCs w:val="28"/>
          <w:rtl w:val="true"/>
          <w:lang w:bidi="fa-IR"/>
        </w:rPr>
        <w:t>در روایات متعدد، زنان انسان‌های غیرقابل اعتماد و دارای شخصیت و زبان شوم معرفی شده و توصیه است که از مشاوره با آنان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که ایشان هنگام عزم به جنگ‌ها با زنانش مشورت می‌کرد و آن‌گاه با آنها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روایات را در اینجا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وصیة له للحسن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کتبها الیه بحاضرین منصرفاً من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وایاک ومشاورة النّسآء فان رأیهنّ الی أفنٍ وعزمهنّ الی وهن</w:t>
      </w:r>
      <w:r>
        <w:rPr>
          <w:rFonts w:eastAsia="IRNazanin" w:cs="IRNazanin"/>
          <w:color w:val="111111"/>
          <w:sz w:val="28"/>
          <w:szCs w:val="28"/>
          <w:rtl w:val="true"/>
          <w:lang w:bidi="fa-IR"/>
        </w:rPr>
        <w:t>.</w:t>
      </w:r>
      <w:r>
        <w:rPr>
          <w:rStyle w:val="FootnoteAnchor"/>
          <w:rtl w:val="true"/>
        </w:rPr>
        <w:footnoteReference w:id="29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وصیت اوست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هنگام بازگشت از صفین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رای زدن با زنان که زنان سست رأی‌اند و در تصمیم گرفتن ناتوان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درباره سند این وصیت در مصادر نهج البلاغه و اسانیده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وصیت از مشهورترین وصایای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گروهی از بزرگان قبل از آنکه روح حیات در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آن را روایت کرده‌اند؛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الحسین عبدالله بن سعید العسکری، از مشایخ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الزواجر و المواعظ؛</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ربه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بعد از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کرده‌اند، گروهی زیادند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لایقرب فیه الا الماحل، ولایظرف فیه الا الفاجر، ولایضعف فیه الا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یعدون الصدقه فیه 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الرحم منّا والعبادة استطالة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ذالک یکون السلطان بمشورة النساء وامارة الصبیان وتدبیر الخصیان؛ بر مردمان روزگاری آید که جز</w:t>
      </w:r>
    </w:p>
    <w:p>
      <w:pPr>
        <w:pStyle w:val="BookText"/>
        <w:rPr/>
      </w:pPr>
      <w:r>
        <w:rPr>
          <w:rFonts w:ascii="IRNazanin" w:hAnsi="IRNazanin" w:eastAsia="IRNazanin"/>
          <w:color w:val="111111"/>
          <w:sz w:val="28"/>
          <w:sz w:val="28"/>
          <w:szCs w:val="28"/>
          <w:rtl w:val="true"/>
          <w:lang w:bidi="fa-IR"/>
        </w:rPr>
        <w:t>سخن‌چین را ارج ننهند، و جز بدکار را خوش‌طبع نخوانند و جز باانصاف را ناتوان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صدقه را تاوان به حساب آرند و بر پیوند خویشاوند منت گذارند و عبادت را وسیلتِ بزرگی فروختن بر مردم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 کار حکمرانی با مشورت زنان بود و امارت از آن کودکان و تدبیر با خواجگان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فرازها از سخنان امام علی غالباً تحت عنوان حکمت‌ها یا کلمات قصار در نهج‌البلاغه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را همان منبع سابق به این شرح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الروضه، ص </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حماد بن عمرو عن انس بن محمد، عن ابیه جمیعا عن جعفر بن محمد، عن ابیه، عن جده،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لاتولی القضاء و لا تستشار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 شوم و طاعة المرأة 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الشوم فی شیء ففی لسان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نماز جمعه واجب نیست، و متصدی قضا نشوند و نباید مورد مشوره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شوم است و اطاعت از زن پشیمانی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شوم باشد، آن در زبان زن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عن احمد بن محمد، عن الحسین بن سیف، عن اسحاق بن عمار،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 اراد الحرب دعا نساءه، فاستشارهنّ ثمّ خالفهنّ؛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روایت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جنگ می‌کرد، زنانش را فرامی‌خواند و با آنان مشورت می‌کرد، آن‌گاه مخالفت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روایت نمونه‌هایی از روایاتی است که در این باره در منابع مختلف نقل شده و قسمتی از روایت سوم در باب اذان و اقامه</w:t>
      </w:r>
      <w:r>
        <w:rPr>
          <w:rStyle w:val="FootnoteAnchor"/>
          <w:rtl w:val="true"/>
        </w:rPr>
        <w:footnoteReference w:id="303"/>
      </w:r>
      <w:r>
        <w:rPr>
          <w:rFonts w:ascii="IRNazanin" w:hAnsi="IRNazanin" w:eastAsia="IRNazanin"/>
          <w:color w:val="111111"/>
          <w:sz w:val="28"/>
          <w:sz w:val="28"/>
          <w:szCs w:val="28"/>
          <w:rtl w:val="true"/>
          <w:lang w:bidi="fa-IR"/>
        </w:rPr>
        <w:t>و نیز قضاوت</w:t>
      </w:r>
      <w:r>
        <w:rPr>
          <w:rStyle w:val="FootnoteAnchor"/>
          <w:rtl w:val="true"/>
        </w:rPr>
        <w:footnoteReference w:id="304"/>
      </w:r>
      <w:r>
        <w:rPr>
          <w:rFonts w:ascii="IRNazanin" w:hAnsi="IRNazanin" w:eastAsia="IRNazanin"/>
          <w:color w:val="111111"/>
          <w:sz w:val="28"/>
          <w:sz w:val="28"/>
          <w:szCs w:val="28"/>
          <w:rtl w:val="true"/>
          <w:lang w:bidi="fa-IR"/>
        </w:rPr>
        <w:t>بعضاً مورد استناد فقها بوده است، اما فرازهای دیگر آن که به مشاوره مربوط می‌شود و نیز روایات دیگری در این باره، چون اساساً خود مشورت عملاً در زندگی مردم جایگاهی درخور نداشته، به رجوع آن نیز نیازی احساس نشده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صورت، قدر متیقنی که از این روایات فهم شده، این است که زن انسان غیرقابل اعتمادی است و شایسته نیست طرف مشورت قرار گیرد؛ به‌ویژه که در روایت اول، پرهیز از مشاوره با زنان به کمبود خرد و سستی اراده آنان تعلیل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التزام به اطلاق این روایات، هرگونه تعامل با زنان را محدود می‌نماید؛ یعنی قضیه تنها جنبه تعبدی ندارد تا در مورد به‌خصوص آن مقید بمانیم، بلکه یک دیدگاه انسان‌شناختی است که بر همین اساس برخی عدم جواز قضاوت و حکومت زن را از آن نتیجه گرفته‌اند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و قضاوت غالباً</w:t>
      </w:r>
      <w:bookmarkStart w:id="157" w:name="pg5406_38578"/>
    </w:p>
    <w:p>
      <w:pPr>
        <w:pStyle w:val="BookText"/>
        <w:rPr/>
      </w:pPr>
      <w:bookmarkEnd w:id="157"/>
      <w:r>
        <w:rPr>
          <w:rFonts w:ascii="IRNazanin" w:hAnsi="IRNazanin" w:eastAsia="IRNazanin"/>
          <w:color w:val="111111"/>
          <w:sz w:val="28"/>
          <w:sz w:val="28"/>
          <w:szCs w:val="28"/>
          <w:rtl w:val="true"/>
          <w:lang w:bidi="fa-IR"/>
        </w:rPr>
        <w:t>بی‌مشورت ممکن نیست و وقتی زن نمی‌تواند طرف مشورت واقع شود، چگونه در مسند حکوت و قضاوت قرار گیرد؟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این سبک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استفاده از حرمت مشاوره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قضاوت و حکومت زن، خواه درست باشد یا نادرست، وکالت زن در دعاوی را به‌شدت زیر سؤال می‌برد که اگر به‌راستی زن در نگاه دینی انسان شوم، غیر قابل‌اعتماد و ناقص‌العقل است، چگونه می‌توان وکالت او در دعاوی را که یکی از وظایف اساسی آن مشاوره است، بی‌اشکال دانست؟</w:t>
      </w:r>
    </w:p>
    <w:p>
      <w:pPr>
        <w:pStyle w:val="BookText"/>
        <w:rPr/>
      </w:pPr>
      <w:r>
        <w:rPr>
          <w:rFonts w:ascii="IRNazanin" w:hAnsi="IRNazanin" w:eastAsia="IRNazanin"/>
          <w:color w:val="111111"/>
          <w:sz w:val="28"/>
          <w:sz w:val="28"/>
          <w:szCs w:val="28"/>
          <w:rtl w:val="true"/>
          <w:lang w:bidi="fa-IR"/>
        </w:rPr>
        <w:t>تأیید صلاحیت زن برای تعهد به پیشبرد کاری که بسیار حساس و بعضاً سرنوشت‌ساز است، بر اساس این رویکرد که زن را فاقد صلاحیت در سطح مشاوره می‌بیند، دامن زدن به یک تناقض آشکار خواهد بود که به‌جد باید از آن پرهیز شود</w:t>
      </w:r>
      <w:r>
        <w:rPr>
          <w:rFonts w:eastAsia="IRNazanin" w:cs="IRNazanin"/>
          <w:color w:val="111111"/>
          <w:sz w:val="28"/>
          <w:szCs w:val="28"/>
          <w:rtl w:val="true"/>
          <w:lang w:bidi="fa-IR"/>
        </w:rPr>
        <w:t>.</w:t>
      </w:r>
    </w:p>
    <w:p>
      <w:pPr>
        <w:pStyle w:val="Heading4"/>
        <w:numPr>
          <w:ilvl w:val="3"/>
          <w:numId w:val="1"/>
        </w:numPr>
        <w:rPr/>
      </w:pPr>
      <w:bookmarkStart w:id="158" w:name="__RefHeading___Toc1597142_581953129"/>
      <w:bookmarkStart w:id="159" w:name="_Toc59"/>
      <w:bookmarkEnd w:id="158"/>
      <w:r>
        <w:rPr>
          <w:rtl w:val="true"/>
        </w:rPr>
        <w:t>بررسی روایات منع از مشاوره با زنان</w:t>
      </w:r>
      <w:bookmarkEnd w:id="159"/>
    </w:p>
    <w:p>
      <w:pPr>
        <w:pStyle w:val="Heading5"/>
        <w:numPr>
          <w:ilvl w:val="4"/>
          <w:numId w:val="1"/>
        </w:numPr>
        <w:rPr/>
      </w:pPr>
      <w:bookmarkStart w:id="160" w:name="__RefHeading___Toc1597144_581953129"/>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در بررسی این دسته از روایات، آنچه شایان تأمل است، تعدد طرق و کثرت روایات منع از مشاوره با زنان می‌باشد تا جایی که در وسائل بابی تحت این عنوان سامان یافته و اضافه شده که اگر هم قرار است مشورت صورت بگیرد باید بنا بر مخالفت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کراهة استشارة النساء الا بقصد المخالفة</w:t>
      </w:r>
      <w:r>
        <w:rPr>
          <w:rStyle w:val="FootnoteAnchor"/>
          <w:rtl w:val="true"/>
        </w:rPr>
        <w:footnoteReference w:id="306"/>
      </w:r>
      <w:r>
        <w:rPr>
          <w:rFonts w:ascii="IRNazanin" w:hAnsi="IRNazanin" w:eastAsia="IRNazanin"/>
          <w:color w:val="111111"/>
          <w:sz w:val="28"/>
          <w:sz w:val="28"/>
          <w:szCs w:val="28"/>
          <w:rtl w:val="true"/>
          <w:lang w:bidi="fa-IR"/>
        </w:rPr>
        <w:t>؛ باب ناپسند بودن مشاوره با زنان، مگر به قصد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چشم انداز، احادیث منع از مشاوره با زن، بخش کوچکی از ادبیات روایی را تشکیل می‌دهد که در آن‌ها شخصیت زن یک عنصر مشکوک، غیر قابل‌اعتماد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تنها در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بخش مهمی از آن که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تکوینی و خصلت‌های روحی و جسمی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چنین اندیشه ای را القا می‌کند که در وجود زن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عناوین این بخش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نقصان عقل، ناتوانی جسم و جان،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بودن،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و حیا،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زنان،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 زن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آسیب‌پذیری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میان این فهرست، تنها مورد ششم، بیان یک ویژگی مثبت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همه یک درون‌مایه منفی را تعقیب می‌کنند؛ آن گونه که سایر بخش‌ها هم دنباله محتوایی همین بخش نخست را تشکیل 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صورت،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مشاوره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چنین حجم گسترده‌ای از روایات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نقص عقل زن قبل از این مورد بحث قرار گرفته و که نیاز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کنونی ما تنها از بعد شوم بودن شخصیت زن و ممنوع بودن مشاوره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مهم، از بررسی‌های سندی هم صرف نظر می‌کنیم؛ چون</w:t>
      </w:r>
      <w:r>
        <w:rPr>
          <w:rFonts w:eastAsia="IRNazanin" w:cs="IRNazanin"/>
          <w:color w:val="111111"/>
          <w:sz w:val="28"/>
          <w:szCs w:val="28"/>
          <w:rtl w:val="true"/>
          <w:lang w:bidi="fa-IR"/>
        </w:rPr>
        <w:t>:</w:t>
      </w:r>
      <w:bookmarkStart w:id="162" w:name="pg5406_38582"/>
    </w:p>
    <w:p>
      <w:pPr>
        <w:pStyle w:val="BookText"/>
        <w:rPr/>
      </w:pPr>
      <w:bookmarkEnd w:id="162"/>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تعداد احادیث، امکان آنکه روایتی از منظر رجالی دارای سند معتبر باشد، نظراً بعید نیست؛ چون آنهایی که دست اندرکار جعل بوده‌اند هم از سندسازی غفلت نکرده‌اند که در غیر این صورت دستشان از آغاز 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آنها را نگوییم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به قبول شده، که یا به‌طور دربست با همان لحن ظاهر آن مورد قبول واقع شده</w:t>
      </w:r>
      <w:r>
        <w:rPr>
          <w:rStyle w:val="FootnoteAnchor"/>
          <w:rtl w:val="true"/>
        </w:rPr>
        <w:footnoteReference w:id="308"/>
      </w:r>
      <w:r>
        <w:rPr>
          <w:rFonts w:ascii="IRNazanin" w:hAnsi="IRNazanin" w:eastAsia="IRNazanin"/>
          <w:color w:val="111111"/>
          <w:sz w:val="28"/>
          <w:sz w:val="28"/>
          <w:szCs w:val="28"/>
          <w:rtl w:val="true"/>
          <w:lang w:bidi="fa-IR"/>
        </w:rPr>
        <w:t>و یا آنکه تأویل رفته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ما را از بررسی دلالت و یا فقه الحدیث بی‌نیاز نمی‌کند؛ چه اگر حدیثی از نظر اسناد هم معتبر باشد، نیاز به بحث وجود دارد تا تناسب این روایات را با دیدگاه‌های مستفاد از نصوص دینی که در تعارض قرار دارند،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احیانا در این قسمت خدشه وجود داشته باشد، بازگشت به سند اهمیت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ادله، ما از دو بحث معمول در روایات که یکی به سند و دیگری به متن و دلالت می‌پردازد، به قسمت دوم پرداخته و دلالت آنها را به‌طور عموم و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بودن شخصیت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محور پی می‌گیریم</w:t>
      </w:r>
      <w:r>
        <w:rPr>
          <w:rFonts w:eastAsia="IRNazanin" w:cs="IRNazanin"/>
          <w:color w:val="111111"/>
          <w:sz w:val="28"/>
          <w:szCs w:val="28"/>
          <w:rtl w:val="true"/>
          <w:lang w:bidi="fa-IR"/>
        </w:rPr>
        <w:t>.</w:t>
      </w:r>
    </w:p>
    <w:p>
      <w:pPr>
        <w:pStyle w:val="Heading5"/>
        <w:numPr>
          <w:ilvl w:val="4"/>
          <w:numId w:val="1"/>
        </w:numPr>
        <w:rPr/>
      </w:pPr>
      <w:bookmarkStart w:id="163" w:name="__RefHeading___Toc1597146_581953129"/>
      <w:bookmarkStart w:id="164" w:name="_Toc61"/>
      <w:bookmarkEnd w:id="163"/>
      <w:r>
        <w:rPr/>
        <w:t>1</w:t>
      </w:r>
      <w:r>
        <w:rPr>
          <w:rtl w:val="true"/>
        </w:rPr>
        <w:t xml:space="preserve">- </w:t>
      </w:r>
      <w:r>
        <w:rPr>
          <w:rtl w:val="true"/>
        </w:rPr>
        <w:t>مشاوره با زنان در پرتو آیات</w:t>
      </w:r>
      <w:bookmarkEnd w:id="16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قرآن‌محوری و بازگشت بدان نخسیتن راهکار برای سنجش صحت و سقم دیدگاه‌هایی است که می‌خواهند از یک موضع تبیین دینی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بازگشت به قرآن برای فهم و ارزیابی احادیث اهمیت بیشتری دارد؛ چون سرگذشت دردناکی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متحمل شد، آفاق آن را به‌شدت مشوش کرده است؛ یعنی به انگیزه‌های مختلف جعل و تحریف صورت گرفته</w:t>
      </w:r>
      <w:r>
        <w:rPr>
          <w:rStyle w:val="FootnoteAnchor"/>
          <w:rtl w:val="true"/>
        </w:rPr>
        <w:footnoteReference w:id="310"/>
      </w:r>
      <w:r>
        <w:rPr>
          <w:rFonts w:ascii="IRNazanin" w:hAnsi="IRNazanin" w:eastAsia="IRNazanin"/>
          <w:color w:val="111111"/>
          <w:sz w:val="28"/>
          <w:sz w:val="28"/>
          <w:szCs w:val="28"/>
          <w:rtl w:val="true"/>
          <w:lang w:bidi="fa-IR"/>
        </w:rPr>
        <w:t>و نیز به‌دلیل کیفیت نقل و انتقال آن که عمدتاً بر پایه فرهنگ شفاهی بوده، در معرض آسیب سهو و اشتباه قرار داشته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بدین جهت، ائمه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نقد و عرض احادیث به کتاب توصیه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ظریف، عن ابن علوان، 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سیکذب علیّ کما کذب علی من کان قبلی فما جائکم عنی من حدیث وافق کتاب الله فهو حدیثی، و اما ما خالف کتاب الله فلیس من حدیثی؛</w:t>
      </w:r>
      <w:r>
        <w:rPr>
          <w:rStyle w:val="FootnoteAnchor"/>
          <w:rtl w:val="true"/>
        </w:rPr>
        <w:footnoteReference w:id="31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ای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بر من دروغ می‌بندند، آن گونه که بر پیشینیان من نیز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من در قالب حدیث به شما می‌رسد، اگر موافق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من است و اما آنچه مخالف کتاب باشد، از من نخواهد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یحیی، عن احمد بن محمد بن عیسی، عن ابن فضال، عن علی بن عقبه، عن ایوب بن راشد،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لم‌یوافق من الحدیث القرآن فهو زخرف ؛</w:t>
      </w:r>
      <w:r>
        <w:rPr>
          <w:rStyle w:val="FootnoteAnchor"/>
          <w:rtl w:val="true"/>
        </w:rPr>
        <w:footnoteReference w:id="31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حدیث موافق قرآن نباشد، زخرف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ابتدا باید دید آیا در قرآن نص یا ذهنیت‌سازی‌ای یافت می‌شود که شخصیت زن تا این حد منفی تلقی شود که نباید طرف مشورت قرار گیرد؟</w:t>
      </w:r>
    </w:p>
    <w:p>
      <w:pPr>
        <w:pStyle w:val="BookText"/>
        <w:rPr/>
      </w:pPr>
      <w:r>
        <w:rPr>
          <w:rFonts w:ascii="IRNazanin" w:hAnsi="IRNazanin" w:eastAsia="IRNazanin"/>
          <w:color w:val="111111"/>
          <w:sz w:val="28"/>
          <w:sz w:val="28"/>
          <w:szCs w:val="28"/>
          <w:rtl w:val="true"/>
          <w:lang w:bidi="fa-IR"/>
        </w:rPr>
        <w:t>آیات مشاوره</w:t>
      </w:r>
    </w:p>
    <w:p>
      <w:pPr>
        <w:pStyle w:val="BookText"/>
        <w:rPr/>
      </w:pPr>
      <w:r>
        <w:rPr>
          <w:rFonts w:ascii="IRNazanin" w:hAnsi="IRNazanin" w:eastAsia="IRNazanin"/>
          <w:color w:val="111111"/>
          <w:sz w:val="28"/>
          <w:sz w:val="28"/>
          <w:szCs w:val="28"/>
          <w:rtl w:val="true"/>
          <w:lang w:bidi="fa-IR"/>
        </w:rPr>
        <w:t>در خصوص مشاوره چهار آیه صریح در قرآن آمده است که حداقل بر رجحان آن دلالت دارند،</w:t>
      </w:r>
      <w:r>
        <w:rPr>
          <w:rStyle w:val="FootnoteAnchor"/>
          <w:rtl w:val="true"/>
        </w:rPr>
        <w:footnoteReference w:id="314"/>
      </w:r>
      <w:r>
        <w:rPr>
          <w:rFonts w:ascii="IRNazanin" w:hAnsi="IRNazanin" w:eastAsia="IRNazanin"/>
          <w:color w:val="111111"/>
          <w:sz w:val="28"/>
          <w:sz w:val="28"/>
          <w:szCs w:val="28"/>
          <w:rtl w:val="true"/>
          <w:lang w:bidi="fa-IR"/>
        </w:rPr>
        <w:t>اما هیچ‌یک اختصاصی به مردها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آنها مخاطب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مأمور به مشورت با اصحاب خود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دیگری، مشورت ویژگی افراد باایمان عنوان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اسْتَجابُوا لِرَبِّهِمْ وَ أَقامُوا الصَّلاةَ وَ أَمْرُهُمْ شُوری بَیْنَهُمْ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را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نماز برپا کرده‌اند و کارشان در میانشان مشورت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از شیر گرفتن کودک را قبل از دو سال منوط به رضایت و مشورت پدر و مادر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أَرادا فِصالاً عَنْ تَراضٍ مِنْهُما وَ تَشاوُرٍ فَلا جُناحَ عَلَیْهِما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 با رضایت و صوابدید یکدیگر کودک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بازگیرند، گناهی بر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 به پدر و مادر در تعیین درست سرنوشت کودکان پس از طلاق، دستور به مشورت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همان‌جا که خود سکونت دارید، به‌قدر استطاعت خویش آنان را جای دهید و به آنها آسیب و زیان مرسانید تا عرصه را بر آنان تنگ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باردارند، خرجشان را بدهید تا وضع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شما بچه شیر می‌دهند، مزدشان را به ایشان بدهید و به‌شایستگی میان خود به مشورت بپردازید، و اگر کارتان در این مورد با هم به دشواری کشید، زن دیگری بچه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نخست، تخصیص و یا انصرافی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مأمور به مشورت با مردان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تخصیصی هم در کار باشد، به تناسب حکم و موضوع عقلانیت‌مدار خواهد بود؛ نه جنسیت مدار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کل و نفس عصمت را بدان مخاطب ساخته و به مشورت با عقلای امت مکلف فرموده‌اند، بر این مطلب مشورت با عقلای امت در کمال بداهت و ظهور است؛ چه بالضرورة معلوم است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امت است و قاطبه مهاجرین و انصار است، نه اشخاص خاصه و تخصیص آن به خصوص عقلا و</w:t>
      </w:r>
    </w:p>
    <w:p>
      <w:pPr>
        <w:pStyle w:val="BookText"/>
        <w:rPr/>
      </w:pPr>
      <w:r>
        <w:rPr>
          <w:rFonts w:ascii="IRNazanin" w:hAnsi="IRNazanin" w:eastAsia="IRNazanin"/>
          <w:color w:val="111111"/>
          <w:sz w:val="28"/>
          <w:sz w:val="28"/>
          <w:szCs w:val="28"/>
          <w:rtl w:val="true"/>
          <w:lang w:bidi="fa-IR"/>
        </w:rPr>
        <w:t>ارباب حل و عقد از روی مناسبت حکمیه و قرینه مقامیه خواهد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ابن قتیبه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سیره ایشان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مشورت می‌کرد، حتی با زن‌ها، و در موردی که مشورت می‌دادند، عمل می‌کرد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برخی منابع تاریخی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امضای پیمان‌نامه فراغت یافت و ازحج منصرف شد، به اصحاب خویش فرمان داد که قربانی‌های خود را همان جا نحر کرده و از احرام بیرون آیند، اما آنها قبول نکردند، تا آنکه بر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جریان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پیشنهاد داد ابتدا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دهد، آن‌گاه اصحاب انجام خواهند داد و همین هم شد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دوم، به دلیل وحدت سیاق و نیز رجحانی که در نفس این عمل نهفته است، منع مردان از مشاوره با زنان توجیه پذیر نیست؛ زیرا اگر مشورت زن در قبال سرنوشت معصومانه طفل به دلیل شناخت بهتر او از خصوصیات کودک و مصلحت خودش ارزش کارشناسانه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آیه بعدی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دیگر نیز که زن از خبرویت برخوردار باشد، ارزش مشورت او محفوظ است؛ چنان‌که در فقه به استناد روایات عدیده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آنها صحیحه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زن در امر ازدواجش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باسناده، عن محمد بن علی بن محبوب، عن العباس، عن صفوان، عن منصور بن حازم،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تستأمر البکر و غیرها ولاتنکح الا بامرها؛</w:t>
      </w:r>
      <w:r>
        <w:rPr>
          <w:rStyle w:val="FootnoteAnchor"/>
          <w:rtl w:val="true"/>
        </w:rPr>
        <w:footnoteReference w:id="322"/>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بکر و غیر بکر را درباره نکاحشان مشورت کن که بدون اجازه آنها نکاح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اینجا بحث انتخاب نحوه زندگی است و زن مثل مرد می‌تواند متناسب با توانایی‌ها و انتظاراتش از آینده، درباره زندگی خود نظر داده و تصمیم بگیرد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واقع روایات منع از مشاوره با زنان بر فرض صحت، به یک امر عقلایی ارشاد می‌کنند که باید مشورت با کسانی صورت بگیرد که از دانش و تجربه لازم برخوردار باشد؛ یعنی مردها هم اگر قرار باشد طرف مشورت واقع شوند، صرف مرد بودن اهداف مشورت را تأمین نمی‌کند که باید آنان نیز خرد، تقوا، تجربه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احمد بن نوح، عن شعیب النیسابوری عن عبدالله الدهقان، عن احمد بن عائذ، عن 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المشورة لاتکون الا بحدودها، فمن عرفها بحدودها و الا کانت مضرتها علی المستشیر اکثر من منفعتها له، فاوّل‌ها ان‌یکون الذی تشاوره عاقلا، و الثانیة ان‌یکون حراً متدینا، و الثالثة ان‌یکون صدیقا مؤاخیا، و الرابعة ان‌تطلعه علی سرّک فیکون علمه به کعلمک بنفسک ثم یسرّ ذالک و یکتمه، فانه اذا کان عاقلاً انتفعت بمشورته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درست نخواهد بود، مگر با رعایت حدودش، و هرکسی آن را با حدودش شناخت، منفعت خواهد برد و گرنه ضرر آن بر مشورت‌کننده بیش از نفع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آنکه باید شخص طرف مشاوره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فردی آزاد و متدین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دوستی برادروار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وقتی به اسرار تو آگاهی می‌یابد، حافظ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اگر عاقل باشد، از مشورت او نفع برده خواهد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می‌شود که در این روایت و نیز چندین روایت دیگر، شرایطی که برای مشورت عنوان شده، همگی نقطه‌ای را نشانه رفته‌اند که باید طی این عمل کوشش شود اختبار واقعی از جوانب موضوع مورد مشاوره به‌دست آید و این به‌دست نخواهد آمد، مگر آنکه طرف مشورت انسانی خردمند، باتجربه و دلسوز باشد و کی گمان خواهد برد که این ویژگی‌ها در زنان نایابند؟ اصل فلسفه مشورت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عقول</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 تجارب، و تحقق خردورزوی جمعی است؛ نه اینکه مشورت تعبداً با هر که صرفاً زن نباشد، رجحان داشته باشد، بلکه به‌عکس در برخی روایات مشاوره با زنان عاقل توصیه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مشاورة النساء الا من جرّبت بکمال عقل؛</w:t>
      </w:r>
      <w:r>
        <w:rPr>
          <w:rStyle w:val="FootnoteAnchor"/>
          <w:rtl w:val="true"/>
        </w:rPr>
        <w:footnoteReference w:id="326"/>
      </w:r>
      <w:bookmarkStart w:id="165" w:name="pg5406_38596"/>
    </w:p>
    <w:p>
      <w:pPr>
        <w:pStyle w:val="BookText"/>
        <w:rPr/>
      </w:pPr>
      <w:bookmarkEnd w:id="165"/>
      <w:r>
        <w:rPr>
          <w:rFonts w:ascii="IRNazanin" w:hAnsi="IRNazanin" w:eastAsia="IRNazanin"/>
          <w:color w:val="111111"/>
          <w:sz w:val="28"/>
          <w:sz w:val="28"/>
          <w:szCs w:val="28"/>
          <w:rtl w:val="true"/>
          <w:lang w:bidi="fa-IR"/>
        </w:rPr>
        <w:t>از مشورت با زنان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کسی که کمال عقلش آزموده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توجه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مشاوره در قرآن که در برخی از آنها صریحا به مشورت با زنان دستور داده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گزارش‌هایی که از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ویژگی‌های مشاور را به طور عام بیان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روایی که در زمینه لزوم مشاوره با زن وارد شده است،</w:t>
      </w:r>
    </w:p>
    <w:p>
      <w:pPr>
        <w:pStyle w:val="BookText"/>
        <w:rPr/>
      </w:pPr>
      <w:r>
        <w:rPr>
          <w:rFonts w:ascii="IRNazanin" w:hAnsi="IRNazanin" w:eastAsia="IRNazanin"/>
          <w:color w:val="111111"/>
          <w:sz w:val="28"/>
          <w:sz w:val="28"/>
          <w:szCs w:val="28"/>
          <w:rtl w:val="true"/>
          <w:lang w:bidi="fa-IR"/>
        </w:rPr>
        <w:t>باید روایات منع از مشاوره با زنان را در خوش‌بینانه‌ترین توجیه، ناظر به ظرفیت صدور آنها بدانیم که به دلیل تسلط فرهنگ جهاد در یک دوره و نیز جنگ‌های داخلی در دوره‌های دیگر، یک طرف معادله همیشه خشونت و جنگ بوده است؛ ساحت‌های زندگی همه در اشغال پدیده خشونت و زورگویی بوده، و ازاین‌رو زن عنصری مناسب برای مشورت نبوده است؛ چون کسب تجربه و پختگی اغلب در این عرصه صورت می‌گرفته و مسائل آموزشی دیگر چندان در کار نبوده تا زن با بهره‌مندی از آن مشاور مناسب باشد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اما اینکه این محدودیت‌ها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مشورت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و از شوم بودن یا نقص عقل زنان سرچشمه بگیرد، علاوه بر توضیح فوق، چنانکه در ذیل می‌آید، روایات مانع از مشاوره با زنان در تضاد با سیره پیشوایان معصوم قرار دارد</w:t>
      </w:r>
      <w:r>
        <w:rPr>
          <w:rFonts w:eastAsia="IRNazanin" w:cs="IRNazanin"/>
          <w:color w:val="111111"/>
          <w:sz w:val="28"/>
          <w:szCs w:val="28"/>
          <w:rtl w:val="true"/>
          <w:lang w:bidi="fa-IR"/>
        </w:rPr>
        <w:t>.</w:t>
      </w:r>
    </w:p>
    <w:p>
      <w:pPr>
        <w:pStyle w:val="Heading5"/>
        <w:numPr>
          <w:ilvl w:val="4"/>
          <w:numId w:val="1"/>
        </w:numPr>
        <w:rPr/>
      </w:pPr>
      <w:bookmarkStart w:id="166" w:name="__RefHeading___Toc1597148_581953129"/>
      <w:bookmarkStart w:id="167" w:name="_Toc62"/>
      <w:bookmarkEnd w:id="166"/>
      <w:r>
        <w:rPr/>
        <w:t>2</w:t>
      </w:r>
      <w:r>
        <w:rPr>
          <w:rtl w:val="true"/>
        </w:rPr>
        <w:t xml:space="preserve">- </w:t>
      </w:r>
      <w:r>
        <w:rPr>
          <w:rtl w:val="true"/>
        </w:rPr>
        <w:t>بازتاب رفتار با زنان در سیره</w:t>
      </w:r>
      <w:bookmarkEnd w:id="1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پیشوایان دین، این واقعیت برمی‌آید که در سراسر زندگی آنها، نقطه حرکت و نگاهی که زن</w:t>
      </w:r>
    </w:p>
    <w:p>
      <w:pPr>
        <w:pStyle w:val="BookText"/>
        <w:rPr/>
      </w:pPr>
      <w:r>
        <w:rPr>
          <w:rFonts w:ascii="IRNazanin" w:hAnsi="IRNazanin" w:eastAsia="IRNazanin"/>
          <w:color w:val="111111"/>
          <w:sz w:val="28"/>
          <w:sz w:val="28"/>
          <w:szCs w:val="28"/>
          <w:rtl w:val="true"/>
          <w:lang w:bidi="fa-IR"/>
        </w:rPr>
        <w:t>را به‌عنوان یک عنصر شوم یا مرموز به حاشیه رانده باشد، در تاریخ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ذیل شاهد این مدعا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مواردی با زنان مشورت می‌کرد؛</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جنگ‌ها که سرنوشت مسلمانان در آن رقم می‌خورد،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زنانش را به قید قرعه با خود همراه می‌برد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سیره ایشان گزارش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دست خود چیزی را نزد؛ نه زنی را و نه خدمتکاری را، مگر هنگامی که در راه خدا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دلیل امور شخصی از کسی انتقام‌جویی نکرد، مگر در مواردی که محارم الهی هتک می‌شد که در این صورت برای خدا انتقام می‌گرفت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خوش‌رفتاری با زنان توصیه می‌کند؛</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به‌گونه‌ای گشاده‌رو و پرتحمل بود که گاهی برخی از زنانش با تحمیل خواسته‌های شخصی خود او را اذیت می‌کردند، تا آنکه در این باره وحی نازل شد که نباید برای جلب رضایت آنها خود را به مشقت اندازی؛</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جالب‌تر ازهمه روابط همدلانه‌ای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تا جایی که به پاس این روابط گرم، خدیجه را در منابع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وی را چون وزیری بود ناصح و یار و مشفق، و سید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و تقویت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از کافران رنجیدی، چون به‌خانه باز شدی، خدیجه او را دل‌خوش دادی و به‌هزار نوازش و تلطف گردِ دل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برآمدی و آن رنج از دل وی برگرفتی و فراغ دلِ وی در جمله انواع و احوال کامل کردی</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مسلم قدر و منزلتی که خدیجه بدان دست یافته، مرهون مشارکت در رنج‌های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و اعتماد متقابل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که نام خدیجه با بعثت گره خورده بود، به‌رغم رشک و حساسیت برخی همسران جوانش یاد خدیجه همواره در خاطر پیامبر زنده بود و سال وفاتش که سال از دست دادن ابوطالب، حامی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خدیجه تنها زنی بود که به پاس صبر و تحملش در روزگار غربت اسلام، طبق احادیثی که متواتر گفته شده، خداوند به‌واسطه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سلام فرستاد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رفتار تحقیرآمیزی با زنان دیده نشده است، بلکه همواره رابطه و رفتار ایشان با آنها عادی بوده و به آنان اعتماد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که در ادامه می‌آید، شخصیت عینی زن را در چشم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جنگ جمل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عوامل زیاده‌طلب در مکه طراحی کردند و سرانجام به رهبری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بصره را در پیش گرفتند، گزارش این جریان را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هزینه شخصی به یک مرد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می‌کند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جنگ جمل به پایان می‌رسد، تنها گزارش مکتوبی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جنگ و سرنوشت رهبران جمل به مدینه داده، نامه ای است که آن را برای ام هانی خواهرش فرستاده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نیرومندترین سپاهی بود که در آن زنان اندیشمند بزرگی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موضع‌گیری قوی و شایسته در سپاه، دشمنان را به سردرگمی و درماندگی وامی‌داشتند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زنانی که در این میدان امام را یاری می‌کردند، بکاره هلالیه، سوده دختر عماره، ام الخیر، دختر حریش یارقیه، زرقاء دختر عدی، عکرشه دختر اطش و ام سنان دخترخیثمه مذحجی بودند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قابل‌توجه آنکه این تعداد که نامشان در تاریخ ثبت شده، زنانی بودند که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 در تبلیغ و آفرینش حماسی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سه تن از اینها که در صفین در میدان جنگ ایراد شده، به</w:t>
      </w:r>
      <w:bookmarkStart w:id="168" w:name="pg5406_38603"/>
    </w:p>
    <w:p>
      <w:pPr>
        <w:pStyle w:val="BookText"/>
        <w:rPr/>
      </w:pPr>
      <w:bookmarkEnd w:id="168"/>
      <w:r>
        <w:rPr>
          <w:rFonts w:ascii="IRNazanin" w:hAnsi="IRNazanin" w:eastAsia="IRNazanin"/>
          <w:color w:val="111111"/>
          <w:sz w:val="28"/>
          <w:sz w:val="28"/>
          <w:szCs w:val="28"/>
          <w:rtl w:val="true"/>
          <w:lang w:bidi="fa-IR"/>
        </w:rPr>
        <w:t>دلیل عمق، انسجام منطقی و تاثیرگذاری آن، جزء شاهکارهای ادبیات عرب محسوب می‌شود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سیره به همین گزینش‌ها، بسنده کرده و این پرسش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زن در اندیشه بزرگان دین موجودی منفی و شوم بوده است، چرا این بدبینی در رفتار آنها با زنان هیچ بازتابی نیافته است؟ چرا در حساس‌ترین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یاری می‌گرفتند و به آنان اعتماد می‌کردند؟ آیا ممکن است کسی که زن را به دلیل شوم بودن و کم‌خردی شایسته مشورت نداند، در سرنوشت‌سازترین شرایط چون صفین به او اجازه سخنرانی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تناقضاتی که نگاه بدبینانه و البته مستفاد از نصوص روایی به زن دارد، سبب می‌شود کلیت و اطلاق آن را در ظرفیت‌های خاص فرو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از فرضیه توطئه نیز غفلت نکنیم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اهمیت این فرضیه را در بحث بعدی بررسی می‌کنیم</w:t>
      </w:r>
      <w:r>
        <w:rPr>
          <w:rFonts w:eastAsia="IRNazanin" w:cs="IRNazanin"/>
          <w:color w:val="111111"/>
          <w:sz w:val="28"/>
          <w:szCs w:val="28"/>
          <w:rtl w:val="true"/>
          <w:lang w:bidi="fa-IR"/>
        </w:rPr>
        <w:t>.</w:t>
      </w:r>
    </w:p>
    <w:p>
      <w:pPr>
        <w:pStyle w:val="Heading5"/>
        <w:numPr>
          <w:ilvl w:val="4"/>
          <w:numId w:val="1"/>
        </w:numPr>
        <w:rPr/>
      </w:pPr>
      <w:bookmarkStart w:id="169" w:name="__RefHeading___Toc1597150_581953129"/>
      <w:bookmarkStart w:id="170" w:name="_Toc63"/>
      <w:bookmarkEnd w:id="169"/>
      <w:r>
        <w:rPr/>
        <w:t>3</w:t>
      </w:r>
      <w:r>
        <w:rPr>
          <w:rtl w:val="true"/>
        </w:rPr>
        <w:t xml:space="preserve">- </w:t>
      </w:r>
      <w:r>
        <w:rPr>
          <w:rtl w:val="true"/>
        </w:rPr>
        <w:t>نقش جریان‌های حدیث‌ساز</w:t>
      </w:r>
      <w:bookmarkEnd w:id="1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رهاوردهای شوم جبهه‌های شکست خورده از اسلام، پس از تغییر قیافه و شعار در بازگشت به صحنه، این بود که اندیشه‌ها و افسانه‌ها و به عبارتی حیات فرهنگی ماقبل از اسلام خود را در قالب نشر</w:t>
      </w:r>
    </w:p>
    <w:p>
      <w:pPr>
        <w:pStyle w:val="BookText"/>
        <w:rPr/>
      </w:pPr>
      <w:r>
        <w:rPr>
          <w:rFonts w:ascii="IRNazanin" w:hAnsi="IRNazanin" w:eastAsia="IRNazanin"/>
          <w:color w:val="111111"/>
          <w:sz w:val="28"/>
          <w:sz w:val="28"/>
          <w:szCs w:val="28"/>
          <w:rtl w:val="true"/>
          <w:lang w:bidi="fa-IR"/>
        </w:rPr>
        <w:t>و اشاعه حدیث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میان یکی از قربانی‌ها شخصیت زن بود که گذشته از بافتن افسانه‌ها پیرامون آفرینش او، در ارتکاب گناه از سوی حضرت آدم و خروج او از بهشت، وی را مقصر اصلی معرفی کردند و این بعدها در تفاسیر اسلامی زمینه‌ساز یک ذهنیت منفی درباره زن 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غیر از این، جریان‌های دیگری نیز بودند که باز متأسفانه بخشی از مبارزه خود را در قالب تخریب چهره زن دنبال می‌کردند تا از یک سو برخی افراد را ترور شخصیت کرده و از سویی، در درازمدت با نشر چنین سخنانی به‌نام پیشوایان دین، پایگاه آنان را از قلب توده‌های زن برچیده و در نتیجه جبهه مقابل را ضد زن و ضد انسانیت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منابع حدیثی اهل سنت روایتی در نکوهش زن آمده، که اصل نشر و اشاعه آن فرمایشی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ابوعبدالله محمد بن علی الصنعانی بمکة ثنا اسحاق بن ابراهیم، انبأ عبدالرزاق، انبأ معمر بن یحیی بن ابی‌کثیر، عن زید بن سلام،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الی‌عبدالرحمن بن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 الناس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الفساق هم اهل النار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امهاتنا وبناتنا و اخواتنا؟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ولکنهنّ اذا اعطین لم یشکرن، واذا ابتلین لم یصبرن؛</w:t>
      </w:r>
      <w:r>
        <w:rPr>
          <w:rStyle w:val="FootnoteAnchor"/>
          <w:rtl w:val="true"/>
        </w:rPr>
        <w:footnoteReference w:id="3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نامه‌ای به عبدالرحمن بن شبل نوشت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برای مردم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دوزخیانند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مادران، دختران و خواهران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آن‌ها بخشش را سپاس نمی‌گزارند و در گرفتاری‌ها شکیبا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خود از اوس و از انصار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معاویه به شام رفته و با او زندگی می‌کرده، تا آنکه از جانب معاویه به او سفارش می‌شود که تو از قدما و فقهای اصحاب هستی، باید به میان مردم بروی و آنها را موعظه کنی</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همان گونه که ملاحظه می‌شود، نشر این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سفارش معاویه بوده است؛ کسی که بیشترین، بلکه انحصاری‌ترین نقش را در جعل و وضع حدیث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افرادی چون عبادة بن صامت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جهت سیاست‌های او حدیث نقل نمی‌کردند، رسماً منع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هم از یک راوی که خود سر و سرّی با او داشته و تنها همین یک حدیث در مجامع روایی از او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سیاست منع نشر حدیث نبوی</w:t>
      </w:r>
      <w:r>
        <w:rPr>
          <w:rStyle w:val="FootnoteAnchor"/>
          <w:rtl w:val="true"/>
        </w:rPr>
        <w:footnoteReference w:id="345"/>
      </w:r>
      <w:r>
        <w:rPr>
          <w:rFonts w:ascii="IRNazanin" w:hAnsi="IRNazanin" w:eastAsia="IRNazanin"/>
          <w:color w:val="111111"/>
          <w:sz w:val="28"/>
          <w:sz w:val="28"/>
          <w:szCs w:val="28"/>
          <w:rtl w:val="true"/>
          <w:lang w:bidi="fa-IR"/>
        </w:rPr>
        <w:t>نمی‌تواند تصادفی و خالی از اغراض غیرحدیثی باشد، بلکه تبانی در کار بوده که عبدالرحمن بر اساس آن بر این مضمون 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تبانی چه بوده است؟ روایتی از کافی وقایع پشت پرده این گونه ماجراها را فاش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احمد بن محمد، عن عثمان بن عیسی، عن فرات بن احنف،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وجه الارض بقلة اشرف و لا انفع من الفرفخ، و هو بقلة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بنی امیة هم سمّوها بقلة الحمقاء، بغضاًَ لنا و عداوة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فرات بن احنف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سبزی‌ای شریف‌تر و مفیدتر از فرفخ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آن سبزی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بنی امیه را که از روی دشمنی و کینه‌ای که با ما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نام آن را سبزی احمق گذاشتند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روایت برمی‌آید، این است که این سبزی از بس مورد علاقه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نام ایشان شهره بوده است تا اینکه بنی امیه هم برای امحای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تمسخر علاقمندی به وی، نام این سبزی</w:t>
      </w:r>
    </w:p>
    <w:p>
      <w:pPr>
        <w:pStyle w:val="BookText"/>
        <w:rPr/>
      </w:pPr>
      <w:r>
        <w:rPr>
          <w:rFonts w:ascii="IRNazanin" w:hAnsi="IRNazanin" w:eastAsia="IRNazanin"/>
          <w:color w:val="111111"/>
          <w:sz w:val="28"/>
          <w:sz w:val="28"/>
          <w:szCs w:val="28"/>
          <w:rtl w:val="true"/>
          <w:lang w:bidi="fa-IR"/>
        </w:rPr>
        <w:t>را به اهانت‌بارترین شکل تبدیل کردند؛ چون ممکن بود با تداوم نام اصلی این سبزی هر کس از آن استفاده کند، به یاد آورد که این گیاه روزگاری مورد علاقه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دردواره‌ای را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مراتب و شیوه‌های دشمنی بنی امیه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روایت مفصل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فحدثوهم بالاحادیث الموضوعة المکذوبة، و رووا عنا مالم نقله وما لم‌نفعله، لیبغضونا الناس، وکان عظم ذلک وکبره زمن المعاویة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تا آنکه برای دشمن‌کردن مردم با ما به دروغ چیزهای از ما روایت کردند که نه ما گفته بودیم و نه انجام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بیشتر این کار در زمان معاویه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امواج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براساس مفاد این روایت که طبق قراین مسلم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مظاهر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ظریف و فراگیر اهداف خود را تعقیب می‌کرده، بی‌گمان بخش عظیمی از آن در قالب نشر و اشاعه اندیشه‌هایی در قالب حدیث و روایت میسر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استفاده از یک جبهه جدید و کاملاً مرموز و ظاهراً دینی به کانون‌های استراتژیک حمله برده و پیشاپیش آنها را حداقل برای نسل‌های بعدی خود خلع سلاح کرده باشند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در این جبهه مقابل،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او هم این گونه گفت، این گونه از این جبهه دفاع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در پاسخ گفته شود که او هم یک زن بیش نبوده و فطرتاً مشکل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ندارید، بیایید با هم بحث را به سنت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تمایلاتش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مطابق فرضیه توطئه، بخش وسیعی از بدبینی به زن که در ابعاد</w:t>
      </w:r>
    </w:p>
    <w:p>
      <w:pPr>
        <w:pStyle w:val="BookText"/>
        <w:rPr/>
      </w:pPr>
      <w:r>
        <w:rPr>
          <w:rFonts w:ascii="IRNazanin" w:hAnsi="IRNazanin" w:eastAsia="IRNazanin"/>
          <w:color w:val="111111"/>
          <w:sz w:val="28"/>
          <w:sz w:val="28"/>
          <w:szCs w:val="28"/>
          <w:rtl w:val="true"/>
          <w:lang w:bidi="fa-IR"/>
        </w:rPr>
        <w:t>معرفتی نفوذ کرده، در زمینه‌سازی برخی جریان‌ها نهفته است تا هم برخی شخصیت‌ها را ترور کنند و هم از تحرکات انقلابی قشر زنان انتقام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نقطه پایگاه برای این جریان بسیار حساس بوده است، مایلم این نکته را با ذکر برخی نمونه‌ها هر چند به درازا هم بکشد، کمی تفصیل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شرایطی که سردمدار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می‌کرد همه جبهه‌ها فتح شده و پایگاه‌های مقاومت به‌کلی تخلیه و نابود گردیده است، یکی از قشرهایی که ناباورانه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می‌کردند وخواب معاویه را می‌آشفتند،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ذیل بخشی مهم از فعالیت راهبردی زنان در تقابل با سیاست‌های اموی را بازمی‌گویند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دوره‌ای که سیاست رسمی دستگاه حاکم جلوگیری از تدوین و هرگونه تلاش برای نشر و اشاعه سنت نبوی بود تا از این رهگذر منزلت و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بوته فراموشی بسپارند،</w:t>
      </w:r>
      <w:r>
        <w:rPr>
          <w:rStyle w:val="FootnoteAnchor"/>
          <w:rtl w:val="true"/>
        </w:rPr>
        <w:footnoteReference w:id="348"/>
      </w:r>
      <w:r>
        <w:rPr>
          <w:rFonts w:ascii="IRNazanin" w:hAnsi="IRNazanin" w:eastAsia="IRNazanin"/>
          <w:color w:val="111111"/>
          <w:sz w:val="28"/>
          <w:sz w:val="28"/>
          <w:szCs w:val="28"/>
          <w:rtl w:val="true"/>
          <w:lang w:bidi="fa-IR"/>
        </w:rPr>
        <w:t>تاریخ نام هجده زن را به‌عنوان راوی حدیث غدیر ثبت کرده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این حرکت زنان در آن شرایط ازاین‌رو حائز اهمیت است که رونق بازار جانب سبِّ امیرمؤمنان را در پیش گرفته و اتهام انتساب به ایشان قربانی می‌گرفت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زرقاء دختر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آفرینش‌های حماسی او در صفین زخم‌هایی عمیق بر قلب معاویه نهاده بود، روزی معاویه در دوران حکومتش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بانو در دربار حضور یافت، معاویه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چرا تو را فرا خوانده‌ام؟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خداست که راز دل‌ها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خواستم بدانم آیا تو همان زنی که در صفین سوار بر شتر سرخ در میان صف‌ها با ایراد خطابه آتش جنگ برمی‌افروختی؟ انگیزه‌ات از این کار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جمعی پریشان سر از دست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برنمی‌گردد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می‌خواستم بدانم آیا می‌توانی سخنانی که در صفین ایراد کردی، اکنون بازخوانی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بر دارم که می‌گفتی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شما را فتنه در بر گرفته و پرده‌های ستم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خواهان هدایت باشد، ما هدایتش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پرسشی دارد، آگاهش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جستجوی گمشده خویش است و به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زخم‌ها شکیبا باشید که غده چرکین نفاق پاره شده، عدالت التیام یافته و حق دماغ باطل را به خاک خواهد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را فردایی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معاویه به زرقا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تمام خون‌هایی که علی ریخته، شریک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تو را مژده نیک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سخن خوشحال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عمل تو را تصدیق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وفای شما با علی بعد از مرگش بر من شگفت‌آورتر از زمان حیات اوست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الخیر دختر حریش که باز از باقی‌مانده‌های صفین بود، معاویه روزی او را از کوفه با احترام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چند روز به رسم استراحت از او در دربار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اولین ملاقات با او درباره سخنانش که 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بود، پرسید که آیا می‌توانی آنها را اکنون بازگو کنی؟ ام الخیر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حادثه آن کلمات بر زبانم دمیده شد؛ نه آنکه از قبل آمادگی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دربارنشینان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سخنان را به‌خاطر دارم وگویا اکنون می‌بینم که ام الخیر سوار بر شتر خاکستری سخنرانی معروفش را چنین آغاز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پرواکنید؛ چراکه زلزله رستاخیز امری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 را آشکار، حجت را ظاهر و راه را روشن کرده، و شما را در تاریکی و تردید نگذاشته است؛ پس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امیرمؤمنان فرار می‌کنید یا از جنگ؟ آیا از اسلام بیزار شده‌اید یا از حق برگشته اید؟ آیا نشنیده اید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حَتّی نَعْلَمَ الْمُجاهِدِینَ مِنْکُمْ وَ الصّابِرِینَ وَ نَبْلُوَا أَخْبارَکُمْ</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 البته شما را می‌آزماییم تا مجاهدان و شکیبایان شما را بازشناسیم و گزارش‌های مربوط به شما را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زن سر به آسمان بلند کرد وگفت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تحت فشار قرار گرفته، یقین دچار ضعف و تردید فراگیر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دل‌ها به دست توست؛ آنها را به تقوا و هدایت متحد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به اهلش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روی سخن به مردم کرده، این گونه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به‌سوی امام عادل، وصی وفادار و 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عقده‌های جاهلیت و کینه‌های بدر و احد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آنها را غافل‌گیر کرده تا انتقام خون‌های بنی عبد شمس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 إِنَّهُمْ لا أَیْمانَ لَهُمْ لَعَلَّهُمْ یَنْتَهُونَ</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پایان، معاویه رو کرد به ام الخیر که تو با این سخنان می‌خواستی مرا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من به قتل تو اقدام کنم، عذری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الخیر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است که خداوند با شقاوت کسی شهادت را نصیب من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معاویه به مکه داشته، زنی به نام دارمیه حجونیه را که در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Style w:val="FootnoteAnchor"/>
          <w:rtl w:val="true"/>
        </w:rPr>
        <w:footnoteReference w:id="356"/>
      </w:r>
      <w:r>
        <w:rPr>
          <w:rFonts w:ascii="IRNazanin" w:hAnsi="IRNazanin" w:eastAsia="IRNazanin"/>
          <w:color w:val="111111"/>
          <w:sz w:val="28"/>
          <w:sz w:val="28"/>
          <w:szCs w:val="28"/>
          <w:rtl w:val="true"/>
          <w:lang w:bidi="fa-IR"/>
        </w:rPr>
        <w:t xml:space="preserve">، احضار می‌کند تا ببیند او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قبلاً شهره به دفاع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عشق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معاویه پس از احضار این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دلیل فرا خواندم که بپرسم چرا با من دشمنی، اما علی را دوست می‌داری؟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به دلیل عدالتش درباره رعیت و مساواتش دوست دارم و تو را دشمن؛ چون با سزاوارتر از خویش در امرحکومت جنگ به راه</w:t>
      </w:r>
    </w:p>
    <w:p>
      <w:pPr>
        <w:pStyle w:val="BookText"/>
        <w:rPr/>
      </w:pPr>
      <w:r>
        <w:rPr>
          <w:rFonts w:ascii="IRNazanin" w:hAnsi="IRNazanin" w:eastAsia="IRNazanin"/>
          <w:color w:val="111111"/>
          <w:sz w:val="28"/>
          <w:sz w:val="28"/>
          <w:szCs w:val="28"/>
          <w:rtl w:val="true"/>
          <w:lang w:bidi="fa-IR"/>
        </w:rPr>
        <w:t>انداختی وخواهان چیزی بودی که از آن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را دارم؛ چون پیامبر عقد ولایت را برای او خواند؛ دوست بیچاره‌ها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دشمنم؛ چون خون مردم را ریخته و شق عصای مسلمانان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وحکومتت بر اساس هواهای نفسانی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زن در چند جمله تحولات و بحران‌های نیم‌قرن تاریخ را با بینشی عمیق تحلیل کرد و در فرجام، مسئولیت همه را متوجه معاویه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معاویه ناچار شد برای انحراف از موضوع به توهین پناه ببرد، اما وقتی با مقاومت دوباره این زن مواجه شد، از فرط شرمساری موضوع را به‌کلی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نمونه‌ها عمق آگاهی و حجم فعالیت زنان را حتی در دوره‌ای نشان می‌دهد که نفس‌ها در سینه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تحلیل ژرفشان از ماهیت جنگ صفین و تبارشناسی انگیزه‌های رهبران آن تحت عنوان بدر و احد،</w:t>
      </w:r>
      <w:r>
        <w:rPr>
          <w:rStyle w:val="FootnoteAnchor"/>
          <w:rtl w:val="true"/>
        </w:rPr>
        <w:footnoteReference w:id="358"/>
      </w:r>
      <w:r>
        <w:rPr>
          <w:rFonts w:ascii="IRNazanin" w:hAnsi="IRNazanin" w:eastAsia="IRNazanin"/>
          <w:color w:val="111111"/>
          <w:sz w:val="28"/>
          <w:sz w:val="28"/>
          <w:szCs w:val="28"/>
          <w:rtl w:val="true"/>
          <w:lang w:bidi="fa-IR"/>
        </w:rPr>
        <w:t>برای مردم تبدیل به خاطره‌های ماندگار شده بود و نیز زخمی برای سردمداران جریان زیاده‌خواه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در تقابل با سیاست منع نقل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سیاسی‌ترین سنت را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تلاش‌های تاریخ‌ساز، زنان معاویه را در اوج اقتدار، درون دربارش و در کسوت خلافت که به اندامش گشاد بود، با بی‌پرده‌ترین شکل تحقیر می‌کردند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مقابله با این موج‌ها رسوب اندیشه‌های بدبینانه جاهلی نسبت به زن مستعد آن بود که دستگاه حاکم انتقام از این قشر را با منفی جلوه</w:t>
      </w:r>
    </w:p>
    <w:p>
      <w:pPr>
        <w:pStyle w:val="BookText"/>
        <w:rPr/>
      </w:pPr>
      <w:r>
        <w:rPr>
          <w:rFonts w:ascii="IRNazanin" w:hAnsi="IRNazanin" w:eastAsia="IRNazanin"/>
          <w:color w:val="111111"/>
          <w:sz w:val="28"/>
          <w:sz w:val="28"/>
          <w:szCs w:val="28"/>
          <w:rtl w:val="true"/>
          <w:lang w:bidi="fa-IR"/>
        </w:rPr>
        <w:t>دادن شخصیت و درکل شوم بودن زن، به طور اساسی دنبال کند تا دست‌کم قسمتی از صورت مسأله را بدین شکل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بر این فرضیه ازآن‌رو اهمیت می‌یابد که جبهه اموی حتی از تفتیش عقیده یک زن حاشیه‌نشین در کوه کوتاه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زیرکانه در صدد بودند تا به انواع حیل از زنان ندامت یا برائت از وفاداری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تا زخم‌های کهنه‌ای که از آنها به دل داشتند، تسکین و التیام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نباید از تأثیر این سیاست در ابعاد مختلف، از جمله تخریب چهره زن به شکل جعل حدیث حداقل به‌صورت یک فرضیه غفلت 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آنچه بر تاریخ حدیث گذشته و جریان‌های مرموزی که چنین استفاده‌ای از جعل حدیث می‌کردند،</w:t>
      </w:r>
      <w:r>
        <w:rPr>
          <w:rStyle w:val="FootnoteAnchor"/>
          <w:rtl w:val="true"/>
        </w:rPr>
        <w:footnoteReference w:id="359"/>
      </w:r>
      <w:r>
        <w:rPr>
          <w:rFonts w:ascii="IRNazanin" w:hAnsi="IRNazanin" w:eastAsia="IRNazanin"/>
          <w:color w:val="111111"/>
          <w:sz w:val="28"/>
          <w:sz w:val="28"/>
          <w:szCs w:val="28"/>
          <w:rtl w:val="true"/>
          <w:lang w:bidi="fa-IR"/>
        </w:rPr>
        <w:t xml:space="preserve">علاوه بر نتیجه ای که در صدد آن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پذیرش روایاتی از این دست احتیاط کرد می‌توان دریافت که چرا اصولاً زن در تاریخ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تاریخ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بایکوت مطلق محکوم شده است و چرا کسی توصیه اکید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فراگیری دانش به‌عنوان فریضه‌ای فراگیر</w:t>
      </w:r>
      <w:r>
        <w:rPr>
          <w:rStyle w:val="FootnoteAnchor"/>
          <w:rtl w:val="true"/>
        </w:rPr>
        <w:footnoteReference w:id="360"/>
      </w:r>
      <w:r>
        <w:rPr>
          <w:rFonts w:ascii="IRNazanin" w:hAnsi="IRNazanin" w:eastAsia="IRNazanin"/>
          <w:color w:val="111111"/>
          <w:sz w:val="28"/>
          <w:sz w:val="28"/>
          <w:szCs w:val="28"/>
          <w:rtl w:val="true"/>
          <w:lang w:bidi="fa-IR"/>
        </w:rPr>
        <w:t>برای انسان مسلمان نه مذکر را</w:t>
      </w:r>
      <w:r>
        <w:rPr>
          <w:rStyle w:val="FootnoteAnchor"/>
          <w:rtl w:val="true"/>
        </w:rPr>
        <w:footnoteReference w:id="361"/>
      </w:r>
      <w:r>
        <w:rPr>
          <w:rFonts w:ascii="IRNazanin" w:hAnsi="IRNazanin" w:eastAsia="IRNazanin"/>
          <w:color w:val="111111"/>
          <w:sz w:val="28"/>
          <w:sz w:val="28"/>
          <w:szCs w:val="28"/>
          <w:rtl w:val="true"/>
          <w:lang w:bidi="fa-IR"/>
        </w:rPr>
        <w:t>جدی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دوره‌های طلایی تمدن اسلام و رونق</w:t>
      </w:r>
    </w:p>
    <w:p>
      <w:pPr>
        <w:pStyle w:val="BookText"/>
        <w:rPr/>
      </w:pPr>
      <w:r>
        <w:rPr>
          <w:rFonts w:ascii="IRNazanin" w:hAnsi="IRNazanin" w:eastAsia="IRNazanin"/>
          <w:color w:val="111111"/>
          <w:sz w:val="28"/>
          <w:sz w:val="28"/>
          <w:szCs w:val="28"/>
          <w:rtl w:val="true"/>
          <w:lang w:bidi="fa-IR"/>
        </w:rPr>
        <w:t>نظامیه‌های باشکوه و زنجیره‌ای کسی به آموزش زنان توجه نکرد، اما در آن سوی ماجرا هیچ‌گونه احتیاطی را در محدودیت‌سازی زندگی زن فرو نگذاشته و اخلاقاً توصیه شد که در یک مراقبت دائم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تواند بیرون نگذارد و فرا بام و در دیوار نگذارد که هیچ نامحرمی وی را ببیند و نگذارد که وی هیچ نامحرمی را ببیند و نگذارد که به روزن و پالکانه شود که همه آفت‌ها از چشم خیزد و آن از درون خانه نخیزد، بلکه از روزن و پالکانه و در و بام خیزد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عنصر کثیر الفسق،</w:t>
      </w:r>
      <w:r>
        <w:rPr>
          <w:rStyle w:val="FootnoteAnchor"/>
          <w:rtl w:val="true"/>
        </w:rPr>
        <w:footnoteReference w:id="363"/>
      </w:r>
      <w:r>
        <w:rPr>
          <w:rFonts w:ascii="IRNazanin" w:hAnsi="IRNazanin" w:eastAsia="IRNazanin"/>
          <w:color w:val="111111"/>
          <w:sz w:val="28"/>
          <w:sz w:val="28"/>
          <w:szCs w:val="28"/>
          <w:rtl w:val="true"/>
          <w:lang w:bidi="fa-IR"/>
        </w:rPr>
        <w:t>ناقص العقل، ناقص الدین و شوم بوده است، باید در یک کمربند ایمنی و تحمیل شده زندگی کند وحتی الامکان مرد باید از روی استحباب او را در خانه حبس کند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 قرآن هم نباید به او کامل آموزش داده شود که برخی سوره‌ها ممکن است او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خانه‌نشینی و شوهرداری در افراطی‌ترین معنای کلمه برای زن یک ارزش نخست و قاعده زندگی می‌شود</w:t>
      </w:r>
      <w:r>
        <w:rPr>
          <w:rStyle w:val="FootnoteAnchor"/>
          <w:rtl w:val="true"/>
        </w:rPr>
        <w:footnoteReference w:id="365"/>
      </w:r>
      <w:r>
        <w:rPr>
          <w:rFonts w:ascii="IRNazanin" w:hAnsi="IRNazanin" w:eastAsia="IRNazanin"/>
          <w:color w:val="111111"/>
          <w:sz w:val="28"/>
          <w:sz w:val="28"/>
          <w:szCs w:val="28"/>
          <w:rtl w:val="true"/>
          <w:lang w:bidi="fa-IR"/>
        </w:rPr>
        <w:t>و دیگر حتی در</w:t>
      </w:r>
    </w:p>
    <w:p>
      <w:pPr>
        <w:pStyle w:val="BookText"/>
        <w:rPr/>
      </w:pPr>
      <w:r>
        <w:rPr>
          <w:rFonts w:ascii="IRNazanin" w:hAnsi="IRNazanin" w:eastAsia="IRNazanin"/>
          <w:color w:val="111111"/>
          <w:sz w:val="28"/>
          <w:sz w:val="28"/>
          <w:szCs w:val="28"/>
          <w:rtl w:val="true"/>
          <w:lang w:bidi="fa-IR"/>
        </w:rPr>
        <w:t>جایی کسی این احتمال را مطرح نکرد که اگر زنی برای تعمیق و تخصص آموزش‌های دینی خواست از خانه خارج شود، چه باید کرد؟</w:t>
      </w:r>
    </w:p>
    <w:p>
      <w:pPr>
        <w:pStyle w:val="BookText"/>
        <w:rPr/>
      </w:pPr>
      <w:r>
        <w:rPr>
          <w:rFonts w:ascii="IRNazanin" w:hAnsi="IRNazanin" w:eastAsia="IRNazanin"/>
          <w:color w:val="111111"/>
          <w:sz w:val="28"/>
          <w:sz w:val="28"/>
          <w:szCs w:val="28"/>
          <w:rtl w:val="true"/>
          <w:lang w:bidi="fa-IR"/>
        </w:rPr>
        <w:t>با این حال، نباید اهمیت پیشنهاد استاد شهید را برای راه‌اندازی یک نهضت سفید اسلامی</w:t>
      </w:r>
      <w:r>
        <w:rPr>
          <w:rStyle w:val="FootnoteAnchor"/>
          <w:rtl w:val="true"/>
        </w:rPr>
        <w:footnoteReference w:id="366"/>
      </w:r>
      <w:r>
        <w:rPr>
          <w:rFonts w:ascii="IRNazanin" w:hAnsi="IRNazanin" w:eastAsia="IRNazanin"/>
          <w:color w:val="111111"/>
          <w:sz w:val="28"/>
          <w:sz w:val="28"/>
          <w:szCs w:val="28"/>
          <w:rtl w:val="true"/>
          <w:lang w:bidi="fa-IR"/>
        </w:rPr>
        <w:t>به نفع زن برای تصفیه آموزه‌های اسلام از آنچه به نام آن قالب زده شده است، دست کم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گفته‌ام که لازم و ضروری است که به وضع زن امروز رسیدگی کامل شود و حقوق فراوانی که اسلام به زن اعطا کرده، به او بازپس داده 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زیرا آثار سلبی آن تلاش‌های انحرافی در تاریخ، هنوز پابرجاست و هنوز میان وضعیت موجود زندگی زن و ایده‌آل‌های اسلامی فاصله است و ریشه‌های تحقیر شخصیت زن چنان نیرومند است که امروزه برخی از نظریه‌پردازان مهم‌ترین چالش فراروی نهضت زنان را تغییر هویت زن از شیء به انسان می‌دانند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وکالت زن در دعاوی، مانعی که به طور بنیادین فرضیه جواز وکالت را با مشکل مواجه کند، در فقه شیعه به حسب ادله در دست نیست؛ زیرا عدم توانایی زن در بیان دلیل در مخاصمه، نقصان عقل و نفی مشاوره با زنان نه به صورت مؤلّفه‌های هویت زن کلیت دارد و نه به شکل حکم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هریک از این مدعاها اثبات شود، کار وکالت زن در دعاوی را با مشکل جدی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خواهد کرد؛ چون دو مدعای نخست اهلیت زن را در دعاوی سلب می‌نماید؛ یعنی وقتی زن از دفاع خود عاجز باشد، چه از رهگذر ناتوانی در اظهار دلیل و چه از ناحیه نقص عقل، در عرصه‌ای که یکی از انتظارها دفاع از موکل است، عاجز خواهد بود، و سومی هم به زبان حکم یکی از کارویژه‌های وکالت دعاوی را که مشورت دادن است، نفی می‌کند</w:t>
      </w:r>
      <w:r>
        <w:rPr>
          <w:rFonts w:eastAsia="IRNazanin" w:cs="IRNazanin"/>
          <w:color w:val="111111"/>
          <w:sz w:val="28"/>
          <w:szCs w:val="28"/>
          <w:rtl w:val="true"/>
          <w:lang w:bidi="fa-IR"/>
        </w:rPr>
        <w:t>.</w:t>
      </w:r>
      <w:bookmarkStart w:id="171" w:name="pg5406_38632"/>
    </w:p>
    <w:p>
      <w:pPr>
        <w:pStyle w:val="Heading2"/>
        <w:numPr>
          <w:ilvl w:val="1"/>
          <w:numId w:val="1"/>
        </w:numPr>
        <w:rPr/>
      </w:pPr>
      <w:bookmarkStart w:id="172" w:name="__RefHeading___Toc1597152_581953129"/>
      <w:bookmarkStart w:id="173" w:name="_Toc64"/>
      <w:bookmarkEnd w:id="171"/>
      <w:bookmarkEnd w:id="172"/>
      <w:r>
        <w:rPr/>
        <w:t>4</w:t>
      </w:r>
      <w:r>
        <w:rPr>
          <w:rtl w:val="true"/>
        </w:rPr>
        <w:t xml:space="preserve">- </w:t>
      </w:r>
      <w:r>
        <w:rPr>
          <w:rtl w:val="true"/>
        </w:rPr>
        <w:t>وکالت زن در مجلس شورا</w:t>
      </w:r>
      <w:bookmarkEnd w:id="173"/>
    </w:p>
    <w:p>
      <w:pPr>
        <w:pStyle w:val="Heading3"/>
        <w:numPr>
          <w:ilvl w:val="2"/>
          <w:numId w:val="1"/>
        </w:numPr>
        <w:rPr/>
      </w:pPr>
      <w:bookmarkStart w:id="174" w:name="__RefHeading___Toc1597154_581953129"/>
      <w:bookmarkStart w:id="175" w:name="_Toc65"/>
      <w:bookmarkEnd w:id="174"/>
      <w:r>
        <w:rPr>
          <w:rtl w:val="true"/>
        </w:rPr>
        <w:t>ویژگی ها و تفاوت های وکالت مجلس</w:t>
      </w:r>
      <w:bookmarkEnd w:id="175"/>
    </w:p>
    <w:p>
      <w:pPr>
        <w:pStyle w:val="Heading4"/>
        <w:numPr>
          <w:ilvl w:val="3"/>
          <w:numId w:val="1"/>
        </w:numPr>
        <w:rPr/>
      </w:pPr>
      <w:bookmarkStart w:id="176" w:name="__RefHeading___Toc1597156_581953129"/>
      <w:bookmarkStart w:id="177" w:name="_Toc66"/>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در این بخش، ابتدا به شکل مقدمه پاره‌ای ازتوضیحات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بحث از تفاوت‌های وکالت مجلس با وکالت دعاوی ارائه ارائه می‌کنیم، تا ماهیت و جوانب لازم چنین وکالتی روشن شده و درنتیجه وکالت زن در مجلس به صورت تصوری با ابهام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خلال مشکل وکالت زن در این حوزه مطرح می‌شود که چرا بحثی مستقل بدان اختصاص یافته و به عمومات باب وکالت اکتفا نشده و یا دلالت وکالت دعاوی برای جواز آن کافی دانسته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یادآوری آن که در سیر این بحث مقدماتی به چالش‌ها و نقدهایی که به هر مناسبت لازم باشد، نخواهیم پرداخت و همه تفاوت‌های این دو وکالت را بررسی نخواهیم کرد و به مهم‌ترین آن‌ها اکتفا می‌کنیم</w:t>
      </w:r>
      <w:r>
        <w:rPr>
          <w:rFonts w:eastAsia="IRNazanin" w:cs="IRNazanin"/>
          <w:color w:val="111111"/>
          <w:sz w:val="28"/>
          <w:szCs w:val="28"/>
          <w:rtl w:val="true"/>
          <w:lang w:bidi="fa-IR"/>
        </w:rPr>
        <w:t>.</w:t>
      </w:r>
    </w:p>
    <w:p>
      <w:pPr>
        <w:pStyle w:val="Heading4"/>
        <w:numPr>
          <w:ilvl w:val="3"/>
          <w:numId w:val="1"/>
        </w:numPr>
        <w:rPr/>
      </w:pPr>
      <w:bookmarkStart w:id="178" w:name="__RefHeading___Toc1597158_581953129"/>
      <w:bookmarkStart w:id="179" w:name="_Toc67"/>
      <w:bookmarkEnd w:id="178"/>
      <w:r>
        <w:rPr/>
        <w:t>1</w:t>
      </w:r>
      <w:r>
        <w:rPr>
          <w:rtl w:val="true"/>
        </w:rPr>
        <w:t xml:space="preserve">- </w:t>
      </w:r>
      <w:r>
        <w:rPr>
          <w:rtl w:val="true"/>
        </w:rPr>
        <w:t>بی سابقه بودن مجلس شورا در اندیشه فقهی شیعه</w:t>
      </w:r>
      <w:bookmarkEnd w:id="1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تفاوت وکالت مجلس با وکالت دعاوی و هر وکالت</w:t>
      </w:r>
    </w:p>
    <w:p>
      <w:pPr>
        <w:pStyle w:val="BookText"/>
        <w:rPr/>
      </w:pPr>
      <w:r>
        <w:rPr>
          <w:rFonts w:ascii="IRNazanin" w:hAnsi="IRNazanin" w:eastAsia="IRNazanin"/>
          <w:color w:val="111111"/>
          <w:sz w:val="28"/>
          <w:sz w:val="28"/>
          <w:szCs w:val="28"/>
          <w:rtl w:val="true"/>
          <w:lang w:bidi="fa-IR"/>
        </w:rPr>
        <w:t>دیگری تولد تازه خود این نهاد سیاسی است که از طرح یا پذیرش آن در فقه شیعه بیش از یک قرن نمی‌گذرد؛ زیرا مهم‌ترین پرسش یا دغدغه فقه سیاسی شیعه در قرون متمادی محتوای حکومت از بُعد انطباق آن با شریعت بوده است و این را از رهگذر ویژگی‌های شخصی حاکم بررسی می‌کردند؛ نه ویژگی‌های شیوه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بحث مطلقاً مسکوت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پرسش کلیدی این بود که چه کسانی باید حکومت کنند؛ نه آنکه چگونه باید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تا آغاز دوره غیبت کبری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پرسش نیز هیچ‌گاه جدی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دلیل اعتقاد شیعیان، رهبران جامعه تا چندین نسل به نام معرفی شده بودند، حتّی در آغاز غیبت کبری که دوران شروع بحران در اندیشه سیاسی شیعه محسوب می‌شود، باز هم این پرسش در کانون مباحث متداول جدی تلقی نمی‌شد؛ زیرا افزون بر ابهام پایان دوره غیبت و فضیلت انتظار فرج زودرس، یک برداشت از غیبت کبری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زمان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مؤمنان راستین برای استقرار سلطنت عادلانه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به شیعیان امکان داد که موقتاً ادعای خود درباره قدرت سیاسی را وابگذارند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مفهوم از غیبت کبری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می‌شود، علاوه بر تأیید آن از جانب برخی از فقها</w:t>
      </w:r>
      <w:r>
        <w:rPr>
          <w:rStyle w:val="FootnoteAnchor"/>
          <w:rtl w:val="true"/>
        </w:rPr>
        <w:footnoteReference w:id="370"/>
      </w:r>
      <w:r>
        <w:rPr>
          <w:rFonts w:ascii="IRNazanin" w:hAnsi="IRNazanin" w:eastAsia="IRNazanin"/>
          <w:color w:val="111111"/>
          <w:sz w:val="28"/>
          <w:sz w:val="28"/>
          <w:szCs w:val="28"/>
          <w:rtl w:val="true"/>
          <w:lang w:bidi="fa-IR"/>
        </w:rPr>
        <w:t>محمل توجیه برای روایاتی قرارگرفت که هرگونه تلاش برای تشکیل حکومت قبل از ظهور را</w:t>
      </w:r>
    </w:p>
    <w:p>
      <w:pPr>
        <w:pStyle w:val="BookText"/>
        <w:rPr/>
      </w:pPr>
      <w:r>
        <w:rPr>
          <w:rFonts w:ascii="IRNazanin" w:hAnsi="IRNazanin" w:eastAsia="IRNazanin"/>
          <w:color w:val="111111"/>
          <w:sz w:val="28"/>
          <w:sz w:val="28"/>
          <w:szCs w:val="28"/>
          <w:rtl w:val="true"/>
          <w:lang w:bidi="fa-IR"/>
        </w:rPr>
        <w:t>محکوم می‌کرد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در عصرهای بعد که این نظریه اعتبارش را از دست می‌دهد و فقه سیاسی شیعه توسعه پیدا می‌کند، بازهم مفهوم محوری اندیشه سیاسی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نمی‌رود تا آنکه انقلاب مشروطه ایران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مشروطه نخستین مواجهه فقه سیاسی شیعه با ساختار حکومت بود که پس از آن این فقه در کنار بحث از رأس هرم حکومت، تا حدودی به شیوه حکومت هم می‌پردازد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میرزا محمدحسین 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فقیهی است که در کتاب مهم خود تنبیه الامة و تنزیه الملة</w:t>
      </w:r>
      <w:r>
        <w:rPr>
          <w:rStyle w:val="FootnoteAnchor"/>
          <w:rtl w:val="true"/>
        </w:rPr>
        <w:footnoteReference w:id="372"/>
      </w:r>
      <w:r>
        <w:rPr>
          <w:rFonts w:ascii="IRNazanin" w:hAnsi="IRNazanin" w:eastAsia="IRNazanin"/>
          <w:color w:val="111111"/>
          <w:sz w:val="28"/>
          <w:sz w:val="28"/>
          <w:szCs w:val="28"/>
          <w:rtl w:val="true"/>
          <w:lang w:bidi="fa-IR"/>
        </w:rPr>
        <w:t>به ارزیابی اقسام حکومت از نظر شکلی و شیوه‌ای پرداخته و درنهایت، نظام مشروطه را به دلیل اهمیتی که از نظر شکلی برای اداره جامعه داشته، قابل دفاع فقهی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برای طرح مسأله از اینجا آغاز می‌کند که چون در عصر غیبت جای عصمت حاکم برای همیشه خالی است و دیگر تا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که از چنان کنترل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نصیب امت نخواهد شد، باید تا آنجا که امکان دارد، برای تقلیل</w:t>
      </w:r>
    </w:p>
    <w:p>
      <w:pPr>
        <w:pStyle w:val="BookText"/>
        <w:rPr/>
      </w:pPr>
      <w:r>
        <w:rPr>
          <w:rFonts w:ascii="IRNazanin" w:hAnsi="IRNazanin" w:eastAsia="IRNazanin"/>
          <w:color w:val="111111"/>
          <w:sz w:val="28"/>
          <w:sz w:val="28"/>
          <w:szCs w:val="28"/>
          <w:rtl w:val="true"/>
          <w:lang w:bidi="fa-IR"/>
        </w:rPr>
        <w:t>ظلم</w:t>
      </w:r>
      <w:r>
        <w:rPr>
          <w:rStyle w:val="FootnoteAnchor"/>
          <w:rtl w:val="true"/>
        </w:rPr>
        <w:footnoteReference w:id="373"/>
      </w:r>
      <w:r>
        <w:rPr>
          <w:rFonts w:ascii="IRNazanin" w:hAnsi="IRNazanin" w:eastAsia="IRNazanin"/>
          <w:color w:val="111111"/>
          <w:sz w:val="28"/>
          <w:sz w:val="28"/>
          <w:szCs w:val="28"/>
          <w:rtl w:val="true"/>
          <w:lang w:bidi="fa-IR"/>
        </w:rPr>
        <w:t>اقامه امربه‌معروف و نهی‌ازمنکر</w:t>
      </w:r>
      <w:r>
        <w:rPr>
          <w:rStyle w:val="FootnoteAnchor"/>
          <w:rtl w:val="true"/>
        </w:rPr>
        <w:footnoteReference w:id="374"/>
      </w:r>
      <w:r>
        <w:rPr>
          <w:rFonts w:ascii="IRNazanin" w:hAnsi="IRNazanin" w:eastAsia="IRNazanin"/>
          <w:color w:val="111111"/>
          <w:sz w:val="28"/>
          <w:sz w:val="28"/>
          <w:szCs w:val="28"/>
          <w:rtl w:val="true"/>
          <w:lang w:bidi="fa-IR"/>
        </w:rPr>
        <w:t>و نیز حفظ نظم ممالیک اسلامیه</w:t>
      </w:r>
      <w:r>
        <w:rPr>
          <w:rStyle w:val="FootnoteAnchor"/>
          <w:rtl w:val="true"/>
        </w:rPr>
        <w:footnoteReference w:id="375"/>
      </w:r>
      <w:r>
        <w:rPr>
          <w:rFonts w:ascii="IRNazanin" w:hAnsi="IRNazanin" w:eastAsia="IRNazanin"/>
          <w:color w:val="111111"/>
          <w:sz w:val="28"/>
          <w:sz w:val="28"/>
          <w:szCs w:val="28"/>
          <w:rtl w:val="true"/>
          <w:lang w:bidi="fa-IR"/>
        </w:rPr>
        <w:t>به دنبال سیستمی رفت که در درون آن جای‌گزینی برای قوه عصمت تعبیه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مشروطه در نگاه نائینی دقیقاً پاسخ به این تقاضا بود و با نهادهایی چون قانون اساسی و مجلس شورا راه را برای تعیین حدود مداخله سلطان،</w:t>
      </w:r>
      <w:r>
        <w:rPr>
          <w:rStyle w:val="FootnoteAnchor"/>
          <w:rtl w:val="true"/>
        </w:rPr>
        <w:footnoteReference w:id="376"/>
      </w:r>
      <w:r>
        <w:rPr>
          <w:rFonts w:ascii="IRNazanin" w:hAnsi="IRNazanin" w:eastAsia="IRNazanin"/>
          <w:color w:val="111111"/>
          <w:sz w:val="28"/>
          <w:sz w:val="28"/>
          <w:szCs w:val="28"/>
          <w:rtl w:val="true"/>
          <w:lang w:bidi="fa-IR"/>
        </w:rPr>
        <w:t>تضمین آزادی امت</w:t>
      </w:r>
      <w:r>
        <w:rPr>
          <w:rStyle w:val="FootnoteAnchor"/>
          <w:rtl w:val="true"/>
        </w:rPr>
        <w:footnoteReference w:id="377"/>
      </w:r>
      <w:r>
        <w:rPr>
          <w:rFonts w:ascii="IRNazanin" w:hAnsi="IRNazanin" w:eastAsia="IRNazanin"/>
          <w:color w:val="111111"/>
          <w:sz w:val="28"/>
          <w:sz w:val="28"/>
          <w:szCs w:val="28"/>
          <w:rtl w:val="true"/>
          <w:lang w:bidi="fa-IR"/>
        </w:rPr>
        <w:t>و تقلیل ظلم از ساحت اقدس احدیت</w:t>
      </w:r>
      <w:r>
        <w:rPr>
          <w:rStyle w:val="FootnoteAnchor"/>
          <w:rtl w:val="true"/>
        </w:rPr>
        <w:footnoteReference w:id="378"/>
      </w:r>
      <w:r>
        <w:rPr>
          <w:rFonts w:ascii="IRNazanin" w:hAnsi="IRNazanin" w:eastAsia="IRNazanin"/>
          <w:color w:val="111111"/>
          <w:sz w:val="28"/>
          <w:sz w:val="28"/>
          <w:szCs w:val="28"/>
          <w:rtl w:val="true"/>
          <w:lang w:bidi="fa-IR"/>
        </w:rPr>
        <w:t>هموار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آنچه به حسب قوه بشری جامع این جهات و اقامه آن با اطراد و رسمیت به جای آن قوه عاصمه عصمت، حتّی با مغصوبیت هم ممکن و مجازی از آن حقیقت و سایه و صدقی از آن معنی و قامت تواند بود، موقوف به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ملی</w:t>
      </w:r>
      <w:r>
        <w:rPr>
          <w:rFonts w:eastAsia="IRNazanin" w:cs="IRNazanin"/>
          <w:color w:val="111111"/>
          <w:sz w:val="28"/>
          <w:szCs w:val="28"/>
          <w:rtl w:val="true"/>
          <w:lang w:bidi="fa-IR"/>
        </w:rPr>
        <w:t>.</w:t>
      </w:r>
      <w:r>
        <w:rPr>
          <w:rStyle w:val="FootnoteAnchor"/>
          <w:rtl w:val="true"/>
        </w:rPr>
        <w:footnoteReference w:id="3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فقیهی که پس از نائینی کوشش کرد مجلس را با رهیافتی متفاوت، اما مطابق با الگوهای دینی تحلیل کند، شهید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به گفته دکمجیان از پدرخوانده‌های فکری قانون اساسی جمهوری اسلامی به شمار می‌رود،</w:t>
      </w:r>
      <w:r>
        <w:rPr>
          <w:rStyle w:val="FootnoteAnchor"/>
          <w:rtl w:val="true"/>
        </w:rPr>
        <w:footnoteReference w:id="380"/>
      </w:r>
      <w:r>
        <w:rPr>
          <w:rFonts w:ascii="IRNazanin" w:hAnsi="IRNazanin" w:eastAsia="IRNazanin"/>
          <w:color w:val="111111"/>
          <w:sz w:val="28"/>
          <w:sz w:val="28"/>
          <w:szCs w:val="28"/>
          <w:rtl w:val="true"/>
          <w:lang w:bidi="fa-IR"/>
        </w:rPr>
        <w:t xml:space="preserve">قدرت سیاسی را بر دو پایه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و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مردم می‌داند که براساس حق خلافت الهی در دوران غیبت به آنان واگذار شده است تا از طریق انتخاب رئیس‌جمهور و نمایندگان مجلس این حق را به منصه ظهور برسانند و با نقشی که مرجعیت در نظارت بر روند</w:t>
      </w:r>
    </w:p>
    <w:p>
      <w:pPr>
        <w:pStyle w:val="BookText"/>
        <w:rPr/>
      </w:pPr>
      <w:r>
        <w:rPr>
          <w:rFonts w:ascii="IRNazanin" w:hAnsi="IRNazanin" w:eastAsia="IRNazanin"/>
          <w:color w:val="111111"/>
          <w:sz w:val="28"/>
          <w:sz w:val="28"/>
          <w:szCs w:val="28"/>
          <w:rtl w:val="true"/>
          <w:lang w:bidi="fa-IR"/>
        </w:rPr>
        <w:t>امور ایفا می‌کند، سیاست‌ها به‌سوی اهداف دینی هدایت خواهد شد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بنابراین، در اندیشه شهید صدر پذیرش این سیستم، برای شیوه اعمال حق استخلاف مردم در ساختن اجتماع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سیاسی از خلافت به‌معنای رهبری جامعه را قبلاً راغب و آلوسی مطرح کرده‌اند که انسان باید در اقتدا به خداوند متعال در جهت تحقق خلافت برای اداره عادلانه اجتماع به اندازه‌ای که می‌تواند تلاش کند، ولی تا این اندازه روشن و نتیجه‌بخش سخن نگفته‌اند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به‌هرحال، سرانجام سیر این گرایش در قانون اساسی جمهوری اسلامی ایران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به پیشنهاد و پیگیری شخص امام خمینی شکل گرفت و با اشراف ایشان بر امّهات و اصول مندرج در آن تا مرحله همه‌پرسی پیش رفت و درنهایت به تصویب رسید، مهم‌ترین سند سیاسی است که در بستر فقه شیعه به بار نشسته است؛ چون علاوه بر نقش امام خمینی جمعی از فقهای مسلم تا سطح مرجعیت تقلید در تدوین آن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تفکیک قوا از مجلس به‌عنوان رکن نخست حکومت یاد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قوای حاکم در جمهوری اسلامی ایران عبارتند از قوه مقننه، قوه مجریه و قوه قضائیه که زیر نظر ولایت مطلقه امر و امامت امت بر طبق اصول آینده اعمال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مستقل از یکدیگرند</w:t>
      </w:r>
      <w:r>
        <w:rPr>
          <w:rFonts w:eastAsia="IRNazanin" w:cs="IRNazanin"/>
          <w:color w:val="111111"/>
          <w:sz w:val="28"/>
          <w:szCs w:val="28"/>
          <w:rtl w:val="true"/>
          <w:lang w:bidi="fa-IR"/>
        </w:rPr>
        <w:t>.</w:t>
      </w:r>
      <w:r>
        <w:rPr>
          <w:rStyle w:val="FootnoteAnchor"/>
          <w:rtl w:val="true"/>
        </w:rPr>
        <w:footnoteReference w:id="383"/>
      </w:r>
      <w:bookmarkStart w:id="180" w:name="pg5406_38641"/>
    </w:p>
    <w:p>
      <w:pPr>
        <w:pStyle w:val="Heading4"/>
        <w:numPr>
          <w:ilvl w:val="3"/>
          <w:numId w:val="1"/>
        </w:numPr>
        <w:rPr/>
      </w:pPr>
      <w:bookmarkStart w:id="181" w:name="__RefHeading___Toc1597160_581953129"/>
      <w:bookmarkStart w:id="182" w:name="_Toc68"/>
      <w:bookmarkEnd w:id="180"/>
      <w:bookmarkEnd w:id="181"/>
      <w:r>
        <w:rPr/>
        <w:t>2</w:t>
      </w:r>
      <w:r>
        <w:rPr>
          <w:rtl w:val="true"/>
        </w:rPr>
        <w:t xml:space="preserve">- </w:t>
      </w:r>
      <w:r>
        <w:rPr>
          <w:rtl w:val="true"/>
        </w:rPr>
        <w:t>کار ویژه های مجلس</w:t>
      </w:r>
      <w:bookmarkEnd w:id="182"/>
    </w:p>
    <w:p>
      <w:pPr>
        <w:pStyle w:val="BookText"/>
        <w:rPr/>
      </w:pPr>
      <w:r>
        <w:rPr>
          <w:rFonts w:ascii="IRNazanin" w:hAnsi="IRNazanin" w:eastAsia="IRNazanin"/>
          <w:color w:val="111111"/>
          <w:sz w:val="28"/>
          <w:sz w:val="28"/>
          <w:szCs w:val="28"/>
          <w:rtl w:val="true"/>
          <w:lang w:bidi="fa-IR"/>
        </w:rPr>
        <w:t>دومین تفاوت وکالت مجلس با وکالت‌های دیگر در کارویژه‌های آن است که همگی جنبه آمرانه، الزام‌آور و حکومتی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تعریفی که در ذیل می‌آید، این ویژگی‌ها به‌روشنی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کلاسیک جامع و مانع از قوه مقننه کار دشواری است که بیشتر حقوق‌دانان در حقوق اساسی ناگزیر از آن چشم پوشیده‌اند، ولی در یک تعریف عادی می‌توان قوه مقننه را نهادی دانست که متکفل قانون‌گذاری در یک کشور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عواملی مانند ضرورت قانون، تحولات مستمر زندگی در روابط اجتماعی، نیازهای فوری، پیشامدها، همچنین سکون و ابهام و تعارض قوانین گذشته، تداوم کار قوه مقننه و فلسفه وجودی آن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بدون استثنا در همه جوامع بشری احساس می‌شود و نیاز به قوه مقننه و ارزش و اهمیت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نظام توحیدی اسلام نیز با وجود قوانین جامع و کامل الهی که از وحی سرچشمه می‌گیرد، نوعی نهاد قانون گذاری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اصول و قواعد کلی قانونی از طریق وحی الهی مشخص و تعیین شده و به دلیل حاکمیت تشریعی خدا اطاعت از این اصول کلی اجتناب‌ناپذیر است، ولی در قلمرو وسیع مباحات و احکام ترخیصی و نیز موضوعات و کیفیت اجرای احکام کلی، و درتشخیص و تطبیق عناوین ثانوی و تبین احکام ثانوی، اختیارات وسیعی توأم با مسئولیت به انسان آگاه و مؤمن تفویض شده است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تعریف، علاوه بر توضیح کارویژه مجلس و تبیین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اندیشه مدرن به تعیین قلمرو آن نیز توجه کرده است تا از این طریق مفهوم ضرورت نهاد قانون‌گذاری در اندیشه دینی مسلمانان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ایران نیز با پذیرش قانون‌گذاری به‌عنوان مسؤلیت نخست این نهاد اساساًَ تلفیقی از ساختار مدرن حکومت با اندیشه اسلامی را نشان می‌دهد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کلی چارچوب مشروعیت آن را در حوزه قانون‌گذاری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اسلامی نمی‌تواند قوانینی وضع کند که با اصول و احکام مذهب رسمی کشور یا قانون اساسی 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به ترتیبی که در اصل نود و ششم آمده، برعهده شورای نگهبان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البته پذیرش این نهاد در این نقش با قیدی که نباید قوانین آن درتعارض با احکام شرع قرار گیرد، در اندیشه فقهایی که به این موضوع پرداخته‌اند،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اولویت‌بندی آنها از مسؤلیت‌های مجلس، وظیفه قانون‌گذاری تحت الشعاع وظایف نظارتی این نهاد قرار می‌گیرد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نگارنده تعریف فوق از مجلس، از کارکردهای دیگر آن که می‌شود همه را تحت عنوان کلی تحقیق و نظارت و نقد گنجاند،</w:t>
      </w:r>
    </w:p>
    <w:p>
      <w:pPr>
        <w:pStyle w:val="BookText"/>
        <w:rPr/>
      </w:pPr>
      <w:r>
        <w:rPr>
          <w:rFonts w:ascii="IRNazanin" w:hAnsi="IRNazanin" w:eastAsia="IRNazanin"/>
          <w:color w:val="111111"/>
          <w:sz w:val="28"/>
          <w:sz w:val="28"/>
          <w:szCs w:val="28"/>
          <w:rtl w:val="true"/>
          <w:lang w:bidi="fa-IR"/>
        </w:rPr>
        <w:t>غفلت نکرده است</w:t>
      </w:r>
      <w:r>
        <w:rPr>
          <w:rStyle w:val="FootnoteAnchor"/>
          <w:rtl w:val="true"/>
        </w:rPr>
        <w:footnoteReference w:id="387"/>
      </w:r>
      <w:r>
        <w:rPr>
          <w:rFonts w:ascii="IRNazanin" w:hAnsi="IRNazanin" w:eastAsia="IRNazanin"/>
          <w:color w:val="111111"/>
          <w:sz w:val="28"/>
          <w:sz w:val="28"/>
          <w:szCs w:val="28"/>
          <w:rtl w:val="true"/>
          <w:lang w:bidi="fa-IR"/>
        </w:rPr>
        <w:t>و در قانون اساسی ایران هم بعد از قانون‌گذاری وظایف دیگری برای مجلس جز آنچه به جنبه‌های مختلف قانون‌گذاری مربوط می‌شود نیز پیش‌بینی کرده است،</w:t>
      </w:r>
      <w:r>
        <w:rPr>
          <w:rStyle w:val="FootnoteAnchor"/>
          <w:rtl w:val="true"/>
        </w:rPr>
        <w:footnoteReference w:id="388"/>
      </w:r>
      <w:r>
        <w:rPr>
          <w:rFonts w:ascii="IRNazanin" w:hAnsi="IRNazanin" w:eastAsia="IRNazanin"/>
          <w:color w:val="111111"/>
          <w:sz w:val="28"/>
          <w:sz w:val="28"/>
          <w:szCs w:val="28"/>
          <w:rtl w:val="true"/>
          <w:lang w:bidi="fa-IR"/>
        </w:rPr>
        <w:t xml:space="preserve">اما مبنایی که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فقیهی که به طرح و تحلیل آن در اندیشه دینی مسلمانان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ضرورت وجود مجلس را تحلیل می‌کند، اهمیت به ضرورت نهاد قانون‌گذاری جدید نبوده است، بلکه کنترل تخطی‌ها و دورزدن از قانون بوده است؛ قانونی که بخش عمده و ضروری آن برای همیشه در شریعت اسلام موجود، جاودانه و تبعیت از آن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مجلس را از باب ضرورت جایگزین کردن یک نهاد به‌مثابه قوه عصمت حاکم می‌پذیرد؛</w:t>
      </w:r>
      <w:r>
        <w:rPr>
          <w:rStyle w:val="FootnoteAnchor"/>
          <w:rtl w:val="true"/>
        </w:rPr>
        <w:footnoteReference w:id="389"/>
      </w:r>
      <w:r>
        <w:rPr>
          <w:rFonts w:ascii="IRNazanin" w:hAnsi="IRNazanin" w:eastAsia="IRNazanin"/>
          <w:color w:val="111111"/>
          <w:sz w:val="28"/>
          <w:sz w:val="28"/>
          <w:szCs w:val="28"/>
          <w:rtl w:val="true"/>
          <w:lang w:bidi="fa-IR"/>
        </w:rPr>
        <w:t xml:space="preserve">یعنی عمدتاً کارکرد انتقادی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نظارتی برای آن قائل است، و در قدم بعد قانون‌گذاری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در اندیشه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آغاز با اتخاذ یک عنوان کلاسیک چون حل و عقد خواسته است از فربه کردن وجهه قانون‌گذاری این نهاد فاصله بگیرد یا حداقل کارکردهای دیگران را دست‌کم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ایشان مسؤلیت‌های مجلس حل وعقد که با انتخاب ملت شکل می‌گیرد، این مواردند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اعتماد به اعضای هیئت دولت معرفی شده از سوی رئیس قوه مجریه؛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فتوای مناسب در موارد اختلاف فتاوای مجتهدین بر اساس مصلحت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از 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83" w:name="pg5406_38647"/>
    </w:p>
    <w:p>
      <w:pPr>
        <w:pStyle w:val="BookText"/>
        <w:rPr/>
      </w:pPr>
      <w:bookmarkEnd w:id="18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قوانین مورد نیاز در منطقة الفراغ؛</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به نحوه اجرای قوانین اساسی و عادی و نظارت بر عملکرد قوه مجریه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به هر صورت، چه اولویت به قانون‌گذاری در مجلس داده شود و چه به کارکردهای انتقادی آن، مجلس در ماهیت سیاسی جدید آن که بخشی مهم از حاکمیت را تمثیل می‌کند، اوّلاً در فقه شیعه پذیرفته شده است و ثانیاً مشروعیت آن مورد تأئید قرار گرفته است</w:t>
      </w:r>
      <w:r>
        <w:rPr>
          <w:rFonts w:eastAsia="IRNazanin" w:cs="IRNazanin"/>
          <w:color w:val="111111"/>
          <w:sz w:val="28"/>
          <w:szCs w:val="28"/>
          <w:rtl w:val="true"/>
          <w:lang w:bidi="fa-IR"/>
        </w:rPr>
        <w:t>.</w:t>
      </w:r>
    </w:p>
    <w:p>
      <w:pPr>
        <w:pStyle w:val="Heading4"/>
        <w:numPr>
          <w:ilvl w:val="3"/>
          <w:numId w:val="1"/>
        </w:numPr>
        <w:rPr/>
      </w:pPr>
      <w:bookmarkStart w:id="184" w:name="__RefHeading___Toc1597162_581953129"/>
      <w:bookmarkStart w:id="185" w:name="_Toc69"/>
      <w:bookmarkEnd w:id="184"/>
      <w:r>
        <w:rPr/>
        <w:t>3</w:t>
      </w:r>
      <w:r>
        <w:rPr>
          <w:rtl w:val="true"/>
        </w:rPr>
        <w:t xml:space="preserve">- </w:t>
      </w:r>
      <w:r>
        <w:rPr>
          <w:rtl w:val="true"/>
        </w:rPr>
        <w:t>مبنای مشروعیت وکالت مجلس</w:t>
      </w:r>
      <w:bookmarkEnd w:id="185"/>
    </w:p>
    <w:p>
      <w:pPr>
        <w:pStyle w:val="BookText"/>
        <w:rPr/>
      </w:pPr>
      <w:r>
        <w:rPr>
          <w:rFonts w:ascii="IRNazanin" w:hAnsi="IRNazanin" w:eastAsia="IRNazanin"/>
          <w:color w:val="111111"/>
          <w:sz w:val="28"/>
          <w:sz w:val="28"/>
          <w:szCs w:val="28"/>
          <w:rtl w:val="true"/>
          <w:lang w:bidi="fa-IR"/>
        </w:rPr>
        <w:t>سومین ویژگی که وکالت مجلس را از انواع وکالت و به‌خصوص وکالت دعاوی متمایز می‌کند، مبنای مشروعیت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خاطرنشان شد که وکالت در هر موضوعی خواه برای وکیل یا کسی‌که وکیل می‌گیرد، فرع بر دو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و تصرف آن شخص در موضوع مورد وکالت جدا از قرار وکالت که برای غیر انجام می‌دهد، مجاز و مشروع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آن مورد به طور مشخص تحریم نشده باشد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طبق این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 الجمله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وکالت مجلس به دلیل ماهیت حکومتی آن وابسته به مشروعیت مشارکت و دخالت مردم حداقل به‌صورت نمایندگی در بخشی از حاکمیت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وکالت به طور مشخص در امر حکومت تحریم نشده و وکالت در قضاوت از زمان شیخ طوسی مطرح بوده است،</w:t>
      </w:r>
      <w:r>
        <w:rPr>
          <w:rStyle w:val="FootnoteAnchor"/>
          <w:rtl w:val="true"/>
        </w:rPr>
        <w:footnoteReference w:id="392"/>
      </w:r>
      <w:r>
        <w:rPr>
          <w:rFonts w:ascii="IRNazanin" w:hAnsi="IRNazanin" w:eastAsia="IRNazanin"/>
          <w:color w:val="111111"/>
          <w:sz w:val="28"/>
          <w:sz w:val="28"/>
          <w:szCs w:val="28"/>
          <w:rtl w:val="true"/>
          <w:lang w:bidi="fa-IR"/>
        </w:rPr>
        <w:t xml:space="preserve">اما مشروعیت دخالت مردم به‌گونه‌ای تأثیرگذار که کل نظام حکومت یا دست‌کم یک بخش تفکیک شده چون مجلس بر پایه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شکل بگیرد، دشوار و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تحقیق، تحلیل از حکومت بر اساس این ساز و کار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چهل سال پیش به‌صورت گذرا و اشاره‌وار در فقه شیعه طرح شده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بعد از آن، این بحث تنها در یک اثر با شیوه مطالعات فقهی تعقیب شده،</w:t>
      </w:r>
      <w:r>
        <w:rPr>
          <w:rStyle w:val="FootnoteAnchor"/>
          <w:rtl w:val="true"/>
        </w:rPr>
        <w:footnoteReference w:id="394"/>
      </w:r>
      <w:r>
        <w:rPr>
          <w:rFonts w:ascii="IRNazanin" w:hAnsi="IRNazanin" w:eastAsia="IRNazanin"/>
          <w:color w:val="111111"/>
          <w:sz w:val="28"/>
          <w:sz w:val="28"/>
          <w:szCs w:val="28"/>
          <w:rtl w:val="true"/>
          <w:lang w:bidi="fa-IR"/>
        </w:rPr>
        <w:t>اما در بهره‌مندی آن از روش‌شناسی فقهی تردید وجود دارد</w:t>
      </w:r>
      <w:r>
        <w:rPr>
          <w:rFonts w:eastAsia="IRNazanin" w:cs="IRNazanin"/>
          <w:color w:val="111111"/>
          <w:sz w:val="28"/>
          <w:szCs w:val="28"/>
          <w:rtl w:val="true"/>
          <w:lang w:bidi="fa-IR"/>
        </w:rPr>
        <w:t>.</w:t>
      </w:r>
      <w:r>
        <w:rPr>
          <w:rStyle w:val="FootnoteAnchor"/>
          <w:rtl w:val="true"/>
        </w:rPr>
        <w:footnoteReference w:id="39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مشروعیت وکالت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همه جریان‌های فقه شیعه که برای مردم نقش مشروعیت‌آفرین قائلند و شکل‌گیری نظام مشروع را به انتخاب مردم در چهارچوب شرع منوط می‌دانند، طبق قواعد وکالت فقه بدون اشکال است؛ به‌ویژه در دیدگاه جریان مشروطه شیعه که ضرورت مجلس را براساس ضرورت نظارت</w:t>
      </w:r>
    </w:p>
    <w:p>
      <w:pPr>
        <w:pStyle w:val="BookText"/>
        <w:rPr/>
      </w:pPr>
      <w:r>
        <w:rPr>
          <w:rFonts w:ascii="IRNazanin" w:hAnsi="IRNazanin" w:eastAsia="IRNazanin"/>
          <w:color w:val="111111"/>
          <w:sz w:val="28"/>
          <w:sz w:val="28"/>
          <w:szCs w:val="28"/>
          <w:rtl w:val="true"/>
          <w:lang w:bidi="fa-IR"/>
        </w:rPr>
        <w:t>قدرت حاکم</w:t>
      </w:r>
      <w:r>
        <w:rPr>
          <w:rStyle w:val="FootnoteAnchor"/>
          <w:rtl w:val="true"/>
        </w:rPr>
        <w:footnoteReference w:id="396"/>
      </w:r>
      <w:r>
        <w:rPr>
          <w:rFonts w:ascii="IRNazanin" w:hAnsi="IRNazanin" w:eastAsia="IRNazanin"/>
          <w:color w:val="111111"/>
          <w:sz w:val="28"/>
          <w:sz w:val="28"/>
          <w:szCs w:val="28"/>
          <w:rtl w:val="true"/>
          <w:lang w:bidi="fa-IR"/>
        </w:rPr>
        <w:t>و قاعده شورا تبیین می‌کند؛</w:t>
      </w:r>
      <w:r>
        <w:rPr>
          <w:rStyle w:val="FootnoteAnchor"/>
          <w:rtl w:val="true"/>
        </w:rPr>
        <w:footnoteReference w:id="397"/>
      </w:r>
      <w:r>
        <w:rPr>
          <w:rFonts w:ascii="IRNazanin" w:hAnsi="IRNazanin" w:eastAsia="IRNazanin"/>
          <w:color w:val="111111"/>
          <w:sz w:val="28"/>
          <w:sz w:val="28"/>
          <w:szCs w:val="28"/>
          <w:rtl w:val="true"/>
          <w:lang w:bidi="fa-IR"/>
        </w:rPr>
        <w:t>چون تحقیق این ایده به شکل معقول آن جز در قالب نمایندگی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نظام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یک دیدگاه مسلط و مشهور نقش مردم را در مشروعیت حکومت فاقد اصالت</w:t>
      </w:r>
      <w:r>
        <w:rPr>
          <w:rStyle w:val="FootnoteAnchor"/>
          <w:rtl w:val="true"/>
        </w:rPr>
        <w:footnoteReference w:id="398"/>
      </w:r>
      <w:r>
        <w:rPr>
          <w:rFonts w:ascii="IRNazanin" w:hAnsi="IRNazanin" w:eastAsia="IRNazanin"/>
          <w:color w:val="111111"/>
          <w:sz w:val="28"/>
          <w:sz w:val="28"/>
          <w:szCs w:val="28"/>
          <w:rtl w:val="true"/>
          <w:lang w:bidi="fa-IR"/>
        </w:rPr>
        <w:t>و مشروعیت را وابسته به رأی آنان نمی‌داند،</w:t>
      </w:r>
      <w:r>
        <w:rPr>
          <w:rStyle w:val="FootnoteAnchor"/>
          <w:rtl w:val="true"/>
        </w:rPr>
        <w:footnoteReference w:id="399"/>
      </w:r>
      <w:r>
        <w:rPr>
          <w:rFonts w:ascii="IRNazanin" w:hAnsi="IRNazanin" w:eastAsia="IRNazanin"/>
          <w:color w:val="111111"/>
          <w:sz w:val="28"/>
          <w:sz w:val="28"/>
          <w:szCs w:val="28"/>
          <w:rtl w:val="true"/>
          <w:lang w:bidi="fa-IR"/>
        </w:rPr>
        <w:t>بلکه رأی آنان را به مثابه شهادت در تعیین حاکم</w:t>
      </w:r>
      <w:r>
        <w:rPr>
          <w:rStyle w:val="FootnoteAnchor"/>
          <w:rtl w:val="true"/>
        </w:rPr>
        <w:footnoteReference w:id="400"/>
      </w:r>
      <w:r>
        <w:rPr>
          <w:rFonts w:ascii="IRNazanin" w:hAnsi="IRNazanin" w:eastAsia="IRNazanin"/>
          <w:color w:val="111111"/>
          <w:sz w:val="28"/>
          <w:sz w:val="28"/>
          <w:szCs w:val="28"/>
          <w:rtl w:val="true"/>
          <w:lang w:bidi="fa-IR"/>
        </w:rPr>
        <w:t xml:space="preserve">و مشابه پیشنهاد برای تعیین سایر کارگذاران به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پیشنهاد فردی به امام معصوم از سوی مردم یک منطقه برای فرمانداری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نقش مردم در خصوص مجلس از اهمیتی بالا تا سرحد مشروعیت برخوردار است؛ زیرا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کارویژه‌های مجلس نظارت در تمام امور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بابت منعکس کننده حق نظارت و نقد مردم بر حکومت خواهد بود که در تعالیم پیشوایان دین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لائمة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شده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نیز می‌توان آن را در جهت اجرای فریضه امربه‌معروف و نهی‌ازمنکر دانست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مهم مجلس حیثیت شورایی آن است که بازهم یک تکلیف یا دست‌کم سنت حسنه را در ارتباط با مردم بازتاب می‌دهد؛ یعنی مجلس نمادِ نهاد مشورت مردم در تصمیم‌گیری امور حکومتی است که با حفظ ریشه‌های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خود از کارکرد حکومتی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جایگاه تجلی شورا در حوزه قانون‌گذاری و تصمیم‌گیری‌های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مبانی فقهی حکومت اسلامی به جنبه‌های دیگری از مسأله نیز توجه شده که به موجب آن حق انتخاب مردم در نمایندگی قوه مقننه بیشتر موجه می‌نماید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موضوع اقتضا دارد که انتخاب اعضای مجلس شورا به دست حاکم و به انتخاب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که غرض از مجلس شورا مشورت و تصمیم‌گیری در امور مربوط به جامعه است، پس اگر امکان داشته باشد که انتخاب نمایندگان به مردم واگذار شود و قوه تشریعیه نشأت گرفته از انتخاب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ودرعمق جان مردم بیشتر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آیه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خطاب‌های قرآن به مردم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تناسب داشته باشد؛ زیرا اگر امر امر مردم است و تکلیف نیز متوجه مردم است، پس تصمیم‌گیری و قانون‌گذاری نیز مناسب است به دست نمایندگان مردم باشد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دراین دیدگاه تدریجاً به‌سوی ادله‌ای اعم از مدعا نزدیک می‌شویم که اگر همه در جای خود از نقد آسیب‌ناپذیر باشند، نه تنها تناسب انتخاب مجلس ازسوی مردم را اقتضا می‌کند که اساساً تکلیف شیوه شکل‌گیری کل نظام حکومت را به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می‌نماید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گفته شد، می‌توان این گونه جمع‌بندی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تکلیف یا حق مردم در نقد و نظارت بر سیاست‌های حکومت و رجحان مشاوره در امورحکومتی و نیز با توجه به عدم تصلب شریعت بر شکل و شیوه‌ای خاص در حوزه روش‌ها</w:t>
      </w:r>
      <w:r>
        <w:rPr>
          <w:rStyle w:val="FootnoteAnchor"/>
          <w:rtl w:val="true"/>
        </w:rPr>
        <w:footnoteReference w:id="406"/>
      </w:r>
      <w:r>
        <w:rPr>
          <w:rFonts w:ascii="IRNazanin" w:hAnsi="IRNazanin" w:eastAsia="IRNazanin"/>
          <w:color w:val="111111"/>
          <w:sz w:val="28"/>
          <w:sz w:val="28"/>
          <w:szCs w:val="28"/>
          <w:rtl w:val="true"/>
          <w:lang w:bidi="fa-IR"/>
        </w:rPr>
        <w:t>مجلس به‌عنوان نهادی مبتنی بر وکالت مناسب‌ترین و بلکه انحصاری ترین روشی است که می‌تواند حیات رایزنی‌های جمعی جامعه مسلمان و نیز انتقال اثرگذار دیدگاه انتقادی آنان را از موضع اقتدار درباره سلوک و سیاست حاکم بر جامعه به شکل نهادینه شده و نظامند تضمین نماید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به‌هرصورت ریشه‌های مردمی و وجهه نمایندگی مجلس یا قوه مقننه در میان ارکان حکومت برجستگی ویژه‌ای دارد که رگه‌های آن در قانون اساسی جمهوری اسلامی ایران هم به‌روشنی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مبتنی بر ولایت فقیه، به این نهاد استقلال خاص داده شده و در برخی تحلیل‌ها صریحا منبع مشروعیت این نهاد بر اساس وکالت از مردم تبیین شده است</w:t>
      </w:r>
      <w:r>
        <w:rPr>
          <w:rFonts w:eastAsia="IRNazanin" w:cs="IRNazanin"/>
          <w:color w:val="111111"/>
          <w:sz w:val="28"/>
          <w:szCs w:val="28"/>
          <w:rtl w:val="true"/>
          <w:lang w:bidi="fa-IR"/>
        </w:rPr>
        <w:t>:</w:t>
      </w:r>
      <w:bookmarkStart w:id="186" w:name="pg5406_38657"/>
    </w:p>
    <w:p>
      <w:pPr>
        <w:pStyle w:val="BookText"/>
        <w:rPr/>
      </w:pPr>
      <w:bookmarkEnd w:id="186"/>
      <w:r>
        <w:rPr>
          <w:rFonts w:ascii="IRNazanin" w:hAnsi="IRNazanin" w:eastAsia="IRNazanin"/>
          <w:color w:val="111111"/>
          <w:sz w:val="28"/>
          <w:sz w:val="28"/>
          <w:szCs w:val="28"/>
          <w:rtl w:val="true"/>
          <w:lang w:bidi="fa-IR"/>
        </w:rPr>
        <w:t>رابطه حقوقی نماینده و مردم امری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می‌توان آن را نوعی عقد وکالت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هنگام کاندیدا شدن و مردم هنگام حضور در انتخابات با علم و اطلاع از ضوابط و مقررات حاکم بر این عمل سیاسی و اجتماعی خود، فردی را جهت انجام امور در قانون انتخاب می‌نمایند و او به وکالت از مردم اقدام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دلالت صریح بر این معنی دارد که رابطه وکالت بین مردم و نماینده محقق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وظایف وکالت امانت و تقوا را رعایت نمایم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این تحلیل در ادامه یادآور می‌شود که براین اساس همه ضوابط کلی عقد وکالت برای نمایندگان متصوّر است که باید از جانب آن‌ها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آنچه را که 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و اختیارات رهبر اختصاص دارد، مؤید مطلب فوق دانست؛ چون تنها نمایندگان مجلسند که رأی مردم برای رسمیت کار آنها نیاز به تنفیذ رهبری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عزل و قبول استعفای آنان از سمت نمایندگی به رهبر ارجاع نشده است</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187" w:name="__RefHeading___Toc1597164_581953129"/>
      <w:bookmarkStart w:id="188" w:name="_Toc70"/>
      <w:bookmarkEnd w:id="187"/>
      <w:r>
        <w:rPr/>
        <w:t>4</w:t>
      </w:r>
      <w:r>
        <w:rPr>
          <w:rtl w:val="true"/>
        </w:rPr>
        <w:t xml:space="preserve">- </w:t>
      </w:r>
      <w:r>
        <w:rPr>
          <w:rtl w:val="true"/>
        </w:rPr>
        <w:t>مکانیسم وکالت مجلس</w:t>
      </w:r>
      <w:bookmarkEnd w:id="18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ویژگی وکالت مورد بحث، تفاوت مکانیسم یا تشریفاتی است که از طریق آن وکالت مجلس نهایی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تشریفات آن</w:t>
      </w:r>
    </w:p>
    <w:p>
      <w:pPr>
        <w:pStyle w:val="BookText"/>
        <w:rPr/>
      </w:pPr>
      <w:r>
        <w:rPr>
          <w:rFonts w:ascii="IRNazanin" w:hAnsi="IRNazanin" w:eastAsia="IRNazanin"/>
          <w:color w:val="111111"/>
          <w:sz w:val="28"/>
          <w:sz w:val="28"/>
          <w:szCs w:val="28"/>
          <w:rtl w:val="true"/>
          <w:lang w:bidi="fa-IR"/>
        </w:rPr>
        <w:t>گونه که شناخته شده است، همان انتخابات است که آرا و توافقات طرفین طی این فرایند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مفهوم انتخابات، با اینکه در صورت عدم التزام به چالش‌های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حاکمیت امری دشوار نیست، در بیان اندیشمندان شیعه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استاد شهید مطهری آنجا که ماهیت حکومت امروزی را تبیین کرده درباره رأی دادن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حقیقت رأی دادن همان وکالت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همچنین در تفسیر نمونه راجع به تفاوت بیعت و انتخابات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بیعت را شبیه انتخابات یا نوعی از آن می‌دانند، درحالی‌که مسأله انتخابات درست عکس آن است؛ یعنی ماهیت آن یک نوع ایجاد مسئولیت و وظیفه، پست و مقام برای انتخاب شونده و یا به تعبیر دیگر نوعی توکیل در انجام کاری است، هرچند این انتخاب وظایفی هم برای انتخاب کننده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وکالت‌ها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بیعت چنین نیست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نکته‌ای که نباید از خاطر دور داشت، اینکه وکالت در این موضوع برخلاف انواع وکالت‌های دیگر عقدی جایز نیست، بلکه به مقتضای طبع قضیه، یعنی لزوم ثبات در نهادهای حکومتی، این قرار داد قطعی و ثابت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اگرچه شبیه وکالت، بلکه نوعی از آن به معنی اعم، یعنی واگذاردن کار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واگذاردن کار به دیگران گاهی فقط اجازه تصرف به دیگران است و گاهی نایب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ایجاد</w:t>
      </w:r>
    </w:p>
    <w:p>
      <w:pPr>
        <w:pStyle w:val="BookText"/>
        <w:rPr/>
      </w:pPr>
      <w:r>
        <w:rPr>
          <w:rFonts w:ascii="IRNazanin" w:hAnsi="IRNazanin" w:eastAsia="IRNazanin"/>
          <w:color w:val="111111"/>
          <w:sz w:val="28"/>
          <w:sz w:val="28"/>
          <w:szCs w:val="28"/>
          <w:rtl w:val="true"/>
          <w:lang w:bidi="fa-IR"/>
        </w:rPr>
        <w:t>سلطه و ولایت مستقل برای دیگری است یا قبول ولایت و سلطه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عقد نیست، نوع دوم طبق ارجاعی که ادعا شده، عقد جایزاست، اما نوع سوم دلیلی بر عقد جایزبودن آن نیست، بلکه طبق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قراردادهای خود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دارد که عقد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حال آنکه اگر انسان شخص دیگری را برای انجام کاری اجیر کند، این نیز یک نوع وکالت همراه با لزوم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طبع ولایت نیز اقتضای لزوم اثبات را دارد و الا نظام جامعه برقرار نخواهد ماند</w:t>
      </w:r>
      <w:r>
        <w:rPr>
          <w:rFonts w:eastAsia="IRNazanin" w:cs="IRNazanin"/>
          <w:color w:val="111111"/>
          <w:sz w:val="28"/>
          <w:szCs w:val="28"/>
          <w:rtl w:val="true"/>
          <w:lang w:bidi="fa-IR"/>
        </w:rPr>
        <w:t>.</w:t>
      </w:r>
      <w:r>
        <w:rPr>
          <w:rStyle w:val="FootnoteAnchor"/>
          <w:rtl w:val="true"/>
        </w:rPr>
        <w:footnoteReference w:id="4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جای مناقشه در جزئیات این بیان وجود دارد که آیا واقعاً ممکن است اجاره را هم کسی نوعی از وکالت بداند؟ یا اساساً چنین تنوع و اقسامی در وکالت فقهی قابل طرح است؟ ولی آنچه باید بدان توجه داشت، ماهیت عرفی قرارداد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دخل و تصرف عرف براساس نیازهای زمانه مادام که به حریم ممنوع شرعی نزدیک نشود، در این حوزه غیرمشروع نخواهد بود؛ یعنی همان گونه که می‌تواند دست به ابداع عقود و قراردادهای جدید بزند،</w:t>
      </w:r>
      <w:r>
        <w:rPr>
          <w:rStyle w:val="FootnoteAnchor"/>
          <w:rtl w:val="true"/>
        </w:rPr>
        <w:footnoteReference w:id="412"/>
      </w:r>
      <w:r>
        <w:rPr>
          <w:rFonts w:ascii="IRNazanin" w:hAnsi="IRNazanin" w:eastAsia="IRNazanin"/>
          <w:color w:val="111111"/>
          <w:sz w:val="28"/>
          <w:sz w:val="28"/>
          <w:szCs w:val="28"/>
          <w:rtl w:val="true"/>
          <w:lang w:bidi="fa-IR"/>
        </w:rPr>
        <w:t>می‌تواند با حفظ چارچوب‌های شرعی در برخی مصادیق کدام عقد تغییر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لزوم آن را هم قبول نکنیم و احکام آن را از این بابت تماماً با وکالت‌های فردی منطبق بدانیم،</w:t>
      </w:r>
      <w:r>
        <w:rPr>
          <w:rStyle w:val="FootnoteAnchor"/>
          <w:rtl w:val="true"/>
        </w:rPr>
        <w:footnoteReference w:id="413"/>
      </w:r>
      <w:r>
        <w:rPr>
          <w:rFonts w:ascii="IRNazanin" w:hAnsi="IRNazanin" w:eastAsia="IRNazanin"/>
          <w:color w:val="111111"/>
          <w:sz w:val="28"/>
          <w:sz w:val="28"/>
          <w:szCs w:val="28"/>
          <w:rtl w:val="true"/>
          <w:lang w:bidi="fa-IR"/>
        </w:rPr>
        <w:t>باز هم صورت اصل مسأله فرق نخواهد کرد و</w:t>
      </w:r>
    </w:p>
    <w:p>
      <w:pPr>
        <w:pStyle w:val="BookText"/>
        <w:rPr/>
      </w:pPr>
      <w:r>
        <w:rPr>
          <w:rFonts w:ascii="IRNazanin" w:hAnsi="IRNazanin" w:eastAsia="IRNazanin"/>
          <w:color w:val="111111"/>
          <w:sz w:val="28"/>
          <w:sz w:val="28"/>
          <w:szCs w:val="28"/>
          <w:rtl w:val="true"/>
          <w:lang w:bidi="fa-IR"/>
        </w:rPr>
        <w:t>مکانیسم وکالت در نمایندگی مجلس همین انتخابات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مایلم از آنچه در این مقدمه گردآوری شد، به این ترتیب جمع‌بندی و نتیجه‌گیری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از وکالت مجلس آن گونه که اساساَ خود این نهاد در جوامع اسلامی از سابقه‌ای برخوردار نیست، بحثی کاملاَ جدید است که تا قبل از انقلاب مشروطه در ادبیات فقهی نشانی از آن دیده نمی‌شود و هنوز هم در متون فقهی رسمی حوزه شیعه مدخل یا بحثی مستقل تحت این عنوان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ایجاب می‌کند که زوایای این بحث از جمله وکالت زن در این نهاد مورد تحقیق مستقل قرارگیرد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کارویژه‌های مجلس، متمایز کننده هویت این نهاد است که بخشی از حاکمیت را در شکل تفکیک شده آن تمثیل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کارویژه‌ها علاوه بر تمایز نهادن میان این قسم وکالت و اقسام دیگر، ناکافی بودن ادله عمومی باب وکالت را که عمدتاً در محورهای امور شخصی دور می‌زند، برملا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کارویژه‌های این نهاد و نیز توقف مشروعیت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حد 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 بودن دخل و تصرف شرعی وکیل در موضوع وکالت، عمده همت این نوشتار معطوف به اثبات مبنایی خواهد شد که براساس آن دخالت زن در مشارکت به حاکمیت، مشروع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با اثبات این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وکالت زن در حاکمیت بیش از نصف راه 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برای تحکیم و اتقان منطقی فرضیه، از چالش‌هایی که شایستگی زن را از دخالت در قدرت یا سیاست زیر سؤال می‌برد، غفلت نخواهیم کرد؛ چون معنای واضح نفی صلاحیت زن از دخالت در سیاست مطابق این چارچوب نفی وکالت زن در سیاست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بودن مکانیسم وکالت در این موضوع به شکل انتخابات، جز آنکه اهمیت موضوع را نشان می‌دهد، تفاوت بنیادی این وکالت با وکالت‌های دیگر به خصوص وکالت دعاوی را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دیگر تفاوت‌ها یا ویژگی‌ها نیز همه اعتبار داخلی در بین اقسام وکالت را نشان می‌دهد و همه روی محور وکالت به‌عنوان ماهیتی که پوشش‌دهنده فقهی این عمل است، رنگ می‌بازند و نیز به دلیل آنکه نقدهای وکالت زن در دعاوی و وکالت مجلس عمدتاً از یک زاویه مشترک، یعنی ناتوانی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احساسات‌گرایی، نقصان عقل، تضاد با شئون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عملی مسمانان، جواز آن را برای زن به چالش می‌کشد، ارتباط این دو گونه وکالت بیش از همه آشکارترمی‌شود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ازآنجاکه در واقع این دو حوزه وکالت، فعالیت زنان را طبعاَ پوشش اجتماعی می‌دهد، پاسخ به این دو پرسش به پاره‌ای از ابهامات فعالیت زن در اجتماع نیز پاسخ خواهد داد</w:t>
      </w:r>
      <w:r>
        <w:rPr>
          <w:rFonts w:eastAsia="IRNazanin" w:cs="IRNazanin"/>
          <w:color w:val="111111"/>
          <w:sz w:val="28"/>
          <w:szCs w:val="28"/>
          <w:rtl w:val="true"/>
          <w:lang w:bidi="fa-IR"/>
        </w:rPr>
        <w:t>.</w:t>
      </w:r>
      <w:bookmarkStart w:id="189" w:name="pg5406_38667"/>
    </w:p>
    <w:p>
      <w:pPr>
        <w:pStyle w:val="Heading3"/>
        <w:numPr>
          <w:ilvl w:val="2"/>
          <w:numId w:val="1"/>
        </w:numPr>
        <w:rPr/>
      </w:pPr>
      <w:bookmarkStart w:id="190" w:name="__RefHeading___Toc1597166_581953129"/>
      <w:bookmarkStart w:id="191" w:name="_Toc71"/>
      <w:bookmarkEnd w:id="189"/>
      <w:bookmarkEnd w:id="190"/>
      <w:r>
        <w:rPr>
          <w:rtl w:val="true"/>
        </w:rPr>
        <w:t>وکالت زن در مجلس شورا از منظر فقه امامیه</w:t>
      </w:r>
      <w:bookmarkEnd w:id="191"/>
    </w:p>
    <w:p>
      <w:pPr>
        <w:pStyle w:val="BookText"/>
        <w:rPr/>
      </w:pPr>
      <w:r>
        <w:rPr>
          <w:rFonts w:ascii="IRNazanin" w:hAnsi="IRNazanin" w:eastAsia="IRNazanin"/>
          <w:color w:val="111111"/>
          <w:sz w:val="28"/>
          <w:sz w:val="28"/>
          <w:szCs w:val="28"/>
          <w:rtl w:val="true"/>
          <w:lang w:bidi="fa-IR"/>
        </w:rPr>
        <w:t>آیا زن می‌تواند از طریق اخذ آرا در انتخابات و یا به هر شکل ممکن دیگر، وکالت در مجلس را برعهده بگیرد؟</w:t>
      </w:r>
    </w:p>
    <w:p>
      <w:pPr>
        <w:pStyle w:val="BookText"/>
        <w:rPr/>
      </w:pPr>
      <w:r>
        <w:rPr>
          <w:rFonts w:ascii="IRNazanin" w:hAnsi="IRNazanin" w:eastAsia="IRNazanin"/>
          <w:color w:val="111111"/>
          <w:sz w:val="28"/>
          <w:sz w:val="28"/>
          <w:szCs w:val="28"/>
          <w:rtl w:val="true"/>
          <w:lang w:bidi="fa-IR"/>
        </w:rPr>
        <w:t>پرواضح است که این پرسش همان گونه که آیت الله مهدی شمس الدین</w:t>
      </w:r>
      <w:r>
        <w:rPr>
          <w:rStyle w:val="FootnoteAnchor"/>
          <w:rtl w:val="true"/>
        </w:rPr>
        <w:footnoteReference w:id="414"/>
      </w:r>
      <w:r>
        <w:rPr>
          <w:rFonts w:ascii="IRNazanin" w:hAnsi="IRNazanin" w:eastAsia="IRNazanin"/>
          <w:color w:val="111111"/>
          <w:sz w:val="28"/>
          <w:sz w:val="28"/>
          <w:szCs w:val="28"/>
          <w:rtl w:val="true"/>
          <w:lang w:bidi="fa-IR"/>
        </w:rPr>
        <w:t>راجع به اصل مشارکت زن مطرح کرده است، رویه دیگری هم دارد که با موضوع مردم آغاز می‌شود؛ زیرا هرگونه نفی و اثبات تکلیف زن در این عرصه شامل روشن کردن تکلیف دیگران نیز در قبال زن خواهد بود؛ به‌ویژه که وکالت ماهیت قراردادی دارد و می‌شود پرسش را به این شکل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می‌توانند با زن وارد چنین قراردادی شده و با او این دادوستد سیاسی را داشته باشند؟</w:t>
      </w:r>
    </w:p>
    <w:p>
      <w:pPr>
        <w:pStyle w:val="BookText"/>
        <w:rPr/>
      </w:pPr>
      <w:r>
        <w:rPr>
          <w:rFonts w:ascii="IRNazanin" w:hAnsi="IRNazanin" w:eastAsia="IRNazanin"/>
          <w:color w:val="111111"/>
          <w:sz w:val="28"/>
          <w:sz w:val="28"/>
          <w:szCs w:val="28"/>
          <w:rtl w:val="true"/>
          <w:lang w:bidi="fa-IR"/>
        </w:rPr>
        <w:t>البته نتیجه در نهایت واحد خواهد بود و به همان مسأله وکالت زن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نقطه عزیمت ما در طرح این بحث به دلیل برجسته کردن مسأله، همان پرسش نخست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اصل مسأله تذکر دو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پرسش ما از توان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تا حدودی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بخواهیم درباره قدرت مادی یا شایستگی‌های زن برای مسئولیت‌های سیاسی او توصیف یا آمار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ممکن است در خلال بحث روی این زمینه‌ها نیز رفت و برگشت‌هایی صورت بگیرد، هدف اصلی از این عملیات روشن‌کردن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سطوح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برداشتی است که از فقه شیعه صورت می‌گیرد تا تأثیر زن بودن را به‌عنوان یک متغیر جنسیتی در روند مشارکت سیاسی ارزیابی کرده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وکالت زن در مجلس چون بر محور یک مفهوم حکومتی دور می‌زند، ریشه‌های آن تا عمق فلسفه مشروعیت حکومت زن در اسلام امتداد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اصل مسلط فقهی عدم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حاکمیت از آن خدا است و در طول آن، کسی که خداوند به او اجازه حاکمیت داده، در همان سطح و محدوده ای که خداوند برای او معین کرده، حق حاکمیت خواهد داشت و اگر خدا اجازه ندهد، هیچ انسانی حق حاکمیت بر انسان دیگری را نخواهد داشت</w:t>
      </w:r>
      <w:r>
        <w:rPr>
          <w:rFonts w:eastAsia="IRNazanin" w:cs="IRNazanin"/>
          <w:color w:val="111111"/>
          <w:sz w:val="28"/>
          <w:szCs w:val="28"/>
          <w:rtl w:val="true"/>
          <w:lang w:bidi="fa-IR"/>
        </w:rPr>
        <w:t>.</w:t>
      </w:r>
      <w:r>
        <w:rPr>
          <w:rStyle w:val="FootnoteAnchor"/>
          <w:rtl w:val="true"/>
        </w:rPr>
        <w:footnoteReference w:id="41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که برای نخستین بار از ناحیه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منقح شده،</w:t>
      </w:r>
      <w:r>
        <w:rPr>
          <w:rStyle w:val="FootnoteAnchor"/>
          <w:rtl w:val="true"/>
        </w:rPr>
        <w:footnoteReference w:id="416"/>
      </w:r>
      <w:r>
        <w:rPr>
          <w:rFonts w:ascii="IRNazanin" w:hAnsi="IRNazanin" w:eastAsia="IRNazanin"/>
          <w:color w:val="111111"/>
          <w:sz w:val="28"/>
          <w:sz w:val="28"/>
          <w:szCs w:val="28"/>
          <w:rtl w:val="true"/>
          <w:lang w:bidi="fa-IR"/>
        </w:rPr>
        <w:t xml:space="preserve">قاعده بینش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شیعه را تشکیل می‌دهد که حاکمیت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پیامبر اسلام را نیز بر اساس این اصل تحلیل می‌نماید؛ یعنی چون آنها برای اعمال حاکمیت اجازه و بلکه مأموریت الهی داشته‌اند، مجاز به این امر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جهت که مشروعیت هر حاکم باید مستند به منبع الهی باشد، در دوران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از حاکمیت</w:t>
      </w:r>
    </w:p>
    <w:p>
      <w:pPr>
        <w:pStyle w:val="BookText"/>
        <w:rPr/>
      </w:pPr>
      <w:r>
        <w:rPr>
          <w:rFonts w:ascii="IRNazanin" w:hAnsi="IRNazanin" w:eastAsia="IRNazanin"/>
          <w:color w:val="111111"/>
          <w:sz w:val="28"/>
          <w:sz w:val="28"/>
          <w:szCs w:val="28"/>
          <w:rtl w:val="true"/>
          <w:lang w:bidi="fa-IR"/>
        </w:rPr>
        <w:t xml:space="preserve">معصوم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حاکمیت متوقف بر اجازه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مردانه حکومت غیرمعصوم، پس از فراز و فرودهای بسیار اینک گویا چندان سؤال‌برانگیز نیست، اما آنچه در این میان بی پاسخ مانده، بلکه پاسخ منفی بدان داده شده، مشارکت زن در این عرصه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از وکالت زن در حوزه سیاست با یک بن بست بزرگ روبه‌رو است و تنها به وکالت مجلس خلاصه نمی‌شود تا با تحلیل آن بر وزان وکالت شرعی و اذعان به نفوذ آن در همه موارد غیر منهی عنه</w:t>
      </w:r>
      <w:r>
        <w:rPr>
          <w:rStyle w:val="FootnoteAnchor"/>
          <w:rtl w:val="true"/>
        </w:rPr>
        <w:footnoteReference w:id="417"/>
      </w:r>
      <w:r>
        <w:rPr>
          <w:rFonts w:ascii="IRNazanin" w:hAnsi="IRNazanin" w:eastAsia="IRNazanin"/>
          <w:color w:val="111111"/>
          <w:sz w:val="28"/>
          <w:sz w:val="28"/>
          <w:szCs w:val="28"/>
          <w:rtl w:val="true"/>
          <w:lang w:bidi="fa-IR"/>
        </w:rPr>
        <w:t>خیال را آسوده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 دست یافتن به مبانی مشروعیت مشارکت سیاسی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نفوذ در دیواری است که در کسوت قول مشهور، احتیاطات شرعی و یا اجماع دور تا دور زن کشیده شده است تا زن را از تصدی و تصرف در سطوح بالای قدرت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جواز وکالت در فقه کم‌ترین مشکلی را برنمی‌تابد و تبیین حکومت بر اساس این رویکرد امکان دارد، اما از این همه نمی‌توان به‌سادگی مقدمه‌ای را ترتیب داد که برای وکالت زن در حکومت نتیجه بدهد؛ زیرا قاعده اساسی که به قلمرو وکالت معطوف می‌شود، مجاز بودن دخالت و تصرف مستقیم شخصی وکیل در آن مورد بدون هر قرار و اعتباری دیگر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و این یعنی آنکه با وکالت نمی‌شود مستقیماً دخالت حاکمانه زن را بر سرنوشت دیگران اثبات کنیم که وکالت اهلیت‌ساز نیست، بلکه ساز و کاری است که اگر کسی وکیل شد، می‌تواند در موضوعی که تصرفش قبلاً معقول و مجاز بود، برای دیگران هم در شکل نمایندگی اقدام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جهت، بازگشت به قواعد عام مبنی بر جواز باب وکالت،</w:t>
      </w:r>
      <w:bookmarkStart w:id="192" w:name="pg5406_38673"/>
    </w:p>
    <w:p>
      <w:pPr>
        <w:pStyle w:val="BookText"/>
        <w:rPr/>
      </w:pPr>
      <w:bookmarkEnd w:id="192"/>
      <w:r>
        <w:rPr>
          <w:rFonts w:ascii="IRNazanin" w:hAnsi="IRNazanin" w:eastAsia="IRNazanin"/>
          <w:color w:val="111111"/>
          <w:sz w:val="28"/>
          <w:sz w:val="28"/>
          <w:szCs w:val="28"/>
          <w:rtl w:val="true"/>
          <w:lang w:bidi="fa-IR"/>
        </w:rPr>
        <w:t>آن گونه که استاد شهید برای حل معضل پیش‌بینی کرده است</w:t>
      </w:r>
      <w:r>
        <w:rPr>
          <w:rStyle w:val="FootnoteAnchor"/>
          <w:rtl w:val="true"/>
        </w:rPr>
        <w:footnoteReference w:id="419"/>
      </w:r>
      <w:r>
        <w:rPr>
          <w:rFonts w:ascii="IRNazanin" w:hAnsi="IRNazanin" w:eastAsia="IRNazanin"/>
          <w:color w:val="111111"/>
          <w:sz w:val="28"/>
          <w:sz w:val="28"/>
          <w:szCs w:val="28"/>
          <w:rtl w:val="true"/>
          <w:lang w:bidi="fa-IR"/>
        </w:rPr>
        <w:t>طبق این مبنا راه‌گشا نخواهد بود، کار اساسی این است که درابتدا باید اصل مشارکت سیاسی زن فق‌ها پوشش استدلالی داده شود وانگهی تا جواز وکالت زن راهی دراز نمانده و یا حد اقل عمده دشواری آن پشت سر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آن که مجلس به‌عنوان نهادی که بخشی از قدرت حکومت را در قالب شورا تشکیل می‌دهد، از ثقل قضیه کاسته است، تمرکز روی این خصوصیت بعدها زمینه پیشرفت تحلیل آن را در شکل وکالت فراهم‌تر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ادامه سعی می‌شود برای اثبات حق مشارکت سیاسی زن به ادله‌ای که در اثبات این حق به طور عام کارآمد است، پرداخته شود</w:t>
      </w:r>
      <w:r>
        <w:rPr>
          <w:rFonts w:eastAsia="IRNazanin" w:cs="IRNazanin"/>
          <w:color w:val="111111"/>
          <w:sz w:val="28"/>
          <w:szCs w:val="28"/>
          <w:rtl w:val="true"/>
          <w:lang w:bidi="fa-IR"/>
        </w:rPr>
        <w:t>.</w:t>
      </w:r>
    </w:p>
    <w:p>
      <w:pPr>
        <w:pStyle w:val="Heading3"/>
        <w:numPr>
          <w:ilvl w:val="2"/>
          <w:numId w:val="1"/>
        </w:numPr>
        <w:rPr/>
      </w:pPr>
      <w:bookmarkStart w:id="193" w:name="__RefHeading___Toc1597168_581953129"/>
      <w:bookmarkStart w:id="194" w:name="_Toc72"/>
      <w:bookmarkEnd w:id="193"/>
      <w:r>
        <w:rPr>
          <w:rtl w:val="true"/>
        </w:rPr>
        <w:t>دیدگاه موافقان مشارکت سیاسی زن</w:t>
      </w:r>
      <w:bookmarkEnd w:id="194"/>
    </w:p>
    <w:p>
      <w:pPr>
        <w:pStyle w:val="BookText"/>
        <w:rPr/>
      </w:pPr>
      <w:r>
        <w:rPr>
          <w:rFonts w:ascii="IRNazanin" w:hAnsi="IRNazanin" w:eastAsia="IRNazanin"/>
          <w:color w:val="111111"/>
          <w:sz w:val="28"/>
          <w:sz w:val="28"/>
          <w:szCs w:val="28"/>
          <w:rtl w:val="true"/>
          <w:lang w:bidi="fa-IR"/>
        </w:rPr>
        <w:t>نخست لازم است به دیدگاه فقهایی که با مشارکت سیاسی زن موافقند، نمونه وار اشاره نمایم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امام از فقهایی است که قبل از هر چیز با سیره عملی خویش در این زمینه گام نهایی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هرچند در بحران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لایحه انجمن‌های ایالتی و ولایتی که مشتمل بر طرح شرکت زن در انتخابات بود، به دلیل مساعد نبودن شرایط اجتماعی موضع گرفت،</w:t>
      </w:r>
      <w:r>
        <w:rPr>
          <w:rStyle w:val="FootnoteAnchor"/>
          <w:rtl w:val="true"/>
        </w:rPr>
        <w:footnoteReference w:id="420"/>
      </w:r>
      <w:r>
        <w:rPr>
          <w:rFonts w:ascii="IRNazanin" w:hAnsi="IRNazanin" w:eastAsia="IRNazanin"/>
          <w:color w:val="111111"/>
          <w:sz w:val="28"/>
          <w:sz w:val="28"/>
          <w:szCs w:val="28"/>
          <w:rtl w:val="true"/>
          <w:lang w:bidi="fa-IR"/>
        </w:rPr>
        <w:t xml:space="preserve">در معماری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دولت شیعه به‌دست توانای ایشان</w:t>
      </w:r>
    </w:p>
    <w:p>
      <w:pPr>
        <w:pStyle w:val="BookText"/>
        <w:rPr/>
      </w:pPr>
      <w:r>
        <w:rPr>
          <w:rFonts w:ascii="IRNazanin" w:hAnsi="IRNazanin" w:eastAsia="IRNazanin"/>
          <w:color w:val="111111"/>
          <w:sz w:val="28"/>
          <w:sz w:val="28"/>
          <w:szCs w:val="28"/>
          <w:rtl w:val="true"/>
          <w:lang w:bidi="fa-IR"/>
        </w:rPr>
        <w:t xml:space="preserve">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تمهید مشارکت زن در ساختار قدرت سیاسی سنگ 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انتخابات مجلس شورای اسلامی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به مجلس راه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تاکنون همچنان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حتی در ترکیب هیئت حامل پیام وی به گرباچوف رئیس وقت اتحاد جماهیر شوروی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را گنجاند تا به طور نمادین توانایی زن مسلمان را در انتقال پیام اسلام در عصر جدید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تبیین جایگاه زن در اندیشه امام کاری گسترده است که این مختصر را گنجایش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فرازهایی از سخنان ایشان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حقوق مردها در اسلام مطرح است، حقوق زن‌ها، اسلام به زن بیشتر عنایت کرده است تا به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زن‌ها را بیشتر حقوقشان را ملاحظه کرده است تا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حق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بالاتر است این مسائلی که برای زن‌ها ما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رأی دارند، حق انتخاب دارند، حق انتخاب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هست، تمام معاملاتشان به اختیار خودشان هست و آزاد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مردها باید در امور سیاسی دخالت کنند و جامعه خودشان را حفظ کنند، زن‌ها هم باید دخالت کنند و جامعه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باید در فعالیت‌های اجتماعی و سیاسی همدوش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حفظ آن چیزی که اسلام فرموده است</w:t>
      </w:r>
      <w:r>
        <w:rPr>
          <w:rFonts w:eastAsia="IRNazanin" w:cs="IRNazanin"/>
          <w:color w:val="111111"/>
          <w:sz w:val="28"/>
          <w:szCs w:val="28"/>
          <w:rtl w:val="true"/>
          <w:lang w:bidi="fa-IR"/>
        </w:rPr>
        <w:t>.</w:t>
      </w:r>
      <w:r>
        <w:rPr>
          <w:rStyle w:val="FootnoteAnchor"/>
          <w:rtl w:val="true"/>
        </w:rPr>
        <w:footnoteReference w:id="42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مهدی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برجسته این فقیه لبنانی معاصر در مسائل حرجة فی‌فقه المرأة المسلمة و به‌خصوص در اهلیة المرأة لتولی</w:t>
      </w:r>
    </w:p>
    <w:p>
      <w:pPr>
        <w:pStyle w:val="BookText"/>
        <w:rPr/>
      </w:pPr>
      <w:r>
        <w:rPr>
          <w:rFonts w:ascii="IRNazanin" w:hAnsi="IRNazanin" w:eastAsia="IRNazanin"/>
          <w:color w:val="111111"/>
          <w:sz w:val="28"/>
          <w:sz w:val="28"/>
          <w:szCs w:val="28"/>
          <w:rtl w:val="true"/>
          <w:lang w:bidi="fa-IR"/>
        </w:rPr>
        <w:t xml:space="preserve">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زن برای تصدی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بار اول در قم به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شده، برای پژوهشگران عرصه مطالعات زنان شناخته شده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اثر اخیر از تصدی همه مناصب حکومتی از سوی زن دفاع کرده و همه ادله مخالفان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ایشان در آثار دیگر خویش در هر مناسبتی که لازم دیده، از ایده اهلیت زن در سیاست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فی‌الاجتماع السیاسی که یکی از آثار مهم وی در حوزه مطالعات فقه سیاسی است و قبل از اهلیة المرأه لتولی السلطة نگاشته 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مسلمان به موازات مرد در همه عرصه‌های حیات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فرصت مساوی برخوردار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فقهایی است که علاوه بر ادامه سیره امام خمینی در جایگاه رهبر جمهوری اسلامی ایران، از برخی کاستی‌ها در ارتباط با حقوق زنان گلایه‌مند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هنوز به رغم تلاش فراوان و دستاوردهای بزرگ، آرمان‌هایی که انقلاب اسلامی درباره زن دنبال می‌کرد، محقق نشده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همه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جامعه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ستم و دچار کمبودهایی است که بر او تحمیل می‌شود، اما این کمبود، کمبود آزادی به معنای بی بندوباری نیست؛ این کمبود، کمبود میدان‌ها و فرصت‌ها برای علم و معرفت و تربیت و اخلاق و پیشرفت و شکوفایی استعدادها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تأمین و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اسلام روی آن تکیه کرده است</w:t>
      </w:r>
      <w:r>
        <w:rPr>
          <w:rFonts w:eastAsia="IRNazanin" w:cs="IRNazanin"/>
          <w:color w:val="111111"/>
          <w:sz w:val="28"/>
          <w:szCs w:val="28"/>
          <w:rtl w:val="true"/>
          <w:lang w:bidi="fa-IR"/>
        </w:rPr>
        <w:t>.</w:t>
      </w:r>
      <w:r>
        <w:rPr>
          <w:rStyle w:val="FootnoteAnchor"/>
          <w:rtl w:val="true"/>
        </w:rPr>
        <w:footnoteReference w:id="423"/>
      </w:r>
      <w:bookmarkStart w:id="195" w:name="pg5406_38679"/>
    </w:p>
    <w:p>
      <w:pPr>
        <w:pStyle w:val="Heading3"/>
        <w:numPr>
          <w:ilvl w:val="2"/>
          <w:numId w:val="1"/>
        </w:numPr>
        <w:rPr/>
      </w:pPr>
      <w:bookmarkStart w:id="196" w:name="__RefHeading___Toc1597170_581953129"/>
      <w:bookmarkStart w:id="197" w:name="_Toc73"/>
      <w:bookmarkEnd w:id="195"/>
      <w:bookmarkEnd w:id="196"/>
      <w:r>
        <w:rPr>
          <w:rtl w:val="true"/>
        </w:rPr>
        <w:t>ادله عام مشارکت سیاسی زن</w:t>
      </w:r>
      <w:bookmarkEnd w:id="197"/>
    </w:p>
    <w:p>
      <w:pPr>
        <w:pStyle w:val="Heading4"/>
        <w:numPr>
          <w:ilvl w:val="3"/>
          <w:numId w:val="1"/>
        </w:numPr>
        <w:rPr/>
      </w:pPr>
      <w:bookmarkStart w:id="198" w:name="__RefHeading___Toc1597172_581953129"/>
      <w:bookmarkStart w:id="199" w:name="_Toc74"/>
      <w:bookmarkEnd w:id="198"/>
      <w:r>
        <w:rPr/>
        <w:t>1</w:t>
      </w:r>
      <w:r>
        <w:rPr>
          <w:rtl w:val="true"/>
        </w:rPr>
        <w:t xml:space="preserve">- </w:t>
      </w:r>
      <w:r>
        <w:rPr>
          <w:rtl w:val="true"/>
        </w:rPr>
        <w:t>ادله قرآنی</w:t>
      </w:r>
      <w:bookmarkEnd w:id="199"/>
    </w:p>
    <w:p>
      <w:pPr>
        <w:pStyle w:val="Heading5"/>
        <w:numPr>
          <w:ilvl w:val="4"/>
          <w:numId w:val="1"/>
        </w:numPr>
        <w:rPr/>
      </w:pPr>
      <w:bookmarkStart w:id="200" w:name="__RefHeading___Toc1597174_581953129"/>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در استدلال به آیات قرآن، نخست آنچه نباید از نظر دور داشت، این است که در قرآن نصی که زنان را به مشارکت سیاسی در سطح رهبری دعوت کرده و یا از مردها خواستار مساعدت با زنان در این زمینه شده باشد، وجود ندارد، زیرا در ظرف نزول قرآن اقتدار معنوی و سیاسی منحصراًَ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وجود عنصر نبوت و استمرار آن در شکل امامت برای مدت زمان بعد، این مسأله فاقد موضوعیت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برخی آیات قرآن مضامینی دیده می‌شود که خواسته زنان را در متن اجتماع وارد کرده و آنها را به آزمون‌های سیاسی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اصولاً خود دعوت به ایمان در آن شرایط که از زن و مرد توامان صورت می‌گرفت، نوعی دعوت به مشارکت سیاسی تلقی می‌شود؛ چون پی آمد پذیرش آن طرد نظام موجود و طرح الگویی بود که براساس اعتقادات جدید ساختارمند می‌شد؛ یعنی با اینکه در دوره‌های آغازین بعثت حکم جهاد نیامده بود، مبارزه اعتقاد با اعتقاد، با خود طرح ایمان یکجا طرح شده و سخت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سمیه اولین شهید اسلام</w:t>
      </w:r>
      <w:r>
        <w:rPr>
          <w:rStyle w:val="FootnoteAnchor"/>
          <w:rtl w:val="true"/>
        </w:rPr>
        <w:footnoteReference w:id="424"/>
      </w:r>
      <w:r>
        <w:rPr>
          <w:rFonts w:ascii="IRNazanin" w:hAnsi="IRNazanin" w:eastAsia="IRNazanin"/>
          <w:color w:val="111111"/>
          <w:sz w:val="28"/>
          <w:sz w:val="28"/>
          <w:szCs w:val="28"/>
          <w:rtl w:val="true"/>
          <w:lang w:bidi="fa-IR"/>
        </w:rPr>
        <w:t>زنی بود که دشمن برضدّ او از خشونت مسلحانه استفاده کرد؛ چون او با پذیرش ایمان، در صحنه‌ای حضور یافت که کل هویت جاهلی جامعه آن روز را به بحران و تهدید واداشته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اگر امکان استدلال برای مشارکت سیاسی زنان به آیاتی</w:t>
      </w:r>
      <w:bookmarkStart w:id="202" w:name="pg5406_38681"/>
    </w:p>
    <w:p>
      <w:pPr>
        <w:pStyle w:val="BookText"/>
        <w:rPr/>
      </w:pPr>
      <w:bookmarkEnd w:id="202"/>
      <w:r>
        <w:rPr>
          <w:rFonts w:ascii="IRNazanin" w:hAnsi="IRNazanin" w:eastAsia="IRNazanin"/>
          <w:color w:val="111111"/>
          <w:sz w:val="28"/>
          <w:sz w:val="28"/>
          <w:szCs w:val="28"/>
          <w:rtl w:val="true"/>
          <w:lang w:bidi="fa-IR"/>
        </w:rPr>
        <w:t>گزینش شده در این ارتباط وجود داشته باشد، اصل دعوت به ایمان نیز از چنین محتوایی تهی نخواهد بود، اما ما در این فرصت برای این مهم از آیاتی بهره می‌گیریم که تقریب و تطبیق آن بر موضوع از وضوح بیشتری برخوردار است</w:t>
      </w:r>
      <w:r>
        <w:rPr>
          <w:rFonts w:eastAsia="IRNazanin" w:cs="IRNazanin"/>
          <w:color w:val="111111"/>
          <w:sz w:val="28"/>
          <w:szCs w:val="28"/>
          <w:rtl w:val="true"/>
          <w:lang w:bidi="fa-IR"/>
        </w:rPr>
        <w:t>.</w:t>
      </w:r>
    </w:p>
    <w:p>
      <w:pPr>
        <w:pStyle w:val="Heading5"/>
        <w:numPr>
          <w:ilvl w:val="4"/>
          <w:numId w:val="1"/>
        </w:numPr>
        <w:rPr/>
      </w:pPr>
      <w:bookmarkStart w:id="203" w:name="__RefHeading___Toc1597176_581953129"/>
      <w:bookmarkStart w:id="204" w:name="_Toc76"/>
      <w:bookmarkEnd w:id="203"/>
      <w:r>
        <w:rPr>
          <w:rtl w:val="true"/>
        </w:rPr>
        <w:t>الف</w:t>
      </w:r>
      <w:r>
        <w:rPr>
          <w:rtl w:val="true"/>
        </w:rPr>
        <w:t xml:space="preserve">) </w:t>
      </w:r>
      <w:r>
        <w:rPr>
          <w:rtl w:val="true"/>
        </w:rPr>
        <w:t>آیه بیعت زنان</w:t>
      </w:r>
      <w:bookmarkEnd w:id="204"/>
    </w:p>
    <w:p>
      <w:pPr>
        <w:pStyle w:val="BookText"/>
        <w:rPr/>
      </w:pPr>
      <w:r>
        <w:rPr>
          <w:rFonts w:ascii="IRNazanin" w:hAnsi="IRNazanin" w:eastAsia="IRNazanin"/>
          <w:color w:val="111111"/>
          <w:sz w:val="28"/>
          <w:sz w:val="28"/>
          <w:szCs w:val="28"/>
          <w:rtl w:val="true"/>
          <w:lang w:bidi="fa-IR"/>
        </w:rPr>
        <w:t>یکی از آیات قابل توجه در موضوع مشارکت سیاسی زن، آیه دوازدهم سوره ممتحنه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باایمان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 و دزدی نکنند و فرزندان خود را نکشند و بچه‌های حرام زاده پیش دست و پای خود را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نبندند و در کار نیک از تو نافرمانی نکنند، با آنان بیعت کن و از خدا برای آنان آمرزش بخواه؛ زیرا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پس از فتح مکه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بیعت گروهی از زنان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دلیل تکرار مفاد بیعت عقبه اولی در آن، برخی مورخان از بیعت عقبه اولی هم بعدها به همین عنوان یاد کردند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موادی که در این بیعت‌نامه طرح شده، به استثنای جمله پایانی، عین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چیزهایی است که از محتوای بیعت عقبه اولی</w:t>
      </w:r>
      <w:r>
        <w:rPr>
          <w:rStyle w:val="FootnoteAnchor"/>
          <w:rtl w:val="true"/>
        </w:rPr>
        <w:footnoteReference w:id="427"/>
      </w:r>
      <w:r>
        <w:rPr>
          <w:rFonts w:ascii="IRNazanin" w:hAnsi="IRNazanin" w:eastAsia="IRNazanin"/>
          <w:color w:val="111111"/>
          <w:sz w:val="28"/>
          <w:sz w:val="28"/>
          <w:szCs w:val="28"/>
          <w:rtl w:val="true"/>
          <w:lang w:bidi="fa-IR"/>
        </w:rPr>
        <w:t>از سوی عبادة بن صامت گزارش شده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این موارد از گرد شرک نگردیدن تا برخی مسائل خانوادگی را در بر می‌گیرد و هرچند مفاد آن در قدم نخست الزام به دین و احکام آن است و این نیز از اطاعت و فرمان‌برداری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ناشدنی است، اندراج مفهوم انقیاد و اطاعت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 مناسبی را برای تفسیر سیاسی فراهم می‌آورد؛ زیرا حضور زنان در آن روز و طی تشریفات مخصوص صرفاً به معنای اعلام و تعهد به قبول دین نیست و اگر هم هست، از وفاداری و اطاعت از نظامی که در رأس آن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مفهوم گسترده بند اخیر این معاهده</w:t>
      </w:r>
      <w:r>
        <w:rPr>
          <w:rStyle w:val="FootnoteAnchor"/>
          <w:rtl w:val="true"/>
        </w:rPr>
        <w:footnoteReference w:id="429"/>
      </w:r>
      <w:r>
        <w:rPr>
          <w:rFonts w:ascii="IRNazanin" w:hAnsi="IRNazanin" w:eastAsia="IRNazanin"/>
          <w:color w:val="111111"/>
          <w:sz w:val="28"/>
          <w:sz w:val="28"/>
          <w:szCs w:val="28"/>
          <w:rtl w:val="true"/>
          <w:lang w:bidi="fa-IR"/>
        </w:rPr>
        <w:t xml:space="preserve">شامل آن نکته ای است که برخی از فقها بدان توجه کرده‌اند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شأن نبوت شأن حاکمیت هم داشت و به اقتضای آن احکام و اوامری صادر می‌کرد که خصلت تشریع دینی، یعنی جاودانگی در آن نیست، بلکه مختص قلمرو حاکمیت ایشان در زمان حیات شریفش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در درون مقتضیات عصر خودش فهم شده و از تعمیم آن خودداری شود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بنابراین گذشته از آنکه بیعت با رأی در نظام‌های سیاسی جدید قابل مقایسه باشد</w:t>
      </w:r>
      <w:r>
        <w:rPr>
          <w:rStyle w:val="FootnoteAnchor"/>
          <w:rtl w:val="true"/>
        </w:rPr>
        <w:footnoteReference w:id="431"/>
      </w:r>
      <w:r>
        <w:rPr>
          <w:rFonts w:ascii="IRNazanin" w:hAnsi="IRNazanin" w:eastAsia="IRNazanin"/>
          <w:color w:val="111111"/>
          <w:sz w:val="28"/>
          <w:sz w:val="28"/>
          <w:szCs w:val="28"/>
          <w:rtl w:val="true"/>
          <w:lang w:bidi="fa-IR"/>
        </w:rPr>
        <w:t xml:space="preserve">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رسول خدا مفهوم بیعت یکی از اساسی‌ترین مفاهیم سیاسی بوده است که افراد جامعه را به رهبری آن متصل کرده و حدود و قیود تعهدات آن را نسبت به یکدیگر معین می‌ساخته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به عبارت دیگر، بیعت سازوکاری بوده که رابطه فعال و تعهد مردم را نسبت به کانون سیاست منعکس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راجع به محتوای بیعت عقبه اولی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محتوای بیعت عقبه اولی، چند حکم فطری، طبیعی و مورد پسند اعراب بود، با این همه زمزمه تشکل سیاسی نیز در آن دیده می‌شد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افزون براین، اگر عنصر اطاعت را در بیعت جدی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شروط را فرع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اولین پایه تشکیل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ایجاد انضباط سیاسی میان افراد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بیعت عقبه اول و دوم تلقی شود</w:t>
      </w:r>
      <w:r>
        <w:rPr>
          <w:rFonts w:eastAsia="IRNazanin" w:cs="IRNazanin"/>
          <w:color w:val="111111"/>
          <w:sz w:val="28"/>
          <w:szCs w:val="28"/>
          <w:rtl w:val="true"/>
          <w:lang w:bidi="fa-IR"/>
        </w:rPr>
        <w:t>.</w:t>
      </w:r>
      <w:r>
        <w:rPr>
          <w:rStyle w:val="FootnoteAnchor"/>
          <w:rtl w:val="true"/>
        </w:rPr>
        <w:footnoteReference w:id="434"/>
      </w:r>
      <w:bookmarkStart w:id="205" w:name="pg5406_38688"/>
    </w:p>
    <w:p>
      <w:pPr>
        <w:pStyle w:val="BookText"/>
        <w:rPr/>
      </w:pPr>
      <w:bookmarkEnd w:id="205"/>
      <w:r>
        <w:rPr>
          <w:rFonts w:ascii="IRNazanin" w:hAnsi="IRNazanin" w:eastAsia="IRNazanin"/>
          <w:color w:val="111111"/>
          <w:sz w:val="28"/>
          <w:sz w:val="28"/>
          <w:szCs w:val="28"/>
          <w:rtl w:val="true"/>
          <w:lang w:bidi="fa-IR"/>
        </w:rPr>
        <w:t xml:space="preserve">واضح است که اگر بیعت براساس عنصر اطاعت در شرایطی اساسِ تشکل نوعی نظام تلقی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تحلیل از بیعت عقبه دوم بعداً بیشتر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تازه فتح مکه و اوضاع جدید و شکننده آن می‌تواند در جهت تحکیم نظام نوپا به رهبری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تحکیم پایه‌های نظامی که به زنان نیز به‌عنوان یکی از نیروهای تاثیرگذار توجه کرده است تا با مشارکت دادن آنها در این روند سیاسی، برای مطمئن ساختن این ناحیه حساس، همه راه‌های ممکن، اما معقول را طی کرده باشد؛ چون در فرهنگ سنتی عرب آن دوره بیعت اهمیت خاصی دارا بود</w:t>
      </w:r>
      <w:r>
        <w:rPr>
          <w:rFonts w:eastAsia="IRNazanin" w:cs="IRNazanin"/>
          <w:color w:val="111111"/>
          <w:sz w:val="28"/>
          <w:szCs w:val="28"/>
          <w:rtl w:val="true"/>
          <w:lang w:bidi="fa-IR"/>
        </w:rPr>
        <w:t>.</w:t>
      </w:r>
    </w:p>
    <w:p>
      <w:pPr>
        <w:pStyle w:val="Heading5"/>
        <w:numPr>
          <w:ilvl w:val="4"/>
          <w:numId w:val="1"/>
        </w:numPr>
        <w:rPr/>
      </w:pPr>
      <w:bookmarkStart w:id="206" w:name="__RefHeading___Toc1597178_581953129"/>
      <w:bookmarkStart w:id="207" w:name="_Toc77"/>
      <w:bookmarkEnd w:id="206"/>
      <w:r>
        <w:rPr>
          <w:rtl w:val="true"/>
        </w:rPr>
        <w:t>ب</w:t>
      </w:r>
      <w:r>
        <w:rPr>
          <w:rtl w:val="true"/>
        </w:rPr>
        <w:t xml:space="preserve">) </w:t>
      </w:r>
      <w:r>
        <w:rPr>
          <w:rtl w:val="true"/>
        </w:rPr>
        <w:t>آیات داستان ملکه سبا</w:t>
      </w:r>
      <w:bookmarkEnd w:id="207"/>
    </w:p>
    <w:p>
      <w:pPr>
        <w:pStyle w:val="BookText"/>
        <w:rPr/>
      </w:pP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دیگر در این زمینه، داستان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سبا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ضمن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ترجمه این آیات درپی می‌آید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شده است که هدهد را نمی‌بینم؟ یا شاید از غایبان است؟ 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دیری نپایید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چیزی آگاهی یافتم که از آن آگاهی نیافته‌ای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آنها سلطنت می‌کرد و از هر چیزی به او داده شده بود و تختی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خواهیم دید آیا راست گفته‌ای یا از دروغگویان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مرا</w:t>
      </w:r>
    </w:p>
    <w:p>
      <w:pPr>
        <w:pStyle w:val="BookText"/>
        <w:rPr/>
      </w:pPr>
      <w:r>
        <w:rPr>
          <w:rFonts w:ascii="IRNazanin" w:hAnsi="IRNazanin" w:eastAsia="IRNazanin"/>
          <w:color w:val="111111"/>
          <w:sz w:val="28"/>
          <w:sz w:val="28"/>
          <w:szCs w:val="28"/>
          <w:rtl w:val="true"/>
          <w:lang w:bidi="fa-IR"/>
        </w:rPr>
        <w:t>ببر و به‌سوی آنها بیفکن، آن‌گاه از ایشان روی برتاب، پس ببین چه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ارجمند برای من آمده است که از طرف سلیمان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بزرگی مکنید و مرا از در اطاعت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کارم به من نظر دهید که بی‌حضور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فیصله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سخت نیرومند و دلاوریم،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کار با توست؛ بنگر چه دستور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چون به شهری درآیند، آن را تباه و عزیزانش را خوار می‌گردانند، و این گونه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ارمغانی به‌سویشان می‌فرستم و می‌نگرم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فرجام وقتی ملکه سبا تسلیم شد و نزد سلیمان آمد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در برابر خدا، پروردگار جهانیان، تسلیم شدم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نتیجه‌گیری کلی از این داستان تذکر یک مطلب نسبتاً بدیهی را ضروری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 مجموعه منسجم است که همه عناصرآن اعم ّاز آیات عقاید، احکام، داستان،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تبیین مقاصد شرع قرار دارد؛ یعنی هدفش از بیان داستان هم صرف قصه‌گویی و دادن معلومات تاریخی نیست، بلکه همه در ارتباط با توضیح بیشتر راه‌های هدایت خلق و الگودهی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که چنین رابطه متداخلی با هم دارد، هر بخشی از آن بخشی دیگر را تفسیر می‌نماید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برخی این مطلب را در جهت جامعیت قرآن به‌عنوان مبنای تشریع یادآورشده‌اند که در حوزه‌های وسیع، خود پیام‌های داستان قرآنی باید مبنای استنباط حکم شرعی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بخش زیادی از احکام فاقد ریشه قرآنی خواهد بود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اکنون مطابق درون‌مایه قصه‌های قرآن، اگر روی عناصر این داستان، به‌خصوص ملکه سبا تأمل شود، پرسش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طرح چنین عنصری در این قصه چیست؟ آیا این در ردیف الگوهای منفی قرار دارد تا مردم با عبرت از آن به چنان روزگار و سرنوشتی گرفتار نشده و چنان راهی را نروند؟ یا مثبت است و قرآن خواسته آموزه‌های یک برخورد عقلایئ را با رویدادها، مکانیسم یک مدیریت سالم و بالاخره تسلیم شدن در برابر حقیقت که در ابتکار یک زن منعکس شده، نشان دهد؟ زنی که با قرارگرفتن بر سر دوراهی تعیین کننده بدون غرور قدرت و تأثیر از اطرافیان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رجاحت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گزینش عاقلانه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دست به انتخابی برد که از آغاز چندان با سعادت فاصله نداشت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گزینه نخست قابل پذیرش نیست که گفته شود این داستان بر محور این عنصر، عبرت‌نامه‌ای است که مبادا دیگران به حکومت زن رضا دهند و مدیریت کارآمد، دوراندیشی، رایزنی با صاحب‌نظران، تصمیم خردمندانه، برخوردهای مسالمت‌آمیز و صلح‌جویانه و روحیه تلاش برای کشف حقیقت و بالاخره تسلیم در برابر آن را از یک زن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بپذیرند؛ چون در آیات مرتبط با این موضوعات، کم‌ترین منفی‌نگری یا نکوهشی حتی در حد اشاره دیده نمی‌شود، بلکه تصویر و گزارش یک حکومت موفق با مکانیسم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مشاوره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شاخصه‌هایی چون قدرت و رفاه تحسین‌برانگیز است که با درایت یک زن رهبری شده است و این همه از وی عنصری برجسته ساخته که در تعیین خط مشی‌های تاریخ یک ملت چنان نقشی ایفا کرده است؛ زنی که 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 و احتیاط و عزم و تصمیم راسخ و سطوت و شوکت و آب و خاک بسیار و خزینه سرشار و لشکر و ارتشی نیرومند و رعیتی فرمان‌بردار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در قلمرو مدیریتی خود جمع کند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این تصویر مثبت از این عنصر و خرد اجتماعی او در صورتی بهتر قابل درک است که بدانیم در همین داستان همه محورهای متضاد با اغراض شرع و دین محکوم شده‌اند؛ محورهایی مثل بت‌پرستی و خرافه‌پرستی</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اما درباره حکومت زن کوچک‌ترین نگاهی منفی اتخاذ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بیان کام‌یابی و برخی منش‌های عقلایی در حاکمیت او می‌تواند نشان از تأیید و شایستگی زن و فراصنفی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فراجنسی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حاکمیت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نهایت، داستان با تسلیم شدن ملکه در برابر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می‌یابد و باید هم چنین می‌شد، نه برای آن است که چون زن بوده، باید خلع قدرت شود، بلکه تسلیم در برابر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پیامبری است که هر زن و مردی بدان مکلف بود؛ چون ایمان به نبوتش در شرایطی که حکومت نیز مختص او بود، پی‌آمدهایی داشت که بسیاری از ادعاها را باید در پای مُلکِ سلیمان فرو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بد نیست بدانیم برخی از مفسران کوشیده‌اند فرازهای این داستان را در جهت نامطلوب القا کردن حکومت زن توجیه کنند؛ مثل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با وضع روح و جسم زنان سازگار نیست، هدهد نیز از این مسأله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را بر آنها حکمران دیدم</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یعنی زن و حکومت آن‌چنان بیگانه‌اند که حتی پرنده هوا هم از آن شگفت‌زده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درون همین طیف دیدگاه‌ها فرستادن هدیه را از جانب ملکه سبا مبتنی بر روحیه حیله‌گری زنانه می‌داند که با این نیرنگ از رویارویی نظامی طفره رفت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عبدالفتاح الخالدی هم با تأیید این دیدگاه اضافه می‌کند که زن از مواجهه نظامی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مواردی که زمام امور امور در دستش قرار گیرد، با این گونه موضع‌گیری‌ها در قبال دشمن مردم خویش را ضایع می‌کند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با اینکه 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ناشی از حسن تدبیر و رأی این زن بود</w:t>
      </w:r>
      <w:r>
        <w:rPr>
          <w:rStyle w:val="FootnoteAnchor"/>
          <w:rtl w:val="true"/>
        </w:rPr>
        <w:footnoteReference w:id="444"/>
      </w:r>
      <w:r>
        <w:rPr>
          <w:rFonts w:ascii="IRNazanin" w:hAnsi="IRNazanin" w:eastAsia="IRNazanin"/>
          <w:color w:val="111111"/>
          <w:sz w:val="28"/>
          <w:sz w:val="28"/>
          <w:szCs w:val="28"/>
          <w:rtl w:val="true"/>
          <w:lang w:bidi="fa-IR"/>
        </w:rPr>
        <w:t>یا ثعلبی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زن خردمند و سیاستمدار بود، دست به این حرکت عاقلانه زد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به علاوه، خود تحولات بعدی نشان داد که نه تنها ملکه سبا قومش را ضایع نکرد که در سعادت آنان یگانه نقش ممکن را بازی کرد</w:t>
      </w:r>
      <w:r>
        <w:rPr>
          <w:rFonts w:eastAsia="IRNazanin" w:cs="IRNazanin"/>
          <w:color w:val="111111"/>
          <w:sz w:val="28"/>
          <w:szCs w:val="28"/>
          <w:rtl w:val="true"/>
          <w:lang w:bidi="fa-IR"/>
        </w:rPr>
        <w:t>.</w:t>
      </w:r>
      <w:bookmarkStart w:id="208" w:name="pg5406_38698"/>
    </w:p>
    <w:p>
      <w:pPr>
        <w:pStyle w:val="Heading4"/>
        <w:numPr>
          <w:ilvl w:val="3"/>
          <w:numId w:val="1"/>
        </w:numPr>
        <w:rPr/>
      </w:pPr>
      <w:bookmarkStart w:id="209" w:name="__RefHeading___Toc1597180_581953129"/>
      <w:bookmarkStart w:id="210" w:name="_Toc78"/>
      <w:bookmarkEnd w:id="208"/>
      <w:bookmarkEnd w:id="209"/>
      <w:r>
        <w:rPr/>
        <w:t>2</w:t>
      </w:r>
      <w:r>
        <w:rPr>
          <w:rtl w:val="true"/>
        </w:rPr>
        <w:t xml:space="preserve">- </w:t>
      </w:r>
      <w:r>
        <w:rPr>
          <w:rtl w:val="true"/>
        </w:rPr>
        <w:t>سیره نبوی</w:t>
      </w:r>
      <w:bookmarkEnd w:id="210"/>
    </w:p>
    <w:p>
      <w:pPr>
        <w:pStyle w:val="Heading5"/>
        <w:numPr>
          <w:ilvl w:val="4"/>
          <w:numId w:val="1"/>
        </w:numPr>
        <w:rPr/>
      </w:pPr>
      <w:bookmarkStart w:id="211" w:name="__RefHeading___Toc1597182_581953129"/>
      <w:bookmarkStart w:id="212" w:name="_Toc79"/>
      <w:bookmarkEnd w:id="211"/>
      <w:r>
        <w:rPr>
          <w:rtl w:val="true"/>
        </w:rPr>
        <w:t>الف</w:t>
      </w:r>
      <w:r>
        <w:rPr>
          <w:rtl w:val="true"/>
        </w:rPr>
        <w:t xml:space="preserve">) </w:t>
      </w:r>
      <w:r>
        <w:rPr>
          <w:rtl w:val="true"/>
        </w:rPr>
        <w:t>بیعت عقبه دوم</w:t>
      </w:r>
      <w:bookmarkEnd w:id="21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صدر اسلام یا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بسیاری از فعالیت زن در عرصه‌هایی دیده می‌شود که برای این بحث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فعالیت زنان در بیعت، 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پرداختن به همه این موارد از حوصله این قلم و مقتضای مقام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میان، بیعت عقبه دوم را به دلیل اهمیت ویژه آن برمی‌گزینیم تا بدین‌سان نشان داده شود که در نخستین طرح برای حکومت اسلامی که از سوی تازه مسلمانان مدینه صورت گرفته، تاریخ نام دو زن را به نام ام عماره</w:t>
      </w:r>
      <w:r>
        <w:rPr>
          <w:rStyle w:val="FootnoteAnchor"/>
          <w:rtl w:val="true"/>
        </w:rPr>
        <w:footnoteReference w:id="446"/>
      </w:r>
      <w:r>
        <w:rPr>
          <w:rFonts w:ascii="IRNazanin" w:hAnsi="IRNazanin" w:eastAsia="IRNazanin"/>
          <w:color w:val="111111"/>
          <w:sz w:val="28"/>
          <w:sz w:val="28"/>
          <w:szCs w:val="28"/>
          <w:rtl w:val="true"/>
          <w:lang w:bidi="fa-IR"/>
        </w:rPr>
        <w:t>و ام منیع</w:t>
      </w:r>
      <w:r>
        <w:rPr>
          <w:rStyle w:val="FootnoteAnchor"/>
          <w:rtl w:val="true"/>
        </w:rPr>
        <w:footnoteReference w:id="447"/>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در آن شرایط دشوار در تصمیمی مشارکت ورزیدند که تقابل با یهود و قریش حداقل پیامد آن می‌توانست باشد؛</w:t>
      </w:r>
      <w:r>
        <w:rPr>
          <w:rStyle w:val="FootnoteAnchor"/>
          <w:rtl w:val="true"/>
        </w:rPr>
        <w:footnoteReference w:id="448"/>
      </w:r>
      <w:r>
        <w:rPr>
          <w:rFonts w:ascii="IRNazanin" w:hAnsi="IRNazanin" w:eastAsia="IRNazanin"/>
          <w:color w:val="111111"/>
          <w:sz w:val="28"/>
          <w:sz w:val="28"/>
          <w:szCs w:val="28"/>
          <w:rtl w:val="true"/>
          <w:lang w:bidi="fa-IR"/>
        </w:rPr>
        <w:t>یعنی در این بیعت، بحث از گرویدن به اسلام و دست شستن از عبادت بت‌ها و پلیدی‌های جاهلی نبود، بلکه یک اقدام سیاسی مطرح بوده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قابل‌توجه آنکه مورخانی که در تعداد بیعت‌کنندگان عقبه دوم اختلاف دارند، مثل ابن اسحق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150/81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شرکت دو زن اتفاق نظر دارند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در برخی کتاب‌های سیره معاصر هم به حضور این دو زن تصریح شده است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برای روشن شدن اصل ماجرای عقبه دوم گزارش تحلیلی آن را از کتاب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سیزدهم بعثت یک کاروان پانصد نفری از اهالی یثرب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حدود هفتاد نفر مسلمان بودند که در نزدیکی جمرات، جایی که اکنون مسجد البیعة قرار دارد، با آن حضرت دیدار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تازه این بیعت، دفاع از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به یثرب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عنصر جدیدی در بیعت عقبه دوم افزوده شد و آن مسأله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نوعی تشکل نظامی نیز برای حفاظت از رهبری دین جدید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تشکّلی قائد کسی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تازه است که این بار مسأله جنبه قبیله‌ای نداشته و افراد مسلمان شده از همه قبایل، یک جبهه واحد دینی سیاسی را تشکیل می‌دادند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در اینجا تحلیل دیگر نویسنده این کتاب است که براساس متن گزارش از محتوای بیعت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محتوای بیعت، نقل شده که در آن شب اهل مدینه روی این محورها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بایعنا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السمع والطاعة فی‌العسر والیسر والمکره والمنشط والاننازع الامر اهله؛</w:t>
      </w:r>
      <w:r>
        <w:rPr>
          <w:rStyle w:val="FootnoteAnchor"/>
          <w:rtl w:val="true"/>
        </w:rPr>
        <w:footnoteReference w:id="453"/>
      </w:r>
      <w:r>
        <w:rPr>
          <w:rFonts w:ascii="IRNazanin" w:hAnsi="IRNazanin" w:eastAsia="IRNazanin"/>
          <w:color w:val="111111"/>
          <w:sz w:val="28"/>
          <w:sz w:val="28"/>
          <w:szCs w:val="28"/>
          <w:rtl w:val="true"/>
          <w:lang w:bidi="fa-IR"/>
        </w:rPr>
        <w:t>بیعت ما با پیامبر روی محور اطاعت مطلق در همه شرایط و عدم منازعه با صاحبان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جعفریان به منظور برجسته کردن بعد سیاسی این پیمان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اخیر جمله، یعنی عدم منازعه با صاحبان امر، تأکید بر پذیرش حکومت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مفهوم اطاعت و عدم منازعه با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کنید با تعبیر اولی‌الامر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پایه‌های اساسی حاکمیت است، در آن شب بیعت مطرح و مورد توافق قرار گرفته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همان گونه که ملاحظه می‌شود، تفاوت این بیعت و جهت سیاسی آن به‌گونه‌ای آشکار است که از گذشته‌های دور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به روایت ابن‌اسحاق می‌آورد که انگیزه‌های ملاقات این بیعت‌کننده‌ها از آغاز تنها ایمان آوردن به تلقی رایج از آن در محیط مکه نبود، بلکه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نصرت اسلام با جان و مال، به طاعت درآوردن اهل مدینه و از بین بردن دشمنان و مخالفان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5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هجرت به مدینه که کمی پس از این تاریخ صورت گرفته و مبدأ تحول شگرف در تاریخ اسلام شد، نه یک اتفاق ساده نظیر هجرت به حبشه یا عقب‌نشینی از صحنه، که تعقیب اهداف همین بیعت دوم بوده است؛ اهدافی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آمدن مصعب بن عمیر برای آن برنامه‌ریزی کرده بود تا با تمرکز بخشیدن به قوای اسلام در منطقه‌ای امن</w:t>
      </w:r>
    </w:p>
    <w:p>
      <w:pPr>
        <w:pStyle w:val="BookText"/>
        <w:rPr/>
      </w:pPr>
      <w:r>
        <w:rPr>
          <w:rFonts w:ascii="IRNazanin" w:hAnsi="IRNazanin" w:eastAsia="IRNazanin"/>
          <w:color w:val="111111"/>
          <w:sz w:val="28"/>
          <w:sz w:val="28"/>
          <w:szCs w:val="28"/>
          <w:rtl w:val="true"/>
          <w:lang w:bidi="fa-IR"/>
        </w:rPr>
        <w:t>پایه‌های تحقق یک اجتماع جدید تحت حاکمیت الهی را هموار کند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با این همه، در این بیعت که چنین جایگاه بلندی، در تاریخ اسلام داشته و افق تجلی‌گاه خطوط و برنامه‌های سیاسی پیامبر اسلام محسوب می‌شد،</w:t>
      </w:r>
      <w:r>
        <w:rPr>
          <w:rStyle w:val="FootnoteAnchor"/>
          <w:rtl w:val="true"/>
        </w:rPr>
        <w:footnoteReference w:id="457"/>
      </w:r>
      <w:r>
        <w:rPr>
          <w:rFonts w:ascii="IRNazanin" w:hAnsi="IRNazanin" w:eastAsia="IRNazanin"/>
          <w:color w:val="111111"/>
          <w:sz w:val="28"/>
          <w:sz w:val="28"/>
          <w:szCs w:val="28"/>
          <w:rtl w:val="true"/>
          <w:lang w:bidi="fa-IR"/>
        </w:rPr>
        <w:t xml:space="preserve">دو زن نیز در این شرایط خفقانی، شبانه در عالم مسافرت با وضع نامساعد جسمی، در جمع مردان برای بیعت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می‌یابند تا در مسیر استقرار حاکمیت اسلامی بر شکوه این پیمان بیفزایند و این حرکت با آنکه درسطح و ظرفیت زمانه خود مهم‌ترین اقدام سیاسی تلقی می‌شد،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 و بعدها هم در شرایطی که بیعت به‌منظور تحکیم روابط رهبری و افراد ضرورت می‌یافت، بر همین روال ادامه داشت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نکته‌ای که در آخر باید یادآوری کرد، این است که بلاذری هنگام شرح مشخصات بیعت کننده‌ها وقتی به نام ام عماره می‌رسد، می‌گوید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بایعها رسول الله صلی الله علیه والسلم علی ما بایع علیه النساء؛</w:t>
      </w:r>
      <w:r>
        <w:rPr>
          <w:rStyle w:val="FootnoteAnchor"/>
          <w:rtl w:val="true"/>
        </w:rPr>
        <w:footnoteReference w:id="459"/>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213" w:name="pg5406_38706"/>
    </w:p>
    <w:p>
      <w:pPr>
        <w:pStyle w:val="BookText"/>
        <w:rPr/>
      </w:pPr>
      <w:bookmarkEnd w:id="213"/>
      <w:r>
        <w:rPr>
          <w:rFonts w:ascii="IRNazanin" w:hAnsi="IRNazanin" w:eastAsia="IRNazanin"/>
          <w:color w:val="111111"/>
          <w:sz w:val="28"/>
          <w:sz w:val="28"/>
          <w:szCs w:val="28"/>
          <w:rtl w:val="true"/>
          <w:lang w:bidi="fa-IR"/>
        </w:rPr>
        <w:t>با وی طبق بیعت با زنان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می‌خواهد در این جمله به تفکیک مفاد بیعت زنان با مردان اشاره کرده و بدین سان از وزن و اهمیت آن در جانب زنان قدری تقلیل دهد که بیعت زنان در آن شب طبق اهداف بیعت که با مردان عنوان شده، صورت نگرفته است، اما هیچ مستندی که این ادعا را تأیید کند در دست نیست، بلکه علاوه بر گزارش‌های عمومی، طبق روایت الاصابه بیعت با این دو زن نیز بر مفاد همان بیعت مردان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ام عماره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شوهرم در آن شب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که دو زن نیز در این جمع حضور دارند،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قدبایعتهما علی ما بایعتکم علیه، انی لا اصافح النساء؛</w:t>
      </w:r>
      <w:r>
        <w:rPr>
          <w:rStyle w:val="FootnoteAnchor"/>
          <w:rtl w:val="true"/>
        </w:rPr>
        <w:footnoteReference w:id="460"/>
      </w:r>
      <w:r>
        <w:rPr>
          <w:rFonts w:ascii="IRNazanin" w:hAnsi="IRNazanin" w:eastAsia="IRNazanin"/>
          <w:color w:val="111111"/>
          <w:sz w:val="28"/>
          <w:sz w:val="28"/>
          <w:szCs w:val="28"/>
          <w:rtl w:val="true"/>
          <w:lang w:bidi="fa-IR"/>
        </w:rPr>
        <w:t>بیعتم با آن‌ها روی همان چیزی است که با شما بیعت کردم؛ من با زنان مصافحه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ایشان بود؛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زنان چنان بود که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به‌زبان برایشان تقریر دادی و دست در دست ایشان ننهادی و با ایشان بیعت با زبان بکردی</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214" w:name="__RefHeading___Toc1597184_581953129"/>
      <w:bookmarkStart w:id="215" w:name="_Toc80"/>
      <w:bookmarkEnd w:id="214"/>
      <w:r>
        <w:rPr>
          <w:rtl w:val="true"/>
        </w:rPr>
        <w:t>ب</w:t>
      </w:r>
      <w:r>
        <w:rPr>
          <w:rtl w:val="true"/>
        </w:rPr>
        <w:t xml:space="preserve">) </w:t>
      </w:r>
      <w:r>
        <w:rPr>
          <w:rtl w:val="true"/>
        </w:rPr>
        <w:t>بیعت زنان در غدیر</w:t>
      </w:r>
      <w:bookmarkEnd w:id="21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آنچه درباره بیعت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با بیعت زنان در غدیر تکمیل می‌شود؛ زیرا در غدیر بار سیاسی ماجرا بسیار روشن است، که هدف از آن تعیین نظام حکومت بعد از دوره نبوی به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جریان را شیخ مفید در ارشاد این گونه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حجة الوداع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غدیر خم رسید، کاروان را متوقف کرد تا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خویش به دستور وحی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طی خطبه‌ای که به این مناسبت ایراد فرمود، ضمن خبر از نزدیک بودن پایان عمر شریفش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 اللهم وال من والاه، وعاد من عاداه؛ هرکه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و هرکس با او دشمنی کند، دشمنش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آمد تا هنگام نماز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مؤذن، حضرت نماز ظهر را با ایشان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خیمه اش نشست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نیز در خیمه مقابلش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مسلمانان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دسته‌دسته به خیمه علی شتافته و منصب او را تبریک گفته و به‌عنوان امیرالمؤمنین بر او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همسران خود و زنان دیگری که حضور داشتند، دستور داد پیش علی بروند و به‌عنوان امیر المؤمنین بر او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این کار را انجام دادند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دیگر کوچک‌ترین تردیدی نیست که این بیعت محتوایی سیاسی داشته، و برای مشارکت دادن مردم در نظام با محور امامت بوده است؛ اما با این همه و با اهداف سرنوشت سازی که در ورای این بیعت وجود داشته و تعمد بوده است که از مردم بیعت گرفته 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نیز دستور داد که با امام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مفهوم واضح این حرکت، رسمیت دادن به نقش زنان در</w:t>
      </w:r>
    </w:p>
    <w:p>
      <w:pPr>
        <w:pStyle w:val="BookText"/>
        <w:rPr/>
      </w:pPr>
      <w:r>
        <w:rPr>
          <w:rFonts w:ascii="IRNazanin" w:hAnsi="IRNazanin" w:eastAsia="IRNazanin"/>
          <w:color w:val="111111"/>
          <w:sz w:val="28"/>
          <w:sz w:val="28"/>
          <w:szCs w:val="28"/>
          <w:rtl w:val="true"/>
          <w:lang w:bidi="fa-IR"/>
        </w:rPr>
        <w:t>سیاست است که به‌مثابه نقش مردان بدان توجه شده است؛ آن هم نه به تعبیر شهید صدر برای یک مقطع مشخص، بلکه برای آنکه مردم را در جهت تعیین سرنوشت سیاسی‌شان در آینده‌های دور تمرین و آمادگی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وجود ندارد که بیعت با پیشوای معصوم واجب است و تخلف از آن ممکن نیست، اما اصرار اسلام که بیعت را به‌عنوان یک روش پیمان دوجانبه میان رهبر و مردم برگزیده است، بدان جهت بوده که مردم را در درازمدت از نظر روانی و اعتقادی برای تعیین سرنوشت و خلافت عمومی انسان آماده کند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کوتاه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آیات بیعت و داستان ملکه سبا و نیز آنچه از سیره شخصی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می‌شود، دخالت زنان در امر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آن که فعلا وارد جزئیات آن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قابل قبول است و این می‌تواند برای وکالت زن در امور سیاسی یک مبنای فقهی قرار گیرد؛ چون در فقه برای وکالت گذشته از شرایط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مهمی که در جایگاه یک قاعده همه شرایط را پوشش می‌دهد، اهلیت مداخله و مشارکت مستقیم شخص وکیل در زمینه مورد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بحث، وجود این شرایط برای زنان در وکالت‌های سیاسی امر تحقق یافته و ثابت شده‌ای به نظر می‌رسد که به لحاظ مبنایی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طبق برداشتی که از آن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مناقشه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می‌توان برای مشارکت زن در امور خاص مجلس نیز ادله‌ای برشمرد</w:t>
      </w:r>
      <w:r>
        <w:rPr>
          <w:rFonts w:eastAsia="IRNazanin" w:cs="IRNazanin"/>
          <w:color w:val="111111"/>
          <w:sz w:val="28"/>
          <w:szCs w:val="28"/>
          <w:rtl w:val="true"/>
          <w:lang w:bidi="fa-IR"/>
        </w:rPr>
        <w:t>.</w:t>
      </w:r>
      <w:bookmarkStart w:id="216" w:name="pg5406_38712"/>
    </w:p>
    <w:p>
      <w:pPr>
        <w:pStyle w:val="Heading4"/>
        <w:numPr>
          <w:ilvl w:val="3"/>
          <w:numId w:val="1"/>
        </w:numPr>
        <w:rPr/>
      </w:pPr>
      <w:bookmarkStart w:id="217" w:name="__RefHeading___Toc1597186_581953129"/>
      <w:bookmarkStart w:id="218" w:name="_Toc81"/>
      <w:bookmarkEnd w:id="216"/>
      <w:bookmarkEnd w:id="217"/>
      <w:r>
        <w:rPr/>
        <w:t>3</w:t>
      </w:r>
      <w:r>
        <w:rPr>
          <w:rtl w:val="true"/>
        </w:rPr>
        <w:t xml:space="preserve">- </w:t>
      </w:r>
      <w:r>
        <w:rPr>
          <w:rtl w:val="true"/>
        </w:rPr>
        <w:t>ادله خاص مشارکت زن در مجلس</w:t>
      </w:r>
      <w:bookmarkEnd w:id="218"/>
    </w:p>
    <w:p>
      <w:pPr>
        <w:pStyle w:val="Heading5"/>
        <w:numPr>
          <w:ilvl w:val="4"/>
          <w:numId w:val="1"/>
        </w:numPr>
        <w:rPr/>
      </w:pPr>
      <w:bookmarkStart w:id="219" w:name="__RefHeading___Toc1597188_581953129"/>
      <w:bookmarkStart w:id="220" w:name="_Toc82"/>
      <w:bookmarkEnd w:id="219"/>
      <w:r>
        <w:rPr>
          <w:rtl w:val="true"/>
        </w:rPr>
        <w:t>الف</w:t>
      </w:r>
      <w:r>
        <w:rPr>
          <w:rtl w:val="true"/>
        </w:rPr>
        <w:t xml:space="preserve">) </w:t>
      </w:r>
      <w:r>
        <w:rPr>
          <w:rtl w:val="true"/>
        </w:rPr>
        <w:t>زن و امربه‌معروف</w:t>
      </w:r>
      <w:bookmarkEnd w:id="22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یادآور شدیم که یکی از کارویژه‌های مجلس در حقوق اساسی و نیز مورد پذیرش برخی فقهای شیعه که به این بحث اهتمام ورزیده‌اند، وظیفه نقد و نظارت آن بر تمام مسائل کشور 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از این نظر مجلس در جوامع اسلامی می‌تواند برای فرد مسلمان بازتابنده فریضه بزرگ امربه‌معروف و نهی‌ازمنکر تلقی شود؛ فریضه‌ای که در میان فرایض دینی جایگاهی شریف‌تر و برتر از آن دیده نشده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بقای اسلام،</w:t>
      </w:r>
      <w:r>
        <w:rPr>
          <w:rStyle w:val="FootnoteAnchor"/>
          <w:rtl w:val="true"/>
        </w:rPr>
        <w:footnoteReference w:id="466"/>
      </w:r>
      <w:r>
        <w:rPr>
          <w:rFonts w:ascii="IRNazanin" w:hAnsi="IRNazanin" w:eastAsia="IRNazanin"/>
          <w:color w:val="111111"/>
          <w:sz w:val="28"/>
          <w:sz w:val="28"/>
          <w:szCs w:val="28"/>
          <w:rtl w:val="true"/>
          <w:lang w:bidi="fa-IR"/>
        </w:rPr>
        <w:t>عزت مسلمانان،</w:t>
      </w:r>
      <w:r>
        <w:rPr>
          <w:rStyle w:val="FootnoteAnchor"/>
          <w:rtl w:val="true"/>
        </w:rPr>
        <w:footnoteReference w:id="467"/>
      </w:r>
      <w:r>
        <w:rPr>
          <w:rFonts w:ascii="IRNazanin" w:hAnsi="IRNazanin" w:eastAsia="IRNazanin"/>
          <w:color w:val="111111"/>
          <w:sz w:val="28"/>
          <w:sz w:val="28"/>
          <w:szCs w:val="28"/>
          <w:rtl w:val="true"/>
          <w:lang w:bidi="fa-IR"/>
        </w:rPr>
        <w:t>و آبادانی زمین</w:t>
      </w:r>
      <w:r>
        <w:rPr>
          <w:rStyle w:val="FootnoteAnchor"/>
          <w:rtl w:val="true"/>
        </w:rPr>
        <w:footnoteReference w:id="468"/>
      </w:r>
      <w:r>
        <w:rPr>
          <w:rFonts w:ascii="IRNazanin" w:hAnsi="IRNazanin" w:eastAsia="IRNazanin"/>
          <w:color w:val="111111"/>
          <w:sz w:val="28"/>
          <w:sz w:val="28"/>
          <w:szCs w:val="28"/>
          <w:rtl w:val="true"/>
          <w:lang w:bidi="fa-IR"/>
        </w:rPr>
        <w:t>به زنده بودن این اصل در وجدان و همه سطوح زیست مؤمنانه منوط شده است که درصورت اهمال و تعطیل آن درهای رحمت الهی به روی مردم به‌گونه ای بسته می‌شود که دیگر به نیایش خوبان هم توجهی نشده</w:t>
      </w:r>
      <w:r>
        <w:rPr>
          <w:rStyle w:val="FootnoteAnchor"/>
          <w:rtl w:val="true"/>
        </w:rPr>
        <w:footnoteReference w:id="469"/>
      </w:r>
      <w:r>
        <w:rPr>
          <w:rFonts w:ascii="IRNazanin" w:hAnsi="IRNazanin" w:eastAsia="IRNazanin"/>
          <w:color w:val="111111"/>
          <w:sz w:val="28"/>
          <w:sz w:val="28"/>
          <w:szCs w:val="28"/>
          <w:rtl w:val="true"/>
          <w:lang w:bidi="fa-IR"/>
        </w:rPr>
        <w:t>و درکل، برکت وحی الهی منقطع و تحریم خواهد شد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نتیجه ملموس آن تسلط نااهلان بر مقدرات جامعه و ضعف و زبونی مردم خواهد بود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به‌هرحال، گذشته از جزئیات مسأله، این فریضه علاوه بر آنکه رسالت جهانی و جاودانی اسلام تعریف شده،</w:t>
      </w:r>
      <w:r>
        <w:rPr>
          <w:rStyle w:val="FootnoteAnchor"/>
          <w:rtl w:val="true"/>
        </w:rPr>
        <w:footnoteReference w:id="472"/>
      </w:r>
      <w:r>
        <w:rPr>
          <w:rFonts w:ascii="IRNazanin" w:hAnsi="IRNazanin" w:eastAsia="IRNazanin"/>
          <w:color w:val="111111"/>
          <w:sz w:val="28"/>
          <w:sz w:val="28"/>
          <w:szCs w:val="28"/>
          <w:rtl w:val="true"/>
          <w:lang w:bidi="fa-IR"/>
        </w:rPr>
        <w:t>به نص قاطع قرآن، فرد فرد مسلمانان به آن مکلفند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مردان و زنان باایمان دوستان یکدیگرند که به کارهای پسندیده وامی‌دارند و از کارهای ناپسند بازمی‌دارند و نماز را برپا می‌کنند و زکات می‌دهند و از خدا و پیامبرشان فرمان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در تفسیر این آیه شریفه افزون بر ادله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ثابت می‌کند که زن برای اهتمام عملی به امور عمومی اجتماع و امت صلاحیت و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شناسایی نیازهای جامعه و امت بپردازد و اعمال دولت و سیاستمداران و مواضعشان را در پرتو آشنایی با نیازهای جامعه و امت زیر نظر بگیرد و در موافقت، مخالفت و یا انتقاد به آن عملکردها ابراز عقیده نماید و برای برآوردن نیازها و حل مشکلات تلاش کند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در تفسیر آیه فوق به حق نقد و نظارت زنان بسنده نکرده، بلکه کوشیده است به تبع از سلفش شهید صدر از آن محملی برای تئوری ولایت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انتخابی اسلامی ارائه نماید؛ زیرا مسلم بودن اشتراک هر زن و مرد در تکلیف به امربه‌معروف و نهی‌ازمنکر حق دخالت حاکمانه را برای هر فرد مؤمن در سرنوشت یکدیگر اثبات می‌کند و این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نشأت گرفته از آن است</w:t>
      </w:r>
    </w:p>
    <w:p>
      <w:pPr>
        <w:pStyle w:val="BookText"/>
        <w:rPr/>
      </w:pPr>
      <w:r>
        <w:rPr>
          <w:rFonts w:ascii="IRNazanin" w:hAnsi="IRNazanin" w:eastAsia="IRNazanin"/>
          <w:color w:val="111111"/>
          <w:sz w:val="28"/>
          <w:sz w:val="28"/>
          <w:szCs w:val="28"/>
          <w:rtl w:val="true"/>
          <w:lang w:bidi="fa-IR"/>
        </w:rPr>
        <w:t>که به مؤمنان صلاحیت می‌دهد از موضع اقتدار به امر و نهی همدیگر مبادرت کرده و نیز از طریق مکانیسم‌های معقول چون تشکیل دولت در تحقق و نظام‌مند کردن این حق یا تکلیف تلاش کنند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این دیدگاه ممکن است در حوزه فقه سیاسی شیعه با برداشت‌های دیگر از نظام حکومت به چالش کشیده شود، اما مفهوم کلیدی در این اندیشه، توجه پررنگ به لزوم اقتدار در امربه‌معروف و نهی‌ازمنکر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بابت، راه برای جذب زنان در سازمان‌های قدرت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هموار است و صبغه دینی به خود می‌گیرد تا با حضور آنان در شکل سازماندهی شده، موضع زن مسلمان در قبال مسائل اجتماع، از باب امربه‌معروف و نهی‌ازمنکر، مقتدر، فراگیر و نهادمند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یادآور شدیم که بعد نظارتی مجلس، اندراج و تحلیل این نهاد را تحت یک اصل مسلم دینی چون امربه‌معروف ممکن می‌نماید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نخستین فقیهی است که منتقدان عدم مشروعیت تشکیل مجلس را به این مطلب ارجاع داد که مجلس در جوامع دینی از بعد کارکردی تحت یک مسأله مهم چون امربه‌معروف قابل تحلیل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برخی نحله‌های روشنفکر دینی اهل سنت هم برای حل مسأله حضور زن در مجلس اینک پس از صد سال از این الگو به‌عنوان مهم‌ترین راهبرد استفاده کرده‌اند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البته مشروعیت حضور زن در نهادهای مقتدرِ</w:t>
      </w:r>
    </w:p>
    <w:p>
      <w:pPr>
        <w:pStyle w:val="BookText"/>
        <w:rPr/>
      </w:pPr>
      <w:r>
        <w:rPr>
          <w:rFonts w:ascii="IRNazanin" w:hAnsi="IRNazanin" w:eastAsia="IRNazanin"/>
          <w:color w:val="111111"/>
          <w:sz w:val="28"/>
          <w:sz w:val="28"/>
          <w:szCs w:val="28"/>
          <w:rtl w:val="true"/>
          <w:lang w:bidi="fa-IR"/>
        </w:rPr>
        <w:t xml:space="preserve">امربه‌معروف که در گذشته تحت عنوان حسبه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 حکومت مثل قضا بوده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یا به تعبیری قضا از شئون آن بوده،</w:t>
      </w:r>
      <w:r>
        <w:rPr>
          <w:rStyle w:val="FootnoteAnchor"/>
          <w:rtl w:val="true"/>
        </w:rPr>
        <w:footnoteReference w:id="480"/>
      </w:r>
      <w:r>
        <w:rPr>
          <w:rFonts w:ascii="IRNazanin" w:hAnsi="IRNazanin" w:eastAsia="IRNazanin"/>
          <w:color w:val="111111"/>
          <w:sz w:val="28"/>
          <w:sz w:val="28"/>
          <w:szCs w:val="28"/>
          <w:rtl w:val="true"/>
          <w:lang w:bidi="fa-IR"/>
        </w:rPr>
        <w:t>امری سابقه‌داراست؛ برای نمونه شهید اول از فقهای قرن هشتم شیعه، از وظایف محتسب تنها در اقامه حد از سوی زن بر عبد و کنیزش تردید کرده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تمرکز شهید بر این نمونه نشان می‌دهد که تصدی سایر مسؤلیت‌های حسبه را برای زن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اخوه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اهل سنت در کتاب مهم خود معالم القربة فی‌احکام الحسبه که حسبه را در شکل یک نهاد حکومتی مورد مطالعه قرار داده است، در بحث از شرایط محتسب تصریح کرده که این شرایط نسبت به زن و مرد شمول دارد،</w:t>
      </w:r>
      <w:r>
        <w:rPr>
          <w:rStyle w:val="FootnoteAnchor"/>
          <w:rtl w:val="true"/>
        </w:rPr>
        <w:footnoteReference w:id="482"/>
      </w:r>
      <w:r>
        <w:rPr>
          <w:rFonts w:ascii="IRNazanin" w:hAnsi="IRNazanin" w:eastAsia="IRNazanin"/>
          <w:color w:val="111111"/>
          <w:sz w:val="28"/>
          <w:sz w:val="28"/>
          <w:szCs w:val="28"/>
          <w:rtl w:val="true"/>
          <w:lang w:bidi="fa-IR"/>
        </w:rPr>
        <w:t>و به تعبیر غزالی هرکه از اهل دین است، اهل حسبه است</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ازاین‌رو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از مشارکت زن در مجلس امروز دفاع می‌کند، در تحلیل تبارشناختی دیدگاه عمیقی است که علاوه بر پایه‌های دینی از ریشه‌های تاریخی برخوردار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همه از بعد نظری قضیه است، اما اینکه در تاریخ</w:t>
      </w:r>
    </w:p>
    <w:p>
      <w:pPr>
        <w:pStyle w:val="BookText"/>
        <w:rPr/>
      </w:pPr>
      <w:r>
        <w:rPr>
          <w:rFonts w:ascii="IRNazanin" w:hAnsi="IRNazanin" w:eastAsia="IRNazanin"/>
          <w:color w:val="111111"/>
          <w:sz w:val="28"/>
          <w:sz w:val="28"/>
          <w:szCs w:val="28"/>
          <w:rtl w:val="true"/>
          <w:lang w:bidi="fa-IR"/>
        </w:rPr>
        <w:t>حسبه نمونه‌هایی از زنان محتسب گزارش شده باشد،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ابن عبد البر 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الاستیعاب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سمرا دختر نهیک اسدی از زنان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دراز کرد، در بازارها می‌گشت و امربه‌معروف و نهی‌ازمنکر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تازیانه‌ای که همراه داشت، از منکر بازمی‌داشت</w:t>
      </w:r>
      <w:r>
        <w:rPr>
          <w:rFonts w:eastAsia="IRNazanin" w:cs="IRNazanin"/>
          <w:color w:val="111111"/>
          <w:sz w:val="28"/>
          <w:szCs w:val="28"/>
          <w:rtl w:val="true"/>
          <w:lang w:bidi="fa-IR"/>
        </w:rPr>
        <w:t>.</w:t>
      </w:r>
      <w:r>
        <w:rPr>
          <w:rStyle w:val="FootnoteAnchor"/>
          <w:rtl w:val="true"/>
        </w:rPr>
        <w:footnoteReference w:id="48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وی در دوره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شیوه امر به معروف کرده باشد، آن گونه که متن استیعاب ابهام دارد، محل تردید است، ولی کتانی و قاسمی آن را در همان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485"/>
      </w:r>
      <w:r>
        <w:rPr>
          <w:rFonts w:ascii="IRNazanin" w:hAnsi="IRNazanin" w:eastAsia="IRNazanin"/>
          <w:color w:val="111111"/>
          <w:sz w:val="28"/>
          <w:sz w:val="28"/>
          <w:szCs w:val="28"/>
          <w:rtl w:val="true"/>
          <w:lang w:bidi="fa-IR"/>
        </w:rPr>
        <w:t xml:space="preserve">مایکل کوک هم بی آنکه خود مطمئن باشد، تصدی امربه‌معروف از سوی سمرا را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چالمتا نسبت می‌دهد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جز این، از محتسب بودن زنی دیگر در دوره خلیفه دوم به نام شفا دختر عبدالله نام‌برده شده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همچنین ابن اثیر در شرح وقایع مهم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فوت ام زینب دختر عبدالله در قاهره نام‌برده که یکی از ویژگی‌های وی اشتغال به امربه‌معروف و نهی‌ازمنکر و پرداختن به کارهای خارج از توان مردان بوده است</w:t>
      </w:r>
      <w:r>
        <w:rPr>
          <w:rFonts w:eastAsia="IRNazanin" w:cs="IRNazanin"/>
          <w:color w:val="111111"/>
          <w:sz w:val="28"/>
          <w:szCs w:val="28"/>
          <w:rtl w:val="true"/>
          <w:lang w:bidi="fa-IR"/>
        </w:rPr>
        <w:t>.</w:t>
      </w:r>
      <w:r>
        <w:rPr>
          <w:rStyle w:val="FootnoteAnchor"/>
          <w:rtl w:val="true"/>
        </w:rPr>
        <w:footnoteReference w:id="488"/>
      </w:r>
      <w:bookmarkStart w:id="221" w:name="pg5406_38722"/>
    </w:p>
    <w:p>
      <w:pPr>
        <w:pStyle w:val="BookText"/>
        <w:rPr/>
      </w:pPr>
      <w:bookmarkEnd w:id="221"/>
      <w:r>
        <w:rPr>
          <w:rFonts w:ascii="IRNazanin" w:hAnsi="IRNazanin" w:eastAsia="IRNazanin"/>
          <w:color w:val="111111"/>
          <w:sz w:val="28"/>
          <w:sz w:val="28"/>
          <w:szCs w:val="28"/>
          <w:rtl w:val="true"/>
          <w:lang w:bidi="fa-IR"/>
        </w:rPr>
        <w:t>این گزارش‌ها منتقدان حضور زن در سازمان‌های اجتماعی را به آن واداشته است که یا به‌طورکلی واقعیت موضوع را انکار کنند</w:t>
      </w:r>
      <w:r>
        <w:rPr>
          <w:rStyle w:val="FootnoteAnchor"/>
          <w:rtl w:val="true"/>
        </w:rPr>
        <w:footnoteReference w:id="489"/>
      </w:r>
      <w:r>
        <w:rPr>
          <w:rFonts w:ascii="IRNazanin" w:hAnsi="IRNazanin" w:eastAsia="IRNazanin"/>
          <w:color w:val="111111"/>
          <w:sz w:val="28"/>
          <w:sz w:val="28"/>
          <w:szCs w:val="28"/>
          <w:rtl w:val="true"/>
          <w:lang w:bidi="fa-IR"/>
        </w:rPr>
        <w:t>یا از زاویه نگرش به شئون زن مثل حرمت اختلاط، حرمت نظر به چهره زن و حرمت سخن‌گفتن زن با مردهای بیگانه بر استبعاد مسأله اصرار ورزند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تکلف این نحوه مواجهه با قضیه کاملاً روشن و به نظر می‌رسد صورت تاریخی مسأله بیشتر با مقداری پیش‌داوری در مورد زن مکدر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تأثیر این منفی‌بافی‌های غیر تاریخی بر اصل مسأله از بعد نظری بی‌اهمیت خواهد بود؛ چنان‌که استناد به ادله انحصار و تعمیم ولایت مرد بر زن نیز در توجیه محروم کردن زن از شرکت در حسبه</w:t>
      </w:r>
      <w:r>
        <w:rPr>
          <w:rStyle w:val="FootnoteAnchor"/>
          <w:rtl w:val="true"/>
        </w:rPr>
        <w:footnoteReference w:id="491"/>
      </w:r>
      <w:r>
        <w:rPr>
          <w:rFonts w:ascii="IRNazanin" w:hAnsi="IRNazanin" w:eastAsia="IRNazanin"/>
          <w:color w:val="111111"/>
          <w:sz w:val="28"/>
          <w:sz w:val="28"/>
          <w:szCs w:val="28"/>
          <w:rtl w:val="true"/>
          <w:lang w:bidi="fa-IR"/>
        </w:rPr>
        <w:t xml:space="preserve">راه به جایی نمی‌برد؛ زیرا علاوه بر مخدوش بودن دلالت آن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آینده بدان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تساوی زن و مرد در امر به معروف ونهی از منکر، تحقق برخی از اهداف حسبه بدون مشارکت زن میسر نیست</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222" w:name="__RefHeading___Toc1597190_581953129"/>
      <w:bookmarkStart w:id="223" w:name="_Toc83"/>
      <w:bookmarkEnd w:id="222"/>
      <w:r>
        <w:rPr>
          <w:rtl w:val="true"/>
        </w:rPr>
        <w:t>ب</w:t>
      </w:r>
      <w:r>
        <w:rPr>
          <w:rtl w:val="true"/>
        </w:rPr>
        <w:t xml:space="preserve">) </w:t>
      </w:r>
      <w:r>
        <w:rPr>
          <w:rtl w:val="true"/>
        </w:rPr>
        <w:t>زن و شورا</w:t>
      </w:r>
      <w:bookmarkEnd w:id="22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مهمی که مجلس را در مقایسه با سایر نهادهای سیاسی برجسته می‌کند، ماهیت شورایی این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فعالیت و تحقق صلاحیت و اختیار آن با مشاوره و رایزنی اعضا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مصوبه و فعالیتی خارج از روال شورایی در مجلس پیش‌بینی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مجلس تحقق‌بخش یکی از آرمان‌های بزرگ اسلامی خواهد بود</w:t>
      </w:r>
    </w:p>
    <w:p>
      <w:pPr>
        <w:pStyle w:val="BookText"/>
        <w:rPr/>
      </w:pPr>
      <w:r>
        <w:rPr>
          <w:rFonts w:ascii="IRNazanin" w:hAnsi="IRNazanin" w:eastAsia="IRNazanin"/>
          <w:color w:val="111111"/>
          <w:sz w:val="28"/>
          <w:sz w:val="28"/>
          <w:szCs w:val="28"/>
          <w:rtl w:val="true"/>
          <w:lang w:bidi="fa-IR"/>
        </w:rPr>
        <w:t>که در همه عرصه‌های زندگی ازشیر گرفتن کودک تا جنگ و صلح روی اصل آن تأکید کرده است؛ واقعیتی که اگر آیه و روایتی هم نبود، به حکم عقل حسن و ضرورت آن جای انکار نداشت؛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حصول یک مصلحت مطلوب است و کوشش‌ها همه صرف تحصیل آن می‌شود، طبعاَ شناخت راه‌های گوناگون تحصیل آن مصلحت و فهم بهترین این راه‌ها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یکی از اموری است که ما را به شناخت طرق مختلف تحصیل یک مصلحت و فهم بهترین آنها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رایزنی و تبادل نظر جهات ابهام مسائل و مشکلات زدوده می‌شود و حقایق برای آدمی آشکارتر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عقل به حسن مشورت برای کشف مصلحت و بهترین راه نیل به آن حکم می‌کند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استدلال را می‌توان این گونه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راه‌های گوناگون و فهم بهترین آنها برای تحصیل یک مصلحت مطلوب است، این شناخت و فهم در انحصار صنف و قشر خاصی نخواهد بود و همه انسان‌ها اعم از زن و مرد می‌توانند در چنین پروژه‌ای مشارکت داشته و نقش ایفا کنند؛ چون تولید دانش به‌معنای مطلق و نیز تئوری‌های لازم در عرصه‌های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این نظر تقسیم بندی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مصادره امتیاز این کار برای عده‌ای و محروم کردن عده‌ای دیگر، با اصل فلسفه مشاوره در تعارض قرار می‌گیرد و در این صورت بخشی وسیع از راه‌های محتمل برای درک یک تصمیم بهتر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جوادی آملی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کَرِهْتُمُوهُنَّ فَعَسی أَنْ تَکْرَهُوا شَیْئاً وَ یَجْعَلَ اللّهُ فِیهِ خَیْراً کَثِیراً</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دستوری در جهت مشارکت دادن زن در امور اجتماعی و خیرات ناشی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زن‌ها معاشرت نیک داشته باشید و زن را چون مرد در مجامعتان راه دهید و اگر خوشایندتان نیست که آن‌ها در مجامعتان شرکت کنند، این کار ناخوشایند را بکنید؛ چراکه ممکن است خیر فراوانی در این کار باشد و شما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معاشرت اختصاص به مسائل خانوادگی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خوشتان نمی‌آید آنها مانند شما سمتی داشته باشند و در جامعه و صحنه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 این امر را تحمل کنید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آیت الله خامنه‌ای در مسأله فتوا دادن زن به این مطلب توجه کرده که لزوم جامع‌نگری در مسائل اقتضا می‌کند در مواردی باید مشخصاً زن‌ها فتوا بدهند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این مسائل که در فقه مسلم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مسأله افتاء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خیلی تصدیق کنیم که شرط مفتی مرد بودن است؛ شاید در بعضی مسائل اصلاً زن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وجود دارد که موضوع آن را من و شما که مَردیم، قادر به فهمیدنش نیستیم؛ هرچند هم که تشریح کنند، موضوع برای ما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زن می‌تواند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انسان قائل بشود که در این موارد متعین است که در مسائل مربوط به زنان زن فتوا بدهد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هر هدفی را برای شورا در نظر بگیریم، مشکل‌تر از امر فتوا نخواهد بود و هر خیری را درباره حضور زن در اجتماع تصور کنیم، مصداقی بارزتر از حضور شورا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مورد اگر هیچ دلیل دیگری نداشته باشیم، لزوم جامعیت شورا از نظر منابع انسانی مقتضی است که زن‌ها در آن حضور داشته باشند تا در امور زنان بدون حضور آنان تصمیم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برای این مهم می‌توان متناسب با موضوع مشاوره ملاک‌هایی از نظر تخصص و تجربه در نظر گرفت؛ آن گونه که نایینی در تعیین مراد از کسانی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مکلف به مشورت شده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کل و عقل عصمت را بدان مخاطب ساخته و به مشورت با عقلای امت مکلف فرموده‌اند،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عقلای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بداهت و ظهور است؛ چه بالضروره معلوم است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امت و قاطبه مهاجرین و انصار است، نه اشخاص خاصه و تخصیص آن به خصوص عقلا و ارباب حل و عقد از روی مناسبت حکیمه و قرینه مقامیه خواهد بود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بنابراین، اینکه از مفهوم شورا یا ادله و یا اهداف آن تحدیدی را نسبت به زنان حتی در شکل مشارکت نمایندگی مجلس استنباط کنیم،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آیت الله مصباح نقش زن را در سمت مشاور در بالاترین سطح می‌پذیرد، اما باتکلف می‌کوشد از دادن ماهیت حکومتی آن دوری کند؛ چون خود را با شبهه فقهی مواجه می‌بیند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اینکه زنان متصدی چه مشاغلی می‌توانند بشوند،</w:t>
      </w:r>
    </w:p>
    <w:p>
      <w:pPr>
        <w:pStyle w:val="BookText"/>
        <w:rPr/>
      </w:pPr>
      <w:r>
        <w:rPr>
          <w:rFonts w:ascii="IRNazanin" w:hAnsi="IRNazanin" w:eastAsia="IRNazanin"/>
          <w:color w:val="111111"/>
          <w:sz w:val="28"/>
          <w:sz w:val="28"/>
          <w:szCs w:val="28"/>
          <w:rtl w:val="true"/>
          <w:lang w:bidi="fa-IR"/>
        </w:rPr>
        <w:t>باید گفت که آنان در تصدی مشاغلی که یقیناً از امور حکومتی و قضایی شمرده می‌شود، منع می‌شوند تا آن شبهه فقهی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می‌توانند برحسب شایستگی‌های اخلاقی و معنوی و علمی خود، مدیر و رئیس دبستان‌ها و دبیرستان‌های دخترانه، پرستار یا پزشک زنان و متصدی بسیاری از مشاغل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قادرند که حتی به عالی‌ترین مقامات و مناصب پس از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مشاور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آیند؛ چرا که مشاور رهبر بودن به هیچ روی دخالت در امور 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حق دارد به دلیل واجدبودن مراتب عالی تقوا و عدالت و علم و تجربه، به رتبه مشاورت مقام رهبری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نیست که از هیچ‌یک از مناصب حکومتی و قضایی نازل‌تر و دون‌پایه‌تر باشد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هرچند خود این سخنان تلویحاً نقش زن را در امور حکومتی هم پذیراست؛ زیرا مشورت دادن با رهبری اگر صرفاً تشریفاتی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ماهوی همان دخالت در امور حکومت و به گفته خود ایشان از بسیاری از مناصب حکومتی بالاتر است، ولی ایشان جانب شبهه فقهی را در قضیه فرو نمی‌گذارد، که باید گفت در حد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درست هم هست؛ زیرا همان گونه که سباعی اعتراف می‌کند، هیچ دلیل خاصی مبنی بر بازدارندگی زن مثلاً از مشارکت در مجلس نمایندگی وجود ندارد؛ اما دو مشکل دیگر قابل توجه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زنان برای مشاوره سلب صلاحیت می‌نماید؛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صلاحیت علمی زن از رهگذر نقصان عقل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مشکل را ما در بخش بررسی دیدگاه انتقادی وکالت زن در دعاوی قبلاً در فصل دوم به‌تفصیل به نقد گذاشتیم که دوباره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نباید ناگفته بماند، این است که سباعی هرچند بودن نص خاص در زمینه مشارکت زن را در مجلس را انکار می‌کند، دیدگاه وی در فرجام خالی از انتقاد به حضور زن در مجلس نبوده و این گونه ادامه می‌دهد که برخی مصلحت‌ها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خانه‌داری، استلزام نمایندگی در مجلس با اختلاط اجانب و کشف دست و صورت و مسافرت‌های تنهایی سبب می‌شود زن نتواند در این عرصه مسؤلیت ایفا نماید؛ چون در شریعت این امور بر زن تحریم شده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آنچه سباعی تحت عنوان مصلحت و سد ذرایع برای حضور زن مانع‌تراشی می‌کند، قرضاوی درست در برابر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قرضاوی با توجه به صلاحیت شرعی زن در نقش نمایندگی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تقنین و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بودن پایبندی زن مسلمان به شئون دینی، نسبت به فربه کردن مصلحت هشدارگونه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سد ذرایع در اسلام مطلوب است، اما علما در طرح آن دچار افراط و تفریط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اصرار بر سد ذرایع به دلیل جلوگیری از مفاسد محتمل مصالح بیشتری از دست رفته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به‌طورکلی می‌توان این دو ویژگی مجلس را متناظر به دو مسأله مسلم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در اسلام برای تحقق این دو فریضه دینی شکل و شیوه خاصی پیش‌بینی نشده است؛ چون اصولاً در حوزه روش‌ها به دلیل انعطاف‌پذیر بودن آن به اقتضای زمان و مکان شرع کم‌تر دخالت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برای احیای مستمر و بسط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از روش عقلایی جهان برای نظام‌مند</w:t>
      </w:r>
    </w:p>
    <w:p>
      <w:pPr>
        <w:pStyle w:val="BookText"/>
        <w:rPr/>
      </w:pPr>
      <w:r>
        <w:rPr>
          <w:rFonts w:ascii="IRNazanin" w:hAnsi="IRNazanin" w:eastAsia="IRNazanin"/>
          <w:color w:val="111111"/>
          <w:sz w:val="28"/>
          <w:sz w:val="28"/>
          <w:szCs w:val="28"/>
          <w:rtl w:val="true"/>
          <w:lang w:bidi="fa-IR"/>
        </w:rPr>
        <w:t>کردن نقد و نظارت و در کنار آن رایزنی‌های جمعی که در شکل نمایندگی مجلس دیده شده، استفاده کرد؛</w:t>
      </w:r>
      <w:r>
        <w:rPr>
          <w:rStyle w:val="FootnoteAnchor"/>
          <w:rtl w:val="true"/>
        </w:rPr>
        <w:footnoteReference w:id="501"/>
      </w:r>
      <w:r>
        <w:rPr>
          <w:rFonts w:ascii="IRNazanin" w:hAnsi="IRNazanin" w:eastAsia="IRNazanin"/>
          <w:color w:val="111111"/>
          <w:sz w:val="28"/>
          <w:sz w:val="28"/>
          <w:szCs w:val="28"/>
          <w:rtl w:val="true"/>
          <w:lang w:bidi="fa-IR"/>
        </w:rPr>
        <w:t>زیرا مشورت با همه افراد به‌خصوص در امور حکومتی و مسائل بزرگ جامعه همواره ممکن نیست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همچنین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با نهادینه کردن آن در این شکل بهتر می‌توان به جریان دائمی آن امیدوار بود؛ یعنی از طریق نمایندگی در مجلس هم بخشی از نهادهای دینی از پایگاهی تثبیت‌شده برخوردار می‌شوند و هم به حیات خود به طور مستمر بدون وقفه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برخورداری از جایگاه مقتدر با حقوق و مزایای تعریف شده کارایی آن در سطح پوشش دادن موضوعات حکومتی ارتقا پیدا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تشکیل و تحقیق تمامی این روند، زن به اقتضای ادله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نه حق مداخله ندارد، که از منظر ادبیات دینی تکلیف شرعی دارد و بازداشتن او از سهم خود در برآوردن این گونه مسئولیت‌ها با وجود شیوه‌های معقول، کاری تکلف‌زا، بی‌دلیل و از موضع تحکم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آنچه گفته شد، به این بیان قابل تلخیص و استنتاج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بیعت نساء و بیعت در سیره برداشت می‌شود که در شریعت اسلام نقش زنان در بنای یک اجتماع و حکومت جدید و همین طور همکاری با آن در سطح بسیار بالا و مؤثر پذیرفته شده است؛ چون رسمیت به نقش سیاسی زنان در قالب بیعت به‌معنای رسمیت دادن به فعالیت سیاسی زن خواهد بود؛ چراکه بیعت از عمومی‌ترین و مؤثرترین شیوه‌هایی بوده که در آن دوران مردم رابطه و تعهد فعال خود با کانون سیاست را به واسطه آن ابراز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داستان ملکه سبا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و سیاست جنسیت‌مدار نیست؛ یعنی به شهادت قرآن، هم در گذشته تاریخ پدیده‌ای از قبیل حکومت زن وجود داشته و هم با موفقیت اداره و رهبری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قرآن نهی و مذمتی از چنین حکومتی که با رهبری زن اداره شود، وارد نشده است و این سکوت تقریر ضمنی حکومت زن خواهد بود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به‌ویژه که سبک و سیاق داستان قرآن، جنبه نکوهش نسبت به این حکومت جز از ناحیه که در اطاعت خدا نبوده، ندارد و در این جهت نه تنها این زن مورد هجمه قرار گرفته که بسیاری از مردان در قرآن با نام و مشخصات به شدیدترین وجه مورد حملات کوبنده وحی قرار گرفته‌اند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اگر در نگاه شرع زن شایستگی نداشت و یا به‌هر دلیل دیگری با سیاست بیگانه بود، این گونه حضور او را در عرصه‌هایی که ممهد نظام سیاسی بوده، برنمی‌تافت و این چنین به او فرصت مشارکت دوشادوش با مردان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از حاکمیت زن تمجیدگونه</w:t>
      </w:r>
      <w:bookmarkStart w:id="224" w:name="pg5406_38738"/>
    </w:p>
    <w:p>
      <w:pPr>
        <w:pStyle w:val="BookText"/>
        <w:rPr/>
      </w:pPr>
      <w:bookmarkEnd w:id="224"/>
      <w:r>
        <w:rPr>
          <w:rFonts w:ascii="IRNazanin" w:hAnsi="IRNazanin" w:eastAsia="IRNazanin"/>
          <w:color w:val="111111"/>
          <w:sz w:val="28"/>
          <w:sz w:val="28"/>
          <w:szCs w:val="28"/>
          <w:rtl w:val="true"/>
          <w:lang w:bidi="fa-IR"/>
        </w:rPr>
        <w:t>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 در رهبری‌اش برای پیشبرد مقاصد دنیوی موفق بوده است و هم در راهنمایی مردم برای پذیرفتن دعوت سلیمانی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 بی‌آنکه ورود زن به سطحی خاص از سیاست را مشخص کند، پاسخ خوب و مثبتی برای پرسش از مشارکت زن در سیاست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یادآور شدیم مهم‌ترین چالشی که هر وکیل خواه در امور فردی و خواه در امور اجتماعی از نظر فقهی باید پشت سر بگذارد، اثبات صلاحیتش برای ورود و دخالت مستقیم در عرصه مورد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مبنای کلی مشارکت زن برای وکالت در حوزه عمومی فقها اثبات خواهد شد و از این پس عزیمت به‌سوی جواز وکالت او در مجلس آماده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وکالت زن در مجلس را ادله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 هم پوشش می‌دهند؛ زیرا زنده نگه داشتن، ترویج و توسعه این دو اصل دینی، چه حق مردم باشد یا تکلیف آنها</w:t>
      </w:r>
      <w:r>
        <w:rPr>
          <w:rStyle w:val="FootnoteAnchor"/>
          <w:rtl w:val="true"/>
        </w:rPr>
        <w:footnoteReference w:id="505"/>
      </w:r>
      <w:r>
        <w:rPr>
          <w:rFonts w:ascii="IRNazanin" w:hAnsi="IRNazanin" w:eastAsia="IRNazanin"/>
          <w:color w:val="111111"/>
          <w:sz w:val="28"/>
          <w:sz w:val="28"/>
          <w:szCs w:val="28"/>
          <w:rtl w:val="true"/>
          <w:lang w:bidi="fa-IR"/>
        </w:rPr>
        <w:t>و یا هر دو،</w:t>
      </w:r>
      <w:r>
        <w:rPr>
          <w:rStyle w:val="FootnoteAnchor"/>
          <w:rtl w:val="true"/>
        </w:rPr>
        <w:footnoteReference w:id="506"/>
      </w:r>
      <w:r>
        <w:rPr>
          <w:rFonts w:ascii="IRNazanin" w:hAnsi="IRNazanin" w:eastAsia="IRNazanin"/>
          <w:color w:val="111111"/>
          <w:sz w:val="28"/>
          <w:sz w:val="28"/>
          <w:szCs w:val="28"/>
          <w:rtl w:val="true"/>
          <w:lang w:bidi="fa-IR"/>
        </w:rPr>
        <w:t xml:space="preserve">زن و مرد در برابر آن مشترکند و این در شرایطی که از رهگذر نمایندگی مجلس محقق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جوامع اسلامی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زن یا تردید در صلاحیت او برای این مهم به شکل نمایندگی و وکالت بدون معنا و دلیل و بلکه برخلاف دلیل است</w:t>
      </w:r>
      <w:r>
        <w:rPr>
          <w:rFonts w:eastAsia="IRNazanin" w:cs="IRNazanin"/>
          <w:color w:val="111111"/>
          <w:sz w:val="28"/>
          <w:szCs w:val="28"/>
          <w:rtl w:val="true"/>
          <w:lang w:bidi="fa-IR"/>
        </w:rPr>
        <w:t>.</w:t>
      </w:r>
    </w:p>
    <w:p>
      <w:pPr>
        <w:pStyle w:val="Heading3"/>
        <w:numPr>
          <w:ilvl w:val="2"/>
          <w:numId w:val="1"/>
        </w:numPr>
        <w:rPr/>
      </w:pPr>
      <w:bookmarkStart w:id="225" w:name="__RefHeading___Toc1597192_581953129"/>
      <w:bookmarkStart w:id="226" w:name="_Toc84"/>
      <w:bookmarkEnd w:id="225"/>
      <w:r>
        <w:rPr>
          <w:rtl w:val="true"/>
        </w:rPr>
        <w:t>نتیجه</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آنکه تشکیل کل حکومت را براساس سازوکار وکالت فقهی ممکن بدانیم، تبیین نهاد مجلس در این دوران براساس این سازوکار کاملا ممکن است</w:t>
      </w:r>
      <w:r>
        <w:rPr>
          <w:rFonts w:eastAsia="IRNazanin" w:cs="IRNazanin"/>
          <w:color w:val="111111"/>
          <w:sz w:val="28"/>
          <w:szCs w:val="28"/>
          <w:rtl w:val="true"/>
          <w:lang w:bidi="fa-IR"/>
        </w:rPr>
        <w:t>.</w:t>
      </w:r>
      <w:bookmarkStart w:id="227" w:name="pg5406_38740"/>
    </w:p>
    <w:p>
      <w:pPr>
        <w:pStyle w:val="BookText"/>
        <w:rPr/>
      </w:pPr>
      <w:bookmarkEnd w:id="2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وکالت در فقه شیعه، بلکه کل فقه اسلامی، شرط مرد بودن برای وکیل یا موکل دیده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طبق ادله از اهلیت دخالت در سیاست و امور مجلس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ملاحظات وکالت زن در مجلس شورا، از نظر فقهی بدون اشکال و مناقشه خواهد بود</w:t>
      </w:r>
      <w:r>
        <w:rPr>
          <w:rFonts w:eastAsia="IRNazanin" w:cs="IRNazanin"/>
          <w:color w:val="111111"/>
          <w:sz w:val="28"/>
          <w:szCs w:val="28"/>
          <w:rtl w:val="true"/>
          <w:lang w:bidi="fa-IR"/>
        </w:rPr>
        <w:t>.</w:t>
      </w:r>
    </w:p>
    <w:p>
      <w:pPr>
        <w:pStyle w:val="Heading3"/>
        <w:numPr>
          <w:ilvl w:val="2"/>
          <w:numId w:val="1"/>
        </w:numPr>
        <w:rPr/>
      </w:pPr>
      <w:bookmarkStart w:id="228" w:name="__RefHeading___Toc1597194_581953129"/>
      <w:bookmarkStart w:id="229" w:name="_Toc85"/>
      <w:bookmarkEnd w:id="228"/>
      <w:r>
        <w:rPr>
          <w:rtl w:val="true"/>
        </w:rPr>
        <w:t>ناگفته ها</w:t>
      </w:r>
      <w:bookmarkEnd w:id="229"/>
    </w:p>
    <w:p>
      <w:pPr>
        <w:pStyle w:val="Heading4"/>
        <w:numPr>
          <w:ilvl w:val="3"/>
          <w:numId w:val="1"/>
        </w:numPr>
        <w:rPr/>
      </w:pPr>
      <w:bookmarkStart w:id="230" w:name="__RefHeading___Toc1597196_581953129"/>
      <w:bookmarkStart w:id="231" w:name="_Toc86"/>
      <w:bookmarkEnd w:id="230"/>
      <w:r>
        <w:rPr/>
        <w:t>1</w:t>
      </w:r>
      <w:r>
        <w:rPr>
          <w:rtl w:val="true"/>
        </w:rPr>
        <w:t xml:space="preserve">- </w:t>
      </w:r>
      <w:r>
        <w:rPr>
          <w:rtl w:val="true"/>
        </w:rPr>
        <w:t>مفهوم روشن فرضیه این اثر</w:t>
      </w:r>
      <w:bookmarkEnd w:id="231"/>
    </w:p>
    <w:p>
      <w:pPr>
        <w:pStyle w:val="BookText"/>
        <w:rPr/>
      </w:pPr>
      <w:r>
        <w:rPr>
          <w:rFonts w:ascii="IRNazanin" w:hAnsi="IRNazanin" w:eastAsia="IRNazanin"/>
          <w:color w:val="111111"/>
          <w:sz w:val="28"/>
          <w:sz w:val="28"/>
          <w:szCs w:val="28"/>
          <w:rtl w:val="true"/>
          <w:lang w:bidi="fa-IR"/>
        </w:rPr>
        <w:t>آنچه تاکنون راجع به جواز وکالت زن گفته شد، فرضیه‌ای است که نمی‌خواهد زبان تجویزبه‌خود گرفته و فراخوانی برای این موضوع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در پی آن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ارباب نظر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روشنی افکندن بر مبانی فقهی مسأله و درتقابل با طرف‌داران دیدگاهی است که زن بودن را مانعی مرموز و فطری برای فعالیت نیمی از پیکر اجتماع ارزیابی می‌کنند و تحت عنوان تفکر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سیاسی، اجتماعی، اقتصادی در سطح ملی و فراملی را حوزه فعالیت مردان می‌دانند و هرگونه دخالت زنان را در این حوزه بدعت و کفر و الحاد تفسیر و تبین می‌نمایند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تصور این دیدگاه از زن تصور یک استثنا در میان انسان‌ها است که حتی راه تقرب به خدا و انسانیت او را هم تنگ و به‌کلی متفاوت می‌داند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یا باید پیوسته حامله باشند و یا شیر دهند تا در کاروان انسانیت و حرکت به‌سوی معبود و محبوب و قبله مشتاقان و کعبه عاشقان و</w:t>
      </w:r>
    </w:p>
    <w:p>
      <w:pPr>
        <w:pStyle w:val="BookText"/>
        <w:rPr/>
      </w:pPr>
      <w:r>
        <w:rPr>
          <w:rFonts w:ascii="IRNazanin" w:hAnsi="IRNazanin" w:eastAsia="IRNazanin"/>
          <w:color w:val="111111"/>
          <w:sz w:val="28"/>
          <w:sz w:val="28"/>
          <w:szCs w:val="28"/>
          <w:rtl w:val="true"/>
          <w:lang w:bidi="fa-IR"/>
        </w:rPr>
        <w:t>پویندگان به‌سوی حرم و حریم امن و ایمان او با مردان هم‌آهنگ باشند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این تلقی از زن که وی شایستگی حضور در صحنه‌های اجتماعی ندارد، یک تلقی دامنه‌دار است که در گذشته نه‌چندان دور درباره حق شرکت زنان در انتخابات مجلس در ایران چنین صریح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عمر تا حال بسیار در بر و بحر ممالیک اتفاق افتاده بود برای بنده، ولی بدن بنده به لرزه برنیامد و امروز بدنم به لرزه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کمسیون اینکه اولا نباید اسم 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منتخبین بر، که از کسانی که حق انتخاب ندارند، نسوان هستند؛ مثل اینکه بگویند از دیوانه نیستند، سفها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برهان باید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این است که امروز ما هرچه تأمل می‌کنیم، می‌بینیم خداوند قابلیت در این‌ها قرار نداده است که لیاقت حق انتخاب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و مستضعفات و آنها از این نمره‌اند که عقول آنها استعداد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حقیقت، نسوان در مذهب اسلام ما در تحت قیمومتند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در تحت قیمومت رجال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حق انتخاب نخواهد داشت</w:t>
      </w:r>
      <w:r>
        <w:rPr>
          <w:rFonts w:eastAsia="IRNazanin" w:cs="IRNazanin"/>
          <w:color w:val="111111"/>
          <w:sz w:val="28"/>
          <w:szCs w:val="28"/>
          <w:rtl w:val="true"/>
          <w:lang w:bidi="fa-IR"/>
        </w:rPr>
        <w:t>.</w:t>
      </w:r>
      <w:r>
        <w:rPr>
          <w:rStyle w:val="FootnoteAnchor"/>
          <w:rtl w:val="true"/>
        </w:rPr>
        <w:footnoteReference w:id="50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داوری‌ها و موضع گیری‌ها سبب شده که درمقابل برخی جریان‌های افراطی، فقه اسلامی را از تطبیق و وفاق با جهان معاصر ناتوان بپندارند و برخی یکی از شاخصه‌های ناکامی جریان</w:t>
      </w:r>
    </w:p>
    <w:p>
      <w:pPr>
        <w:pStyle w:val="BookText"/>
        <w:rPr/>
      </w:pPr>
      <w:r>
        <w:rPr>
          <w:rFonts w:ascii="IRNazanin" w:hAnsi="IRNazanin" w:eastAsia="IRNazanin"/>
          <w:color w:val="111111"/>
          <w:sz w:val="28"/>
          <w:sz w:val="28"/>
          <w:szCs w:val="28"/>
          <w:rtl w:val="true"/>
          <w:lang w:bidi="fa-IR"/>
        </w:rPr>
        <w:t>مشروطه‌خواهی در ایران را ثبات فقها در موضع تبعیض ضدّ زنان بداند که حتی برای حق رأی زنان متقاعد نشدند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تبعیض ضدّ زنان پس از مشروطه و تشدید آن که در قانون انتخابات تبلور پیدا کرد، بیشتر از این جهت قابل تأمل است که اصل نظام انتخابات و مجلس ارمغانی انقلابی بود که به گفته جان فوارن زنان در همه سطوح آن سهیم بودند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طیف کاملا گسترده و چشمگیری فعالیت می‌کردند و تقریبا همگی در اردوی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حضورشان در اغلب رویدادهای کلیدی و از جمله بست‌نشینی‌های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تظاهرات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ابقای مشروطه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جواهراتشان به قصد تأمین پول برای ایجاد بانک ملی، ایراد سخنرانی‌های آتشین و جنگیدن در کنار داوطلبان مبارز ازجمله فعالیت‌های آنان به نفع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یکی از منابع، در یکی از جنگ‌های آذربایجان وقتی درگیری به پایان رسید، در میان کشته‌ها بیست جسد متعلق به زنانی که لباس مردان پوشیده و جنگیده بودند،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میدان توپخانه ملایی را که به نفع شاه در حال سخنرانی بود، ترور کرد و در همان جا توقیف و درجا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زنی که بعضی مسلح بودند، درجریان بحران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مجلس آمدند و به نمایندگان توصیه کردند در برابر روسیه پایداری کنند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با این همه فداکاری در فرجام انقلاب اولین نظام‌نامه انتخابات مجلس این گونه تدوین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ذیل از انتخاب کردن به‌طور مطلق محرومند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خارج از رشد یا تحت قیمومیت شرعی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خروجشان از دین حنیف اسلام در حضور یکی از حکام شرع جامع الشرایط به ثبوت رسیده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ورشکستان به تقصیر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متکدیان و کسانی که با وسایل بی‌شرفانه تحصیل معاش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مرتکبین قتل و سرقت و سایر مقصرینی که موجب حدود قانونی اسلامی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مقصرین سیاسی که برضد اساس حکومت ملی و استقلال کشور قیام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همان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ذلیل به طور مطلق از حق انتخاب شدن محرومند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شاه‌زادگان،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افراد نیروی مسلح،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افراد شهربانی و ژاندرمری،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مقصرین سیاسی که برضد اساس حکومت ملی و استقلال مملکت قیام و اقدام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تسیهم زنان جزء کسانی چون قاتلین، سارقین، افراد بی شرف، ورشکستان به تقصیر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از انتخاب شدن وحتی انتخاب کردن محروم شدند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مضاعف این است که بخش عظیمی از این گونه تبعیض و نابرابری‌های ناروا به شریعت اسلام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فوران وقتی می‌خواهد قوانین مدنی دوران رضا شاه را نقد کند، به نقد شریعت اشاره</w:t>
      </w:r>
    </w:p>
    <w:p>
      <w:pPr>
        <w:pStyle w:val="BookText"/>
        <w:rPr/>
      </w:pPr>
      <w:r>
        <w:rPr>
          <w:rFonts w:ascii="IRNazanin" w:hAnsi="IRNazanin" w:eastAsia="IRNazanin"/>
          <w:color w:val="111111"/>
          <w:sz w:val="28"/>
          <w:sz w:val="28"/>
          <w:szCs w:val="28"/>
          <w:rtl w:val="true"/>
          <w:lang w:bidi="fa-IR"/>
        </w:rPr>
        <w:t>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آنکه رضا شاه خود را آزاد کننده زنان می‌دانست، در قوانین مدنی اکثر قوانین شریعت اسلامی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از حق رأی برخوردار نشدند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مطمئناً زمینه این‌گونه انتقادات گرایش‌هایی است که هنوز هم عدم مداخله زن را در نمایندگی مجلس که حتی صرفاً کار مشورتی نماید و دست به قانون‌گذاری نزند، موافق با روح اسلام و فلسفه اسلامی عنوان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اینکه مجلس شورا تحت نظر ولی فقیه فقط به جهت مشورت در امور منعقد شود و به‌هیچ‌وجه جنبه قانون گذاری نداشته باشد، آیا باز هم ورود زنان به چنین مجلسی جایز است یا نه؟ باید عرض کنم که در این صورت باز هم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لاتستشار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در امور سیاسیه و ولائیه خصوصا در محافل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مشورت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که مرکز اداره و تصمیم و محور صدور احکام و قوانین است، اگر مبتنی نشود علی ماذکرناه من مفاد الفلسفة الاسلامیة والروح الاسلامی، در نقطه مقابل ولایت امام و فقه قرار می‌گیرد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تابع اخس مقدّمتین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 پایین‌تر و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 همه افراد آن از مردانند، ولی یک یا دو نفر هم زن وجود دارد، کافی است که مصوبات آن از حجیت ساقط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ورود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مردان با این خصوصیات مجوز ندارد و لو یک نفر هم باشد و در گوشه‌ای بنشیند، نه رأی به اثبات</w:t>
      </w:r>
      <w:bookmarkStart w:id="232" w:name="pg5406_38748"/>
    </w:p>
    <w:p>
      <w:pPr>
        <w:pStyle w:val="BookText"/>
        <w:rPr/>
      </w:pPr>
      <w:bookmarkEnd w:id="232"/>
      <w:r>
        <w:rPr>
          <w:rFonts w:ascii="IRNazanin" w:hAnsi="IRNazanin" w:eastAsia="IRNazanin"/>
          <w:color w:val="111111"/>
          <w:sz w:val="28"/>
          <w:sz w:val="28"/>
          <w:szCs w:val="28"/>
          <w:rtl w:val="true"/>
          <w:lang w:bidi="fa-IR"/>
        </w:rPr>
        <w:t>بدهد و نه به منفی؛ اما چون وجودش در میان این مردها فردی از آنان به حساب می‌آید و در رسمیت و عدم رسمیت مجلس دخالت دارد، موجب می‌شود حکمی که از این مجلس صادر می‌شود ضایع و باطل شود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ذکر این جملات به تفصیل برای این است که ابعاد مدعا کم‌وبیش روشن گردد و بدانیم که اصولاً مناقشه بر سر چه چیز و در کدام گستره تعقیب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صورت، فرضیه جواز مشارکت سیاسی زن در قالب وکالت مجلس در پی الزامات جدید برای تغییر شیوه زندگی زنان نخواهد بود، بلکه مقابله با موج‌هایی است که حذف زن را کاملاً از صحنه اجتماع در دستور کار دارد و هرچند اینک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 اسلامی، هنجارها و ارزش‌های سنتی و غیرمعاصر فرو ریخته و ارزش‌های نوینی در ساختار جامعه ایران مطرح شدند، اما قدمت ارزش‌های سنتی و رسوبات باقی‌مانده از آن در ذهن جامعه نهادینه شده است و به این سادگی نیز از میدان نخواهد رفت، نهادهای فرهنگی سنتی آن قدر پایدار و مقاومند که ارزش‌های نوین اسلامی را تهدید می‌کند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597198_581953129"/>
      <w:bookmarkStart w:id="234" w:name="_Toc87"/>
      <w:bookmarkEnd w:id="233"/>
      <w:r>
        <w:rPr/>
        <w:t>2</w:t>
      </w:r>
      <w:r>
        <w:rPr>
          <w:rtl w:val="true"/>
        </w:rPr>
        <w:t xml:space="preserve">- </w:t>
      </w:r>
      <w:r>
        <w:rPr>
          <w:rtl w:val="true"/>
        </w:rPr>
        <w:t>احترام به نقش های اختصاصی زنان</w:t>
      </w:r>
      <w:bookmarkEnd w:id="23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فرضیه به همان میزان که از نزدیک شدن به مرزهای تجویز و الزام دوری می‌کند، به نقش زن در خانواده و مقام مادری که همواره از آن او و برازنده اوست، قدر می‌گذارد و نیز ویژگی‌های فطری که به موجب آن حضور زنان در صحنه عمل به‌طور جدی کاسته می‌شود، به رسمیت</w:t>
      </w:r>
    </w:p>
    <w:p>
      <w:pPr>
        <w:pStyle w:val="BookText"/>
        <w:rPr/>
      </w:pPr>
      <w:r>
        <w:rPr>
          <w:rFonts w:ascii="IRNazanin" w:hAnsi="IRNazanin" w:eastAsia="IRNazanin"/>
          <w:color w:val="111111"/>
          <w:sz w:val="28"/>
          <w:sz w:val="28"/>
          <w:szCs w:val="28"/>
          <w:rtl w:val="true"/>
          <w:lang w:bidi="fa-IR"/>
        </w:rPr>
        <w:t>می‌پذیرد؛ ویژگی‌هایی چون کوچک تر بودن حجم قفسه سینه، شش‌ها، قلب، مغز، قدرت ماهیچه‌ها و اندازه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بارداری، وضع حمل، شیردهی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ویژگی‌های فیزیولوژیکی زنان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کاملا طبیعی و پذیرفته شده‌اند و واقع‌نگری نیز به پذیرش این تفاوت‌ها به‌طور دربست حکم می‌کند،</w:t>
      </w:r>
      <w:r>
        <w:rPr>
          <w:rStyle w:val="FootnoteAnchor"/>
          <w:rtl w:val="true"/>
        </w:rPr>
        <w:footnoteReference w:id="517"/>
      </w:r>
      <w:r>
        <w:rPr>
          <w:rFonts w:ascii="IRNazanin" w:hAnsi="IRNazanin" w:eastAsia="IRNazanin"/>
          <w:color w:val="111111"/>
          <w:sz w:val="28"/>
          <w:sz w:val="28"/>
          <w:szCs w:val="28"/>
          <w:rtl w:val="true"/>
          <w:lang w:bidi="fa-IR"/>
        </w:rPr>
        <w:t>اما آنچه نباید از آن غفلت شود، این است که تأکید بر نقش زن درخانواده تنها عرصه مشروع فعالیت او تعیین نشود؛ چنان‌که کسی نقش پدر، برای مرد را چنین انحصاری که او را از کارهای اجتماعی بازدارد، تعریف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برخی شرایط باید به فراتر از محیط کوچک خانواده و عرصه‌های اجتماع وارد شده</w:t>
      </w:r>
      <w:r>
        <w:rPr>
          <w:rStyle w:val="FootnoteAnchor"/>
          <w:rtl w:val="true"/>
        </w:rPr>
        <w:footnoteReference w:id="518"/>
      </w:r>
      <w:r>
        <w:rPr>
          <w:rFonts w:ascii="IRNazanin" w:hAnsi="IRNazanin" w:eastAsia="IRNazanin"/>
          <w:color w:val="111111"/>
          <w:sz w:val="28"/>
          <w:sz w:val="28"/>
          <w:szCs w:val="28"/>
          <w:rtl w:val="true"/>
          <w:lang w:bidi="fa-IR"/>
        </w:rPr>
        <w:t>و به فرموده آیت الله خامنه‌ای خلأیی که احیاناً به اقتضای زمانه احساس می‌نماید،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مثل مرد مسلمان حق دارد آنچه که اقتضای زمان است، آن خلائی را که احساس می‌کند، آن وظیفه را که بر دوش حس می‌کند،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دختری مثلاً مایل است پزشک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کارهای سیاسی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میدان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رعایت عفت و عفاف</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هرکس زن را به بی سوادی و بی اعتنایی به شرکت در امور اجتماعی و منفرد بودن و همسر بودن تشویق کند، جنایت کرده 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نباید ویژگی‌های فطری زن را آن قدر غیرطبیعی جلوه داد که امکان هرگونه 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از آنان سلب نماید</w:t>
      </w:r>
    </w:p>
    <w:p>
      <w:pPr>
        <w:pStyle w:val="BookText"/>
        <w:rPr/>
      </w:pPr>
      <w:r>
        <w:rPr>
          <w:rFonts w:ascii="IRNazanin" w:hAnsi="IRNazanin" w:eastAsia="IRNazanin"/>
          <w:color w:val="111111"/>
          <w:sz w:val="28"/>
          <w:sz w:val="28"/>
          <w:szCs w:val="28"/>
          <w:rtl w:val="true"/>
          <w:lang w:bidi="fa-IR"/>
        </w:rPr>
        <w:t>و به‌منزله یک ایدئولوژی توجیه‌کننده فرودستی زنان در برابر مردان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مهم‌تر از ویژگی‌های فیزیولوژیکی زنان است، پیش‌داوری‌هایی است که گاهی موارد در شبکه معرفتی پدرسالار چهره علمی نیز به‌خود می‌گیرد، و آن اینکه با سوءاستفاده از ویژگی‌های طبیعی زنان ویژگی را چنان تبیین و مطرح می‌کنند که زنان را از پیش از صحنه سیاست و اجتماع به سود مردان، دور و منزوی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رویکرد جنسیتی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که تلاش می‌کند ویژگی‌های طبیعی زنان را حمل بر نقص وجود آنها کند و در نتیجه زنان را موجود ناقص،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از این نمونه برداشت به این سخنان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خلاف اسلام است و خلاف بنیه و سازمان فطری و خلقی زن و خلاف مصالح عامه وعواید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زن صدای خود را در شرایط عادی، در میان مردان، در سخنرانی‌ها و شرکت در مجالس و محافل مردان و یا مجالس و محافلی که در آن زن و مرد وجود دارند، خلاف نصوص صریحه وارده در اسلام است</w:t>
      </w:r>
      <w:r>
        <w:rPr>
          <w:rFonts w:eastAsia="IRNazanin" w:cs="IRNazanin"/>
          <w:color w:val="111111"/>
          <w:sz w:val="28"/>
          <w:szCs w:val="28"/>
          <w:rtl w:val="true"/>
          <w:lang w:bidi="fa-IR"/>
        </w:rPr>
        <w:t>.</w:t>
      </w:r>
      <w:r>
        <w:rPr>
          <w:rStyle w:val="FootnoteAnchor"/>
          <w:rtl w:val="true"/>
        </w:rPr>
        <w:footnoteReference w:id="52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کافی است 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صریحه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اعلام می‌شود، با دیدگاه یک فقیه محدّث، چون شیخ یوسف بحرانی درباره صدای زن حتی در اذان برای مردهای نامحرم مقایسه شود که ایشان طبق ادله منعی برای اذان زن حتی در میان مردان نامحرم نمی‌بیند، اما از آن‌رو که اذان</w:t>
      </w:r>
      <w:bookmarkStart w:id="235" w:name="pg5406_38752"/>
    </w:p>
    <w:p>
      <w:pPr>
        <w:pStyle w:val="BookText"/>
        <w:rPr/>
      </w:pPr>
      <w:bookmarkEnd w:id="235"/>
      <w:r>
        <w:rPr>
          <w:rFonts w:ascii="IRNazanin" w:hAnsi="IRNazanin" w:eastAsia="IRNazanin"/>
          <w:color w:val="111111"/>
          <w:sz w:val="28"/>
          <w:sz w:val="28"/>
          <w:szCs w:val="28"/>
          <w:rtl w:val="true"/>
          <w:lang w:bidi="fa-IR"/>
        </w:rPr>
        <w:t>امری عبادی است و در فقه اذان برای زن اجازه داده نشده، توقف می‌کند؛ نه آنکه صدای زن چنین محدودیتی دارد که نباید به گوش کسی برسد</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236" w:name="__RefHeading___Toc1597200_581953129"/>
      <w:bookmarkStart w:id="237" w:name="_Toc88"/>
      <w:bookmarkEnd w:id="236"/>
      <w:r>
        <w:rPr/>
        <w:t>3</w:t>
      </w:r>
      <w:r>
        <w:rPr>
          <w:rtl w:val="true"/>
        </w:rPr>
        <w:t xml:space="preserve">- </w:t>
      </w:r>
      <w:r>
        <w:rPr>
          <w:rtl w:val="true"/>
        </w:rPr>
        <w:t>مسأله حجاب</w:t>
      </w:r>
      <w:bookmarkEnd w:id="23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فرضیه، رعایت حدود شرعی را برای زن در فعالیت و اشتغال او به کارهای فراتر از محیط خانواده جزء مفروضات اساسی می‌داند؛ یعنی جواز اشتغال زن به وکالت دعاوی یا وکالت مجلس و یا هر فعالیتی از این قبیل مشروط به پایبندی او به چارچوب فقهی فعالیت زنان است که غالباً تحت عنوان حجاب اسلامی شناخته می‌شود و این برخلاف پندار کسانی است که می‌خواهند از حجاب برای زن یک دیوار بسازند که در اثر فعالیت زنان در خارج از منزل</w:t>
      </w:r>
      <w:r>
        <w:rPr>
          <w:rStyle w:val="FootnoteAnchor"/>
          <w:rtl w:val="true"/>
        </w:rPr>
        <w:footnoteReference w:id="524"/>
      </w:r>
      <w:r>
        <w:rPr>
          <w:rFonts w:ascii="IRNazanin" w:hAnsi="IRNazanin" w:eastAsia="IRNazanin"/>
          <w:color w:val="111111"/>
          <w:sz w:val="28"/>
          <w:sz w:val="28"/>
          <w:szCs w:val="28"/>
          <w:rtl w:val="true"/>
          <w:lang w:bidi="fa-IR"/>
        </w:rPr>
        <w:t>یا امور حکومتی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اصولاًَ قانون فعالیت زنان است نه مانع آن و بسیار دریغ خواهد بود که این قانون را آن گونه تفسیر کنیم که بر ضد محتوای خودش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آن گونه که از شأن نزول آیه حدود پوشش استفاده می‌شود،</w:t>
      </w:r>
      <w:r>
        <w:rPr>
          <w:rStyle w:val="FootnoteAnchor"/>
          <w:rtl w:val="true"/>
        </w:rPr>
        <w:footnoteReference w:id="525"/>
      </w:r>
      <w:r>
        <w:rPr>
          <w:rFonts w:ascii="IRNazanin" w:hAnsi="IRNazanin" w:eastAsia="IRNazanin"/>
          <w:color w:val="111111"/>
          <w:sz w:val="28"/>
          <w:sz w:val="28"/>
          <w:szCs w:val="28"/>
          <w:rtl w:val="true"/>
          <w:lang w:bidi="fa-IR"/>
        </w:rPr>
        <w:t>در تعامل با اجتماع معنا پیدا می‌کند که نه به‌معنای خانه‌نشینی</w:t>
      </w:r>
    </w:p>
    <w:p>
      <w:pPr>
        <w:pStyle w:val="BookText"/>
        <w:rPr/>
      </w:pPr>
      <w:r>
        <w:rPr>
          <w:rFonts w:ascii="IRNazanin" w:hAnsi="IRNazanin" w:eastAsia="IRNazanin"/>
          <w:color w:val="111111"/>
          <w:sz w:val="28"/>
          <w:sz w:val="28"/>
          <w:szCs w:val="28"/>
          <w:rtl w:val="true"/>
          <w:lang w:bidi="fa-IR"/>
        </w:rPr>
        <w:t>است و نه به‌معنای وظیفه که باید در محیط خانه بدان عمل کند، بلکه چنین نیست که بتوان حتی رجحان خانه‌نشینی را از آن نتیجه گرفت؛ چون حجاب و خانه‌نشینی دو عنوان مستقل است که برای القای مفهوم خاص به‌کار می‌رود؛ خانه‌نشینی یک امر اخلاقی به‌منظور تشدید احتیاطهایی است که نمی‌خواهد زن در معرض آسیب‌های احتمالی قرارگیرد، اما حجاب یک واجب قطعی است که با رعایت آن فعالیت‌های زن در بیرون از محیط خانوادگی جواز و مشروعیت پیدا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برداشت از این دو مسأله گاهی هم خلط و اشتباه صورت می‌گیرد و حکمی که حداکثر استحبابی و اخلاقی است، در عنوان یک</w:t>
      </w:r>
    </w:p>
    <w:p>
      <w:pPr>
        <w:pStyle w:val="BookText"/>
        <w:rPr/>
      </w:pPr>
      <w:r>
        <w:rPr>
          <w:rFonts w:ascii="IRNazanin" w:hAnsi="IRNazanin" w:eastAsia="IRNazanin"/>
          <w:color w:val="111111"/>
          <w:sz w:val="28"/>
          <w:sz w:val="28"/>
          <w:szCs w:val="28"/>
          <w:rtl w:val="true"/>
          <w:lang w:bidi="fa-IR"/>
        </w:rPr>
        <w:t>حکم قطعی دیگر جا زده شده و آن‌گاه به اینجا منتهی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و رعایت این حکم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بخوایند کل فعالیت‌های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آن تماس زیاد با اقشار مختلف مردم و درگیر شدن با مردم است، تناسب ندارد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قسمت را با سخنی از استاد شهید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بازداشتن زن از کوشش‌هایی که آفرینش به او امکان داده است، نه تنها ستم به زن است، خیانت به اجتماع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سبب شود قوای طبیعی و خدادادی انسان معطل و بی اثر بماند، به زیان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انسانی بزرگ‌ترین سرمایه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انسان است و باید از کار و فعالیت این عامل و نیروی تولید او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کردن این عامل و تضییع نیروی نیمی از افراد اجتماع، هم برخلاف حق طبیعی فردی زن است و هم برخلاف حق اجتماع، و سبب می‌شود که زن همیشه به‌صورت سربار وکَلّ بر مرد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هدر رفتن نیروی زن و ضایع ساختن استعدادهای فطری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نمی‌گوید که باید زن را درخانه محبوس کرد و جلو بروز استعدادهای او را گرفت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حجاب در اسلام این است که التذاذات جنسی باید به محیط خانوادگی و به همسر مشروع اختصاص یابد و محیط اجتماع، خالص برای کار و فعالیت باشد</w:t>
      </w:r>
      <w:r>
        <w:rPr>
          <w:rFonts w:eastAsia="IRNazanin" w:cs="IRNazanin"/>
          <w:color w:val="111111"/>
          <w:sz w:val="28"/>
          <w:szCs w:val="28"/>
          <w:rtl w:val="true"/>
          <w:lang w:bidi="fa-IR"/>
        </w:rPr>
        <w:t>.</w:t>
      </w:r>
      <w:r>
        <w:rPr>
          <w:rStyle w:val="FootnoteAnchor"/>
          <w:rtl w:val="true"/>
        </w:rPr>
        <w:footnoteReference w:id="527"/>
      </w:r>
      <w:bookmarkStart w:id="238" w:name="pg5406_38759"/>
    </w:p>
    <w:p>
      <w:pPr>
        <w:pStyle w:val="Heading2"/>
        <w:numPr>
          <w:ilvl w:val="1"/>
          <w:numId w:val="1"/>
        </w:numPr>
        <w:rPr/>
      </w:pPr>
      <w:bookmarkStart w:id="239" w:name="__RefHeading___Toc1597202_581953129"/>
      <w:bookmarkStart w:id="240" w:name="_Toc89"/>
      <w:bookmarkEnd w:id="238"/>
      <w:bookmarkEnd w:id="239"/>
      <w:r>
        <w:rPr/>
        <w:t>5</w:t>
      </w:r>
      <w:r>
        <w:rPr>
          <w:rtl w:val="true"/>
        </w:rPr>
        <w:t xml:space="preserve">- </w:t>
      </w:r>
      <w:r>
        <w:rPr>
          <w:rtl w:val="true"/>
        </w:rPr>
        <w:t>دیدگاه ها و ادله مخالفان وکالت زن در مجلس</w:t>
      </w:r>
      <w:bookmarkEnd w:id="240"/>
    </w:p>
    <w:p>
      <w:pPr>
        <w:pStyle w:val="Heading3"/>
        <w:numPr>
          <w:ilvl w:val="2"/>
          <w:numId w:val="1"/>
        </w:numPr>
        <w:rPr/>
      </w:pPr>
      <w:bookmarkStart w:id="241" w:name="__RefHeading___Toc1597204_581953129"/>
      <w:bookmarkStart w:id="242" w:name="_Toc90"/>
      <w:bookmarkEnd w:id="241"/>
      <w:r>
        <w:rPr>
          <w:rtl w:val="true"/>
        </w:rPr>
        <w:t>نگاهی به</w:t>
      </w:r>
      <w:r>
        <w:rPr>
          <w:rtl w:val="true"/>
        </w:rPr>
        <w:t xml:space="preserve">: </w:t>
      </w:r>
      <w:r>
        <w:rPr>
          <w:rtl w:val="true"/>
        </w:rPr>
        <w:t>نقدها، دیدگاه ها و ادله مخالف</w:t>
      </w:r>
      <w:bookmarkEnd w:id="242"/>
    </w:p>
    <w:p>
      <w:pPr>
        <w:pStyle w:val="BookText"/>
        <w:rPr/>
      </w:pPr>
      <w:r>
        <w:rPr>
          <w:rFonts w:ascii="IRNazanin" w:hAnsi="IRNazanin" w:eastAsia="IRNazanin"/>
          <w:color w:val="111111"/>
          <w:sz w:val="28"/>
          <w:sz w:val="28"/>
          <w:szCs w:val="28"/>
          <w:rtl w:val="true"/>
          <w:lang w:bidi="fa-IR"/>
        </w:rPr>
        <w:t>پرمسلم در مطالعات مسائل زن، دیدگاه‌های متعددی مطرحند که هریک از زاویه‌ای به این موضوع پرداخته‌اند،</w:t>
      </w:r>
      <w:r>
        <w:rPr>
          <w:rStyle w:val="FootnoteAnchor"/>
          <w:rtl w:val="true"/>
        </w:rPr>
        <w:footnoteReference w:id="528"/>
      </w:r>
      <w:r>
        <w:rPr>
          <w:rFonts w:ascii="IRNazanin" w:hAnsi="IRNazanin" w:eastAsia="IRNazanin"/>
          <w:color w:val="111111"/>
          <w:sz w:val="28"/>
          <w:sz w:val="28"/>
          <w:szCs w:val="28"/>
          <w:rtl w:val="true"/>
          <w:lang w:bidi="fa-IR"/>
        </w:rPr>
        <w:t>ولی چون دامنه این پژوهش محدود به فقه شیعه است، در این بخش می‌کوشیم دیدگاه انتقادی فقهای شیعه را در حد تناسب این کتاب بررسی کنیم، تا با ارزیابی این دیدگاه‌ها در جهت تحکیم پایه‌های نظری فرضیه ارائه شده کمکی گرفته و بدین سان جوانب مرتبط از بعد مثبت و منفی را فرو نگذاریم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تنوعی که در دیدگاه‌های دیگر پیرامون مسائل زن دیده می‌شود، کل دیدگاه فقهای شیعه در دو رویکرد طبق یک اصطلاح قابل طیف‌بندی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 فقهای اصلاح‌گرا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فرضیه این پژوهش در درون گفتمان آنها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طیف فقهای سنتی که با حضور زن در</w:t>
      </w:r>
    </w:p>
    <w:p>
      <w:pPr>
        <w:pStyle w:val="BookText"/>
        <w:rPr/>
      </w:pPr>
      <w:r>
        <w:rPr>
          <w:rFonts w:ascii="IRNazanin" w:hAnsi="IRNazanin" w:eastAsia="IRNazanin"/>
          <w:color w:val="111111"/>
          <w:sz w:val="28"/>
          <w:sz w:val="28"/>
          <w:szCs w:val="28"/>
          <w:rtl w:val="true"/>
          <w:lang w:bidi="fa-IR"/>
        </w:rPr>
        <w:t>حوزه‌های اجتماع و سیاست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اصل استدلال‌ها تذکر این مقدمه را اساسی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مشارکت سیاسی زن با ابعادی که امروز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وکالت زن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مستحدثه و جدید است که در ادوار گذشته فقه به این پیمانه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آنچه در فقه‌پژوهی معاصر تحت عنوان مشارکت سیاسی زن، نقد فقهی شده، غالباً بر مبنای یک تعمیم راهبردی در دلیل انحصاری سرپرستی مردها درخانواده و نیز مسلم گرفتن شرط ذکوریت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همه مناصب کلان و شئون ولایت عامه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آیت الله معرفت دراین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بحث از صلاحیت یا عدم صلاحیت زنان برای تصدی رسمی در نظام حکومت اسلامی در امر قضاوت در فقه مطرح است؛ زیرا فقها قضاوت را یک منصب رسمی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ساخته‌اند و آن را از شئون ولایت عامه دانسته، لذا ذکوریت را شرط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 که محط بحث و مورد نظر چیزی فراتر از آن و کبرای مسأله شرط ذکوریت در تمامی مناصبی است که از شئون ولایت عامه محسوب می‌شود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آیت الله حسینی تهرانی در مقام منع زنان از عضویت در مجلس شورا اذعان داشته که اینها اگرچه به درجه اجتهاد و فقاهت رسیده باشند، حق عضویت در این نهاد ندارند؛ چون در زمان ما</w:t>
      </w:r>
    </w:p>
    <w:p>
      <w:pPr>
        <w:pStyle w:val="BookText"/>
        <w:rPr/>
      </w:pPr>
      <w:r>
        <w:rPr>
          <w:rFonts w:ascii="IRNazanin" w:hAnsi="IRNazanin" w:eastAsia="IRNazanin"/>
          <w:color w:val="111111"/>
          <w:sz w:val="28"/>
          <w:sz w:val="28"/>
          <w:szCs w:val="28"/>
          <w:rtl w:val="true"/>
          <w:lang w:bidi="fa-IR"/>
        </w:rPr>
        <w:t>مجلس شورا دارای ریاست عامه است بر جمیع امور ولایی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نگرش مخصوص فقهای شیعه نیست؛ فقهای اهل سنت نیز برای نفی مشروعیت زن در شئون حکومت از همین نقطه عزیمت کرده‌اند؛ یعنی ابتدا شرط ذکوریت را برای تصدی مناصب کلیدی حکومت مسلم گرفته و آن‌گاه مصادیق آن را بر این اساس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معروف جامعه الازهر مبنی بر منع مشارکت زنان در انتخابات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توجیه شده است که چون مجلس از مصادیق ولایت عامه است، دخالت زن در آن غیرمشروع خواهد بود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ترسخ این نگرش به مسأله دخالت زن در سیاست از گذشته‌های دور هم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داستان ملکه سبا در قرآن مناظره میان یک دانشمند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ابوبکر بن طیب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شیخ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بن 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موضوع قضاوت زن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که در مجلس سلطان عضد الدوله ترتیب یافته بود، با دفاع ابوالفرج از رأی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جواز قضاوت زن شروع شده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جواز قضاوت زن این است که هدف از قضاوت، اجرا و تنفیذ حکم است؛ همچنین گوش دادن به بینه و فصل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به همان اندازه که مرد می‌تواند انجام دهد، زن نیز می‌تواند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ابوبکر بر او اعتراض کرده که در امامت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پاسداری از مرزها، اداره امور جامعه، دفاع از کیان اسلام</w:t>
      </w:r>
    </w:p>
    <w:p>
      <w:pPr>
        <w:pStyle w:val="BookText"/>
        <w:rPr/>
      </w:pPr>
      <w:r>
        <w:rPr>
          <w:rFonts w:ascii="IRNazanin" w:hAnsi="IRNazanin" w:eastAsia="IRNazanin"/>
          <w:color w:val="111111"/>
          <w:sz w:val="28"/>
          <w:sz w:val="28"/>
          <w:szCs w:val="28"/>
          <w:rtl w:val="true"/>
          <w:lang w:bidi="fa-IR"/>
        </w:rPr>
        <w:t>و جمع‌آوری مالیات و توزیع آن میان مستحقان است؛ آیا انجام این امور به همان اندازه که از مرد برمی‌آید، برای زن ممکن است؟</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مشاهده می‌شود این نقض که قاضی بر سخن ابوالفرج وارد کرده، مبتنی بر یک مفروض اساسی است و آن اینکه برای جواز قضاوت زن لازم است ابتدا تصدی جواز امامت کبری برای زن ثابت شود؛ چون مناط همه مناصب حکومتی از این نظر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طرح دیدگاه‌های انتقادی از رویکردهایی که به شکل عام با حاکمیت زن در تقابل قرار دارند، در این بخش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که درخصوص وکالت زن عنوان نشده باشد؛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یکی از نهادهای مهم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دیدگاه‌ها خصوصیت هیچ‌یک از نهادهای سیاسی ملاک نیست، بلکه ملاک همان جنبه حاکمیت آنها است؛ به‌ویژه که همه آنها بر محور یک عقلانیت دور می‌زند و آن اینکه زن طبعا و روحا صلاحیت حاکمیت ندارد، نه اینکه جنبه تعبدی داشته باشد تا در خصوص مورد و موضوع آن مقید باشیم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مستقیم این دیدگاه‌ها نفی مشروعیت وکالت زن در مجلس است؛ چون سلب صلاحیت از زن برای حاکمیت در معنای عام خودش، آغازی برای سلب صلاحیت زن در وکالت‌های حاکمانه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اصالتاًَ و فطرتاًَ واجد شایستگی برای تصدی این گونه امور نباشد، با وکالت امکان تأمین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 سلیمی هم چنین معادله‌ای را برنخواهد تافت که انسان فاقد صلاحیت در فلان موضوع از کسی دیگر نمایندگی کند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bookmarkStart w:id="243" w:name="pg5406_38767"/>
    </w:p>
    <w:p>
      <w:pPr>
        <w:pStyle w:val="BookText"/>
        <w:rPr/>
      </w:pPr>
      <w:bookmarkEnd w:id="243"/>
      <w:r>
        <w:rPr>
          <w:rFonts w:ascii="IRNazanin" w:hAnsi="IRNazanin" w:eastAsia="IRNazanin"/>
          <w:color w:val="111111"/>
          <w:sz w:val="28"/>
          <w:sz w:val="28"/>
          <w:szCs w:val="28"/>
          <w:rtl w:val="true"/>
          <w:lang w:bidi="fa-IR"/>
        </w:rPr>
        <w:t>با این ملاحظات، ابتدا از آیاتی که در این زمینه مورد تمسک قرار گرفته‌اند، آغاز می‌کنیم</w:t>
      </w:r>
      <w:r>
        <w:rPr>
          <w:rFonts w:eastAsia="IRNazanin" w:cs="IRNazanin"/>
          <w:color w:val="111111"/>
          <w:sz w:val="28"/>
          <w:szCs w:val="28"/>
          <w:rtl w:val="true"/>
          <w:lang w:bidi="fa-IR"/>
        </w:rPr>
        <w:t>.</w:t>
      </w:r>
    </w:p>
    <w:p>
      <w:pPr>
        <w:pStyle w:val="Heading3"/>
        <w:numPr>
          <w:ilvl w:val="2"/>
          <w:numId w:val="1"/>
        </w:numPr>
        <w:rPr/>
      </w:pPr>
      <w:bookmarkStart w:id="244" w:name="__RefHeading___Toc1597206_581953129"/>
      <w:bookmarkStart w:id="245" w:name="_Toc91"/>
      <w:bookmarkEnd w:id="244"/>
      <w:r>
        <w:rPr>
          <w:rtl w:val="true"/>
        </w:rPr>
        <w:t>ادله قرآنی مخالف مشارکت سیاسی زن</w:t>
      </w:r>
      <w:bookmarkEnd w:id="245"/>
    </w:p>
    <w:p>
      <w:pPr>
        <w:pStyle w:val="Heading4"/>
        <w:numPr>
          <w:ilvl w:val="3"/>
          <w:numId w:val="1"/>
        </w:numPr>
        <w:rPr/>
      </w:pPr>
      <w:bookmarkStart w:id="246" w:name="__RefHeading___Toc1597208_581953129"/>
      <w:bookmarkStart w:id="247" w:name="_Toc92"/>
      <w:bookmarkEnd w:id="246"/>
      <w:r>
        <w:rPr/>
        <w:t>1</w:t>
      </w:r>
      <w:r>
        <w:rPr>
          <w:rtl w:val="true"/>
        </w:rPr>
        <w:t xml:space="preserve">- </w:t>
      </w:r>
      <w:r>
        <w:rPr>
          <w:rtl w:val="true"/>
        </w:rPr>
        <w:t>آیه سرپرستی خانواده</w:t>
      </w:r>
      <w:bookmarkEnd w:id="247"/>
    </w:p>
    <w:p>
      <w:pPr>
        <w:pStyle w:val="Heading5"/>
        <w:numPr>
          <w:ilvl w:val="4"/>
          <w:numId w:val="1"/>
        </w:numPr>
        <w:rPr/>
      </w:pPr>
      <w:bookmarkStart w:id="248" w:name="__RefHeading___Toc1597210_581953129"/>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یکی از آیاتی که درباره نفی مشارکت زن در حکومت استفاده شده،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مردان سرپرست زنانند، به دلیل آنکه خدا برخی از ایشان را بر برخی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از اموالشان خرج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درباره سبب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ربیع انصاری زنش را به دلیل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ابی زهیر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دخترش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حکم به قصاص کرد تا اینکه این آیه نازل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الغای قصاص داد</w:t>
      </w:r>
      <w:r>
        <w:rPr>
          <w:rFonts w:eastAsia="IRNazanin" w:cs="IRNazanin"/>
          <w:color w:val="111111"/>
          <w:sz w:val="28"/>
          <w:szCs w:val="28"/>
          <w:rtl w:val="true"/>
          <w:lang w:bidi="fa-IR"/>
        </w:rPr>
        <w:t>.</w:t>
      </w:r>
      <w:r>
        <w:rPr>
          <w:rStyle w:val="FootnoteAnchor"/>
          <w:rtl w:val="true"/>
        </w:rPr>
        <w:footnoteReference w:id="53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مثل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حداقل در چند دهه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نهضت اصلاح فکر دینی حیویت و نشاط تازه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پراستعمال ترین و ضمناَ پراستناد ترین آیات قرآن درباره زنان بوده است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علامه حسینی تهرانی یک رساله مستقل را به تفسیر آن اختصاص داده</w:t>
      </w:r>
      <w:r>
        <w:rPr>
          <w:rStyle w:val="FootnoteAnchor"/>
          <w:rtl w:val="true"/>
        </w:rPr>
        <w:footnoteReference w:id="537"/>
      </w:r>
      <w:r>
        <w:rPr>
          <w:rFonts w:ascii="IRNazanin" w:hAnsi="IRNazanin" w:eastAsia="IRNazanin"/>
          <w:color w:val="111111"/>
          <w:sz w:val="28"/>
          <w:sz w:val="28"/>
          <w:szCs w:val="28"/>
          <w:rtl w:val="true"/>
          <w:lang w:bidi="fa-IR"/>
        </w:rPr>
        <w:t>و پژوهشی تازه در سطح</w:t>
      </w:r>
    </w:p>
    <w:p>
      <w:pPr>
        <w:pStyle w:val="BookText"/>
        <w:rPr/>
      </w:pPr>
      <w:r>
        <w:rPr>
          <w:rFonts w:ascii="IRNazanin" w:hAnsi="IRNazanin" w:eastAsia="IRNazanin"/>
          <w:color w:val="111111"/>
          <w:sz w:val="28"/>
          <w:sz w:val="28"/>
          <w:szCs w:val="28"/>
          <w:rtl w:val="true"/>
          <w:lang w:bidi="fa-IR"/>
        </w:rPr>
        <w:t>پایان‌نامه کارشناسی ارشد اخیراً پیرامون آن صورت گرفته است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به‌هرحال حکمی که از آیه استنباط می‌شود،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سلطه و حق قیمومت برای مرد، مانند حق سلطه والی بر رعیت؛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اطاعت زوجه از زوج در امور زناشویی و حقوق مرد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 چرا مرد حق اطاعت نسبت به زن داشته باشد، با اینکه شریک زندگی همدیگرند؟ دو دلیل از خود آیه استنباط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لحاظ مزایای طبیعی که در نوع مردان نسبت به زنان است، به دلیل برتری از جنبه عقلی و نیروی جسمی می‌بینیم که پیغمبران و اوصیا از مردان انتخاب شده‌اند و جهاد نیز بر مردان واجب است، نه زنان و به همین روی درآیه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ازلحاظ مزایای، کسبی که پرداخت مهریه و انفاق بر مردان واجب است که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که از علت به این بیان توضیح داده است، تفسیری دامنه‌دار و پرقدمت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تبیان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المیزان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تفسیر نمونه آیت الله مکارم شیرازی، این برداشت مشاهده می‌شود که گذشته</w:t>
      </w:r>
    </w:p>
    <w:p>
      <w:pPr>
        <w:pStyle w:val="BookText"/>
        <w:rPr/>
      </w:pPr>
      <w:r>
        <w:rPr>
          <w:rFonts w:ascii="IRNazanin" w:hAnsi="IRNazanin" w:eastAsia="IRNazanin"/>
          <w:color w:val="111111"/>
          <w:sz w:val="28"/>
          <w:sz w:val="28"/>
          <w:szCs w:val="28"/>
          <w:rtl w:val="true"/>
          <w:lang w:bidi="fa-IR"/>
        </w:rPr>
        <w:t xml:space="preserve">از مبنای قسمت دوم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فضل و برتری برای مردان کمال عقل و توانایی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 الجِنان و روح الجَنان افزون بر این دو امتیاز، از کمال معنوی مردان هم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ناقص عقل و ناقص دین است، برای آنکه در ماهی چند روز نماز نتوانند کردن و روزه داشتن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برای همین، دامنه ریاست مرد در مقیاس وسعت موضوع که هرجا زنی باشد و مردی، امتداد و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معادله فطرت معکوس خواهد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زاویه دید می‌توان راز مرد بودن پیامبران و امامان را فهمید و اینکه چرا زنان از برگزاری برخی مراسم مذهبی مانند امامت نماز برای مردان منع شده‌اند؛</w:t>
      </w:r>
      <w:r>
        <w:rPr>
          <w:rStyle w:val="FootnoteAnchor"/>
          <w:rtl w:val="true"/>
        </w:rPr>
        <w:footnoteReference w:id="542"/>
      </w:r>
      <w:r>
        <w:rPr>
          <w:rFonts w:ascii="IRNazanin" w:hAnsi="IRNazanin" w:eastAsia="IRNazanin"/>
          <w:color w:val="111111"/>
          <w:sz w:val="28"/>
          <w:sz w:val="28"/>
          <w:szCs w:val="28"/>
          <w:rtl w:val="true"/>
          <w:lang w:bidi="fa-IR"/>
        </w:rPr>
        <w:t>زیرا با وجود کامل نوبت به ناقص نخواهد رسید و این واقعیتی همیشگی و فراگیر است؛ یعنی در فرد فرد زن و مرد چنین نسبتی وجود دارد که اگر خلاف آن تحقق پیدا کند، ادعا نقض می‌شود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به تعبیر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ظاهر قضیه جزئیه است، درحقیقت قضیه کلیه و مفاد آن این است که همه مردان نسبت به زنان دارای فضیلتند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برای توضیح بیشتر و ضمناً تقریر معتدل تر از تفسیر این آیه، از تفسیر علامه طباطبایی بهره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قیم به‌معنای آن کسی است که مسئول قیام به امر شخصی دیگر است، و کلمه قوام و نیز قیام مبالغه در همین قیام است، و مراد از جمله بما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زیادت‌هایی است که خدای تعالی به نوع مردان داده، به حسب طاقتی که بر اعمال دشوار و امثال آن دارند؛ چون زندگی زنان یک زندگی احساسی و عاطفی است که اساس و سرمایه اش رقت و لطافت است و مراد از جمله 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نفقه‌ای است که همواره به آنان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عمومیت علت به دست می‌آید که حکمی که مبتنی بر آن علت است، یعنی قیم‌بودن مردان بر زنان نیز عمومیت دارد و منحصر به شوهر نسبت به همسر نیست و چنان نیست که مردان تنها بر همسر خود قیمومیت داشته باشند، بلکه حکمی که جعل شده، برای نوع مردان و بر نوع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جهات عمومی که ارتباط با زندگی هر دو طایفه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است از مثل حکومت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 جامعه بستگی به آنها دارد و قوام این دو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نیروی تعقل است که در مردان بالطبع بیشتر و قوی تر است تا 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تام و تمام دارد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آنچه گذشت، تفسیری از آیه بود که از سوی مفسران تا این اندازه پرورده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بازگشت به متن آیه به‌منظور بررسی و تعیین شعاع دلالت آن بر این مدعا ضروری است تا بدین سان سهم پردازش مفسران را مشخص کنیم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نکته‌ای را در ادامه مطالب گذشته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اطلاقی که در سخن مرحوم علامه عنوان شده است که به مقتضای عموم علت مردان بر زنان قیمومت دارند، بدین معنا نیست که این قیمومت هیچ محدودیتی را برنمی تابد، بلکه مقصود گستره تحقق عقلانی و متعارف این نوع رابطه است که جز در خانواده و عرصه اجتماع در شکل متداول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علامه اطلاق را به جهات عمومی یا به عبارتی در عرصه حکومت و قضاوت منصرف می‌داند تا پیشاپیش به این نقد پاسخ گفته باشد که التزام به قیمومت هر مرد بر زن در همه مسائل زندگی و در هرجا که زنی و مردی باشد، به حکم عقل و شریعت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کلیدی سبب شده است که رویکرد برخی فقها را از یک منتقد در آغاز به یک موافق درنهایت متمایل نماید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با این حال، آنچه روشن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کلیدی در این آیه شریفه علتی است که برای حکم آمده و ادعا شده است که آن هم در واقع یکی بیش نیست؛ یعنی برتری‌های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که این علت دوم از کارکردهای آن و به عبارتی شاخه‌هایش است؛ زیرا قدرت عقلی و تدبیر مرد باعث شده اختیار مال و خرج‌کردن آن به مرد واگذار شود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بر این اساس، ملاحظات و نکاتی را درباره این علت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علتی را که مفسران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مبتنی بر نص خود آیه است؟ یا ناظر به کدام نص دیگر از قرآن، و یا آنکه طبق اصول تفسیری دیگر از این علت چنین تعبیر کرده‌اند؟</w:t>
      </w:r>
    </w:p>
    <w:p>
      <w:pPr>
        <w:pStyle w:val="BookText"/>
        <w:rPr/>
      </w:pPr>
      <w:r>
        <w:rPr>
          <w:rFonts w:ascii="IRNazanin" w:hAnsi="IRNazanin" w:eastAsia="IRNazanin"/>
          <w:color w:val="111111"/>
          <w:sz w:val="28"/>
          <w:sz w:val="28"/>
          <w:szCs w:val="28"/>
          <w:rtl w:val="true"/>
          <w:lang w:bidi="fa-IR"/>
        </w:rPr>
        <w:t xml:space="preserve">اندکی دقت نشان می‌دهد که معنای لغوی یا اصطلاحی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عقل فطری نیست و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قرآن در معانی مختلف به‌کار رفته است؛ برای نمونه در دو آیه ذیل به‌معنای برتری‌های 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خداوند کسانی را که با مال و جان خود جهاد می‌کنند، به درجه ای بر خانه‌نشینان مزیت بخشیده و همه را خداوند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داده است، ولی مجاهدان را بر خانه‌نشینان به پاداشی بزرگ برتری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که بر شما ارزانی داشتم و اینک شما را برجهانیان برتری دادم،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کاربردهای تفضیل در بما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این آیه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و دیدگاه مفسران در این زمینه متفاوت وگاه شگفت‌آور است؛ چنان‌که راه‌یابی روایات وضع شده و اسرائیلیات درباره زن و آفرینش او و نقش آنها در این موضوع حقیقتی قابل توجه است</w:t>
      </w:r>
      <w:r>
        <w:rPr>
          <w:rFonts w:eastAsia="IRNazanin" w:cs="IRNazanin"/>
          <w:color w:val="111111"/>
          <w:sz w:val="28"/>
          <w:szCs w:val="28"/>
          <w:rtl w:val="true"/>
          <w:lang w:bidi="fa-IR"/>
        </w:rPr>
        <w:t>.</w:t>
      </w:r>
      <w:r>
        <w:rPr>
          <w:rStyle w:val="FootnoteAnchor"/>
          <w:rtl w:val="true"/>
        </w:rPr>
        <w:footnoteReference w:id="55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خود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از تفسیرش تصریح می‌کند که زن و مرد در کسب ارزش‌ها مساوی‌اند؛ چون از ابزار و امکانات مساوی مانند عقل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حکم این آیات، عمل هریک از دو جنس زن ومرد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خوبش وچه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خود او نوشته می‌شود، هیچ مزیتی جز با تقوا برای کسی نیست و با در نظر داشتن اینکه یکی از مراحل تقوا اخلاق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ایمان با درجات مختلفش و چون عمل نافع و عقل محکم و پخته و اخلاق خوب و صبر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یک زن که از درجات بالای ایمان و یا سرشار از علم است و یا عقلی پخته و وزین دارد و یا سهم بیشتری از فضایل اخلاقی را دارا می‌باشد، چنین زنی در اسلام ذاتاًَ گرامی‌تر و از جهت درجه بلندتر از مردی است که هم‌طراز او نیست، حال آن مرد هرکه می‌خواهد باشد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چنان‌که که ملاحظه می‌شود، جمع میان این بیان علامه که از سبقت زن در کسب فضایل اخلاقی سخن می‌گوید که آن هم جدا از پختگی عقل نیست با آنچه ایشان تحت عنوان برتری عقل مردان نسبت به زنان به منزله یک قضیه کلیه انسان‌شناختی می‌گوید، دست‌کم برای ما دشوار است و دشوارتر پذیرش و فهم رأی علامه تهرانی خواهد بود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نیست که بگوید بعضی زنان هم از چنین موهبتی برخوردارند،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وحدت جنس زن و مرد دارد که با تفاوت در فضایل همچنان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جایی زنی بافضیلت‌تر از مرد دیده می‌شود، برای آن است که مرد از امکانات خود برای ترقی استفاده نکرده است</w:t>
      </w:r>
      <w:r>
        <w:rPr>
          <w:rFonts w:eastAsia="IRNazanin" w:cs="IRNazanin"/>
          <w:color w:val="111111"/>
          <w:sz w:val="28"/>
          <w:szCs w:val="28"/>
          <w:rtl w:val="true"/>
          <w:lang w:bidi="fa-IR"/>
        </w:rPr>
        <w:t>.</w:t>
      </w:r>
      <w:r>
        <w:rPr>
          <w:rStyle w:val="FootnoteAnchor"/>
          <w:rtl w:val="true"/>
        </w:rPr>
        <w:footnoteReference w:id="55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نتیجه نهایی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نص آیه از القای چنین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مردان 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هم امتیازهای ذاتی برای مردان، بیان نشده است تا این فقره از آیه را ناظر به آنها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فهم مفسران در برداشت و فهم این قسمت از آیه متأثر از روایات خواهد بود که آنها حاکی از نقص عقل و دین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این روایات را به‌طور مشروح بررسی کردیم و گفتیم درخوش‌بنیانه‌ترین و معتدل‌ترین برخورد، مضمون این روایات بازتابنده شرایط زمانه خویشند که در آن برای زنان امکان دسترسی به آموزش و دانش وجود نداشت و در نتیجه از شکوفایی در خردورزی بازمانده بودند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که علت نخست بیانگر یک برتری فطری باشد، تمرکز بر آن با غفلت یا چشم‌پوشی از علت دوم حکم قیمومت که همان انفاق است، برخلاف ظاهر آیه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انفاق در مشروعیت قیمومت مردها آن چنان که از ظاهر آیه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عطف به فضّل الله شده وحکم به هر دو مرتبط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علت نخست مساوی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قوّامیت از هر دو سبب سرچشمه می‌گیرد که در حالت انفکاک آنها که یکی‌اش فقط وجود داشته باشد، قوّامیت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 بر زن بیگانه قوّامیت ندارد؛ چون به او انفاق نمی‌کند و همین‌طور مردی که از انفاق همسرش سر باز می‌زند، بر زن او اطاعت این شوهر واجب نبوده و قیمومت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قوّامیت دایرمدار هر دو</w:t>
      </w:r>
    </w:p>
    <w:p>
      <w:pPr>
        <w:pStyle w:val="BookText"/>
        <w:rPr/>
      </w:pPr>
      <w:r>
        <w:rPr>
          <w:rFonts w:ascii="IRNazanin" w:hAnsi="IRNazanin" w:eastAsia="IRNazanin"/>
          <w:color w:val="111111"/>
          <w:sz w:val="28"/>
          <w:sz w:val="28"/>
          <w:szCs w:val="28"/>
          <w:rtl w:val="true"/>
          <w:lang w:bidi="fa-IR"/>
        </w:rPr>
        <w:t>امر است؛ به‌گونه ای که در صورت نبود یکی از آنها در زندگی زناشویی حق قوّامیت مرد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قوامیت نسبت به زنان دیگر که پای انفاق در کار نیست، به طریق اولی ساقط خواهد بود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البته آنچه ایشان در اینجا از سقوط حق قیمومت مرد برای همسرش درصورت عدم پرداخت نفقه یاد کرده است، فقهای دیگر به‌روشنی از آن سخن نگفته‌اند تنها قرطبی از مفسران بزرگ اهل سنت به این مطلب در ارتباط با خود انفاق توجه کرده است که حتی در صورت عجز شوهر از انفاق وی حق قیمومت ندارد و زن می‌تواند عقد را فسخ کند؛</w:t>
      </w:r>
      <w:r>
        <w:rPr>
          <w:rStyle w:val="FootnoteAnchor"/>
          <w:rtl w:val="true"/>
        </w:rPr>
        <w:footnoteReference w:id="555"/>
      </w:r>
      <w:r>
        <w:rPr>
          <w:rFonts w:ascii="IRNazanin" w:hAnsi="IRNazanin" w:eastAsia="IRNazanin"/>
          <w:color w:val="111111"/>
          <w:sz w:val="28"/>
          <w:sz w:val="28"/>
          <w:szCs w:val="28"/>
          <w:rtl w:val="true"/>
          <w:lang w:bidi="fa-IR"/>
        </w:rPr>
        <w:t>اما در فقه شیعه پیامدهای حقوقی نشوز شوهر</w:t>
      </w:r>
      <w:r>
        <w:rPr>
          <w:rStyle w:val="FootnoteAnchor"/>
          <w:rtl w:val="true"/>
        </w:rPr>
        <w:footnoteReference w:id="556"/>
      </w:r>
      <w:r>
        <w:rPr>
          <w:rFonts w:ascii="IRNazanin" w:hAnsi="IRNazanin" w:eastAsia="IRNazanin"/>
          <w:color w:val="111111"/>
          <w:sz w:val="28"/>
          <w:sz w:val="28"/>
          <w:szCs w:val="28"/>
          <w:rtl w:val="true"/>
          <w:lang w:bidi="fa-IR"/>
        </w:rPr>
        <w:t>را غالباًَ مسکوت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بحث‌های پراکنده‌ای که پیرامون این موضوع صورت گرفته، اهمیت روابط متقابل زن و شوهر را در فعلیت و گستره این حکم روشن می‌کند؛ هرچند به گفته مؤلف جامع المدارک جانب حقوق زن در این فرض بدون دلیل فرو گذاشته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نشوز از ناحیه مرد باشد، به این معنا که از وظایف واجبش سر باز زند، بدون اشکال، زن حق مطالبه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معروف بین فقها این است که در همین فرض، زن حق ندارد از حقوق شوهرش امتناع کند، ولی ممکن است گفته شود اگر مدرک این سخن اطلاق ادله اطاعت زن از شوهر باشد، مخدوش است؛ چون</w:t>
      </w:r>
    </w:p>
    <w:p>
      <w:pPr>
        <w:pStyle w:val="BookText"/>
        <w:rPr/>
      </w:pPr>
      <w:r>
        <w:rPr>
          <w:rFonts w:ascii="IRNazanin" w:hAnsi="IRNazanin" w:eastAsia="IRNazanin"/>
          <w:color w:val="111111"/>
          <w:sz w:val="28"/>
          <w:sz w:val="28"/>
          <w:szCs w:val="28"/>
          <w:rtl w:val="true"/>
          <w:lang w:bidi="fa-IR"/>
        </w:rPr>
        <w:t>آن ادله در مقام بیان اطاعت زن در همه شرایط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روایتی در کافی نیز این مطلب را تأیید می‌کند، مگر اینکه از ناحیه سند بر آن اشکال شود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ملاحظه می‌شود که طبق بیان ایشان برای اطاعت زن از شوهر در شرایط نشوز، غیر از اطلاق ادله دلیل دیگری درمیان نیست؛ ادله‌ای که در مقام بیان وظایف زن در شرایط عادی است، نه اینکه به طور یک‌جانبه او را در هر شرایطی در رعایت حقوق شوهرش مسئول بداند، بی‌آنکه شوهر به مسئولیت‌هایش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ادله برای این جهت اطلاق ندارد؛ چون در مقام بیان این مسأله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صریح‌تر از این، نظر صاحب جواهر در بحث روزه استحبابی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اگرزنی بدون اذن شوهر روزه مستحبی گرفت، درباره صحت روزه او میان فقها اختلاف است، اما اگر شوهرش از ابتدا نهی کرده باشد، با اینکه نظر فقها در اینجا مبهم است، گمان انعقاد اجماع بر عدم صحت روزه زن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وجود اجماع تردید کرده و درنهایت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صحت روزه زن در فرضی که شوهر نهی کرده قوت دارد؛ به‌ویژه اگر شوهر غایب بوده یا نشوز داشته باشد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در نظر این شیخِ فقه، شوهر درصورت نشوز حق امر و نهی بر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رساله‌های عملیه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گفته شود حقوق زن و شوهر در برابر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یکی از آنان بدون عذر موجه از ادای حق دیگری امتناع می‌کند، دیگری نیز می‌تواند از حقوق او امتناع نماید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بنابراین، درهم‌تنیدگی میان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قیمومت مرد 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علت‌های مصرح آن در آیه نکته‌ای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حق حقی متقابل است و در اجتماع این تقابل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هرگونه کوشش برای کم کردن نقش یکی از آنها تلاش در جهت تجرید آیه از ملاک‌های مصرح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مواضعی‌که فقهای شیعه در باب نشوز گرفته‌اند، این حقیقت را روشن می‌کند که در صورت سر باز زدن شوهر از مسئولیت‌هایش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حق قیمومتش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توضیح داده شد که حاکمیت مردان درخانواده براساس روابط متقابل و ویژه است، ادعای ملازمه یا اولویت میان حاکمیت در این حوزه با حاکمیت در اجتماع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منطقی نخواهد بود؛ زیرا آن چنان که شیخ اعظم می‌فرماید، سلطنت مدلول آیه از آثار مستقیم عقد زوجیت است و برای همین طرفین حق ندارند با شرط ضمن عقد آن را به نفع زن جابه‌جا کنند؛ چون به دخل و تصرف در ماهیت خود عقد ازدواج می‌انجامد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فهم من قوله تعالی اَلرِّجالُ 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ان السلطنة علی الزوجة مِن آثارالزوجیة الٌتی لاتتغیر؛</w:t>
      </w:r>
      <w:r>
        <w:rPr>
          <w:rStyle w:val="FootnoteAnchor"/>
          <w:rtl w:val="true"/>
        </w:rPr>
        <w:footnoteReference w:id="560"/>
      </w:r>
      <w:r>
        <w:rPr>
          <w:rFonts w:ascii="IRNazanin" w:hAnsi="IRNazanin" w:eastAsia="IRNazanin"/>
          <w:color w:val="111111"/>
          <w:sz w:val="28"/>
          <w:sz w:val="28"/>
          <w:szCs w:val="28"/>
          <w:rtl w:val="true"/>
          <w:lang w:bidi="fa-IR"/>
        </w:rPr>
        <w:t>حقیقتاً آنچه از فرموده خدای تعالی</w:t>
      </w:r>
    </w:p>
    <w:p>
      <w:pPr>
        <w:pStyle w:val="BookText"/>
        <w:rPr/>
      </w:pPr>
      <w:r>
        <w:rPr>
          <w:rFonts w:ascii="IRNazanin" w:hAnsi="IRNazanin" w:eastAsia="IRNazanin"/>
          <w:color w:val="111111"/>
          <w:sz w:val="28"/>
          <w:sz w:val="28"/>
          <w:szCs w:val="28"/>
          <w:rtl w:val="true"/>
          <w:lang w:bidi="fa-IR"/>
        </w:rPr>
        <w:t>در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این است که سلطنت بر زوجه به‌گونه ای غیرقابل تغیر از آثار خود عقد زوجیت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این میان تعیین‌کننده نهایی مسأله است، رابطه زوجیت است و واضح است در جایی که چنین رابطه ای میان زن و مرد وجود ندارد، طبعاً آثار آن که یکی حاکمیت مرد می‌باشد نیز منتفی خواهد بود و دیگر جا برای اولویت‌اندیشی از این قبیل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کسی که صلاحیت مدیریت محیطی کوچک چون خانواده را فاقد است، مدیریت اجتماع را به‌دست گیرد؟ چون سلب حاکمیت از زنان در خانواده بر این اساس نیست که آنها معتقد چنین درایتی نیست، بلکه مبتنی بر عقد است که طبق آن میان زن و شوهر روابط ویژه ای برقرار شده است؛ روابطی که حفظ یک سلسله امتیازها برای مرد هزینه‌هایی را هم بر وی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زن طبق مفاد عقد ازدواج در برابر شوهر مسئولیت‌هایی چون بارداری و وضع حمل را متعهد می‌شود که محدودیت‌های بی‌شماری را برایش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مرد در این چشم انداز، تعدیل این روابط و کنترل‌کننده یک‌جانبه‌گرا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معنای قوّامیت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منابع مختلف لغت، فقه و تفسیر تردیدهای جدی شکل گرفته است که قوامیت در اینجا به‌معنای الزام شوهر به حقوق همسری در قبال زن است؛ نه سلطه‌ای که والی بر رعیت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50" w:name="pg5406_38790"/>
    </w:p>
    <w:p>
      <w:pPr>
        <w:pStyle w:val="BookText"/>
        <w:rPr/>
      </w:pPr>
      <w:bookmarkEnd w:id="250"/>
      <w:r>
        <w:rPr>
          <w:rFonts w:ascii="IRNazanin" w:hAnsi="IRNazanin" w:eastAsia="IRNazanin"/>
          <w:color w:val="111111"/>
          <w:sz w:val="28"/>
          <w:sz w:val="28"/>
          <w:szCs w:val="28"/>
          <w:rtl w:val="true"/>
          <w:lang w:bidi="fa-IR"/>
        </w:rPr>
        <w:t>بی‌آنکه از این زاویه وارد مناقشه شویم، ترجیحاً با آنچه فقها راجع به تعیین محدوده حقوق شوهر بحث کرده‌اند،</w:t>
      </w:r>
      <w:r>
        <w:rPr>
          <w:rStyle w:val="FootnoteAnchor"/>
          <w:rtl w:val="true"/>
        </w:rPr>
        <w:footnoteReference w:id="561"/>
      </w:r>
      <w:r>
        <w:rPr>
          <w:rFonts w:ascii="IRNazanin" w:hAnsi="IRNazanin" w:eastAsia="IRNazanin"/>
          <w:color w:val="111111"/>
          <w:sz w:val="28"/>
          <w:sz w:val="28"/>
          <w:szCs w:val="28"/>
          <w:rtl w:val="true"/>
          <w:lang w:bidi="fa-IR"/>
        </w:rPr>
        <w:t>سنخ و حدود این حاکمیت را روشن خواهیم کرد و آن‌گاه میزان قابلیت انطباق این حاکمیت را با آنچه در اجتماع متداول است، ارزیابی می‌کنیم</w:t>
      </w:r>
      <w:r>
        <w:rPr>
          <w:rFonts w:eastAsia="IRNazanin" w:cs="IRNazanin"/>
          <w:color w:val="111111"/>
          <w:sz w:val="28"/>
          <w:szCs w:val="28"/>
          <w:rtl w:val="true"/>
          <w:lang w:bidi="fa-IR"/>
        </w:rPr>
        <w:t>.</w:t>
      </w:r>
    </w:p>
    <w:p>
      <w:pPr>
        <w:pStyle w:val="Heading5"/>
        <w:numPr>
          <w:ilvl w:val="4"/>
          <w:numId w:val="1"/>
        </w:numPr>
        <w:rPr/>
      </w:pPr>
      <w:bookmarkStart w:id="251" w:name="__RefHeading___Toc1597212_581953129"/>
      <w:bookmarkStart w:id="252" w:name="_Toc94"/>
      <w:bookmarkEnd w:id="251"/>
      <w:r>
        <w:rPr>
          <w:rtl w:val="true"/>
        </w:rPr>
        <w:t>محدوده حقوق مرد نسبت به همسر و آرای فقها</w:t>
      </w:r>
      <w:bookmarkEnd w:id="252"/>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خدمت شوهر در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آشپزی و کارهایی مانند اینها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به رغبت و میل خود این قبیل کارها را انجام داد، کار خوبی خواهد بود، اما مرد حق الزام و واداشتن او به این کارها ندارد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بددهنی و بی‌حیایی زن نه از علایم نشوز است و نه از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حرکت موجب گناه و تأدیب وی می‌شود، اما اینکه مرد حق تادیب او را دارد یا حاکم شرع،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بگوییم مرد جز استمتاع و تعیین مسکن حق دیگری بر همسرش ندارد، قوت دارد، هرچند زن عیش شوهر را با این گونه کارهایش منغص و مکدر کند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شیخ ِفقه، درباب نشوز پس از ذکر معنای لغوی آن به‌تبع از شهید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دراصطلاح شرع آن است که زن و</w:t>
      </w:r>
    </w:p>
    <w:p>
      <w:pPr>
        <w:pStyle w:val="BookText"/>
        <w:rPr/>
      </w:pPr>
      <w:r>
        <w:rPr>
          <w:rFonts w:ascii="IRNazanin" w:hAnsi="IRNazanin" w:eastAsia="IRNazanin"/>
          <w:color w:val="111111"/>
          <w:sz w:val="28"/>
          <w:sz w:val="28"/>
          <w:szCs w:val="28"/>
          <w:rtl w:val="true"/>
          <w:lang w:bidi="fa-IR"/>
        </w:rPr>
        <w:t>شوهر از حقوق واجب و لازم خود امتناع کنند، به همین جهت سر باز زدن زن از غیرحقوق واجب نشوز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بی‌حیایی و بی پروایی زن نشوز خوانده نمی‌شود، اگرچه با این عمل معصیت کرده و مستحق تأدیب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سرپیچی زن از خدمت به شوهر و برآوردن خواسته‌هایی که ربطی به استمتاع ندارد، نشوز نیست؛ چون این امور و نیز همه کارهایی که نقصی در استمتاع وارد نمی‌کند، بر زن واجب نیست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طبق همین مبنا ایشان در بحث روزه استحبابی زن بدون اذن شوهر از اینجا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استحبابی زن بدون اذن شوهر هم درست است؛ چون ادعای اینکه مرد را مالک همه منافع زن بدانیم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روزه زن در این فرض منافی حق استمتاع شوهر خواهد بود که برخی مراتب آن هم با وجود روزه دار بودن زن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روزه زن درست است؛ زیرا اطاعت از شوهر در این امور که منافی حق استمتاع نیست وجوبی ندارد، حتی اگر شوهر او را از این عمل نهی کند؛ مگر آنکه اجماع باشد که البته گمان آن هست؛ زیرا من در مسأله مخالفی ندیدم</w:t>
      </w:r>
      <w:r>
        <w:rPr>
          <w:rFonts w:eastAsia="IRNazanin" w:cs="IRNazanin"/>
          <w:color w:val="111111"/>
          <w:sz w:val="28"/>
          <w:szCs w:val="28"/>
          <w:rtl w:val="true"/>
          <w:lang w:bidi="fa-IR"/>
        </w:rPr>
        <w:t>.</w:t>
      </w:r>
      <w:r>
        <w:rPr>
          <w:rStyle w:val="FootnoteAnchor"/>
          <w:rtl w:val="true"/>
        </w:rPr>
        <w:footnoteReference w:id="56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آرای این فقیه نامور شیعه پیرامون نشوز دیده می‌شود، در حقوق مرد نقش محوری را استمتاع و مسائل مربوط به آن دارد که همه حقوق شوهر را از این زاویه تحلیل می‌کند؛ یعنی در اینکه چه اموری بر زن واجب است تا در جایگاه همسر بدان‌ها ملتزم بوده و در چه مواردی سرپیچی وی در برابر شوهر شرعا نشوز گفته می‌شود،</w:t>
      </w:r>
    </w:p>
    <w:p>
      <w:pPr>
        <w:pStyle w:val="BookText"/>
        <w:rPr/>
      </w:pPr>
      <w:r>
        <w:rPr>
          <w:rFonts w:ascii="IRNazanin" w:hAnsi="IRNazanin" w:eastAsia="IRNazanin"/>
          <w:color w:val="111111"/>
          <w:sz w:val="28"/>
          <w:sz w:val="28"/>
          <w:szCs w:val="28"/>
          <w:rtl w:val="true"/>
          <w:lang w:bidi="fa-IR"/>
        </w:rPr>
        <w:t>همه رفت و برگشت‌های استدلالی بر حق استمتاع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صاحب 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بحث، صاحب ریاض وقتی اماره دال بر نشوز زن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درهم‌کشیدن، آزار و اظهار ملال و ناخرسندی در برآوردن حوایج شوهر شمرده، توضیح می‌دهد که این امور درصورتی اماره نشوزند که ارتباط به استمتاع پیداکرده و در مقدمات آن به کار رود؛ یعنی زن با این حرکات در قضیه استمتاع، از خود سرگرانی و امتناع نشان دهد نه آنکه اگر در برابر مطلق خواست‌های مرد چنین برخورد کند، نشوز باشد که جز استمتاع برآوردن خواسته‌های شوهر بر زن واجب نیست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سیداحمد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بحث، صاحب جامع المدارک با نقد اطلاق روایت محمد بن مسلم که در آن از زن اطاعت مطلق خواسته شده و نیز حقوق زن در مقایسه با مرد کم‌تر از یک درصد بیان شده،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به این اطلاق از آن جهت غیرموجه خواهد بود که بر زن اطاعت خارج از محدوده استمتاع واجب نیست؛ یعنی ایشان با مفروض دانستن این که حدود اطاعت زن از شوهر گسترده نیست،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پخت‌وپز و شستن لباس شوهر را بر زن واجب نمی‌داند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محمد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از فقهای معاصر شیعه، با اینکه خود از طرف‌داران جدی عدم صلاحیت زن برای دخالت در امور سیاسی است، مدلول قوّامیت را طبق</w:t>
      </w:r>
    </w:p>
    <w:p>
      <w:pPr>
        <w:pStyle w:val="BookText"/>
        <w:rPr/>
      </w:pPr>
      <w:r>
        <w:rPr>
          <w:rFonts w:ascii="IRNazanin" w:hAnsi="IRNazanin" w:eastAsia="IRNazanin"/>
          <w:color w:val="111111"/>
          <w:sz w:val="28"/>
          <w:sz w:val="28"/>
          <w:szCs w:val="28"/>
          <w:rtl w:val="true"/>
          <w:lang w:bidi="fa-IR"/>
        </w:rPr>
        <w:t>تعریف فقها ذیل آیه قوامیت، منحصر در امور فراش، طلاق و عدم خروج زن از منزل بدون اذن شوهر می‌داند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از مجموع آنچه در این قسمت گفته شد، نتیجه می‌گیریم که حاکمیت و سلطه مرد بر زن در خانواده با حاکمیت متداول در جامعه تفاوت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انطباق یکی بر دیگری قیاس مع الفارق و بدون اندکی وجه اشتراک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انگیزه‌های آنها که بدون پچیدگی قابل فهم است، این نکته را روشن‌تر می‌کند که انگیزه استفاده از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غالباً متمرکز بر التذاد جنسی و توالد است، اما در جامعه این انگیزه حتی ذره‌ای در سطوح حاکمیت نه کاربرد دارد و نه باید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علت‌های حکم قیمومت است، برتری عقل مرد در حد و اندازه‌ای نیست که زن در مقایسه با آن دچار نقص فاحش بوده و از این جهت فاقد صلاحیت در مدیریت تشخیص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هرچه باشد، با انفاق توأمان علت حکمند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درجایی که این دو علت نباشند، حکم آن هم به‌مقتضای ظهور آیه جریان نخواهد یافت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قیمومت مردان مبنی بر مفهوم عقد ازدواج است؛ یعنی روابطی که به‌طور متقابل میان زن و مرد جریان یافته و دادوستدهایی در این میان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اطاعت زن در خانواده منحصر به مسائل مربوط به فراش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فقها تعمیم این حکم را در امور خارج از این محدوده حتی در خانواده نپذیرفته‌اند، چه رسد به آنکه در جامعه تطبیق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تفسیر آیه سرپرستی را این گونه جمع‌بندی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صرفا سرپرستی مردان در امور معیشتی خانواده را بیان می‌دارد و صیغه مبالغه می‌تواند بیان‌گر این نکته باشد که در مقایسه بین زوجین و اصولا زنان و مردان به دو دلیل مردان شایسته سرپرستی مالی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بیشتری که خداوند به آنان داده و عهده‌داری هزینه‌های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فرض صحت تفسیر قوّام به قیم، سرپرستی مردان مطلق نیست و در خصوص تعهداتی است که شریعت بر زنان فرض کرده است؛ از قبیل تمکین و حق طلاق و امور مرتبط با این دو مانند خروج از خانه و اشتغال که به کسب اجازه از شوهر در شئون مخالف با تمکین نیاز دارد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بالرجال هنا خصوص الازواج وبالنساء خصوص الزوجات؛</w:t>
      </w:r>
      <w:r>
        <w:rPr>
          <w:rStyle w:val="FootnoteAnchor"/>
          <w:rtl w:val="true"/>
        </w:rPr>
        <w:footnoteReference w:id="570"/>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زن درمقابل شوهر است؛ نه زن در برابر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هم همان است که در 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یعنی تعیین موقعیت شوهر در محیط خانواده، نه الغای شخصیت مطلق زن</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علت حکم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علت قیمومت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مردان و انفاق</w:t>
      </w:r>
    </w:p>
    <w:p>
      <w:pPr>
        <w:pStyle w:val="BookText"/>
        <w:rPr/>
      </w:pPr>
      <w:r>
        <w:rPr>
          <w:rFonts w:ascii="IRNazanin" w:hAnsi="IRNazanin" w:eastAsia="IRNazanin"/>
          <w:color w:val="111111"/>
          <w:sz w:val="28"/>
          <w:sz w:val="28"/>
          <w:szCs w:val="28"/>
          <w:rtl w:val="true"/>
          <w:lang w:bidi="fa-IR"/>
        </w:rPr>
        <w:t>ازسوی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علت دوم واضح است، اما برتری در علت نخست به چه معناست؟</w:t>
      </w:r>
    </w:p>
    <w:p>
      <w:pPr>
        <w:pStyle w:val="BookText"/>
        <w:rPr/>
      </w:pPr>
      <w:r>
        <w:rPr>
          <w:rFonts w:ascii="IRNazanin" w:hAnsi="IRNazanin" w:eastAsia="IRNazanin"/>
          <w:color w:val="111111"/>
          <w:sz w:val="28"/>
          <w:sz w:val="28"/>
          <w:szCs w:val="28"/>
          <w:rtl w:val="true"/>
          <w:lang w:bidi="fa-IR"/>
        </w:rPr>
        <w:t xml:space="preserve">از میان معانی و احتمالات متعددی که دراین باره آورده‌اند، آنچه به عیان و تجربه ثابت است، توانایی‌های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مردان در مقایسه با زنان است که به آنان امکان می‌دهد به‌دور از آسیب‌های طبیعی چون عادت، 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و با فراغت و مجال بیشتر به اداره شئون زندگی خانواده خویش بپردازند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برتری برای مردان به این معنا واقعیتی است که به دوره و جغرافیای خاصی مربوط نیست و درمقابل زنان نیز صنفاً و طبعاً در بستر هر فرهنگ و زمانه‌ای زیست کنند، جریان زندگی آنان خالی از محدودیت‌های قهری چون عادت، 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تفسیرکردن فضیلت مردان به برتری در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موجب محرومیت زنان از دخالت در کارهای نیازمند تعقل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قراین ذیل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زنان و مردان در بیشتر احکام و خطابات دینی، نشان دهنده استعداد مساوی زن و مرد در درک مفاهیم و تحمل مسئولیت‌های دینی است</w:t>
      </w:r>
      <w:r>
        <w:rPr>
          <w:rFonts w:eastAsia="IRNazanin" w:cs="IRNazanin"/>
          <w:color w:val="111111"/>
          <w:sz w:val="28"/>
          <w:szCs w:val="28"/>
          <w:rtl w:val="true"/>
          <w:lang w:bidi="fa-IR"/>
        </w:rPr>
        <w:t>.</w:t>
      </w:r>
      <w:r>
        <w:rPr>
          <w:rStyle w:val="FootnoteAnchor"/>
          <w:rtl w:val="true"/>
        </w:rPr>
        <w:footnoteReference w:id="57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تجربی به‌صورت زنده حاکی از رشد فکری و مهارت‌های عملی زنان در همه موضوعاتی است که از فرصت‌های برابر با مردان برخوردار بوده‌اند</w:t>
      </w:r>
      <w:r>
        <w:rPr>
          <w:rFonts w:eastAsia="IRNazanin" w:cs="IRNazanin"/>
          <w:color w:val="111111"/>
          <w:sz w:val="28"/>
          <w:szCs w:val="28"/>
          <w:rtl w:val="true"/>
          <w:lang w:bidi="fa-IR"/>
        </w:rPr>
        <w:t>.</w:t>
      </w:r>
      <w:r>
        <w:rPr>
          <w:rStyle w:val="FootnoteAnchor"/>
          <w:rtl w:val="true"/>
        </w:rPr>
        <w:footnoteReference w:id="574"/>
      </w:r>
      <w:bookmarkStart w:id="253" w:name="pg5406_38801"/>
    </w:p>
    <w:p>
      <w:pPr>
        <w:pStyle w:val="BookText"/>
        <w:rPr/>
      </w:pPr>
      <w:bookmarkEnd w:id="25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جدی که درباره اجتهاد زن درحد مرجعیت صورت گرفته، مسأله نقص عقل زنان کاملا رنگ باخته و تصدی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برای زن مجاز دانسته شده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این نکته اساسی نشان می‌دهد اگر برتری مرد در عقل به‌طور فطری مسلم و جدی باشد و در مقابل زن از این جهت ناقص باشد، اجازه رجوع برای تقلید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فطرتاً مستعد کامل کارورزی‌های عقلی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منبعی است که متضمن یک خطای سیستماتیک خواهد بود</w:t>
      </w:r>
      <w:r>
        <w:rPr>
          <w:rFonts w:eastAsia="IRNazanin" w:cs="IRNazanin"/>
          <w:color w:val="111111"/>
          <w:sz w:val="28"/>
          <w:szCs w:val="28"/>
          <w:rtl w:val="true"/>
          <w:lang w:bidi="fa-IR"/>
        </w:rPr>
        <w:t>.</w:t>
      </w:r>
    </w:p>
    <w:p>
      <w:pPr>
        <w:pStyle w:val="Heading4"/>
        <w:numPr>
          <w:ilvl w:val="3"/>
          <w:numId w:val="1"/>
        </w:numPr>
        <w:rPr/>
      </w:pPr>
      <w:bookmarkStart w:id="254" w:name="__RefHeading___Toc1597214_581953129"/>
      <w:bookmarkStart w:id="255" w:name="_Toc95"/>
      <w:bookmarkEnd w:id="254"/>
      <w:r>
        <w:rPr/>
        <w:t>2</w:t>
      </w:r>
      <w:r>
        <w:rPr>
          <w:rtl w:val="true"/>
        </w:rPr>
        <w:t xml:space="preserve">- </w:t>
      </w:r>
      <w:r>
        <w:rPr>
          <w:rtl w:val="true"/>
        </w:rPr>
        <w:t>آیه طلاق</w:t>
      </w:r>
      <w:bookmarkEnd w:id="255"/>
    </w:p>
    <w:p>
      <w:pPr>
        <w:pStyle w:val="BookText"/>
        <w:rPr/>
      </w:pPr>
      <w:r>
        <w:rPr>
          <w:rFonts w:ascii="IRNazanin" w:hAnsi="IRNazanin" w:eastAsia="IRNazanin"/>
          <w:color w:val="111111"/>
          <w:sz w:val="28"/>
          <w:sz w:val="28"/>
          <w:szCs w:val="28"/>
          <w:rtl w:val="true"/>
          <w:lang w:bidi="fa-IR"/>
        </w:rPr>
        <w:t>یکی دیگر از آیاتی که در زمینه نفی مشارکت زن در قدرت از آنها استفاده شده، این آیه شریفه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 xml:space="preserve">و زنان طلاق داده شده باید مدت سه پاکی انتظار کشند و اگر به خدا و روز واپسین ایمان دارند، برای آنان روا نیست که آنچه را خداوند در رحم آنان آفریده پوشیده دارند، و شوهرانشان اگر سرآشتی دارند، به بازآوردن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برعهده زنان است، به طور شایسته،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مردان بر آنان درجه‌ای برتری دارند، و خداوند توانا و حکیم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آیه در جهت انحصار حق</w:t>
      </w:r>
    </w:p>
    <w:p>
      <w:pPr>
        <w:pStyle w:val="BookText"/>
        <w:rPr/>
      </w:pPr>
      <w:r>
        <w:rPr>
          <w:rFonts w:ascii="IRNazanin" w:hAnsi="IRNazanin" w:eastAsia="IRNazanin"/>
          <w:color w:val="111111"/>
          <w:sz w:val="28"/>
          <w:sz w:val="28"/>
          <w:szCs w:val="28"/>
          <w:rtl w:val="true"/>
          <w:lang w:bidi="fa-IR"/>
        </w:rPr>
        <w:t xml:space="preserve">تصدی مناصب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علیهنّ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اذعان دارند مراد از درجه برای مردان برتری‌های ذاتی آنان نسبت به زنان است که آثار آن در قوانین شرعی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قوانینی همچون بودن حق طلاق یا رجوع در عده یا قضاوت به دست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درموارد خاصی که به زن یا حاکم شرع حق طلاق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جا سرچشمه می‌گیرد و نتیجه مستقیم همین واقعیت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رساله بدیعه این واژه مستقیماً به موهبت‌های اجتماعی برای مردان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معتقد است که در مواهب اجتماعی برای مردان نسبت به زنان درجه ای از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متمم و کامل‌کننده حکم سابق است و همه آیه معنی واحدی را می‌رساند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بین زن و مرد احکام واحدی را قرار داده است، با حفظ برتری مردان در این مواهب اجتماعی</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بر این اساس مردها حق حکومت، قضاوت و شرکت در جهاد دارند؛ یعنی در مقابل فقره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ولهن مثل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وظایف زن و مرد را در حیطه خانواده بیان کرده، فقره دوم، وظایف متفاوت مرد را که در اجتماع تسری می‌یابد و زن از آن محروم است،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اگر مطلب از همین قرار باشد و مردها به حکم آیه مستعد برتری ذاتی در برخورداری از مواهب اجتماعی باشند، به حکم عقل سلیم هم که هر کاری باید به اهل آن واگذار شود، زن‌ها فاقد حق تصدی مناصب حکومتی خواهند بود؛ چون عملاً درجه‌ای که از آنان به طور فطری دریغ داشته شده، با این کار به صورت اضافی تحمیل می‌شود یا خود آنان به‌ناروایی به آن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در تفسیرهای فوق و نتیجه‌گیری‌هایی که براساس آن صورت گرفته، در درجه نخست سنگینی پیش‌فرض‌های خارج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به‌روشنی قابل مشاهده است؛ در ابتدا برتری تکوینی مردان را از ضمن ادله انحصاری حق قضاوت، حکومت،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گرفته و آن‌گاه این آیه را سند کلی و تکوینی آن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نقض این ادعا کافی است در ادله انحصار امتیازهای اجتماعی خدشه و تردید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تردیدهایی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معنا کردن درجه به یک ارزش تکوینی مستقل از ادله دیگر باز اصرارشود، استفاده حکم مشخص از آن بی‌نهایت دشوار و بی‌سابقه است؛ چون امکان کشف و تعیین ملاک برای حکم توسط عقل بشری بدون تصریح شارع نزد فقهای شیعه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براین، چنین تفسیری نوعی تقطیع آیه از فضای کلی و سیاق قبلی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آیه را متناسب با سیاق جملات قبل آن حاوی یک حکم کلی حقوقی دانست</w:t>
      </w:r>
      <w:r>
        <w:rPr>
          <w:rStyle w:val="FootnoteAnchor"/>
          <w:rtl w:val="true"/>
        </w:rPr>
        <w:footnoteReference w:id="579"/>
      </w:r>
      <w:r>
        <w:rPr>
          <w:rFonts w:ascii="IRNazanin" w:hAnsi="IRNazanin" w:eastAsia="IRNazanin"/>
          <w:color w:val="111111"/>
          <w:sz w:val="28"/>
          <w:sz w:val="28"/>
          <w:szCs w:val="28"/>
          <w:rtl w:val="true"/>
          <w:lang w:bidi="fa-IR"/>
        </w:rPr>
        <w:t>که موارد جزئی آن به‌تفصیل در نص بیان شده است؛ مثل طلاق، ارث، شهادت، دیه، مهر، نفقه و حضانت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موارد منصوص در تفاوت حقوق 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آنچه نام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تفسیر و تبیین حکم اجمالی امتیاز مرد به درجه</w:t>
      </w:r>
    </w:p>
    <w:p>
      <w:pPr>
        <w:pStyle w:val="BookText"/>
        <w:rPr/>
      </w:pPr>
      <w:r>
        <w:rPr>
          <w:rFonts w:ascii="IRNazanin" w:hAnsi="IRNazanin" w:eastAsia="IRNazanin"/>
          <w:color w:val="111111"/>
          <w:sz w:val="28"/>
          <w:sz w:val="28"/>
          <w:szCs w:val="28"/>
          <w:rtl w:val="true"/>
          <w:lang w:bidi="fa-IR"/>
        </w:rPr>
        <w:t>و قوّام بودن مردان به‌جای زنان است و این دو آیه حکمی جدا از احکام منصوص را به‌عنوان امتیاز مردان شامل نمی‌شود؛ زیرا با بیان موارد منصوص امتیاز مردان، اطلاق دو آیه بسته می‌شود و به موارد منصوص محصور و مخصوص می‌شود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به این ترتیب، اطلاق اگر هست، در امتیازهای مردان نیست، بلکه در حقوق متقابل زوجین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حقوق متقابل زوجین در آیه اول به‌صراحت ذکر شده است و اطلاق آن، همه حقوق مربوط به خانواده را شامل می‌شود و اگر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برای حقوق شوهران و همسران در همه امور و از آن جمله طلاق، ارث و نفقه قابل استناد از آیه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جز در موارد منصوص که تفاوت آن دو با دلیل ثابت شده می‌توان در موارد مشکوک و غیرمنصوص به اطلاق آیه استناد کرد؛ چنان‌که از اطلاق آیه حکم تساوی حقوق بین شوهران و همسران را به‌عنوان اصل و قاعده اولیه می‌توان به دست آورد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قاعده توسعه و برابری حقوق زنان و مردان نیست و نیز مفهوم آن نفی یا تردید در خصوص تفاوت‌های حقوقی و فقهی بین زن و مرد نمی‌باشد، بلکه لازمه آن محدود کردن تفاوت‌ها به موارد منصوص و عدم تسری اختلاف مازاد بر منصوص است که در روابط مستحدث خانواده و مسائل زنان و مردان در جامعه اسلامی می‌توان موارد گوناگونی برای آن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بارز آن مسائل اشتغال و نقش سیاسی، اقتصادی و فرهنگی است</w:t>
      </w:r>
      <w:r>
        <w:rPr>
          <w:rFonts w:eastAsia="IRNazanin" w:cs="IRNazanin"/>
          <w:color w:val="111111"/>
          <w:sz w:val="28"/>
          <w:szCs w:val="28"/>
          <w:rtl w:val="true"/>
          <w:lang w:bidi="fa-IR"/>
        </w:rPr>
        <w:t>.</w:t>
      </w:r>
      <w:r>
        <w:rPr>
          <w:rStyle w:val="FootnoteAnchor"/>
          <w:rtl w:val="true"/>
        </w:rPr>
        <w:footnoteReference w:id="581"/>
      </w:r>
      <w:bookmarkStart w:id="256" w:name="pg5406_38809"/>
    </w:p>
    <w:p>
      <w:pPr>
        <w:pStyle w:val="BookText"/>
        <w:rPr/>
      </w:pPr>
      <w:bookmarkEnd w:id="256"/>
      <w:r>
        <w:rPr>
          <w:rFonts w:ascii="IRNazanin" w:hAnsi="IRNazanin" w:eastAsia="IRNazanin"/>
          <w:color w:val="111111"/>
          <w:sz w:val="28"/>
          <w:sz w:val="28"/>
          <w:szCs w:val="28"/>
          <w:rtl w:val="true"/>
          <w:lang w:bidi="fa-IR"/>
        </w:rPr>
        <w:t xml:space="preserve">پس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نه ناظر به امتیازهای تکوینی مرد دانست و نه امتیازهای اجتماعی، بلکه اشاره‌ای کلی به موارد تفاوت‌های منصوص حقوق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اگر آن را یک حکم مستقل بگیریم، تعیین مراد خاص برای آن دشوار است؛ 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 حوزه تشریع اجمال دارد</w:t>
      </w:r>
      <w:r>
        <w:rPr>
          <w:rFonts w:eastAsia="IRNazanin" w:cs="IRNazanin"/>
          <w:color w:val="111111"/>
          <w:sz w:val="28"/>
          <w:szCs w:val="28"/>
          <w:rtl w:val="true"/>
          <w:lang w:bidi="fa-IR"/>
        </w:rPr>
        <w:t>.</w:t>
      </w:r>
    </w:p>
    <w:p>
      <w:pPr>
        <w:pStyle w:val="Heading4"/>
        <w:numPr>
          <w:ilvl w:val="3"/>
          <w:numId w:val="1"/>
        </w:numPr>
        <w:rPr/>
      </w:pPr>
      <w:bookmarkStart w:id="257" w:name="__RefHeading___Toc1597216_581953129"/>
      <w:bookmarkStart w:id="258" w:name="_Toc96"/>
      <w:bookmarkEnd w:id="257"/>
      <w:r>
        <w:rPr/>
        <w:t>3</w:t>
      </w:r>
      <w:r>
        <w:rPr>
          <w:rtl w:val="true"/>
        </w:rPr>
        <w:t xml:space="preserve">- </w:t>
      </w:r>
      <w:r>
        <w:rPr>
          <w:rtl w:val="true"/>
        </w:rPr>
        <w:t>آیه ناتوانی زنان در بیان دلیل</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یُنَشَّؤُا فِی الْحِلْیَةِ وَ هُوَ فِی الْخِصامِ غَیْرُ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زر و زیور پرورش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بیانش غیرروشن است؟</w:t>
      </w:r>
    </w:p>
    <w:p>
      <w:pPr>
        <w:pStyle w:val="BookText"/>
        <w:rPr/>
      </w:pPr>
      <w:r>
        <w:rPr>
          <w:rFonts w:ascii="IRNazanin" w:hAnsi="IRNazanin" w:eastAsia="IRNazanin"/>
          <w:color w:val="111111"/>
          <w:sz w:val="28"/>
          <w:sz w:val="28"/>
          <w:szCs w:val="28"/>
          <w:rtl w:val="true"/>
          <w:lang w:bidi="fa-IR"/>
        </w:rPr>
        <w:t>مطابق استدلالی که آیت الله معرفت به این آیه کرده، ساختار روحی زن، احساساتی، تجمل‌گرا و غیرعقلانی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سنخ کارهای حکومتی که نیازمند تأنی و تعقل است،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روحی زن تجمل‌گرا و خودآراست؛ یعنی نقصی که او را از کمالات انسانی منحرف کرده، تا به گمان خویش کمال و جمال خود را با زیور بستن با سنگ و فلزات قیمتی تأمین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دست‌خوش احساسات است و در گرداب حوادث و پیشامدهای ناگوار زندگی به جای آنکه عقل و تدبیر شایسته به کار گیرد، مغلوب احساسات شده و متانت و بردباری را که لازمه مقابله با پیشامدهای ناگوار زندگی است،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نخواهند توانست بر اثر غلبه احساسات آنچه در دل دارد، به‌خوبی و با آرامش مدلل و مبرهن نماید</w:t>
      </w:r>
      <w:r>
        <w:rPr>
          <w:rFonts w:eastAsia="IRNazanin" w:cs="IRNazanin"/>
          <w:color w:val="111111"/>
          <w:sz w:val="28"/>
          <w:szCs w:val="28"/>
          <w:rtl w:val="true"/>
          <w:lang w:bidi="fa-IR"/>
        </w:rPr>
        <w:t>.</w:t>
      </w:r>
      <w:bookmarkStart w:id="259" w:name="pg5406_38811"/>
    </w:p>
    <w:p>
      <w:pPr>
        <w:pStyle w:val="BookText"/>
        <w:rPr/>
      </w:pPr>
      <w:bookmarkEnd w:id="259"/>
      <w:r>
        <w:rPr>
          <w:rFonts w:ascii="IRNazanin" w:hAnsi="IRNazanin" w:eastAsia="IRNazanin"/>
          <w:color w:val="111111"/>
          <w:sz w:val="28"/>
          <w:sz w:val="28"/>
          <w:szCs w:val="28"/>
          <w:rtl w:val="true"/>
          <w:lang w:bidi="fa-IR"/>
        </w:rPr>
        <w:t>از این آیه به‌خوبی می‌توان استفاده کرد که زن نمی‌تواند بر کرسی قضاوت تکیه زند و با خصومت‌ها و درگیری‌ها آن گونه که باید و شاید برخورد کند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این استدلال در بحث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زن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است؛ چون ایشان در آغاز این بحث یادآوری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ذکوریت به‌عنوان یک کبرای کلی برای همه مناصب رسمی است که از شئون ولایت عامه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فقهی حکومت اسلامی هم از این آیه مشابه همین تفسیر، برای نفی حکومت زن، به‌عنوان مؤید استفاده شده است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در آغاز فصل دوم برداشت‌های تندتری که از این آیه صورت گرفته است، به شکل مشروح بررسی شد و به طور خلاصه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تعریف هویت زن نیست، بلکه تصویر شخصیت شکل‌گرفته زن از خلال عوامل تربیتی عصر نزول آیه است بر این اساس، این تصویر قابل تعمیم نیست تا از آن برای همیشه ضعف و احساساتی بودن شخصیت زن را از نظر روحی نتیجه بگیریم</w:t>
      </w:r>
      <w:r>
        <w:rPr>
          <w:rFonts w:eastAsia="IRNazanin" w:cs="IRNazanin"/>
          <w:color w:val="111111"/>
          <w:sz w:val="28"/>
          <w:szCs w:val="28"/>
          <w:rtl w:val="true"/>
          <w:lang w:bidi="fa-IR"/>
        </w:rPr>
        <w:t>.</w:t>
      </w:r>
    </w:p>
    <w:p>
      <w:pPr>
        <w:pStyle w:val="Heading4"/>
        <w:numPr>
          <w:ilvl w:val="3"/>
          <w:numId w:val="1"/>
        </w:numPr>
        <w:rPr/>
      </w:pPr>
      <w:bookmarkStart w:id="260" w:name="__RefHeading___Toc1597218_581953129"/>
      <w:bookmarkStart w:id="261" w:name="_Toc97"/>
      <w:bookmarkEnd w:id="260"/>
      <w:r>
        <w:rPr/>
        <w:t>4</w:t>
      </w:r>
      <w:r>
        <w:rPr>
          <w:rtl w:val="true"/>
        </w:rPr>
        <w:t xml:space="preserve">- </w:t>
      </w:r>
      <w:r>
        <w:rPr>
          <w:rtl w:val="true"/>
        </w:rPr>
        <w:t>روایت نبوی</w:t>
      </w:r>
      <w:bookmarkEnd w:id="26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نفی مشارکت سیاسی زن به روایات متعددی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مبانی فقهی حکومت اسلامی بخش زیادی از این دست روایات را تحت هفده عنوان از منابع فریقین گردآوری کرده و با آنها بر نفی جواز حاکمیت زن استدلال کرده است؛</w:t>
      </w:r>
      <w:r>
        <w:rPr>
          <w:rStyle w:val="FootnoteAnchor"/>
          <w:rtl w:val="true"/>
        </w:rPr>
        <w:footnoteReference w:id="585"/>
      </w:r>
      <w:r>
        <w:rPr>
          <w:rFonts w:ascii="IRNazanin" w:hAnsi="IRNazanin" w:eastAsia="IRNazanin"/>
          <w:color w:val="111111"/>
          <w:sz w:val="28"/>
          <w:sz w:val="28"/>
          <w:szCs w:val="28"/>
          <w:rtl w:val="true"/>
          <w:lang w:bidi="fa-IR"/>
        </w:rPr>
        <w:t>هرچند همه آنها درخصوص مشارکت سیاسی زن وارد نشده است، بلکه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مشاوره با زنان، عدم خروج زن از منزل، لزوم حجاب و نقصان عقل و دین محتوای آنها را تشکیل می‌دهد، اما چون دخالت و اشتغال در امور سیاسی در سطح کلان با این موارد در تضاد است، از روایات مزبور در جهت منع زن از کارهای حکومتی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بخشی از روایات منع از مشاوره، نقصان عقل و مانع بودن حجاب تا حدود لازم مورد ارزیابی قرار گرفت، در اینجا آنها را تکرار نمی‌کنیم، بلکه به نقل موردی مهم‌تر از آن روایات باقی‌مانده می‌پردازیم که روایت مشهور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نفعنی الله بکلمة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الجمل، بعد ماکدت ان الحق باصحاب الجمل، فاُقاتل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فارس قد ملّکوا علیهم بنت کسری،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یفلح قومٌ وَ لّوَ امرهم امرأة؛</w:t>
      </w:r>
      <w:r>
        <w:rPr>
          <w:rStyle w:val="FootnoteAnchor"/>
          <w:rtl w:val="true"/>
        </w:rPr>
        <w:footnoteReference w:id="58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بکره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جمل نزدیک بود به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و همراه آنان بجنگم که خداوند مرا با سخنی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w:t>
      </w:r>
    </w:p>
    <w:p>
      <w:pPr>
        <w:pStyle w:val="BookText"/>
        <w:rPr/>
      </w:pPr>
      <w:r>
        <w:rPr>
          <w:rFonts w:ascii="IRNazanin" w:hAnsi="IRNazanin" w:eastAsia="IRNazanin"/>
          <w:color w:val="111111"/>
          <w:sz w:val="28"/>
          <w:sz w:val="28"/>
          <w:szCs w:val="28"/>
          <w:rtl w:val="true"/>
          <w:lang w:bidi="fa-IR"/>
        </w:rPr>
        <w:t xml:space="preserve">اهل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خود را به دست دختر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حکومت خود را به زن می‌سپارد، هرگز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شیعی، این روایت را فقط تحف العقول به‌صورت مرسل با این تعبیر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یفلح قوم اسندوا امرهم الی امرأة</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دلالت این روایت بر مدعا چندان تردیدی نیست؛ چون رسالت دین مقدس اسلام و عموما همه ادیان آسمانی رستگاری انسان است و وقتی حکومت زن مانع این رستگاری تلقی شود، از باب عمل به مقدمه واجب نباید به زنان اجازه داد که مانع راه سعادت انسان شوند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روایت در میان عده‌ای از فقهای شیعه برای نفی دخالت زن در امور حکومتی مورد استناد قرارگرفته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کتاب آداب القضاء، شرط مرد بودن قاضی،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مسالک الافهام، همین بحث،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مستند الشیعه،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یزدی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تکملة العروة الوثقی،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اجماع؛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منتظری، دراسات فی‌ولایة الفقیه، برای منع زن از تصدی مناصب حکومت،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نویسندگان، زن و انتخابات، برای منع زن از شرکت در انتخابات،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تهرانی، رساله بدیعه، برای منع زن از حکومت، قضاء و فتوا،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فصل‌نامه حکومت اسلامی، برای ناشایستگی زنان در امر قضاوت، بلکه مطلق مناصب و پست‌های حساس، سال دوم،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فقهای اهل سنت، در تحریم تصدی مناصب حکومتی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معروفی که شورای فتوای جامعه الازهر مبنی بر تحریم شرکت زن در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و عمده دلیل آن را همین روایت ذکر کرده‌اند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وهبة الزحیلی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معاصر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الفقه الاسلامی و ادلته، در شروط القاضی، شرط ذکوریت،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سند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یکی از احادیث معروف نبوی است و با مراجعه به کتب تاریخ و حدیث و استدلال می‌توان گفت که این حدیث متواتر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علاوه بر این، گویا شهرت آن به این معنی که فقها طبق آن فتوا داده‌اند، امری مسلم است</w:t>
      </w:r>
      <w:r>
        <w:rPr>
          <w:rFonts w:eastAsia="IRNazanin" w:cs="IRNazanin"/>
          <w:color w:val="111111"/>
          <w:sz w:val="28"/>
          <w:szCs w:val="28"/>
          <w:rtl w:val="true"/>
          <w:lang w:bidi="fa-IR"/>
        </w:rPr>
        <w:t>.</w:t>
      </w:r>
      <w:r>
        <w:rPr>
          <w:rStyle w:val="FootnoteAnchor"/>
          <w:rtl w:val="true"/>
        </w:rPr>
        <w:footnoteReference w:id="59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صورت اگر متواتر هم نبوده وحتی ضعیف باشد، طبق مبنای کسانی که عمل مشهور به حدیث ضعیف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استناد در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کننده ضعف آن می‌دانند، برای استدلال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w:t>
      </w:r>
    </w:p>
    <w:p>
      <w:pPr>
        <w:pStyle w:val="BookText"/>
        <w:rPr/>
      </w:pPr>
      <w:r>
        <w:rPr>
          <w:rFonts w:ascii="IRNazanin" w:hAnsi="IRNazanin" w:eastAsia="IRNazanin"/>
          <w:color w:val="111111"/>
          <w:sz w:val="28"/>
          <w:sz w:val="28"/>
          <w:szCs w:val="28"/>
          <w:rtl w:val="true"/>
          <w:lang w:bidi="fa-IR"/>
        </w:rPr>
        <w:t>گفته‌اند اعتماد صاحب مسالک دلیل بر موثوقیت صدور آن از معصوم است؛ چون ممکن است ایشان به موجب قراین و دلایلی به سند آن اطمینان کرده باشد که ما از آن بی اطلاعیم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اعتماد با اشرافی که وی در حدیث داشته، ما را درباره سند آن خاطرجمع می‌کند و دیگر حتی لازم نیست سند آن را از بیهقی نقل کنیم</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موازین رجالی شیعه، در سند این روایت ارسال وجود دارد و از این جهت حجیت آن محل تردید است؛ یعنی نه تنها متواتر بودن آن مسلم نیست که حتی شهرت آن نیز غیرقابل قبول است؛ چون ادعای شهرت درباره این حدیث مبنی بر توهمی است که مستند فتوای مشهور را در باب منع قضاوت زن، همین روایت گمان کرده‌اند؛ درحالی‌که به این روایت بیشتر به چشم یک مؤید نگریسته شده و مقدم بر آن پایه‌های استدلال با مقدمات دیگر تحکیم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در جایی موجب جبران ضعف سند روایت می‌شود که فقها با استناد آن فتوا داده باشند؛ این عمل مشهور است که اطمینان و وثوق به صدور روایت را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لم یکن فی المسالة الا روایة واحدة ضعیفة السند ولکن الاصحاب عملوا بها انجبرضعفها وجاز الاستدلال بها؛</w:t>
      </w:r>
      <w:r>
        <w:rPr>
          <w:rStyle w:val="FootnoteAnchor"/>
          <w:rtl w:val="true"/>
        </w:rPr>
        <w:footnoteReference w:id="593"/>
      </w:r>
      <w:r>
        <w:rPr>
          <w:rFonts w:ascii="IRNazanin" w:hAnsi="IRNazanin" w:eastAsia="IRNazanin"/>
          <w:color w:val="111111"/>
          <w:sz w:val="28"/>
          <w:sz w:val="28"/>
          <w:szCs w:val="28"/>
          <w:rtl w:val="true"/>
          <w:lang w:bidi="fa-IR"/>
        </w:rPr>
        <w:t>اگر در یک مسأله غیر از روایتی ضعیف السند وجود نداشته باشد، اما اصحاب براساس همان عمل کرده و فتوا داده باشند، ضعف این روایت جبران شده و استدلال بدان جایزخواهد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مراد از عمل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کسانی‌که عمل مشهور را موجب جبران ضعف روایت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قدمای اصحاب است که چون به عصر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بوده‌اند، امکان دسترسی آنها به قراین و شواهد برای صحت و سقم یک خبر بعید نیست، اما روایت نبوی مورد بحث بر فرض استناد، برای نخستین بار در خلاف شیخ طوسی مورد استناد قرار گرفته است و این موقعیت زمانی شیخ مناسب چنان استنتاجی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خود این مبنا که عمل مشهور ضعف روایت را جبران می‌کند، از نظر برخی مخدوش است؛ زیرا نه دلیل بر حجیت حدیث ضعیف وجود دارد و نه برحجیت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جمع این دو غیر حجت، حجیت حاصل نمی‌شود</w:t>
      </w:r>
      <w:r>
        <w:rPr>
          <w:rFonts w:eastAsia="IRNazanin" w:cs="IRNazanin"/>
          <w:color w:val="111111"/>
          <w:sz w:val="28"/>
          <w:szCs w:val="28"/>
          <w:rtl w:val="true"/>
          <w:lang w:bidi="fa-IR"/>
        </w:rPr>
        <w:t>.</w:t>
      </w:r>
      <w:r>
        <w:rPr>
          <w:rStyle w:val="FootnoteAnchor"/>
          <w:rtl w:val="true"/>
        </w:rPr>
        <w:footnoteReference w:id="59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آن گونه که از ظاهر این روایت پیداست، رستگاری در حکومت زن نفی ابد شده و هیچ روزنه امیدی باقی نمانده و به گفته انور حافظ جز به زن بودن به هیچ عنوان دیگری مرتبط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از این جهت اطلاق این روایت با نقل و عقل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با نقل به این دلیل است‌که در قرآن از زن و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شده است که هم خود فرزانه سیاست بوده و هم توانسته در قلمرو ملک خود هر آنچه شایسته یک حکومت موفق است،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ملکه سبا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مَعَ سُلَیْمانَ لِلّهِ رَبِّ الْعالَمِینَ</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که با عزت از وی یاد می‌کند و نام می‌برد و سرانجام او را عاقله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در این نیست که انسان در برابر حق سرفرازی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هنر این است که انسان در پیشگاه حق خضوع کند و این هنر را ذات اقدس الله به ملکه سبا نسبت می‌دهد، با اینکه از قدرت فراوانی برخوردار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أُوتِیَتْ مِنْ کُلِّ شَیْءٍ وَ لَها عَرْشٌ عَظِیمٌ</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اگر کسی که چنین قدرتی دارد و از همه امکانات و قدرت‌های سیاسی و نظامی برخوردار است، بیاید و تسلیم بنده خدا شود، این نشانه عقل است</w:t>
      </w:r>
      <w:r>
        <w:rPr>
          <w:rFonts w:eastAsia="IRNazanin" w:cs="IRNazanin"/>
          <w:color w:val="111111"/>
          <w:sz w:val="28"/>
          <w:szCs w:val="28"/>
          <w:rtl w:val="true"/>
          <w:lang w:bidi="fa-IR"/>
        </w:rPr>
        <w:t>.</w:t>
      </w:r>
      <w:r>
        <w:rPr>
          <w:rStyle w:val="FootnoteAnchor"/>
          <w:rtl w:val="true"/>
        </w:rPr>
        <w:footnoteReference w:id="59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مغایرت اطلاق روایت با عقل هم از آن‌روست که رستگاری و فلاح موضوعی مرموز، غیر قابل‌فهم و تجربه‌ناپذیر نیست، بلکه می‌شود آن را در آزمون‌گاه تاریخ و جریان زندگی بشر دید که گذشته از نمونه ملکه</w:t>
      </w:r>
    </w:p>
    <w:p>
      <w:pPr>
        <w:pStyle w:val="BookText"/>
        <w:rPr/>
      </w:pPr>
      <w:r>
        <w:rPr>
          <w:rFonts w:ascii="IRNazanin" w:hAnsi="IRNazanin" w:eastAsia="IRNazanin"/>
          <w:color w:val="111111"/>
          <w:sz w:val="28"/>
          <w:sz w:val="28"/>
          <w:szCs w:val="28"/>
          <w:rtl w:val="true"/>
          <w:lang w:bidi="fa-IR"/>
        </w:rPr>
        <w:t>سبا آیا واقعاً تا آنجا که تاریخ حضور زن را در عرصه حکومت به یاد می‌آورد، دست‌آورد حکومت او بدبختی و فلاکت و تباهی بوده است؟ پاسخ مثبت به این پرسش بسیار دشوار، و بلکه خلاف آن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باب آنچه بیهقی نقل کرده، تردید نمی‌کردم، اگر به چشم در روزگار خودمان نمی‌دیدم که زنانی مثل خانم گاندی دختر نهرو هفتصد میلیون آدم را اداره کرد و مشتی آدم فقیر را که از گرسنگی در کنار خیابان جان می‌دادند، در اثر انقلاب سبز به جایی رساند که خود صادرکننده گندم شدند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آنچه مجمل التواریخ و القصص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پوران دخت اصلاً مقارن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دوره حکومت او حداکثر یک‌سال و نیم گزارش شده که سه ماه آن در عصر خلیفه دوم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بوران دخت پرویز یک سال و چهار ماه بود و روزگار قوت اسلام بود و سپاه همی فرستاد به حرب عرب و همان مدت به مداین بمرد</w:t>
      </w:r>
      <w:r>
        <w:rPr>
          <w:rFonts w:eastAsia="IRNazanin" w:cs="IRNazanin"/>
          <w:color w:val="111111"/>
          <w:sz w:val="28"/>
          <w:szCs w:val="28"/>
          <w:rtl w:val="true"/>
          <w:lang w:bidi="fa-IR"/>
        </w:rPr>
        <w:t>.</w:t>
      </w:r>
      <w:r>
        <w:rPr>
          <w:rStyle w:val="FootnoteAnchor"/>
          <w:rtl w:val="true"/>
        </w:rPr>
        <w:footnoteReference w:id="60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عهد بوران دخت،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بود و ابوبکر صدیق به خلیفتی نشست و آخر عهدش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ماه از ملک بوران بگذشت، خلافت به عمربن الخطاب رسید</w:t>
      </w:r>
      <w:r>
        <w:rPr>
          <w:rFonts w:eastAsia="IRNazanin" w:cs="IRNazanin"/>
          <w:color w:val="111111"/>
          <w:sz w:val="28"/>
          <w:szCs w:val="28"/>
          <w:rtl w:val="true"/>
          <w:lang w:bidi="fa-IR"/>
        </w:rPr>
        <w:t>.</w:t>
      </w:r>
      <w:r>
        <w:rPr>
          <w:rStyle w:val="FootnoteAnchor"/>
          <w:rtl w:val="true"/>
        </w:rPr>
        <w:footnoteReference w:id="601"/>
      </w:r>
      <w:bookmarkStart w:id="262" w:name="pg5406_38826"/>
    </w:p>
    <w:p>
      <w:pPr>
        <w:pStyle w:val="BookText"/>
        <w:rPr/>
      </w:pPr>
      <w:bookmarkEnd w:id="262"/>
      <w:r>
        <w:rPr>
          <w:rFonts w:ascii="IRNazanin" w:hAnsi="IRNazanin" w:eastAsia="IRNazanin"/>
          <w:color w:val="111111"/>
          <w:sz w:val="28"/>
          <w:sz w:val="28"/>
          <w:szCs w:val="28"/>
          <w:rtl w:val="true"/>
          <w:lang w:bidi="fa-IR"/>
        </w:rPr>
        <w:t>با این گزارش، تناقض‌هایی که متن این روایت با داده‌های تاریخی دارد، کاملاً آشکار می‌شود و چنین سندی پر از تناقض با عقل، نقل و تاریخ شایسته استدلال برای چنین امر مهمی نخواهد بود</w:t>
      </w:r>
      <w:r>
        <w:rPr>
          <w:rFonts w:eastAsia="IRNazanin" w:cs="IRNazanin"/>
          <w:color w:val="111111"/>
          <w:sz w:val="28"/>
          <w:szCs w:val="28"/>
          <w:rtl w:val="true"/>
          <w:lang w:bidi="fa-IR"/>
        </w:rPr>
        <w:t>.</w:t>
      </w:r>
    </w:p>
    <w:p>
      <w:pPr>
        <w:pStyle w:val="Heading4"/>
        <w:numPr>
          <w:ilvl w:val="3"/>
          <w:numId w:val="1"/>
        </w:numPr>
        <w:rPr/>
      </w:pPr>
      <w:bookmarkStart w:id="263" w:name="__RefHeading___Toc1597220_581953129"/>
      <w:bookmarkStart w:id="264" w:name="_Toc98"/>
      <w:bookmarkEnd w:id="263"/>
      <w:r>
        <w:rPr/>
        <w:t>5</w:t>
      </w:r>
      <w:r>
        <w:rPr>
          <w:rtl w:val="true"/>
        </w:rPr>
        <w:t xml:space="preserve">- </w:t>
      </w:r>
      <w:r>
        <w:rPr>
          <w:rtl w:val="true"/>
        </w:rPr>
        <w:t>اجماع</w:t>
      </w:r>
      <w:bookmarkEnd w:id="264"/>
    </w:p>
    <w:p>
      <w:pPr>
        <w:pStyle w:val="BookText"/>
        <w:rPr/>
      </w:pP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دیگری که در زمینه نفی مشارکت زن در حکومت بدان استدلال شده، اجماع است، ولی به دلیل آنکه درباره حکومت زن و اصولاً شرایط حاکم حداقل از این زاویه در فقه شیعه به طور مستقل بحث نشده است، غالباً از اجماع که در باب شرط مرد بودن قاضی عنوان شده، برای این منظور استفاده شده است؛ زیرا اعتبار این شرط در قاضی نه به دلیل خصوصیت منصب قضا بلکه به جهت ماهیت حکومتی آن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آیت الله معرفت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ذکوریت در درجه نخست از شروط کلی مناصب مهم و حساس حکومت است که یکی از مصادیق آن را نهاد قضاوت تشکیل می‌دهد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تصدی نهاد مجلس نیز که امروزه اگرنه مهم‌ترین رکن حکومت دست‌کم یک رکن اساسی آن است، همان شرایط با همان دلیل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درباره عدم جواز نمایندگی</w:t>
      </w:r>
    </w:p>
    <w:p>
      <w:pPr>
        <w:pStyle w:val="BookText"/>
        <w:rPr/>
      </w:pPr>
      <w:r>
        <w:rPr>
          <w:rFonts w:ascii="IRNazanin" w:hAnsi="IRNazanin" w:eastAsia="IRNazanin"/>
          <w:color w:val="111111"/>
          <w:sz w:val="28"/>
          <w:sz w:val="28"/>
          <w:szCs w:val="28"/>
          <w:rtl w:val="true"/>
          <w:lang w:bidi="fa-IR"/>
        </w:rPr>
        <w:t>زن در مجلس صریحاً هم مطرح شده است؛ چون در رساله بدیعه پس از ذکر ادله متعدد از قرآن، اجماع، روایت، سیره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حرمت تصدی قضا و حکومت از سوی زن، وقتی به مشارکت زن در مجلس می‌رسد، عمدتاً به همان ادله قبل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تاکنون گفتیم، روشن است که جایز نیست زن به مجلس شورا راه یابد، هرچند فقیه و مجتهد باشد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بررسی اجماع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اشراف به واقعیت مسأله، ابتدا لازم است بدانیم شرط مرد بودن قاضی در فقه شیعه نخستین بار از سوی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می‌گوید به دو دلیل زن نمی‌تواند قاضی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موقعیت زن را مؤخر از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راه دادن زنان به این سمت‌ها نوعی تسلط دادن آنها بر مردان و مقدم داشتن آنان بر مردان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نبوی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زمام امور خود را به دست زن می‌سپارد، روی رستگاری نخواهد دید</w:t>
      </w:r>
      <w:r>
        <w:rPr>
          <w:rFonts w:eastAsia="IRNazanin" w:cs="IRNazanin"/>
          <w:color w:val="111111"/>
          <w:sz w:val="28"/>
          <w:szCs w:val="28"/>
          <w:rtl w:val="true"/>
          <w:lang w:bidi="fa-IR"/>
        </w:rPr>
        <w:t>.</w:t>
      </w:r>
      <w:r>
        <w:rPr>
          <w:rStyle w:val="FootnoteAnchor"/>
          <w:rtl w:val="true"/>
        </w:rPr>
        <w:footnoteReference w:id="60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لحن سخن شیخ در مبسوط تغیییر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قضاوت زن را نسبتاً می‌پذیرد؛ چون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جواز قضاوت زن اصح است</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معنای این سخن آن است که قضاوت زن شرعا چندان بیراه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قرن پس از ایشان فقیه بزرگی که این شرط را برای قاضی مسلم گرفت،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رفته‌رفته در دوره‌های متاخر، پس از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مرد بودن قاضی مثل خود شرایع حضور وسیع پیدا کرده تا آنکه اجماعی بودن آن بر سر زبان‌ها می‌افتد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دراین میان آنچه مسلم است اینکه در دوره‌های بسیاری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ذکوریت در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بوده و از آغاز هم بیشتر با پشتوانه‌های روایی در فقه مطرح شده است، ازاین‌رو ادعای اجماع برای آن با درنظرداشت سرگذشت مسأله درآرای فقها بیشتر مبتنی بر تسامح اصطلاحی است تا واقعیت؛ زیرا ادعای اجماع در مسأله‌ای که این نشیب و فرازها را داشته، نمی‌تواند حتی بر محمل بی اطلاعی قائلان به آن توجیه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برخی از فقها جواز قضاوت زن را مورد توجه قرار</w:t>
      </w:r>
    </w:p>
    <w:p>
      <w:pPr>
        <w:pStyle w:val="BookText"/>
        <w:rPr/>
      </w:pPr>
      <w:r>
        <w:rPr>
          <w:rFonts w:ascii="IRNazanin" w:hAnsi="IRNazanin" w:eastAsia="IRNazanin"/>
          <w:color w:val="111111"/>
          <w:sz w:val="28"/>
          <w:sz w:val="28"/>
          <w:szCs w:val="28"/>
          <w:rtl w:val="true"/>
          <w:lang w:bidi="fa-IR"/>
        </w:rPr>
        <w:t>داده و عمده مانعی که بر سر راه این نظریه دیده‌اند، عوارض جانبی قضاوت زن، از قبیل اختلاط با اجانب،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دغدغه‌ها نشان می‌دهد اگر این بزرگان دلیلی چون اجماع در دست داشتند، بر مسائل فرعی‌ای که نمی‌تواند دلیل متقنی باشد، تمرکز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الفائده والبرهان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فقهایی است که نه تنها به اعتراف صاحب جواهر اجماع در این مسأله را قبول نداشته</w:t>
      </w:r>
      <w:r>
        <w:rPr>
          <w:rStyle w:val="FootnoteAnchor"/>
          <w:rtl w:val="true"/>
        </w:rPr>
        <w:footnoteReference w:id="608"/>
      </w:r>
      <w:r>
        <w:rPr>
          <w:rFonts w:ascii="IRNazanin" w:hAnsi="IRNazanin" w:eastAsia="IRNazanin"/>
          <w:color w:val="111111"/>
          <w:sz w:val="28"/>
          <w:sz w:val="28"/>
          <w:szCs w:val="28"/>
          <w:rtl w:val="true"/>
          <w:lang w:bidi="fa-IR"/>
        </w:rPr>
        <w:t>که خود تمایل به جواز آن را از رهگذر همین عدم دلیل بر منع قضاوت زن ابراز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شرط ذکوریت در قاضی، در مواردی که زن نمی‌تواند مداخله کند، روشن است، اما در غیر این مورد با اینکه مشهور عدم جواز است، من دلیل روشنی برای آن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اجماع منع زن از قضاوت وجود داشته باشد، جای مناقشه نیست، ولی در غیراین صورت، قضاوت زنی که با اجتماع شرایط در میان زنان قضاوت کند محذور نخواهد داشت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این نظریه، در گام نخست مانع بر سر راه قضاوت زن را حشرونشر با مردان می‌داند که در این محدوده قضاوت زن مشکل جانبی دارد، اما در میان زنان چون این مشکل نیست، محذور دیگری وجود نخواهد داشت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معیار که برای طبقه‌بندی محدوده جواز و عدم جواز قضاوت زن این فقیه برگزیده، دغدغه‌های اصلی را از اجماع به مسائل دیگر فرا</w:t>
      </w:r>
    </w:p>
    <w:p>
      <w:pPr>
        <w:pStyle w:val="BookText"/>
        <w:rPr/>
      </w:pPr>
      <w:r>
        <w:rPr>
          <w:rFonts w:ascii="IRNazanin" w:hAnsi="IRNazanin" w:eastAsia="IRNazanin"/>
          <w:color w:val="111111"/>
          <w:sz w:val="28"/>
          <w:sz w:val="28"/>
          <w:szCs w:val="28"/>
          <w:rtl w:val="true"/>
          <w:lang w:bidi="fa-IR"/>
        </w:rPr>
        <w:t xml:space="preserve">می‌افکند؛ چنانکه مشابه این موقف را در برابر این شرط میرزای قمی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الشتات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شرایط قاضی وقتی به شرط ذکوریت می‌رسد،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این شرط دو چیز دخالت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علت‌هایی از قبیل اینکه قضاوت زن موجب ظاهر شدن در میان مردم شده و نیز اشتغال به این سمت نیازمند تمیز خصوم و شهود از همدیگر است و زنان چون طبعاً فراموش‌کارند و در بیان ضعف دارند، از عهده این مهم برنمی‌آیند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غنایم الایام در مقام حل مشکل، نخست عدم فراگیری این علت‌ها را در زنان یادآور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فطری نیست تا به طور مطلق زن‌بودن مانعی برای قضاوت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اگر وجود داشته باشد، کلیت ندارد تا همه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محدوده ای مثل قضاوت در میان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عین این نظریه قبلاً در شرح من لایحضره الفقیه از ناحیه مجلسی اول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ایشان اجماع را مربوط به قاضی منصوب در دوره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61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اینها اکنون در دوره معاصر برخی به تصریح یا تلویح از جواز قضاوت زن به حسب ادله سخن گفته‌اند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مسلم اگر اجماع در قضیه قطعی بود، این گونه موضع گیری در برابر آن هزینه غیر قابل پیش‌بینی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این نکات می‌توان مطمئن شد که اجماع ادعا شده در شرط مردبودن قاضی به‌دور از دقت‌های اصطلاحی اجماع عنوان شده است و منطبق بر هیچ تعریف پذیرفته شده‌ای نیست؛ نه تعریف محقق قمی و نه تعریف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تعریف و مبنای محقق قمی اجماع معتبری که حدساً کاشف از قول معصوم باشد، اتفاق فقها در طول تاریخ فقه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و در تعریف شهید هم باید اتفاق فقها در سطحی باشد که موجب احراز حکم شرعی شود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اما آیا اجماع در باب قضا می‌تواند از چنین جایگاهی در اندیشه اصولی شهید برخوردار باشد؟ بسیار بعید، بلکه غیرممکن است؛ زیرا از نظر ایشان با چند چالش مبنایی در اینجا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یکی از شرایط حجیت اجماع این است که از ناحیه فقهای نزدیک به عصر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به دوره راویان و حاملان احادیث باشد؛ چون به دلیل نزدیک بودن آنها به عصر حضور، کشف یک مسأله شرعی که به‌گونه‌ای نانوشته از معصوم و یا راویان به دستشان رسیده باشد، کاملاً معقول و ممکن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اجتماع شرایط تاریخی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مسأله مورد اجماع به مدرک مشخصی تصریح نکرده باشند، بلکه حتی استناد آنها به مدرکی معین احتمال داده نشود، که در این صورت خود آن مدرک مستقیماً ارزیابی خواهد شد؛ نه اتفاق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اتفاق در تعیین فهم مراد از همان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خواهد کرد؛ زیرا کسانی‌که به عصر</w:t>
      </w:r>
    </w:p>
    <w:p>
      <w:pPr>
        <w:pStyle w:val="BookText"/>
        <w:rPr/>
      </w:pPr>
      <w:r>
        <w:rPr>
          <w:rFonts w:ascii="IRNazanin" w:hAnsi="IRNazanin" w:eastAsia="IRNazanin"/>
          <w:color w:val="111111"/>
          <w:sz w:val="28"/>
          <w:sz w:val="28"/>
          <w:szCs w:val="28"/>
          <w:rtl w:val="true"/>
          <w:lang w:bidi="fa-IR"/>
        </w:rPr>
        <w:t>صدور روایت نزدیک بوده‌اند، بر شرایط زمان صدور هم اشراف بیشتر داشته‌اند و از این رهگذر ممکن است قراینی در اختیار آنها بوده باشد که ما از آن بی اطلاع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مسأله مورد ادعا از مسائلی باشد که امکان تشریع آن جز از ناحیه شارع احتمال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اجماع شائبه دخالت قواعد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یا حتی عموم و اطلاقی در میان باشد، اجماع مورد نظر حجت نخواهد بود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 توجه به این شرایط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ذکوریت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از سوی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این عصر برای اجماع معتبر مناسب نیست و اتفاقی بودن آن را در این عصر حتی خود شیخ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فقهای دیگری که به این موضوع پرداخته‌اند، به روایت‌هایی مشخص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اجماع بر فرض تحقق مدرکی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دخالت ذهنیت‌های منفی ضدّ زن که همواره باوری مسلط نسبت به زن را شکل می‌داده،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اینها اجماع دلیل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گستره دلالت آن محدود بوده و مانند دلیل لفظی تعمیم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به همان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 و از تعمیم آن به غیر مورد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مناصب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آنکه تحقق اجماع مبنی بر منع قضاوت زن مسلم نیست، عمده شرایط قضاوت اقدام‌های احتیاطی است که به‌منظور جلوگیری از تضییع حقوق مردم و تطبیق و اجرای دقیق احکام شریعت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قضاوت بالاترین مرجع تصمیم‌گیری و تعیین کننده شخص قاضی است، هیچ نهاد بیرونی‌ای که بر عمل‌کرد او نظارت داشته باشد، پیش‌بینی نشده است، اما نهاد مجلس شورا ماهیت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دارد که عمل‌کرد آن از طریق تشاور و تبادل آرا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تفاوت اندکی نیست و یک برجستگی ماهوی برای این نهاد است؛ زیرا از تشاور سهو و کژ کم‌تر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عملاً به طور نظام یافته مجلس را ملزم به خردورزی جمعی کرده تا فعالیت و کارکردهای آن هم‌زمان با تولید، بهره مند از اصلاح و نقد درونی باشد و در نتیجه عمل زن و هرکس دیگری در درون این ساختار با عبور از لایه‌های نقد و تعدیل صدور یافته و چنین عملی بیش از آنکه شناسنامه فردی و صنفی داشته باشد، شناسنامه عقلانیت جمعی دارد که محصول تعاطی و تضارب اندیشه‌ها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روی که نقش انضمامی افراد خود در این نهاد یک تدبیر احتیاطی است، احتیاطاندیشی‌های مفرط اگر در دیگر نهادهای حکومتی حایز اهمیت باشد، در اینجا بدان پیمانه اهمیت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اصولا ماهیت شورایی نهاد مجلس اقتضا دارد که این نهاد، نهاد نمایندگی افکار عموم مردم باشد؛ زیرا فلسفه اساسی شورا،</w:t>
      </w:r>
      <w:bookmarkStart w:id="265" w:name="pg5406_38842"/>
    </w:p>
    <w:p>
      <w:pPr>
        <w:pStyle w:val="BookText"/>
        <w:rPr/>
      </w:pPr>
      <w:bookmarkEnd w:id="265"/>
      <w:r>
        <w:rPr>
          <w:rFonts w:ascii="IRNazanin" w:hAnsi="IRNazanin" w:eastAsia="IRNazanin"/>
          <w:color w:val="111111"/>
          <w:sz w:val="28"/>
          <w:sz w:val="28"/>
          <w:szCs w:val="28"/>
          <w:rtl w:val="true"/>
          <w:lang w:bidi="fa-IR"/>
        </w:rPr>
        <w:t>رسیدن به بهترین راه و روش جهت تأمین مصالح از طریق شناخت راه‌های گوناگون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تأمین این مهم جز با مشارکت همه اصناف مردم، اعم از زن و مرد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اطمینانی نخواهد بود که با صرف نظر از حضور زنان در این نهاد، بخش زیادی از منابع تجارب و تفکر بدون دلیل بایکوت تبعیض‌آمیز نشده باشد</w:t>
      </w:r>
      <w:r>
        <w:rPr>
          <w:rFonts w:eastAsia="IRNazanin" w:cs="IRNazanin"/>
          <w:color w:val="111111"/>
          <w:sz w:val="28"/>
          <w:szCs w:val="28"/>
          <w:rtl w:val="true"/>
          <w:lang w:bidi="fa-IR"/>
        </w:rPr>
        <w:t>.</w:t>
      </w:r>
    </w:p>
    <w:p>
      <w:pPr>
        <w:pStyle w:val="Heading4"/>
        <w:numPr>
          <w:ilvl w:val="3"/>
          <w:numId w:val="1"/>
        </w:numPr>
        <w:rPr/>
      </w:pPr>
      <w:bookmarkStart w:id="266" w:name="__RefHeading___Toc1597222_581953129"/>
      <w:bookmarkStart w:id="267" w:name="_Toc99"/>
      <w:bookmarkEnd w:id="266"/>
      <w:r>
        <w:rPr/>
        <w:t>6</w:t>
      </w:r>
      <w:r>
        <w:rPr>
          <w:rtl w:val="true"/>
        </w:rPr>
        <w:t xml:space="preserve">- </w:t>
      </w:r>
      <w:r>
        <w:rPr>
          <w:rtl w:val="true"/>
        </w:rPr>
        <w:t>سیره مسلمانان</w:t>
      </w:r>
      <w:bookmarkEnd w:id="267"/>
    </w:p>
    <w:p>
      <w:pPr>
        <w:pStyle w:val="BookText"/>
        <w:rPr/>
      </w:pPr>
      <w:r>
        <w:rPr>
          <w:rFonts w:ascii="IRNazanin" w:hAnsi="IRNazanin" w:eastAsia="IRNazanin"/>
          <w:color w:val="111111"/>
          <w:sz w:val="28"/>
          <w:sz w:val="28"/>
          <w:szCs w:val="28"/>
          <w:rtl w:val="true"/>
          <w:lang w:bidi="fa-IR"/>
        </w:rPr>
        <w:t>آخرین دلیلی که در زمینه نفی مشارکت سیاسی زن در این مقال بررسی می‌شود،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به‌رغم تنوع سلسله‌های حکومتی موردی یافت نمی‌شود که زن به حکومت گماشته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عمل مسلمانان به این شکل پیوسته در ادوار طولانی حکایت از یک بازدارندگی شرعی می‌کند که مسلمانان بر اساس تعهد و پایبندی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نداده‌اند زن در سمت‌های حکومتی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تقریر این استدلال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به‌عنوان دلیل ذکر کرده‌اند،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یعنی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در زمان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زمان خلفا عمل مسلمین، روش و رفتار آنان هرگز این نبوده است که زنان متصدی امور سیاسی بشوند؛ یعنی هیچ‌وقت مثلا یک زن به‌عنوان یک والی در جایی معین نشده است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تهرانی با قاطعیت می‌گوید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سیره مسلمانان بدون اشکال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سیره این است که قاطبه مسلمانان از فقها، علما و حکام شیعه و سنی از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همگی ملتزم بوده‌اند که زنان را به</w:t>
      </w:r>
    </w:p>
    <w:p>
      <w:pPr>
        <w:pStyle w:val="BookText"/>
        <w:rPr/>
      </w:pPr>
      <w:r>
        <w:rPr>
          <w:rFonts w:ascii="IRNazanin" w:hAnsi="IRNazanin" w:eastAsia="IRNazanin"/>
          <w:color w:val="111111"/>
          <w:sz w:val="28"/>
          <w:sz w:val="28"/>
          <w:szCs w:val="28"/>
          <w:rtl w:val="true"/>
          <w:lang w:bidi="fa-IR"/>
        </w:rPr>
        <w:t>حکومت و امارت و قضاوت منصوب نکنند، با اینکه زنان دانشمند، عاقل و فهیم و دارای محاسن اخلاقی در طول تاریخ موجود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نمی‌تواند جز از راه عدم سازش آن با روح اسلام و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به‌طوری‌که حکام نمی‌توانستند در نظر عامه مردم که آن را ضروری و بدیهی از اسلام می‌دانستند، مخالفت کنند</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نام‌برده یک مورد تخطی از این سیره را سراغ دارد که مسلمانان در طول تاریخ تاوان آن را داده و هنوز هم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ریاست به زن سپرده می‌شود و ما یک نمونه اش را در اسلام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به رهبری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مفاسدی بر آن مترتب می‌شود که دوازده هزار نفر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ذالک از مفاسدی که پس از آن دامنگیر اسلام و مسلمانان شد و تا امروز اثرات همان یک جنگ جمل باقی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استدلال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این مدعا قابل نقض است؛ زیرا در تاریخ سیاسی اسلام نمونه‌هایی از حکومت زن در سمت سلطنت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شجرة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الملک الصالح نجم الدین آیبک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در بحرانی‌ترین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صلیبی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شوهرش زمام قدرت را در مصر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وقتی در گرماگرم جنگ شوهرش فوت می‌کند خبر مرگ او را برای حفظ روحیه سپاه محرمانه</w:t>
      </w:r>
    </w:p>
    <w:p>
      <w:pPr>
        <w:pStyle w:val="BookText"/>
        <w:rPr/>
      </w:pPr>
      <w:r>
        <w:rPr>
          <w:rFonts w:ascii="IRNazanin" w:hAnsi="IRNazanin" w:eastAsia="IRNazanin"/>
          <w:color w:val="111111"/>
          <w:sz w:val="28"/>
          <w:sz w:val="28"/>
          <w:szCs w:val="28"/>
          <w:rtl w:val="true"/>
          <w:lang w:bidi="fa-IR"/>
        </w:rPr>
        <w:t>نگاه می‌دارد وخود ابتدا به نام وی اوضاع را اداره کرده و جبهه جنگ را فرماندهی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مدت سپاهیان او به موفقیت‌های درخشانی دست یافته و با آزاد کردن سرزمین اشغال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جنگ صلیبیان، لوی نهم پادشاه قدیس شده فرانسه و بسیاری از لشکریان او را به اسارت درمی آورد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الدر به طور رسمی در صفر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سلطنت رسیده و سکه به نامش زده می‌شود،</w:t>
      </w:r>
      <w:r>
        <w:rPr>
          <w:rStyle w:val="FootnoteAnchor"/>
          <w:rtl w:val="true"/>
        </w:rPr>
        <w:footnoteReference w:id="620"/>
      </w:r>
      <w:r>
        <w:rPr>
          <w:rFonts w:ascii="IRNazanin" w:hAnsi="IRNazanin" w:eastAsia="IRNazanin"/>
          <w:color w:val="111111"/>
          <w:sz w:val="28"/>
          <w:sz w:val="28"/>
          <w:szCs w:val="28"/>
          <w:rtl w:val="true"/>
          <w:lang w:bidi="fa-IR"/>
        </w:rPr>
        <w:t>اما دو ماه بعد این عنوان را به شوهر بعدی خود آیبک واگذار می‌کند</w:t>
      </w:r>
      <w:r>
        <w:rPr>
          <w:rStyle w:val="FootnoteAnchor"/>
          <w:rtl w:val="true"/>
        </w:rPr>
        <w:footnoteReference w:id="621"/>
      </w:r>
      <w:r>
        <w:rPr>
          <w:rFonts w:ascii="IRNazanin" w:hAnsi="IRNazanin" w:eastAsia="IRNazanin"/>
          <w:color w:val="111111"/>
          <w:sz w:val="28"/>
          <w:sz w:val="28"/>
          <w:szCs w:val="28"/>
          <w:rtl w:val="true"/>
          <w:lang w:bidi="fa-IR"/>
        </w:rPr>
        <w:t>البته تا زمان مرگش به تعبیر زرکلی سیطره خود را بر قلمرو مصر حفظ کرد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این مورد، در فهرست سلسله سلاطین اتجه یا اچه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w:t>
      </w:r>
      <w:r>
        <w:rPr>
          <w:rFonts w:eastAsia="IRNazanin" w:cs="IRNazanin"/>
          <w:color w:val="111111"/>
          <w:sz w:val="28"/>
          <w:szCs w:val="28"/>
          <w:lang w:bidi="fa-IR"/>
        </w:rPr>
        <w:t>1496/1321</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نام پنج ملکه زن برده شده است که پیاپی سلطنت کرده‌اند</w:t>
      </w:r>
      <w:r>
        <w:rPr>
          <w:rFonts w:eastAsia="IRNazanin" w:cs="IRNazanin"/>
          <w:color w:val="111111"/>
          <w:sz w:val="28"/>
          <w:szCs w:val="28"/>
          <w:rtl w:val="true"/>
          <w:lang w:bidi="fa-IR"/>
        </w:rPr>
        <w:t>.</w:t>
      </w:r>
      <w:r>
        <w:rPr>
          <w:rStyle w:val="FootnoteAnchor"/>
          <w:rtl w:val="true"/>
        </w:rPr>
        <w:footnoteReference w:id="62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اینکه زن در دوران صدر اسلام به حکومت گماشته نشده، نمی‌تواند دلیل بر حرمت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لیس بحجة؛ چون این تنها دلیل بر این است که از نظر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این</w:t>
      </w:r>
    </w:p>
    <w:p>
      <w:pPr>
        <w:pStyle w:val="BookText"/>
        <w:rPr/>
      </w:pPr>
      <w:r>
        <w:rPr>
          <w:rFonts w:ascii="IRNazanin" w:hAnsi="IRNazanin" w:eastAsia="IRNazanin"/>
          <w:color w:val="111111"/>
          <w:sz w:val="28"/>
          <w:sz w:val="28"/>
          <w:szCs w:val="28"/>
          <w:rtl w:val="true"/>
          <w:lang w:bidi="fa-IR"/>
        </w:rPr>
        <w:t>کارها نسبت به زنان اولویت داشته‌اند، اما آیا این دلیل بر ممنوعیت شرعی و حرام‌بودن هم می‌شود؟ اولویت و صلاحیت یک بحث است، ولی بحث ما در این است که آیا از این سیره می‌توان حرمت شرعی را استفاده کرد؟</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چنین استفاده‌ای با توجه به اینکه سیره در ظهور و عموم از قبیل دلیل لفظی نیست و بی زبان است، بسیار دشوار خواهد بود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مضافا اینکه در تاریخ صدر اسلام درست است که زن به سمت‌های ولایت،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نشده است، اما در مؤلفه‌های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آن را در بیعت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مشارکت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در زمانه خود متناسب با آگاهی‌ها و تجاربی که زنان می‌توانستند در درون فرهنگ موجود کسب کنند، بی نهایت حایز اهمیت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خلال فرهنگی که سفارش‌های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حسن معاشرت با زنان را برخی یارانش برنمی تابیدند و لب به اعتراض می‌گشودند،</w:t>
      </w:r>
      <w:r>
        <w:rPr>
          <w:rStyle w:val="FootnoteAnchor"/>
          <w:rtl w:val="true"/>
        </w:rPr>
        <w:footnoteReference w:id="626"/>
      </w:r>
      <w:r>
        <w:rPr>
          <w:rFonts w:ascii="IRNazanin" w:hAnsi="IRNazanin" w:eastAsia="IRNazanin"/>
          <w:color w:val="111111"/>
          <w:sz w:val="28"/>
          <w:sz w:val="28"/>
          <w:szCs w:val="28"/>
          <w:rtl w:val="true"/>
          <w:lang w:bidi="fa-IR"/>
        </w:rPr>
        <w:t>در سیطره فرهنگی که دوباره پس از عصر نبوی سایه اش</w:t>
      </w:r>
      <w:bookmarkStart w:id="268" w:name="pg5406_38850"/>
    </w:p>
    <w:p>
      <w:pPr>
        <w:pStyle w:val="BookText"/>
        <w:rPr/>
      </w:pPr>
      <w:bookmarkEnd w:id="268"/>
      <w:r>
        <w:rPr>
          <w:rFonts w:ascii="IRNazanin" w:hAnsi="IRNazanin" w:eastAsia="IRNazanin"/>
          <w:color w:val="111111"/>
          <w:sz w:val="28"/>
          <w:sz w:val="28"/>
          <w:szCs w:val="28"/>
          <w:rtl w:val="true"/>
          <w:lang w:bidi="fa-IR"/>
        </w:rPr>
        <w:t>بر سرزنان سنگین می‌گردد و دروازه مسجد، نخستین کانون آگاهی، عبادت، سیاست و رمز اجتماع اسلامی به روی آنان بسته می‌شود، چه انتظار از رشد زن و موجودیت او می‌رود تا از حکومت وی بحث شود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ادعای سیره در باب منع حکومت زن درست به این می‌ماند که کسی مثلاً در میانه قرن نوزدهم برای منع زنان از مدرسه و آموزش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دوره‌های باشکوه تمدن و علم در تاریخ اسلام یک مورد مدرسه دخترانه که مسلمانان آن را تأسیس کرده باشند، دیده نشده است</w:t>
      </w:r>
      <w:r>
        <w:rPr>
          <w:rFonts w:eastAsia="IRNazanin" w:cs="IRNazanin"/>
          <w:color w:val="111111"/>
          <w:sz w:val="28"/>
          <w:szCs w:val="28"/>
          <w:rtl w:val="true"/>
          <w:lang w:bidi="fa-IR"/>
        </w:rPr>
        <w:t>.</w:t>
      </w:r>
    </w:p>
    <w:p>
      <w:pPr>
        <w:pStyle w:val="Heading3"/>
        <w:numPr>
          <w:ilvl w:val="2"/>
          <w:numId w:val="1"/>
        </w:numPr>
        <w:rPr/>
      </w:pPr>
      <w:bookmarkStart w:id="269" w:name="__RefHeading___Toc1597224_581953129"/>
      <w:bookmarkStart w:id="270" w:name="_Toc100"/>
      <w:bookmarkEnd w:id="269"/>
      <w:r>
        <w:rPr>
          <w:rtl w:val="true"/>
        </w:rPr>
        <w:t>نگاهی به نقدها</w:t>
      </w:r>
      <w:bookmarkEnd w:id="27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قسمت تحت عنوان ادله مخالف یا نقدها گردآوری و بررسی شده، مهمترین و فراگیرترین چالش‌هایی است که تاکنون برای نفی حضور زن در سیاست بر آن پافشاری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آن است که از همه نقدهایی که در این رابطه صورت گرفته،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به عمل نیامده است؛ زیرا اولاً، با حجم معمولی که از این گونه پژوهش‌ها انتظارمی رود، هم‌خوانی ندارد و ثانیاً، آنچه ناگفته مانده، مطمئناً به پیمانه آنچه بررسی شده، از اتقان و استحکام لازم برای به کرسی نشاندن ادعاهای مطرح شده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نقدهایی که در اینجا مرور شد، نقدهای مبتنی بر مسائل وجودشناختی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عقل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همه فقها و سعی و سلوک امت اسلام در حیات هزار وچهارصدساله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به‌نظر می‌رسد که نقدهایی از سنخ دیگر که نه عناوین و مدعیاتی به این بزرگی و برجستگی دارد و نه از رهیافت برتر فقهی برخوردار است، در نفی مشارکت سیاسی زن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نقض و شکست خطوط مقدم نقدها از هیمنه خطوط بعدی فرو کاسته و ما را به عدم مقاومت آنها امیدوار و بلکه مطمئن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در این قسمت با الهام از دیدگاه بزرگان فقه و دین و یا استناد صریح به آن پیرامون ارزیابی نقدها صورت گرفته و امید می‌رود در هموار کردن راه برای مشارکت سیاسی و از آنجا به‌سوی وکالت زن در عرصه‌های به‌ویژه خصوصا نمایندگی مجلس سعی بی‌توفیق نباشد؛ زیرا با اثبات مشروعیت فقهی حضور زن در سیاست و عبور از نقطه چالش‌های مهم، نمایندگی زن در مجلس فعالیت در حوزه ای است که هم شریعت بر آن صحه گذاشته و هم زن طبق تکالیفی که شخصا در برخی عرصه‌ها چون امربه‌معروف و نهی‌ازمنکر مشاوره دارد، از تحمل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روی، اگر زن براساس یک فراگرد معقول و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نمایندگی مجلس شود، زن بودن او به‌عنوان یک مانع در فقه شیعه شناخته شده نیست</w:t>
      </w:r>
      <w:r>
        <w:rPr>
          <w:rFonts w:eastAsia="IRNazanin" w:cs="IRNazanin"/>
          <w:color w:val="111111"/>
          <w:sz w:val="28"/>
          <w:szCs w:val="28"/>
          <w:rtl w:val="true"/>
          <w:lang w:bidi="fa-IR"/>
        </w:rPr>
        <w:t>.</w:t>
      </w:r>
      <w:bookmarkStart w:id="271" w:name="pg5406_38854"/>
    </w:p>
    <w:p>
      <w:pPr>
        <w:pStyle w:val="Heading3"/>
        <w:numPr>
          <w:ilvl w:val="2"/>
          <w:numId w:val="1"/>
        </w:numPr>
        <w:rPr/>
      </w:pPr>
      <w:bookmarkStart w:id="272" w:name="__RefHeading___Toc1597226_581953129"/>
      <w:bookmarkStart w:id="273" w:name="_Toc101"/>
      <w:bookmarkEnd w:id="271"/>
      <w:bookmarkEnd w:id="272"/>
      <w:r>
        <w:rPr>
          <w:rtl w:val="true"/>
        </w:rPr>
        <w:t>نگاهی دوباره به خاستگاه ادله و نقدها</w:t>
      </w:r>
      <w:bookmarkEnd w:id="273"/>
    </w:p>
    <w:p>
      <w:pPr>
        <w:pStyle w:val="BookText"/>
        <w:rPr/>
      </w:pPr>
      <w:r>
        <w:rPr>
          <w:rFonts w:ascii="IRNazanin" w:hAnsi="IRNazanin" w:eastAsia="IRNazanin"/>
          <w:color w:val="111111"/>
          <w:sz w:val="28"/>
          <w:sz w:val="28"/>
          <w:szCs w:val="28"/>
          <w:rtl w:val="true"/>
          <w:lang w:bidi="fa-IR"/>
        </w:rPr>
        <w:t>در این نگاه سعی می‌کنیم به خاستگاه ادله و نقدها اشاره کنیم؛ در گذشته هم مکرر یادآوری شد که خاستگاه همه استدلال‌ها تأمین یا اثبات صلاحیت فقهی مشارکت سیاسی زنان است تا بدین سان صلاحیت لازمی که برای وکیل در عمل مورد وکالت شرط شده، احراز گردد؛ زیرا این همه هزینه‌ای است که بابت وکالت فقهی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 اهلیت وکیل آویزه همین شرط است که نخست تصرف خود وکیل باید در حوزه‌ای که می‌خواهد نمایندگی انجام دهد، معقول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نقدها نیز همین نقطه را نشانه رفته بود تا با اثبات عدم شایستگی زن برای تصدی مناصب سیاسی، مبنای وکالت سیاسی زن را در حوزه مجلس شورا مخدوش کند؛ اما این تنها راه ورود و خروج به مسأله نیست، بلکه آن گونه که در گذشته اشاره کردیم، یک شرط حداکثری است که با رعایت آن منتهای احتیاط لازم به عمل آمده است؛ این سخن بدان معنی است که می‌توان امکان بررسی مسأله را از منظری دیگر هم جستجو کرد و از این شرط که به‌مثابه قاعده جاافتاده،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در ادامه می‌آید، امکان چنین رویکردی به مسأله را ارزیابی می‌کنیم</w:t>
      </w:r>
      <w:r>
        <w:rPr>
          <w:rFonts w:eastAsia="IRNazanin" w:cs="IRNazanin"/>
          <w:color w:val="111111"/>
          <w:sz w:val="28"/>
          <w:szCs w:val="28"/>
          <w:rtl w:val="true"/>
          <w:lang w:bidi="fa-IR"/>
        </w:rPr>
        <w:t>.</w:t>
      </w:r>
    </w:p>
    <w:p>
      <w:pPr>
        <w:pStyle w:val="Heading3"/>
        <w:numPr>
          <w:ilvl w:val="2"/>
          <w:numId w:val="1"/>
        </w:numPr>
        <w:rPr/>
      </w:pPr>
      <w:bookmarkStart w:id="274" w:name="__RefHeading___Toc1597228_581953129"/>
      <w:bookmarkStart w:id="275" w:name="_Toc102"/>
      <w:bookmarkEnd w:id="274"/>
      <w:r>
        <w:rPr>
          <w:rtl w:val="true"/>
        </w:rPr>
        <w:t>عبور از قاعده</w:t>
      </w:r>
      <w:bookmarkEnd w:id="27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آنکه صلاحیت و تصرف وکیل در موضوع مورد وکالت به‌عنوان شرطی محوری برای وکیل عنوان شده، فقها در مواردی عملاً به این شرط وقعی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صلاحیت تصرف وکیل جداً مورد تردید و بلکه نفی واقع شده است، آنها تصرف وی را در سمت</w:t>
      </w:r>
    </w:p>
    <w:p>
      <w:pPr>
        <w:pStyle w:val="BookText"/>
        <w:rPr/>
      </w:pPr>
      <w:r>
        <w:rPr>
          <w:rFonts w:ascii="IRNazanin" w:hAnsi="IRNazanin" w:eastAsia="IRNazanin"/>
          <w:color w:val="111111"/>
          <w:sz w:val="28"/>
          <w:sz w:val="28"/>
          <w:szCs w:val="28"/>
          <w:rtl w:val="true"/>
          <w:lang w:bidi="fa-IR"/>
        </w:rPr>
        <w:t>نمایندگی در همان موضوع بر اساس ادله عام باب وکالت جایز دانسته‌اند، بی‌آنکه دلیل خاصی در میان باشد؛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سفیه؛ کسی که از اداره اموال خود به شیوه عقل‌پسند عاجز است و آن را صرف کارهای غیرعاقلانه می‌کند، فقها وکالت این شخص در امورمالی دیگران را بی‌اشکال دانسته و به جواز آن فتوا داده‌اند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اجماع مسلم فقها حق دخالت در طلاق خود ندارد، با این همه وکالت او از جانب شوهر چه به‌صورت شرط ضمن عقد</w:t>
      </w:r>
      <w:r>
        <w:rPr>
          <w:rStyle w:val="FootnoteAnchor"/>
          <w:rtl w:val="true"/>
        </w:rPr>
        <w:footnoteReference w:id="629"/>
      </w:r>
      <w:r>
        <w:rPr>
          <w:rFonts w:ascii="IRNazanin" w:hAnsi="IRNazanin" w:eastAsia="IRNazanin"/>
          <w:color w:val="111111"/>
          <w:sz w:val="28"/>
          <w:sz w:val="28"/>
          <w:szCs w:val="28"/>
          <w:rtl w:val="true"/>
          <w:lang w:bidi="fa-IR"/>
        </w:rPr>
        <w:t>و چه بدین صورت که شوهر پس از عقد به او وکالت در طلاق بدهد، پذیرفته شده است</w:t>
      </w:r>
      <w:r>
        <w:rPr>
          <w:rFonts w:eastAsia="IRNazanin" w:cs="IRNazanin"/>
          <w:color w:val="111111"/>
          <w:sz w:val="28"/>
          <w:szCs w:val="28"/>
          <w:rtl w:val="true"/>
          <w:lang w:bidi="fa-IR"/>
        </w:rPr>
        <w:t>.</w:t>
      </w:r>
      <w:r>
        <w:rPr>
          <w:rStyle w:val="FootnoteAnchor"/>
          <w:rtl w:val="true"/>
        </w:rPr>
        <w:footnoteReference w:id="63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می‌شود که در این نمونه‌ها وکالت به طور واضح در نقش سازوکاری ظاهر شده که به شخص فاقد اهلیت، اهلیت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سفیه که در اداره اموال خود امتحانی ناموفق داده و زنی که هرگز شایسته اقدام به طلاق از ناحیه خود نیست، براساس وکالت فعالیت آنها در همین دو حوزه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می‌توان به این استنتاج دست یافت که در میان انواع عقود معاملی، وکالت نوعی از معامله است که طی آن اراده موکل اعتباراً جانشین اراده وکیل می‌شود و این نماینده چون در واقع مجری اراده او بوده و در عمل استقلال نداشته، اگر همه شرایط موکل را هم دارا نباشد، اهمیتی ندارد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درستی این مطلب دست ما را در تحلیل وکالت زنان در سمت نمایندگی مجلس بازتر می‌کند؛ چون بر فرض که آنها از تصرف مستقیم در عرصه سیاست به هر دلیل ممنوع شده باشند، این ممنوعیت مانع نخواهد شد که آنان در قالب نمایندگی متصدی چنین اموری بشوند؛ زیرا نماینده در مفهوم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خود هیچ‌گاه مساوی با فردی نیست که از او نمایندگی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که فرد طبق محاسبات عقلانی به این اطمینان برسد که می‌توان موضوعی را از طریق نمایندگی فلان شخص انجام داد، برای اقدام به توکیل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ماهیت وکالت، تسهیل و تمهید امور از سوی واسطه‌ها بوده، و با محفوظ بودن همین ماهیت از سوی شرع امضا و تأیید شده است تا دست مردم در برآوردن نیازهایشان باز گذاشته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نکات فوق، هضم سخن استاد شهید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دفاع از مشارکت سیاسی زن پس از طی همه راه‌های رفته، بر همین نکته تمرکز می‌کند که باید به تغییر بنیادین ماهیت حکومت امروزی توجه کرد؛ در فلسفه سیاسی جدید، حاکم نه سلطان است و نه مالک الرقاب تا مردمان همه رعیت او باشند، بلکه نماینده اراده جمعی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بستر رابطه حکومت‌های جدید که جز رابطه نمایندگی و وکالت نیست، وکالت زن هم مشکل فقهی نخواهد داشت که در فقه برای وکالت شرط ذکوریت دیده نشده است</w:t>
      </w:r>
      <w:r>
        <w:rPr>
          <w:rFonts w:eastAsia="IRNazanin" w:cs="IRNazanin"/>
          <w:color w:val="111111"/>
          <w:sz w:val="28"/>
          <w:szCs w:val="28"/>
          <w:rtl w:val="true"/>
          <w:lang w:bidi="fa-IR"/>
        </w:rPr>
        <w:t>.</w:t>
      </w:r>
      <w:r>
        <w:rPr>
          <w:rStyle w:val="FootnoteAnchor"/>
          <w:rtl w:val="true"/>
        </w:rPr>
        <w:footnoteReference w:id="632"/>
      </w:r>
      <w:bookmarkStart w:id="276" w:name="pg5406_38860"/>
    </w:p>
    <w:p>
      <w:pPr>
        <w:pStyle w:val="BookText"/>
        <w:rPr/>
      </w:pPr>
      <w:bookmarkEnd w:id="276"/>
      <w:r>
        <w:rPr>
          <w:rFonts w:ascii="IRNazanin" w:hAnsi="IRNazanin" w:eastAsia="IRNazanin"/>
          <w:color w:val="111111"/>
          <w:sz w:val="28"/>
          <w:sz w:val="28"/>
          <w:szCs w:val="28"/>
          <w:rtl w:val="true"/>
          <w:lang w:bidi="fa-IR"/>
        </w:rPr>
        <w:t>درست است که در گذشته یک‌بار از این نظریه انتقاد شد که این دیدگاه طبق فرضی سخن می‌گوید که مبانی آن از نظر فقهی کاملاً پخته به نظر نمی‌رسد،</w:t>
      </w:r>
      <w:r>
        <w:rPr>
          <w:rStyle w:val="FootnoteAnchor"/>
          <w:rtl w:val="true"/>
        </w:rPr>
        <w:footnoteReference w:id="633"/>
      </w:r>
      <w:r>
        <w:rPr>
          <w:rFonts w:ascii="IRNazanin" w:hAnsi="IRNazanin" w:eastAsia="IRNazanin"/>
          <w:color w:val="111111"/>
          <w:sz w:val="28"/>
          <w:sz w:val="28"/>
          <w:szCs w:val="28"/>
          <w:rtl w:val="true"/>
          <w:lang w:bidi="fa-IR"/>
        </w:rPr>
        <w:t>اما اینک می‌توان با توجه به ظهور وکالت در نقش احیانا اهلیت ساز، رأی استاد شهید را یک راهبرد فقهی به مسأله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جز این، ایشان راهبردهای دیگری را هم در فقه مد نظر قرار داده که می‌تواند در بحث ما سودمند واقع شود؛ مثل آنچه در باب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برای استنباط و افتا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بعدی راهبرد این اندیشه را به تأمل می‌نشینیم</w:t>
      </w:r>
      <w:r>
        <w:rPr>
          <w:rFonts w:eastAsia="IRNazanin" w:cs="IRNazanin"/>
          <w:color w:val="111111"/>
          <w:sz w:val="28"/>
          <w:szCs w:val="28"/>
          <w:rtl w:val="true"/>
          <w:lang w:bidi="fa-IR"/>
        </w:rPr>
        <w:t>.</w:t>
      </w:r>
    </w:p>
    <w:p>
      <w:pPr>
        <w:pStyle w:val="Heading3"/>
        <w:numPr>
          <w:ilvl w:val="2"/>
          <w:numId w:val="1"/>
        </w:numPr>
        <w:rPr/>
      </w:pPr>
      <w:bookmarkStart w:id="277" w:name="__RefHeading___Toc1597230_581953129"/>
      <w:bookmarkStart w:id="278" w:name="_Toc103"/>
      <w:bookmarkEnd w:id="277"/>
      <w:r>
        <w:rPr>
          <w:rtl w:val="true"/>
        </w:rPr>
        <w:t>بازگشت به عدالت به مثابه قاعده ای فقهی</w:t>
      </w:r>
      <w:bookmarkEnd w:id="278"/>
    </w:p>
    <w:p>
      <w:pPr>
        <w:pStyle w:val="BookText"/>
        <w:rPr/>
      </w:pPr>
      <w:r>
        <w:rPr>
          <w:rFonts w:ascii="IRNazanin" w:hAnsi="IRNazanin" w:eastAsia="IRNazanin"/>
          <w:color w:val="111111"/>
          <w:sz w:val="28"/>
          <w:sz w:val="28"/>
          <w:szCs w:val="28"/>
          <w:rtl w:val="true"/>
          <w:lang w:bidi="fa-IR"/>
        </w:rPr>
        <w:t>بی‌تردید بحث از عدالت در فقه تاکنون غالبا به‌عنوان یک صفت و ویژگی لازم برای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قاضی، شاهد، امام جمعه و جماعت مطرح بوده است؛ یعنی تصدی این صلاحیت‌ها به عدالت منوط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در فقه مدخلی که به شکل برجسته کارایی‌های عدالت را درحوزه‌های دیگر مورد مداقه قرار داده باشد،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تعامل با این اصل مهم موجب شده برخی از اندیشوران دینی گلایه‌مند شوند که چرا با عدالت برخورد ناعادلانه شده و از آن به‌مثابه یک قاعده در استخراج احکام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در این ارتباط می‌فرماید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عدالت اجتماعی با همه اهمیت آن، در فقه مورد غفلت واقع</w:t>
      </w:r>
    </w:p>
    <w:p>
      <w:pPr>
        <w:pStyle w:val="BookText"/>
        <w:rPr/>
      </w:pPr>
      <w:r>
        <w:rPr>
          <w:rFonts w:ascii="IRNazanin" w:hAnsi="IRNazanin" w:eastAsia="IRNazanin"/>
          <w:color w:val="111111"/>
          <w:sz w:val="28"/>
          <w:sz w:val="28"/>
          <w:szCs w:val="28"/>
          <w:rtl w:val="true"/>
          <w:lang w:bidi="fa-IR"/>
        </w:rPr>
        <w:t xml:space="preserve">شده است و درحالی‌که از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درفقه به‌دست آمده است، ولی با این همه تأکیدی که در قرآن کریم بر روی مسأله عدالت اجتماعی دارد، معهذا یک قاعده و اصل عام در فقه از آن استنباط نشده است و این مطلب سبب رکود تفکر اجتماعی فقهای ما گردیده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در جایی دیگر سخن معروفی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عدالت از مقیاس‌های اسلام است که باید دید چه چیزی بر او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سلسله علل احکام است؛ نه در سلسله معلولات؛ نه این است که آنچه دین گفت عدل است، بلکه آنچه عدل است، دین می‌گوید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برخی دیگر، ضمن توضیح اصل صورت مسأله رگه‌هایی ازمباحث را که فقها در مقام استنباط به عدالت روی آورده‌اند، نشان داده‌اند تا امکان مواجهه با عدالت را به‌صورت عملی به‌منزله یک قاعده در حوزه‌های دیگر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میزان و معیاری برای فقاهت و استنباط است و تمام برداشت‌های فقهی و فتاوی باید با آن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می‌تواند در هماهنگ‌سازی مجموعه فقه اثر بگذارد؛ چنانکه در پرکردن منطقة الفراغ به‌مثابه حریمی است که نباید از آن تعدی شود</w:t>
      </w:r>
      <w:r>
        <w:rPr>
          <w:rFonts w:eastAsia="IRNazanin" w:cs="IRNazanin"/>
          <w:color w:val="111111"/>
          <w:sz w:val="28"/>
          <w:szCs w:val="28"/>
          <w:rtl w:val="true"/>
          <w:lang w:bidi="fa-IR"/>
        </w:rPr>
        <w:t>.</w:t>
      </w:r>
      <w:r>
        <w:rPr>
          <w:rStyle w:val="FootnoteAnchor"/>
          <w:rtl w:val="true"/>
        </w:rPr>
        <w:footnoteReference w:id="63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عملی شدن این پیشنهاد گستره وسیعی از ابواب فقه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خواهد داد، ولی به طور مصداقی، عنایت به این اصل می‌تواند در بحث ما هم به‌طور مؤثر کارآمد باشد؛ زیرا مشارکت سیاسی زن بر فرض که اثباتاً فاقد ادله و مدارک روشن باشد، نفیاً</w:t>
      </w:r>
    </w:p>
    <w:p>
      <w:pPr>
        <w:pStyle w:val="BookText"/>
        <w:rPr/>
      </w:pPr>
      <w:r>
        <w:rPr>
          <w:rFonts w:ascii="IRNazanin" w:hAnsi="IRNazanin" w:eastAsia="IRNazanin"/>
          <w:color w:val="111111"/>
          <w:sz w:val="28"/>
          <w:sz w:val="28"/>
          <w:szCs w:val="28"/>
          <w:rtl w:val="true"/>
          <w:lang w:bidi="fa-IR"/>
        </w:rPr>
        <w:t>نیز از این جهت وضعیت بهتری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مسأله از این جهت در شمار موضوعات مستحدثه خواهد بود که باید با توجه به ملاکات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آن عدالت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موضع‌گیری‌های فقهی درباره حضور زن در سیاست بر محمل غیرعادلانه توجیه نشود؛ به‌ویژه که امروزه به عرصه‌های سیاست به چشم زمینه‌ها و عوامل کسب اجر اخروی نگاه نمی‌شود، بلکه به چشم عرصه رشد و تعمیق فرصت‌های مشروع زندگی و مقابله با عقب‌ماندگی نگریسته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سباعی از اندیشمندان اهل سنت، در بحث آموزش زن به این نکته خوب توجه کرده که از جمله عوامل عقب‌ماندگی جهان اسلام در دوران اخیر ناآگاهی زنان مسلمان است؛ زیرا رشد فرزندی که مادری ناآگاه و بی‌سواد تحویل جامعه مسلمان می‌دهد، متناسب با تربیتی است که در گام نخست از مادر فرا گرفته است</w:t>
      </w:r>
      <w:r>
        <w:rPr>
          <w:rFonts w:eastAsia="IRNazanin" w:cs="IRNazanin"/>
          <w:color w:val="111111"/>
          <w:sz w:val="28"/>
          <w:szCs w:val="28"/>
          <w:rtl w:val="true"/>
          <w:lang w:bidi="fa-IR"/>
        </w:rPr>
        <w:t>.</w:t>
      </w:r>
      <w:r>
        <w:rPr>
          <w:rStyle w:val="FootnoteAnchor"/>
          <w:rtl w:val="true"/>
        </w:rPr>
        <w:footnoteReference w:id="63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ایشان در ارتباط با مسأله آگاهی زن و تأثیر آن بر رشد جامعه بدان توجه کرده، متأسفانه از سطح آموزش‌های مدرسه‌ای فراتر نمی‌رود، این درحالی‌که درخور تأمل است که آیا مشکل از ناحیه زنان تنها بی‌سوادی است یا ناآگاهی سیاسی آنها نیز در عقب‌ماندگی مسلمانان مؤثر خواهد بود؟ مشکلی که دیگر تنها با توزیع معلومات و اطلاعات سیاسی رفع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سدّ راه‌های نقش‌آفرینی مؤثر، انگیزه‌های فراگیری دانش سیاسی را به‌شدت کاهش می‌دهد که علم برای علم آموخته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زن بی‌سواد نمی‌تواند فرزند مناسب ایده‌آل‌های جامعه امروز تربیت کند، زن عقب‌مانده از سیاست نیز فرزند متناسب با انتظار نسل امروز تحویل جامعه نخواهد توانست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درست است که عدالت به‌معنای تساوی‌خواهی مطلق در حقوق زن و مرد سر از نفی حقوق مناسب این دو صنف درآورده و درنهایت به ضد عدل تبدیل می‌شود، اما اتخاذ تفاوت به شکل یک مبنا برای تعیین حقوق زن، به‌ویژه در موارد غیرمنصوص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مشارکت سیاسی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عدالت‌پسندی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شگفت‌انگیز است که بزرگان اندیشه فقه شیعه برای نفی مشارکت زن در عرصه‌های سیاست و اجتماع به مفاهیم مبهم و کش‌داری چون مذاق شریعت تمسک کرده‌اند،</w:t>
      </w:r>
      <w:r>
        <w:rPr>
          <w:rStyle w:val="FootnoteAnchor"/>
          <w:rtl w:val="true"/>
        </w:rPr>
        <w:footnoteReference w:id="638"/>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هیچ‌گاه توجه نمی‌کنند که تعطیل فعالیت‌های مثمر یک اندیشه از رهگذر بازداشتن مولّدان آن از زمینه‌های کارا و مناسب نه تنها ذوق شریعت نیست که ممکن است ساحت اندیشه و استعداد انسانی را از برخوردهای ذوقی و استحسانی مفسران شریعت رنجور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در بحث عدم جواز تعطیل منابعی که تحت مالکیت انسان قرار می‌گیرد، به نکته‌ای جالب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نباید گمان کند که اگر مالک خصوصی مالی شد، اختیار مطلق دارد، می‌تواند آن را حبس کند؛ زیرا مطابق آنچه گفتیم، خداوند انسان را فاعل و منابع اولیه را قابل آفریده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فاعلی خواسته که از آن ماده قابله استنتاج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مستعد مانند یک زن و رحم مستعد است، باید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مردی حق ندارد پس از ازدواج زن را حبس کرده و از همخوابگی و مباشرت با او امتناع کند و او را مهمل و معطل بگذارد، نیز حق ندارد زمین و یا منبع ثروت دیگری را معطل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تناسب و تکثیر و انتاج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مسؤولون حتی عن البقاع و البهائم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این سخن، همان گونه که می‌تواند مالک یک منبع مادی باشد، می‌تواند مالک یک منبع فکری باشد و همان طور که مالک حق ندارد این منابع را حبس و تعطیل کند، دیگران هم حق نخواهند داشت دست صاحبان منابع را از استفاده‌های مطلوب و متعارف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زن از این منظر نماد عرصه‌های فعالیت بخشی عظیم از استعدادهای فکری انسان است و هیچ عادلانه نخواهد بود که با محروم</w:t>
      </w:r>
      <w:bookmarkStart w:id="279" w:name="pg5406_38871"/>
    </w:p>
    <w:p>
      <w:pPr>
        <w:pStyle w:val="BookText"/>
        <w:rPr/>
      </w:pPr>
      <w:bookmarkEnd w:id="279"/>
      <w:r>
        <w:rPr>
          <w:rFonts w:ascii="IRNazanin" w:hAnsi="IRNazanin" w:eastAsia="IRNazanin"/>
          <w:color w:val="111111"/>
          <w:sz w:val="28"/>
          <w:sz w:val="28"/>
          <w:szCs w:val="28"/>
          <w:rtl w:val="true"/>
          <w:lang w:bidi="fa-IR"/>
        </w:rPr>
        <w:t xml:space="preserve">کردن زنان از بروز وتحقق استعدادهایشان راه را بر غنا و شکوفایی تفکر و تجاربشان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اسلام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نگذارند زن به تحصیلات صحیح و به علم و معرفت دست پیدا کند، این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استعدادی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استعداد علمی دارد، استعداد برای اختراعات و اکتشافات دارد، استعداد سیاسی دارد، استعداد کارهای اجتماعی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نگذارند از این استعداد استفاده بکند و آن استعداد شکوفا بشود، ظلم است</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280" w:name="__RefHeading___Toc1597232_581953129"/>
      <w:bookmarkStart w:id="281" w:name="_Toc104"/>
      <w:bookmarkEnd w:id="280"/>
      <w:r>
        <w:rPr>
          <w:rtl w:val="true"/>
        </w:rPr>
        <w:t>اصل عدم ولایت و طرح یک پرسش اساسی</w:t>
      </w:r>
      <w:bookmarkEnd w:id="28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 شد خاستگاه ادله مشارکت سیاسی زن و نقدهای آن، اثبات یا رد صلاحیت دخالت زن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آن‌روکه وکالت زن در مجلس مستلزم تصدی بخشی از قدرت حاکمه است، استدلال‌ها با ادبیات نسبتا سیاسی آمیخته شد و پای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مشروعیت و دخالت زن در قدرت سیاسی به شکل مؤثر به میان آمد و توضیح داده شد که بحث در حیطه حاکمیت فقها با محوریت اصل عدم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سرپرستی در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طبق یک تفسیر از این اصل، چون حاکمیت منحصراً از آن خداوند متعال است، باید حاکمیت‌های دیگر، در طول آن، یعنی به اجازه شرع شکل گیرد که در غیر این صورت فاقد مشروعیت خواهد بود؛ زیرا هرگونه تصرف و دخالت در نظام هستی به اذن او احتیاج دارد و هیچ‌کس از پیش خود حق دخالت درسرنوشت انسان‌ها ندارد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این تفسیر نقطه عزیمت را بیشتر بر مفهوم مالکیت حقیقی خداوند قرار می‌دهد که چون تنها مالک حقیقی حق دخالت و اعمال تصرف در ملک خود دارد، تنها خداست که حاکمیتش پرسش‌برانگیز نیست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درخصوص مفاد این اصل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که از این اصل ارائه شده، تنها تفسیر رایج و متداول نیست، بلکه تفسیرهای دیگری هم وجود دارد که با مبنا قراردادن آزادی خدادادی انسان تحلیل و سیر بحث را متفاوت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هدف از تأسیس این اصل تأمین و دفاع از آزادی انسان در برابر انسان است تا حقوق و کرامت او قربانی ادعاهای زورگویانه و خودخواهانه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همه انسان‌ها را آزاد آفریده است و همان گونه که برخی از بزرگان فرموده‌اند، طبق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لاولایة لاحد علی‌احد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بر دیگری حاکمیت و سرپرستی نبوده و حکم و دستور هیچ فردی بر دیگری ساری و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بر حسب طبع و فطرت ذاتی مستقل و آزاد آفریده شده‌اند و براساس آن بر جان و اموالی که با اندیشه و تلاش خود به‌دست آورده‌اند،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تصرف در شئون زندگی و اموال مردم و تحمیل چیزی بر آنان ظلم و تجاوز به آنان محسوب می‌شود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این تفسیر، اصل عدم ولایت با دو مفهوم کلیدی گره خورده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به‌حسب فطرت آزاد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تصرف‌های تحمیلی، در حدود آزادی انسان تجاوز و دخالت پیش می‌آورد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اصل عدم ولایت را باید ناظر به شرایطی دانست که دخالت در شئون دیگران جنبه تحمیل و تجاوز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شأن صدور و تأسیس این اصل دورانی بوده که روال استقرار و تغییر حاکمیت‌ها غالباً مبتنی بر غلبه و استیلای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مردم و خواست آنها هیچ‌گاه یک طرف معادله مؤثر در قدرت به حساب نیامده و اگر جنگ بوده یا صلح، همه برای کسب یا حفظ تسلط و منافع گروه‌های کوچک قدرت بر سر مردم بوده است؛ مردمی که در ادبیات سیاسی آن روزگار به معنی دقیق کلمه رعیت</w:t>
      </w:r>
      <w:r>
        <w:rPr>
          <w:rStyle w:val="FootnoteAnchor"/>
          <w:rtl w:val="true"/>
        </w:rPr>
        <w:footnoteReference w:id="646"/>
      </w:r>
      <w:r>
        <w:rPr>
          <w:rFonts w:ascii="IRNazanin" w:hAnsi="IRNazanin" w:eastAsia="IRNazanin"/>
          <w:color w:val="111111"/>
          <w:sz w:val="28"/>
          <w:sz w:val="28"/>
          <w:szCs w:val="28"/>
          <w:rtl w:val="true"/>
          <w:lang w:bidi="fa-IR"/>
        </w:rPr>
        <w:t>خوانده می‌شده‌اند و کشور هم مملکت سلطان</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اما در شرایطی که ماهیت حکومت‌ها تفاوت بنیادین پیدا می‌کند و خواست و رضایت مردم عنصری اساسی را در کارآمدی و حداکثر مشروعیت آن شکل می‌دهد، آیا باز هم برای اصل عدم ولایت زمینه کاربرد تصور خواهد داشت؟ اگر جامعه مسلمان رضایت‌مندانه و در چارچوب ضوابط دینی اداره بخشی از امور اجتماع را طی مکانیسم‌های معقول و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وکالت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واگذارد، آیا باز هم برای عبور از اصل عدم ولایت نیازمند مجوزهای مشخص خواهیم بود؟</w:t>
      </w:r>
      <w:r>
        <w:rPr>
          <w:rStyle w:val="FootnoteAnchor"/>
          <w:rtl w:val="true"/>
        </w:rPr>
        <w:footnoteReference w:id="648"/>
      </w:r>
      <w:bookmarkStart w:id="282" w:name="pg5406_38877"/>
    </w:p>
    <w:p>
      <w:pPr>
        <w:pStyle w:val="Heading3"/>
        <w:numPr>
          <w:ilvl w:val="2"/>
          <w:numId w:val="1"/>
        </w:numPr>
        <w:rPr/>
      </w:pPr>
      <w:bookmarkStart w:id="283" w:name="__RefHeading___Toc1597234_581953129"/>
      <w:bookmarkStart w:id="284" w:name="_Toc105"/>
      <w:bookmarkEnd w:id="282"/>
      <w:bookmarkEnd w:id="283"/>
      <w:r>
        <w:rPr>
          <w:rtl w:val="true"/>
        </w:rPr>
        <w:t>نتیجه گیری</w:t>
      </w:r>
      <w:bookmarkEnd w:id="284"/>
    </w:p>
    <w:p>
      <w:pPr>
        <w:pStyle w:val="BookText"/>
        <w:rPr/>
      </w:pPr>
      <w:r>
        <w:rPr>
          <w:rFonts w:ascii="IRNazanin" w:hAnsi="IRNazanin" w:eastAsia="IRNazanin"/>
          <w:color w:val="111111"/>
          <w:sz w:val="28"/>
          <w:sz w:val="28"/>
          <w:szCs w:val="28"/>
          <w:rtl w:val="true"/>
          <w:lang w:bidi="fa-IR"/>
        </w:rPr>
        <w:t>بدون تردید مطالعات دین‌شناختی در مسائل زن همواره اهمیت ویژه‌ای داشته است؛ زیرا برخی ویژگی‌های فطری در زنان از یک سو و داوری‌های تبعیض‌آمیز غیردینی به شکل یک فرهنگ از سوی دیگر، همواره دین‌پژوهان را واداشته است که جایگاه واقعی زن را در اندیشه دینی تصویر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به شکل مستقل یا غیرمستقل پرسش‌هایی در این زمینه را تا حدودی بی‌پاسخ نگذاشته است؛ هرچند حجم کار و نیز شیوه برخورد با مسأله از تاثیر رویکردهای موجود برون دینی و نیز برخی تحولات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درباره زن برکنار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تأثیرها هنوز هم کم و بیش در رویکردهای معطوف به دین درباره زن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قاعده را بر متفاوت بودن کلی زن گذاشته و آن‌گاه مشترکاتش با مرد را به‌عنوان استثنا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برعکس، اصل را بر اشتراک زن و مرد نهاده، استثنای تفاوت‌ها را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کشمکش‌ها اینک جدی تر شده است؛ چون در کنار موضوعات جدید مسائل تازه مطرح گردیده است؛ به‌گونه‌ای‌که نیاز به پژوهش‌های جدی‌تری را بازگو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چشم‌انداز پژوهش حاضر، فرضیه جواز وکالت زن را در دو عرصه تا حدودی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دعاوی و مجلس شورا بر پایه رویکرد فقه شیعه به آزمون گذاشت تا با مراجعه به منابع لازم، حکم مسأله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محصول پاسخ داده شده به پرسش از وکالت زن در دعاوی، مشروعیت فعالیت زن در این زمینه بود؛ مشروعیت به همان معنایی که غالباً در باب معاملات به کار می‌رود و مقصود از آن عدم فساد، نفوذ و ترتب آثار شرعی است؛ زیرا علاوه بر تصریح فقها مبنی بر جواز وکالت زن به طور عموم، ادله ذیل قابل‌توجه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اهلیت که برای وکیل در فقه آمده است و نیز موشکافی‌های مبنایی که در اهلیت متعاقدین در کل باب معاملات صورت گرفته، از شرط مرد بودن سخنی به میان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قاعده اختصاصی باب وکالت که خواستار اهلیت دخالت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شرط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وکالت است، حق زن در مشارکت دعاوی انکارناپذیر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بعد فلسفه و مصلحت وکالت دعوی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تأمین مصلحت وکالت در دعاوی منحصر به وکالت زن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تحلیل‌ها و مناقشاتی که پیرامون وکالت زن در نکاح و طلاق صورت گرفته، همه و همه اهلیت زن را در این عرصه اثبات می‌کند؛ زیرا تشکیک‌هایی که در وکالت زن در این زمینه شده، همه بر مبنای اهلیت کامل زن در تصرفات معاملی دفع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 تاریخی چون دفاع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نمایندگی سوده عماره از اهل قبیله‌اش بهترین تقریر و یا دست‌کم قرینه و مؤید تاریخی وکالت زن را شکل می‌دهد؛ چون دفاع فاطمه که خود معصوم است، مشروعیت دفاع از سوی زن را الگو داده و تقریر می‌کند؛ چنان‌که دفاع سوده از افراد قبیله اش در حضور امام معصوم نیز تقریری از نمایندگی زن در دفاع قضایی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یادآوری آنکه غیر از محور نخست، شناسایی محورهای دیگر که زمینه‌ساز استدلالی فرضیه جواز وکالت زن در دعاوی است، از ابتکارات این اثر محسوب می‌شود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چالش‌هایی هم فراروی این فرضیه وجود داشت؛ مانند ناتوانی زن در بیان هنگام مخاصمه و شهادت زن به استناد نقصان عقل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چالش‌ها به شکل بنیادین اهلیت زن را مورد تردید قرار می‌داد؛ زیرا قاعده اساسی اهلیت وکیل مبتنی بر معقولیت دخالت وی در موضوع وکالت است که هم توان عقلی بر انجام عمل مورد وکالت و هم عدم حرمت شرعی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زن عاجز از بیان و دچار کمبود عقل باشد، از پسِ وکالت دعاوی برنخواهد آمد و در نتیجه وکالت او در این زمینه از نظر ماهوی معامله‌ای سفهی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بررسی‌های به عمل آمده خاطرنشان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هجدهم 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بیان شخصیت شکل گرفته زن در خلال عوامل تربیتی فرهنگ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برای درستی آن هم از منابع لغت و هم فهم مفسران کمک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نمونه‌های تاریخی و زنده از زنانی که در این میدان توان لازم در دفاع از خود را به اثبات رسانده‌اند، به‌خوبی تأیید این مدعاست؛ چون سخن بر سر حکم نیست تا در موردی تخصیص یا استثنا بپذیرد، بلکه عدم‌توانایی زنان در دفاع از خود اگر از آیه استفاده شود، اندیشه‌ای انسان‌شناختی است که تخصیص‌بردار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تعدد شهادت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این حکم بر مبنای نقص عقل زن به‌صورت قطعی منصوص نبوده و در فقه شیعه ملاکات غیرمصرّح در نص قابل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روایی اندیشه نقص عقل زن، نه از اسناد قابل اعتماد برخوردار است و نه از دلالت معتبر، بلکه با تعابیر قرآنی در این باره در تعارض است؛ چون طبق تعبیر کلیدی قرآن از عقل به لبّ، زن و مرد هر دو در آن مشترک بوده و می‌توانند در سطوحی که به نتایج مهم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اثبات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کاربرد عقل در ادبیات روایی، براساس فهم برخی محدثان خبره به‌معنای</w:t>
      </w:r>
    </w:p>
    <w:p>
      <w:pPr>
        <w:pStyle w:val="BookText"/>
        <w:rPr/>
      </w:pPr>
      <w:r>
        <w:rPr>
          <w:rFonts w:ascii="IRNazanin" w:hAnsi="IRNazanin" w:eastAsia="IRNazanin"/>
          <w:color w:val="111111"/>
          <w:sz w:val="28"/>
          <w:sz w:val="28"/>
          <w:szCs w:val="28"/>
          <w:rtl w:val="true"/>
          <w:lang w:bidi="fa-IR"/>
        </w:rPr>
        <w:t>تعقل و دانش است که نقصان و زیادت آن فطری نیست، بلکه به‌اقتضای شرایط مختلف متنوع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نظام‌واره احکام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نظام‌سازی از احکام زنان به‌منظور منع وکالت زن در دعاوی گفته شد که نظام‌سازی متفاوت از این احکام، برای استنتاج حکمی متفاوت با مردان در زمینه وکالت دعاوی در صورتی ممکن خواهد بود که احکام و حقوق زنان را کاملاً متفاوت بدانیم؛ درحالی‌که در فقه اصل بر اشتراک است و حتی استنای زن از تصدی برخی شئون قضایی بدون دلیلی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موارد خاصی که دلیل وارد شده باشد، تقید به مفاد آن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مانع از مشاوره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مستقیماً یکی از کارویژه‌های وکالت دعاوی را نشانه می‌گیرد، بر فرض پذیرش از نظر اسناد، کلیت و اطلاق آنها با آیات و روایاتی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صحیحه نیز وجود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با زنان فرمان داده،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سیره پیشوایان معصوم حرکتی ثبت نشده است که مبین شوم بودن زن و به حاشیه راندن او باشد، بلکه نمونه‌های بسیاری از اعتماد آنان به زن در سرنوشت‌سازترین شرایط گزارش شده که نشان می‌دهد تعلیل‌های صورت‌گرفته در روایات منع از مشاوره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اطلاق و تعمیم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ممکن است جوسازی‌هایی نیز در جهت تخریب چهره زن صورت گرفته باشد تا با ساختن چهره‌ای مرموز برای او انتقام‌هایی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مانعی که به طور مدلل، مسأله وکالت زن در دعاوی را زیر سؤال ببرد، در فقه شیعه یافت نشد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زن در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پرسش اصلی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 می‌تواند براساس انتخابات، نمایندگی مجلس شورا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پاسخ یادآور شدیم که با توجه به جواز مشارکت زن در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اینکه هم شرعاً فعلی حرام محسوب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اقدامات زن در این حوزه نافذ و مؤثر تلقی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عام وکالت او در نهادهای سیاسی از نظر قواعد وکالت فقهی بی‌اشکال است؛ چون در وکالت فقهی افزون بر شرایط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اهلیت تصرف شخص وکیل در موضوع وکالت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از قرآن و سیره اثبات می‌کند که برای دخالت در امور سیاسی جنسیت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در صدر اسلام و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فراگیرترین مؤلفه سیاسی بوده است که زنان در آن به‌عنوان نیروی مؤثر مشارکت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نقد و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حکومتی امروز جوامع اسلامی می‌تواند تمثیل فریضه امربه‌معروف و نهی‌ازمنکر و یادآور نهاد حسبه در اسلام باشد؛ چون یکی از کارویژه‌های تعریف شده مجلس در نظام‌های تفکیک قوا نقد و نظارت بر روند امور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تکلیفی همگانی است که حتی افرادی که امربه‌معروف را در شکل نهادی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کرده‌اند، مشارکت زن را در آن استثنا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امروزه مشارکت زنان به شکل نمایندگی بهترین گزینه برای مسئولیت‌پذیری ساختارمند و متداوم زن در این عرصه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ماهیت شورایی مجلس، مُمهد حاکمیت شورا در قواعد سیاسی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 یک مفهوم اسلامی بوده، با فلسفه دینی که اعتباردهنده آن است، محروم‌کردن زن از حضور در آن قابل‌توجیه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بیعت بر اساس بعد سیاسی رهبری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ارتباط مجلس و نهاد حسبه از کارهای تازه‌ای است که در این پژوهش بدان توجه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جواز وکالت سیاسی زن، در فقه شیعه از همین</w:t>
      </w:r>
    </w:p>
    <w:p>
      <w:pPr>
        <w:pStyle w:val="BookText"/>
        <w:rPr/>
      </w:pPr>
      <w:r>
        <w:rPr>
          <w:rFonts w:ascii="IRNazanin" w:hAnsi="IRNazanin" w:eastAsia="IRNazanin"/>
          <w:color w:val="111111"/>
          <w:sz w:val="28"/>
          <w:sz w:val="28"/>
          <w:szCs w:val="28"/>
          <w:rtl w:val="true"/>
          <w:lang w:bidi="fa-IR"/>
        </w:rPr>
        <w:t>رهگذر عدم جواز مشارکت زن در سیاست به نحو مؤثر، با چالش‌های جدی مواجه بوده است؛ چون کسی که اهلیت لازم دخالت در یک موضوع نداشته باشد، طبق قاعده باب وکالت، حق وکالت در آن موضوع ندارد و این به‌راستی معقول هم هست؛ چراکه وکالت سازوکار اعطای اهلیت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و از طرفی برای همه مناصب حکومتی اشتراک در یک مناط ادعا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 سطوح کلان بدون قدرت تعقل و پرهیز از احساسات‌گرایی میسر یا دست‌کم مطلوب نیست و زن عنصری است که هم احساس‌گرایی در او غالب است و هم از قدرت تعقل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هرچند نقدهای مشخصی در ارتباط با وکالت سیاسی زن در مجلس چندان در دست نیست، همه نقدهایی که به شکلی شایستگی زنان را در تصدی مناصب سیاسی زیر سؤال می‌برد، در این موضوع کاربرد دارد؛ مانند استدلال‌هایی مبنی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راهبردی دلیل سرپرستی مرد در خانه بر اساس امتیاز در عقل و قدرت؛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زن از کارهای محتاج به تعقل و خردورزی؛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حق طلاق و برخی تفاوت‌های حقوقی مرد، باز هم براساس همان امتیازهای تکوینی و فطری؛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اجماع ادعا شده در باب قضاوت زن به همه مناصب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بیانی ضمنی از حکومت زن نهی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مسلمین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تحلیل‌ها و ارزیابی که در فصل پنجم به بررسی این نقدها اختصاص یافت، روشن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سرپرستی مرد در خانه مبتنی بر اثبات امتیازهای تکوینی، فاقد مستند ریشه‌ای و قراین قرآنی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که این علت بیان‌گر یک امتیاز فطری باشد، در محیط خانواده قطعاً توأم با علت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مرد در قبال زن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اجتماع که مرد این گونه مسؤلیت در قبال زنان دیگر ندارد، تسری حکم آن نیز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درباره حاکمیت در محیط خانواده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امتناع مرد از انفاق حق قیمومتش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خود اینکه از واژه قوام، قیمومت به‌معنای حاکمیت و سلطه استفاده شود، تردیدهای جدی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محدوده‌ای که فقها برای قیمومت مرد تعیین کرده‌اند، تنها شامل امور مربوط به استمتاع و فراش است، که فارغ از آن حق امر و نهی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سنخ حاکمیتِ محدود براساس اولویت قابل تعمیم در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ماندن این بحث که محدوده حاکمیت زن در خانه مشخص است و از سنخ حاکمیت در اجتماع نیست، بسیاری را به تکلف واداشته که از نظر منطقی چگونه می‌توان برای کسی که در یک محدوده کوچک شایستگی ندارد، صلاحیت دخالت در ساختار مدیریت اجتماع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این بعد در تفسیر آیه از ابتکارات این پژوهش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آیه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حق انحصاری مرد در طلاق و برخی تفاوت‌های حقوقی دیگر با نصوص خاص مدلل شده است، نیاز به اینکه ما این تفاوت‌ها را بر اساس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برتری تکوینی مردان یا برتری آنها در مطلق حقوق توجیه کنیم، وجود ندارد؛ چون اولاً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تکوینی نیست، ثانیاً اطلاق در برتری حقوق مرد نسبت به زن ندارد؛ زیرا قبلاً موارد تفاوت حقوقی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آیه در واقع صدر آن را توضیح می‌دهد که درست است زن حقوق مساوی با مرد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ولهنّ مثل الذی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تفاوت در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ارث، شهادت، دیه، مهر، نفقه و حضانت که تذکر آن رفته، همچنان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ما آن را ناظر به موارد منصوص ندانیم، حداکثر یک متن مجمل است که مستعد استفاده‌های مشخص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روایت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در فقه شیعه فاقد اعتبار رجالی بوده و برخلاف ادعای صورت گرفته عاملی که ضعف آن را جبران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صدور آن که برای سنت نبوی ذکر شده و مضمون آن که ناظر به قضیه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شدن دختر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داده‌های تاریخی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مفاد آن در کلیت و اطلاقش با عقل و نقل درتعارض است؛ چون در روایت آمده است که مردم تحت زمام‌داری زن به رستگاری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نقل تأییدآمیز حکومت مقتدر و موفق ملکه سبا در قرآن در تقابل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باور به صدق این گزاره اگر امروزه محال نباشد، در دشواری نزدیک به محال آن تردید نیست؛ زیرا تا آنجا که تاریخ از حکومت زن در حافظه خود به یاد دارد، اگر موفقیت آن بیش از حاکمیت مردها نبوده باشد، در تساوی آن شکی وجود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اجماع، داستان ساده‌تر از تصوری است که از عنوان بزرگ آن انتظار می‌رود؛ چون اولاً طبق مبنای متأخرین عدم تحقق آن قطعی است، ثانیاً طبق مبنای شهید صدر هم که در اجماع همه فقها را شرط نمی‌داند، فاقد شرایط مبنایی از قبیل اتصال به دوره معصومین،</w:t>
      </w:r>
    </w:p>
    <w:p>
      <w:pPr>
        <w:pStyle w:val="BookText"/>
        <w:rPr/>
      </w:pPr>
      <w:r>
        <w:rPr>
          <w:rFonts w:ascii="IRNazanin" w:hAnsi="IRNazanin" w:eastAsia="IRNazanin"/>
          <w:color w:val="111111"/>
          <w:sz w:val="28"/>
          <w:sz w:val="28"/>
          <w:szCs w:val="28"/>
          <w:rtl w:val="true"/>
          <w:lang w:bidi="fa-IR"/>
        </w:rPr>
        <w:t>مسبوق‌نبودن به یک مدرک نقلی مشخص و عدم احتمال تأثیر عوامل غیرشرعی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اجماع از ادله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از سریان آن به غیر معقد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که برخلاف دلیل لفظی فاقد لسان ظهور و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مبنایی تا حال از نظر منتقدان اجماع شرط ذکوریت قاضی مغفول مانده و بیشتر نقدها به عدم تحقق آن معطوف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مسمانان دست‌کم در خصوص حقوق زن، اگر قرار باشد مورد استناد قرار گیرد، نه تنها نتیجه آن تحریم مشارکت زن در سیاست خواهد بود که بسیاری از حقوق اولیه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آموزش فراگیر در رشته‌های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می‌شود به استناد آن تحریم کرد؛ ثانیاً آیا سیره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که در تعیین تکلیف سیاسی زن مستند حکم مسأله واقع شود یا سیره مسلمانان که بعداً شکل گرفته است؟ ما در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بسیاری از حضور زن در مؤلفه‌های سیاسی را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نزدیک به یقین می‌رود که سیره در باب مشارکت سیاسی زن هم سرنوشت سیره مسلمانان راجع به شرکت زن در مسجد را داشته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پایانی، به جمع‌بندی نقدها و نیز تکرار بیان ارتباط آن با بحث وکالت پرداخته و توضیح داده شد که درست است هیچ‌یک از ادله در انتقاد صریح از وکالت زن در مجلس عنوان نشده است، اما چون اهلیت وکیل در هر موضوع متفرع بر اهلیت دخالت او در همان موضوع است و این ادله همین نقطه را نشانه می‌گیرد، بررسی و توجه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دوباره به نقدها، ضمن توجه به همین نکته، مبنای انتقادی ادله یادشده را باز کرده، مشخص کردیم که بر اساس چه</w:t>
      </w:r>
    </w:p>
    <w:p>
      <w:pPr>
        <w:pStyle w:val="BookText"/>
        <w:rPr/>
      </w:pPr>
      <w:r>
        <w:rPr>
          <w:rFonts w:ascii="IRNazanin" w:hAnsi="IRNazanin" w:eastAsia="IRNazanin"/>
          <w:color w:val="111111"/>
          <w:sz w:val="28"/>
          <w:sz w:val="28"/>
          <w:szCs w:val="28"/>
          <w:rtl w:val="true"/>
          <w:lang w:bidi="fa-IR"/>
        </w:rPr>
        <w:t>مبنایی این نقدها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مهمی که برای این نقدها راه باز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بارها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اهلیت یا معقولیت دخالت مؤثر وکیل در موکلٌ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اینکه این یک مبنای حد اکثری در مسأله است، امکان عبور از آن را به بررسی می‌گذارد؛ چون برخی نمونه‌های فقهی، مثل وکالت زن در طلاق و وکالت سفیه در امور مالی دیگران نشان می‌دهد که وکیل ابتدا فاقد اهلیت اقدام در یک موضوع بوده، اما با وکالت نقش او در حد کسی که اهلیت دخالت دارد،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قاعده قاعده‌ای شکاف‌ناپذیر نیست و قطعاً اهمیت مسأله دخالت زن در سیاست به اندازه دخالت زن در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وکالت، وکیل در محدوده صواب‌دید موکل عمل می‌کند و این جزء مفروضات یا شرایط اصلی وکالت است، اهلیت موکل در موضوع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لزوم بازگشت به قاعده عدالت و پایان دادن به مهجوریت آن در استنباط حکم شرعی، تأثیر نگاه از این زاویه به مسأله وکالت زن در مجلس و عرصه‌های ممهد تکامل خرد سیاسی را به بررسی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با اینکه دلیل واضحی برای محرومیت زن از شرکت در تصدی‌های سیاسی در دست نیست، به غیرعادلانه‌بودن محرومیت زن از مشارکت مؤثر در سیاست، از جمله نمایندگی مجلس انگشت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تأثیر سوء عقب‌ماندگی زن در عقب‌ماندگی جامعه اسلامی هشدار داده 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نهایی این پژوهش، پرسشی را در تقابل با دیدگاهی مطرح کرده که اصل عدم ولایت را آزادی‌خواهانه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اصل اولی بر مبنای آزادی انسان نتایجی دارد که از جمله آن جواز وکالت زن در</w:t>
      </w:r>
      <w:bookmarkStart w:id="285" w:name="pg5406_38895"/>
    </w:p>
    <w:p>
      <w:pPr>
        <w:pStyle w:val="BookText"/>
        <w:rPr/>
      </w:pPr>
      <w:bookmarkEnd w:id="285"/>
      <w:r>
        <w:rPr>
          <w:rFonts w:ascii="IRNazanin" w:hAnsi="IRNazanin" w:eastAsia="IRNazanin"/>
          <w:color w:val="111111"/>
          <w:sz w:val="28"/>
          <w:sz w:val="28"/>
          <w:szCs w:val="28"/>
          <w:rtl w:val="true"/>
          <w:lang w:bidi="fa-IR"/>
        </w:rPr>
        <w:t>مجلس خواهد بود؛ چون این حرکت با حفظ آزادی و انتخاب رضایتمندانه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هیچ شائبه اکراه و تحمیل و زورگویی در میان نیست</w:t>
      </w:r>
      <w:r>
        <w:rPr>
          <w:rFonts w:eastAsia="IRNazanin" w:cs="IRNazanin"/>
          <w:color w:val="111111"/>
          <w:sz w:val="28"/>
          <w:szCs w:val="28"/>
          <w:rtl w:val="true"/>
          <w:lang w:bidi="fa-IR"/>
        </w:rPr>
        <w:t>.</w:t>
      </w:r>
    </w:p>
    <w:p>
      <w:pPr>
        <w:pStyle w:val="Heading3"/>
        <w:numPr>
          <w:ilvl w:val="2"/>
          <w:numId w:val="1"/>
        </w:numPr>
        <w:rPr/>
      </w:pPr>
      <w:bookmarkStart w:id="286" w:name="__RefHeading___Toc1597236_581953129"/>
      <w:bookmarkStart w:id="287" w:name="_Toc106"/>
      <w:bookmarkEnd w:id="286"/>
      <w:r>
        <w:rPr>
          <w:rtl w:val="true"/>
        </w:rPr>
        <w:t>پیشنهادها</w:t>
      </w:r>
      <w:bookmarkEnd w:id="28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طی این تحقیق همواره به‌عنوان یک مشکل با آن روبه‌رو بودیم، نبود تصویر واحد و جامعی از هویت زن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یک دانش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ریشه بخشی از تشتت آرا در قبال مسائل زن به تصویرها و برداشت‌های متشتت و مشوش از هویت زن در فقه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عقل زنان و ایمان آن‌ها در فقه به شکل یک ترجیع‌بند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تسلط خصلت حیله‌گری، غلبه فسق و شوم بودن در طبیعت زنان، اندیشه‌ای است که به‌عنوان مفروضات مسلم در دوره‌های بسیاری از فقه بسترساز صدور فتاوی مناسب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کم‌کم از افق بحث‌های فقهی به‌ظاهر ناپدید شده‌اند، ولی همچنان در حوزه‌هایی از مسائل زن نقش پیش‌فرض‌های پنهان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قوی بر آن است که بخش زیادی از این نگرش‌های منفی به زن آمیخته با فرهنگ و رسوم غیردینی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پیش‌فرض‌های انسان‌شناختی فقه نسبت به زن برای تبیین هویت او کاری بر زمین‌مانده است، تصفیه درست و منطقی دیدگاه فقهی به هویت زن از عادات و رسوم راه را بر بسیاری از قضاوت‌های یک‌جانبه گرایانه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به‌راستی اگر تساوی زن با مرد در برخورداری از عقل اثبات شود، باز محملی برای احادیث ضعیف ضد زن خواهد ماند؟ و اگر اعتدال سرشت و فطرت زن ثابت شود، باز هم محدودیت‌سازی افراطی محیط زندگی</w:t>
      </w:r>
    </w:p>
    <w:p>
      <w:pPr>
        <w:pStyle w:val="BookText"/>
        <w:rPr/>
      </w:pPr>
      <w:r>
        <w:rPr>
          <w:rFonts w:ascii="IRNazanin" w:hAnsi="IRNazanin" w:eastAsia="IRNazanin"/>
          <w:color w:val="111111"/>
          <w:sz w:val="28"/>
          <w:sz w:val="28"/>
          <w:szCs w:val="28"/>
          <w:rtl w:val="true"/>
          <w:lang w:bidi="fa-IR"/>
        </w:rPr>
        <w:t>زن توجیه‌پذیر خواهد بود؟ راهکار مشخص این مهم تعمق و ملاک‌یابی در احکام ویژه زنان و نیز نگاه دقیق به ملاک‌ها و مبانی تکلیف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و کمبودی که طی این پژوهش به طور چشم‌گیر با آن مواجه بودیم عدم شفافیت مسؤلیت‌های زن امروز در فقه شیعه به شکل منسجم و نظام‌مند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احکام النساء شیخ مفید این مباحث به صورت مستقل و در این حد از اهتمام که موضع رسمی و تحلیلی حوزه تلقی شود، مسکوت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دورانی که این فقیه بزرگ می‌زیست، مسائل زن در مقیاس امروز نه حجم داشت و 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نهضت فمینیسم به راه افتاده بود و نه غائله و بلواهایی تحت کنوانسیون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با تولید پرسش‌های جدید و بحران در باب حقوق و مسئولیت‌های زن طلب می‌کند که تا در نظام درسی حوزه مدخلی به مسائل زن امروز اختصاص داده شود تا پس از شناسایی کارشناسانه سرفصل‌های مباحث زن و دادن اطلاعات لازم، هر دانش‌پژوه حوزوی از ابعاد این بحث در فقه و زوایای امروز مسأله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ضرورت آگاهی جامع و پخته فقه‌پژوهان به این موضوعات که بخشی از شبهه‌های رایج معاصر را شکل می‌دهد، از بسیاری مسائل متداول، نه کم‌تر که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جوسازی‌ها در باب تبعیض دین در حقوق انسان از نقطه‌نظر مسائل زن سازمان‌دهی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یک موسوعه حدیثی در موضوع زن ضرورت دیگری است که چشم‌به‌راه همت حدیث‌شناسان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این مجموعه می‌تواند خودبه‌خود برخی از آشفتگی‌ها و تهافت‌ها را که از رهگذر گزینشی برخورد کردن با روایات وارد شده است، حل کرده و راه را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چشم‌انداز کلی زن در روایات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کار یک موسوعه فقهی درباره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ضرورت دیگر است تا آخرین نگرش‌ها و گرایش‌ها در مقوله زنان را به شکل طبقه‌بندی شده در اختیار محققان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فمینیسم چندمین دائرة المعارف خود را به زبان فارسی منتشر می‌کند، جای دائرة المعارف فقهی زن در حوزه شیعه به راستی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حوزه علمیه خواهران در نقد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مهم است، اما مهم‌تر از آن نشر دیدگاه منقح خودی به طور مستقل در قبال مسأله است تا نگاه اسلامی به قضیه زن نه در لابه‌لای دیدگاه‌های رقیب که به‌عنوان دیدگاهی مستقل تنقیح و تحلیل لازم را بیابد</w:t>
      </w:r>
      <w:r>
        <w:rPr>
          <w:rFonts w:eastAsia="IRNazanin" w:cs="IRNazanin"/>
          <w:color w:val="111111"/>
          <w:sz w:val="28"/>
          <w:szCs w:val="28"/>
          <w:rtl w:val="true"/>
          <w:lang w:bidi="fa-IR"/>
        </w:rPr>
        <w:t>.</w:t>
      </w:r>
      <w:bookmarkStart w:id="288" w:name="pg5406_38903"/>
    </w:p>
    <w:p>
      <w:pPr>
        <w:pStyle w:val="Heading2"/>
        <w:numPr>
          <w:ilvl w:val="1"/>
          <w:numId w:val="1"/>
        </w:numPr>
        <w:rPr/>
      </w:pPr>
      <w:bookmarkStart w:id="289" w:name="__RefHeading___Toc1597238_581953129"/>
      <w:bookmarkStart w:id="290" w:name="_Toc107"/>
      <w:bookmarkEnd w:id="288"/>
      <w:bookmarkEnd w:id="289"/>
      <w:r>
        <w:rPr>
          <w:rtl w:val="true"/>
        </w:rPr>
        <w:t>کتابنامه</w:t>
      </w:r>
      <w:bookmarkEnd w:id="290"/>
    </w:p>
    <w:p>
      <w:pPr>
        <w:pStyle w:val="Heading3"/>
        <w:numPr>
          <w:ilvl w:val="2"/>
          <w:numId w:val="1"/>
        </w:numPr>
        <w:rPr/>
      </w:pPr>
      <w:bookmarkStart w:id="291" w:name="__RefHeading___Toc1597240_581953129"/>
      <w:bookmarkStart w:id="292" w:name="_Toc108"/>
      <w:bookmarkEnd w:id="291"/>
      <w:r>
        <w:rPr>
          <w:rtl w:val="true"/>
        </w:rPr>
        <w:t>فارسی</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اسحاق همدانی،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وزارت فرهنگ و ارشاد اسلامی، چاپ سوم،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مسعود و طاهری، محمدعلی، دانش‌نامه حقوق خصوصی، محراب فکر،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باستانی پاریزی، ابراهیم، جامع المقدمات، مؤسسه فرهنگی و انتشاراتی معارف،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بولتن مرجع فیمینیسم،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انتشارات بین المللی الهدی،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ترکمان، محمد، مدرس در پنج دوره تقنینیه،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محمدجعفر، ترمینولوژی حقوق، کتابخانه گنج دانش، چاپ دوازدهم،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دفتر نشر فرهنگ اسلامی، تهران، پاییز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رسول، تاریخ سیاسی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حجابیه، انتشارات دلیل ما،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 اسد الله و دیگران، جستاری در هستی‌شناسی زن، مؤسسه آموزشی و پژوهشی امام خمینی،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زن در آئینه جلال و جمال، مرکز نشر اسراء، چاپ پنجم، قم، خرداد،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فقیه؛ ولایت فقاهت و عدالت، مرکز نشر اسراء، چاپ چهارم،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محمدحسین، انوار الملکوت، انتشارات علامه طباطبائی،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بدیعه،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فقیه و حکومت در اسلام، تنظیم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سعیدیان و محمدحسین راجی، انتشارات مؤسسه ترجمه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علوم 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قرآنی، ویژه زن در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پور، محمد، حقوق زن در کشاکش سنت و تجدد، انتشارات نغمه نواندیش،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خارج فقه، جلسه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1379/12/7</w:t>
      </w:r>
      <w:r>
        <w:rPr>
          <w:rFonts w:ascii="IRNazanin" w:hAnsi="IRNazanin" w:eastAsia="IRNazanin"/>
          <w:color w:val="111111"/>
          <w:sz w:val="28"/>
          <w:sz w:val="28"/>
          <w:szCs w:val="28"/>
          <w:rtl w:val="true"/>
          <w:lang w:bidi="fa-IR"/>
        </w:rPr>
        <w:t>، پایگاه اطلاع رسانی دفتر نشر و حفظ آثار حضرت آیت 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ریحانه آفرینش،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آثار، انتشارات دارالهدی، چ </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خردمندی، سعید، وکالت در حقوق تجارت و تطبیق آن بر فقه،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سید روح الله موسوی، جایگاه زن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تبیان، دفتر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چاپ دوم،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دشتی، محمد، اسناد و مدارک نهج البلاغه، مؤسسه تحقیقاتی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دکمجیان، هرایر، جنبش‌های اسلامی در جهان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احمدی، کیهان،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علی اکبر،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فرهنگ و اندیشه اسلامی، چاپ دوم،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ساکت، محمدحسین، دادرسی در حقوق اسلامی، میزان،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بوستان کتاب، چاپ هفدهم،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عبدالقیوم، مبانی تحزب در اندیشه سیاسی اسلام،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علوم سیاسی، سال هفتم،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شریعت‌پناهی، ابوالفضل قاضی، بایسته‌های حقوق اساسی، میزان، تهران،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زن، ش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علامه محمدحسین، المیزان فی تفسیر القران،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موسوی همدانی، دفتر انتشارات اسلامی، چاپ هفدهم،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بن ابی طالب، احتجاج،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بهراد، دارالکتب الاسلامیه،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آیات الاحکام، دفتر مطالعات تحقیقات علوم اسلامی،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درآمدی بر فقه سیاسی، دفتر مطالعات تحقیقات علوم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سیاست، ویراست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کبیر،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اندیشه سیاسی در اسلام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خرمشاهی، خوارزمی،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امام ابوحامد محمد، کیمیای سعادت،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گنجینه، چاپ چهارم،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لنکرانی، آیت الله محمد، سیری کامل در اصول فقه، انتشارات فیضیه،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کامل در خارج فقه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فیضیه،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وکالت، ش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فیرحی، داود، نظام سیاسی و دولت در اسلام، سمت،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قنواتی، جلیل و دیگران، حقوق قراردادها در فقه شیعه امامیه،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محقق داماد، سمت،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حقوق مدنی، شرکت سهامی انتشار، چاپ هشتم،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مدنی در نظم حقوقی کنونی، میزان، چاپ هشتم،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کلیات حقوق، شرکت سهامی انتشار،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علم حقوق، شرکت سهامی انتشار، چاپ سی‌وهفتم،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مدنی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سهامی انتشار،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کمالی، مسعود، جامعه مدنی، دولت و نوسازی در ایران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پولادی، باز،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کوک، مایکل، امربه‌معروف و نهی‌ازمنکر در اندیشه اسلامی، ترجمه، احمد نمایی، بنیاد پژهش‌های آستان قدس رضوی، 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یوسف، طومار عفت، قیام،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کانون وکلا، سال هفدهم، ش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مصطفی، قواعد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علوم اسلامی، چاپ دهم،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شانه‌چی، کاظم، آیات الاحکام، سمت، چاپ دوم،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علوم حدیث، سال سوم،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محمدتقی، نظریه سیاسی اسلام، مؤسسه آموزشی و پژوهشی امام خمینی، چاپ دوم،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پرسش‌ها و پاسخ‌ها، مؤسسه آموزشی و پژوهشی امام خمینی، چاپ نوزدهم،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و سیاست در قرآن، مؤسسه آموزشی و پژوهشی امام خمینی،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چاپ دوم، صدرا،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زن، سال اول،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اجمالی مبانی اقتصاد اسلامی، حکمت، 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حکومت اسلامی، سال دوم،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تفسیر و مفسران، مؤسسه فرهنگی التمهید،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حسینعلی، مبانی فقهی حکومت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صلواتی، نشر سرایی، چاپ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مهدی‌زاده، حسین، آیین عقل‌ورزی، مؤسسه آموزشی و پژوهشی امام خمینی،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نظام بین المللی حقوق بشر، اطلاعات، چاپ دوم،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حقوق زن،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رشاد، پژوهشگاه فرهنگ و اندیشه اسلامی، چاپ دوم،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و حقوق زن در اسلام، انتشارات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دار الکتب الاسلامیه، چاپ بیست‌وسوم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راد، محمدعلی، موانع مشارکت زنان، کویر،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میرزا محمدحسین، تنبیه الامة و تنزیه الملة،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ورعی، بوستان کتاب،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اسفاد، مرتضی و فرید محسنی، حقوق اساسی جمهوری اسلامی ایران، انتشارات بین المللی الهدی، چاپ دوم، تهران،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293" w:name="pg5406_38913"/>
    </w:p>
    <w:p>
      <w:pPr>
        <w:pStyle w:val="BookText"/>
        <w:rPr/>
      </w:pPr>
      <w:bookmarkEnd w:id="293"/>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نواده مهلب پسر محمد شادی، مجمل التواریخ والقصص،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نجم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زیگفرید،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 لذات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انتشارات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چاپ چهاردهم،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294" w:name="__RefHeading___Toc1597242_581953129"/>
      <w:bookmarkStart w:id="295" w:name="_Toc109"/>
      <w:bookmarkEnd w:id="294"/>
      <w:r>
        <w:rPr>
          <w:rtl w:val="true"/>
        </w:rPr>
        <w:t>عربی</w:t>
      </w:r>
      <w:bookmarkEnd w:id="295"/>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الرضی،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شهیدی، انتشارات آموزش انقلاب اسلامی، چاپ دوم،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روح المعانی فی‌تفسیر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العرب، دارالفکر،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الفکر الجدید، سال دوم،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شوربا، زینب، نحو فهم الاجتهاد، دارالهادی،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مصطفی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الوسیط، المکتبة الاسلامیة، استانبول،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دار احیاء التراث العربی،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الدین، تاریخ کامل،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روحانی، اساطیر، چاپ دوم،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الجزری، اسد الغابة، دار الفکر،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اخوه، محمد بن محمد القرشی، معالم القربة فی‌احکام الحسبة، مکتب الاعلام الاسلامی،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اطلاع القرطبی، محمد، اقضیة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ضیاء الرحمن الاعظمی، دارالسلام، الریاض،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 محمد، المسترشد،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المحمودی، موسسة الثقافة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الاصابة فی تمییز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العطار، دار الفکر،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سبل السلام شرح بلوغ المرام، دار الفکر،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الاندلسی، علی بن احمد، جمهرة انساب العرب، دار الکتب العلمیة،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المحلی بالاثار،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البغدادی، دار الفکر،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حمزه، ابی جعفر محمد، الوسیلة الی نیل الفضیلة،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مکتبة آیة الله المرعشی،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الطبقات الکبری، دارالفکر،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شبه النمیری، عمر، تاریخ المدینة المنورة، دارالفکر، 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شعبة الحرانی، ابو محمد الحسن، تحف العقول عن آل الرسول، موسسة الاعلمی للمطبوعات،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مطبعة الحیدریة، نجف،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طیفور، بلاغات النساء، مکتبة بصیرتی،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القرطبی، یوسف، الاستیعاب فی معرفة الاصحاب،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الاندلسی، عقد الفرید، دارالکتب العربی،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العربی، احکام القرآن، دار الکتاب العربی،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هبة الله الشافعی، تاریخ دمشق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الجنوی، دار احیاء التراث العربی،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معجم مقاییس اللغة، وضع حواشیه ابراهیم شمس الدین، دار 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الدینوری، عیون الاخبار، دار الفکر، بیروت،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اسماعیل، تفسیر القرآن العظیم،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الحاج، المکتبة التوفیقیة،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بن یزید الربعی،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لسان العرب، دار الصادر،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عماد الدین اسماعیل، البدایة والنهایة،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ریه، محمود، اضواء علی السنة المحمدیة، مؤسسه اسماعیلیان،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ابوفارس، محمد عبدالقادر، حکم الشوری فی الاسلام و نتیجتها، دارالفرقان، عمان،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حسین بن علی بن احمد الخزاعی النیشابوری، روض الجنان و روح الجنان فی تفسیر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یاحقی و محمدمهدی ناصح،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فتح الله، معجم الفاظ الفقه الجعفری، دارة الغربیین، الدمام،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الاردبیلی، احمد، مجمع الفائدة و البرهان، مؤسسة النشرالسلامی،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الامام بن حنبل، المسند، دار الفکر،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ط </w:t>
      </w:r>
      <w:r>
        <w:rPr>
          <w:rFonts w:eastAsia="IRNazanin" w:cs="IRNazanin"/>
          <w:color w:val="111111"/>
          <w:sz w:val="28"/>
          <w:szCs w:val="28"/>
          <w:lang w:bidi="fa-IR"/>
        </w:rPr>
        <w:t>2:1994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حسن، دائرة المعارف الاسلامیة الشیعیة، دار التعارف للمطبوعات،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الانصاری، الشیخ المرتضی، المکاسب،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تحقیق تراث الشیخ الاعظم، مجمع الفکر الاسلامی،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الایروانی، باقر، دروس تمهیدیة فی تفسیر آیات الاحکام، دار الفقه،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الشیخ یوسف، الحدائق الناضرة،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الایروانی و یوسف البقاعی، دارالاضواء،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سیدهاشم، البرهان فی تفسیر القرآن، مؤسسة الاعلمی للمطبوعات،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اسماعیل، الصحیح البخاری، دار احیاء التراث العربی،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یحی، انساب الاشراف، دار الفکر،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بوریس، عمران محمد، موسوعة المحامی العربی، منشورات السلفیوم،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ابی بکر احمد بن الحسین، السنن الکبری، دارالفکر،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 ابوالفضل، اسامة، رسالة المحاماة، دار لطلیعة الجدیدة، دمشق،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 الامام احمد، الکشف والبیان،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بتفسیرالثعلبی،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عاشور، دار احیاء الثرات العربی،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الجحنی، علی، المحاماة وحقوق الانسان، الریاض،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الجزیری، عبدالرحمن، کتاب الفقه علی مذاهب الاربعه، دار الفکر،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العاملی، شیخ حسن، معالم الدین و ملاذ المجتهدین، مکتبة آیة‌الله المرعشی النجفی،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احمد خلیل، نساء من عصر التابعات، دار ابن کثیر،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جودت الیوسف، المسلم محمد، المحاماة فی ضوء الشریعة الاسلامیة و القوانین العربیة، موسسة الریان،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 اسماعیل، الصححاح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الغفور عطار، امیری،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الجیوسی، سلمی الخضراء، حقوق الانسان فی الفکر العربی، مرکز دراسات الوحدة العربیة،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النیشابوری، المستدرک،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المرعشی،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الطهرانی، میر سید علی، تفسیر مقتنیات الدرر و ملتقطات الثمر، دارالکتب الاسلامیه،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وسائل الشیعة الی تحصیل مسائل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السیستانی، آیت الله السید علی الحسینی، منهاج الصالحین، مکتبة آیة العظمی السیستانی،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الحائری، القضاء فی الفقه الاسلامی، مجمع الفکر الاسلامی،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العقود، مجمع الفکر الاسلامی،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الخطیب، عبد الزهراء، مصادر نهج البلاغه و اسانیده، دار الاضواء،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الحسینی العاملی، محمد جواد، مفتاح الکرامة، اشرف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مروارید، دار احیاء التراث العربی،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المرعشی، اسماعیل، اجماعیات فقه الشیعة، مؤسسة احیاء آثار الامام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محمد، الاجتهاد و الحیاة، مرکز الغدیر للدراسات الاسلامیة،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الطهرانی، محمد حسین، رسالة بدیعة، دار المحجة البیضاء،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الشیرازی، السید محمد، الفقه، دار العلوم،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ط </w:t>
      </w:r>
      <w:r>
        <w:rPr>
          <w:rFonts w:eastAsia="IRNazanin" w:cs="IRNazanin"/>
          <w:color w:val="111111"/>
          <w:sz w:val="28"/>
          <w:szCs w:val="28"/>
          <w:lang w:bidi="fa-IR"/>
        </w:rPr>
        <w:t>2:1998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السید محمد باقر، القصص القرآنی، المرکز العالمی للعلوم الاسلامیه،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العلامة السید محمد تقی، اصول العامه للفقه المقارن،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الخالدی، صلاح عبد الفتاح، مع القصص السابقین فی‌القرآن، دار القلم،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الخمینی، الامام السید روح الله الموسوی، المکاسب المحرمة، مؤسسة تنظیم و نشر الاثار الامام الخمینی،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الوسیلة،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الامام الخمینی،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البیع،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الامام الخمینی،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الخوانساری، السید احمد، جامع المدارک، مکتبة الصدوق،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الخویی، السید ابوالقاسم، معجم رجال الحدیث، نشرالثقافة الاسلامیة،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الفقاهة،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التوحیدی، مکتبة الداوری،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الاصول،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سرور الواعظ الحسینی البهسودی، مکتبة الداوری،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الصالحین، مدینة العلم، ط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اجود التقریرات،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الغروی النائینی،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تکمله المنهاج، موسوعة الامام الخویی،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القضاء والشهادات، مؤسسة احیاء آثار الامام الخویی،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 الاصفهانی،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دار القلم، دمشق،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الی‌مکارم الشریعة، مطبعة الحیدریة، النجف الاشرف،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تفسیر القرآن الحکیم الشهیر بتفسیر المنار، دار المعرفة،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 البوطی، محمّد سعید، فقه السیرة، دارالفکر،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الریشهری، محمد، موسوعة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 الحدیث، دار الحدیث،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الحکمة، موسسة دار الحدیث الثقافیة،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محمد مرتضی، تاج العروس،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 الفکر،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الزحیلی، وهبة، الفقه الاسلامی و ادلته، دار الفکر،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خیرالدین، الاعلام، دار العلم للملایین، ط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السباعی، مصطفی، المرأة بین الفقه و القانون، دارالوراق،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السبط ابن الجوزی، تذکرة الخواص، المطبعة العلمیه فی النجف،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السرخسی، شمس الدین، المبسوط،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الافاضل،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ابوحبیب، القاموس الفقهی، دار الفکر،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الخوری، اقرب الموارد، دار الاسوة،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السمهودی، نورالدین علی بن احمد، وفاء الوفاء، دار احیاء التراث العربی،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السنهوری، عبد الرزاق احمد، الوسیط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الوارده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الشافعی، الامام محمد بن ادریس، کتاب الام، دار الفکر،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شاهین، اسماعیل عبد النبی، مسئولیة الوکیل فی الفقه الاسلامی، جامعة الکویت، کویت،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الشبر، السید عبدالله، تفسیر القرآن الکریم، مؤسسة دار الهجرة،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القرشی، باقر، حیاة المحرر الاعظم الرسول الاکرم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مهدی، الاجتهاد و التقلید، المؤسسة الدولیة للدارسات و النشر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الاجتماع السیاسی، مؤسسة الدولیة للدراسات و النشر،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حرجة فی فقه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المنار، قم،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اهلیة المرأة لتولی السلطة، مؤسسة المنار، قم،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الزوجیه، المؤسسه الدولیة للدراسات و النشر،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الاول، الدروس الشرعیة فی‌فقه الامامیة، نشر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الثانی، زین الدین، مسالک الافهام،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تمهید القواعد، مکتب الاعلام الاسلامی، مشهد مقدس،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الروضة البهیة فی شرح اللمعة الدمشقیة،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باشراف السید محمد کلانتر، مکتبة الداوری،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السید محمد باقر، المجموعة الکاملة لمؤلفات السید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دارالتعارف للمطبوعات،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المدرسة القرآنیة، السنن التاریخیة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بحوث اسلامیه، دارالکتاب الا سلامی،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دروس فی علم الاصول، مؤسسة النشر الاسلامی التابعة لجماعة المدرسین بقم المقدسة،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الاسلام یقود الحیاة، دار 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محمد، ماوراء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دار الاضواء،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الشیخ ابی جعفر محمد بن علی بن الحسین بن بابویه القمی، من لایحضره الفقیه، موسوعة الکتب الاربعة فی احادیث النبی و العترة،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شمس الدین، دار التعارف للمطبوعات،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صنقور، شیخ محمد، المعجم الاصولی، مؤلف،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السید علی، ریاض المسائل،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امین الاسلام الفضل بن الحسن، مجمع 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المحققین الاخصائیین، مؤسسة الاعلمی للمطبوعات،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 فخر الدین، مجمع البحرین،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عادل، دفتر نشر فرهنگ 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الشیخ الطائفة ابی جعفر محمد بن الحسن، الخلاف،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خراسانی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فی فقه الامامیة،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الکشفی، مکتبة المرتضویة، لاحیاء آثار الجعفریة،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الظافر القاسمی، نظام الحکم فی الشریعة و التاریخ الاسلامی، دار النفائس،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جعفر مرتضی، الصحیح من سیرة النبی الاعظم، دار الهادی،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محمد عبدالله، ولایة الحسبة فی الاسلام، مکتبة الزهراء، القاهرة،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الحلی، جمال الدین الحسن، قواعد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الاسلامی التابعة لجماعة المدرسین بقم،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الفقهاء، مکتبة الرضویة لاحیاء الاثار الجعفریة،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مختلف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و الدراسات الاسلامی، موسسة النشر الاسلامی،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المجلسی، الشیخ محمد باقر، بحار الانوار، دار التعارف للمطبوعات،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الغروی الاصفهانی، محمد حسین، حاشیة کتاب المکاسب، دار الزخائر،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الغروی، محمد و مازح، یاسر، الفقه علی مذاهب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الجزیری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الثقلین،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الغروی، محمد، المرأة فی الشریعة الاسلامیة، دارالرسول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التعارف،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الغزالی، امام ابی حامد محمد، احیاء علوم الدین،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الفاضل الهندی، محمد بن الحسن، کشف اللثام عن قواعد الاحکام،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الشیخ جمال الدین السیوری، کنز العرفان فی فقه القرآن، مکتبة المرتضویة، تهران،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فایز الکندری، عقد المحاماة فی القانون الکویتی و القانون المقارن، جامعة الکویت، کویت،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 الرازی، التفسیر الکبیر، دار احیاء التراث العربی،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الخلیل، کتاب العین، دار احیاء التراث العربی،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 موسی، الدین و الدولة و الامة عند الامام مهدی شمس الدین، دار الهادی،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علامه محمد حسین، من وحی القرآن، دار الملاک،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الندوة، سلسلة ندوات الحوار الاسبوعیة بدمشق،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القاضی، دارالملاک،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دنیاء المرأة، دار الملاک،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کاشانی، المحسن، المحجة البیضاء فی تهذیب الاحیاء، تصحیح، علی اکبر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السید محمد، قصص الانبیاء فی‌ظلال القرآن، اعداد و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ابومحمد الجیالی، دارالسیوف، لبنان،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القاضی المغربی، نعمان، دعایم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فیضی، دارالمعارف، القاهرة،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القرضاوی، الیوسف، من فقه الدولة فی‌الاسلام، دار الشروق،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قلعه‌جی، محمد رواس، الموسوعة الفقهیة المیسرة، دار النفائس،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قرائة سیاسیة للسیرة النبویة، دار النفائس،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القلقشندی، احمد بن علی، صبح الاعشی فی صناعة الانشاء، شرحه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شمس الدین، دار الکتب العلمیة،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علی بن ابراهیم، تفسیر القمی، دارالکتاب،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الشیخ جعفر، کشف الغطاء عن مبهمات الشریعة الغراء، دفتر تبلیغات حوزه علمیه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محمد حسین، تحریر المجله، مکتبة النجاح،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الکاظمی، الفاضل الجواد، مسالک الافهام الی آیات الاحکام،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المکتبه المرتضویه،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الکتانی، محمد عبدالحی، نظام الحکومة النبویة، المسمی بالتراتیب الاداریة، دارالارقم بن ابی ارقم،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الشیخ محمد بن یعقوب، اصول الکافی، موسوعة الکتب الاربعة فی احادیث النبی و العترة،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شمس الدین، دار التعارف للمطبوعات،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الگلپایگانی، محمد رضا الموسوی، مجمع المسائل، شرکت شمس المشرق،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القضاء،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مطبعة الحیدریة،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المجلسی، روضة المتقین،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موسوی و شیخ علی پناه اشتهاردی، محرم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الحلی، نجم الدین جعفر بن الحسن الهذلی، شرایع الاسلام فی المسائل الحلال و الحرام، شرحه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الزهراء الحسینی الخطیب، دار الزهراء،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معارج الاصول،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الثانی، جامع المقاصد،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تفسیر الجلالین، مؤسسة الرسالة،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انور، حافظ، ولایة المرأة فی الفقه الاسلامی، دار بلنسیة للنشر والتوزیع، المملکة العربیة السعودیة،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محمود، جمال الدین، المرأة المسلمة فی عصر العولمة، دار الکتاب المصری، القاهرة،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سلمان، مشهور حسن، المحاماة، تاریخها فی النظم و موقف الشریعة الاسلامیة، دارالفیجا، عمان، الاردن،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الصحیح المسلم، دارالفکر،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میرزاعلی، اصطلاحات الاصول، الهادی،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مصطلحات الفقه، دفتر نشر الهادی،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المشهدی، المیرزا محمد، تفسیر کنزالدقایق و بحر الغرایب، مؤسسة انشر الاسلامی التابعة لجماعة المدرسیین،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المصطفوی، حسن، التحقیق فی کلمات القران الکریم، وزارة الثقافة و الارشاد الاسلامی،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العلامه محمد رضا، اصول الفقه، بوستان کتاب،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رسالة الاسلام، سال چهارم،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التقریب بین المذاهب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التفسیر الکاشف، دارالکتاب الاسلامی،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ظلال نهج البلاغة، دارالکتب الاسلامیة،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الجواد،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الفقه علی مذاهب الخمسة،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مؤسسة دار الکتاب الاسلامی، قم،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الشیخ ابی عبدالله محمد بن محمد النعمان العکری البغدادی، سلسلة مؤلفات الشیخ المفید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النساء، دار المفید،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مؤلفات الشیخ المفید،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الجمل، مکتب الاعلام الاسلامی،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مناع، هیثم، الامعان فی حقوق الانسان، الاهالی للطباعة والنشر، دمشق،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الاردبیلی، فقه القضاء، موسسة النشر لجامعة المفید،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الخوانساری، السید عبد الاعلی، مهذب الاحکام، دفتر آیة الله السید السبزواری،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ابوالقاسم محمد حسن، جامع الشتات، شرکة الرضوان، تهران،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محسن باقر، الشوری و الدیمقراطیة، دار الهادی،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النجفی، الشیخ محمد حسن، جواهر الکلام فی شرح شرایع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الاخوندی، دار احیاء التراث العربی،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النراقی، احمد، مستند الشیعة فی احکام الشریعة،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مشهد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النراقی، محمد مهدی، جامع السعادت، مؤسسة الاعلمی للمطبوعات،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النووی، محی الدین، المجموع فی شرح المهذب،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نورالدین، مجمع الزوائد و منبع الفوائد، دار الفکر،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الواحدی النیشابوری، علی، اسباب النزول، مؤسسة الحلبی، القاهره،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الحموی، معجم البلدان، دار احیاء التراث العربی،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الیزدی الطباطبایی، السید محمد کاظم، العروة الوثقی، اسماعیلیان،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تکملة العروة الوثقی،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طباطبایی، مطبعة الحیدری،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حاشیة المکاسب، مؤسسة اسماعیلیان،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ترجمه عباس زریاب،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جمیل بیهم، فتاة الشرق فی‌حضارة الغرب،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نویهض الحوت، حقوق الانسان فی‌النصوص التاریخیة الحدیثة، حقوق الانسان فی‌الفکر العربی،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محمد باقر صدر، المجموعة الکاملة لمؤلفات الشهید الصدر،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محمد باقر صدر، السنن التاریخیة فی القرآن،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تحول افقی؛ پرداختن به موضوعات جدید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 مناع، الامعان فی حقوق الانسان، محمدمهدی شمس الدین، اهلیة المرأة لتولی السلطة،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ایشان با عنوان کردن عدم تساوی تمام بدیهیات فقه با بدیهیات شریعت، رویکرد فقها را در زمینه حقوق زن زیر سؤال می‌برد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الاتجاهات المستقبلة محرکة الاجتهاد،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الحسینی، الاجتهاد و الحیاة،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اول،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سید حسین حسینی تهرانی، رسالة بدیعه،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استحباب حبس المرأة فی بیتها او بیت زوجها فلا تخرج لغیر حاجة و لایدخل علیها احد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السید محمدکاظم الیزدی،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مقدمه علم حقوق،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سید حسن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حاکمیت و حکومت در فقه شیعه و 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کیان، سال پنجم،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ابن فارس، معجم مقاییس اللغة،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محمد هارون،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محمد منظور،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اسماعیل الجوهری، الصحاح،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الغفور عطار،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فخر الدین الطریحی، مجمع البحرین،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عادل،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المصطفوی، 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العین،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راغب الاصفهانی، مفردات الفاظ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داودی،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مرتضی مطهری، 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اصول الکافی، موسوعة الکتب الاربعة فی احادیث النبی والعترة،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شمس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کتاب فضل العلم،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 الدین اسحق همدانی، مقدمه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مهدوی،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المصطفوی،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الامین، دائرة المعارف الاسلامیة الشیعیة،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الزحیلی، الفقه الاسلامی و ادلّته،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حسن العاملی، معالم الدین و ملاذ المجتهدین،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شرح جمع الجوامع للمحلی،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بالاحکام الشرعیة العملیة المکتسب من ادلتها التفصیلیة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الزحیلی، الفقه الاسلامی وادلّته،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الصدر، دروس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صرفاً برای توضیح صورت مسأله انتخاب شده است، هرچند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وضعی از سوی شارع انشا نگردد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محل مناقشه و بلکه مردود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دیدگاه‌های مختلف درباره احکام وضعی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صنقور، المعجم الاصولی،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دیدگاه‌های مخالف مشارکت سیاسی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دیدگاهی که مرد بودن را جزء شرایط عام مناصب حکومتی می‌داند، آشنا خواهیم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فاضل لنکرانی، سیری کامل درخارج فقه معاصر،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بالله یکل، کوعد یعد،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وکله فی الامر توکیلا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الوکالة، بالفتح و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مرتضی الزبیدی، تاج العروس،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فوضته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العین، ص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یقال وکله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عاجزی کل امره الی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فوضه الیه واکتفی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الخوری، اقرب الموارد،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این تعابیر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تفویض و اتکا به دیگران تمرکز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المصطفوی، التحقیق فی کلمات القران الکریم،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حسین طباطبایی، المیزان فی تفسیر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معانی، درجات و فضیلت توکل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النراقی،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التوکیل ان تعتمد علی غیرک و تجعله نائباً عنک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اعمالی حقوقی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Actes juyidiques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وقایع ارادی است که اثر آن با خواست مرتکب موافق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اعلام اراده‌ای است که به‌منظور ایجاد اثر خاص انجام می‌شود و حقوق نیز همان اثر مقصود را بر آن بار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ناصرکاتوزیان، کلیات حقوق،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حقوق 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 تعریف الوکالة لظهوره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اردبیلی، مجمع الفائدة والبرهان،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الوکالة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تفویض الامر الی الغیر علی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ابی‌جعفر محمد ابن حمزه، الوسیلة الی نیل الفضیلة، محمد الحسون،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استنابة فی التصرف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این تعریف را ایشان در مختصر النافع هم آورده، با این تفاوت که در اینجا عقد بودن آن را مفروض گرفته، اما در مختصر به آن تصریح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وکالت عبارت است از ایجاب و قبول که دلالت بر استنابه در تصرف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ایجاب و قبول اشاره به ماهیت عقدی آن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الوکالة فی اصطلاح الفقهاء عبارة عن الاستنابة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المشکینی، مصطلحات الفقه،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باره قید بالذات بعداً توضیح خواهیم داد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وکالت عقدی است که به موجب آن یکی از طرفین طرف دیگر را برای انجام امری نایب خود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قانون مدنی در نظم حقوقی کنونی،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جعفری لنگرودی، ترمینولوژی حقوق،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عقدی است که به موجب آن یک طرف منفعت یا نیروی کار خود را در ازاء اخذ اجرت معامله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اجاره ممکن است اشیا یا حیوان یا نیروی انسانی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عقدی که به موجب آن شخصی خدمت و کار خود را در مقابل اخذ مزد مورد مبادله و معاوضه قرار می‌دهد و در این صورت کارگر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نظر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تعریف این دو عقد میزان شباهت آن با وکالت روشن می‌شود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عقدها چون در کتاب‌های فقهی مورد بحث بوده و تعریف شده از تعریف آنها خودداری می‌شود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ثانی زین الدین،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موارد داخل گیومه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حقوق 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الفقه،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اجود التقریرات،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غروی نائینی،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منبع پیشین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علی حسینی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احمد السنهوری، الوسیط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الوارده علی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النجفی، جواهر الکلام فی شرح شرایع الاسلام،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آخوندی،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الیزدی، تکملة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سید روح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یتوقف علیه وجود الشئ و ان کان غیر داخل فی حقیقته؛ 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تحقق یک چیز بر آن متوقف باشد، هرچند جز ماهیت آن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زح، یاسر، الفقه علی مذاهب الاربعة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الجزیری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مذهب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قواعدالحکام،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الغروی الاصفهانی، حاشیة کتاب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قنواتی و دیگران، حقوق قراردادها در فقه شیعه امامیه،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محقق داماد،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الحسینی الحائری، فقه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حقوق 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کاشف الغطاء، تحریر المجله،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بالجمله یتسع الامر فیها بما لایتسع فی غیرها؛ یعنی نه لفظ و نه ترتیب و نه پیاپی بودن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فقه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الحسینی العاملی، مفتاح الکرامة، اشرف علی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مروارید،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یوسف البحرانی، الحدائق الناضرة،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الایروانی، یوسف البقاعی،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السید کاظم الیزدی،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ابوالقاسم خویی، مصباح الفقاهة،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التوحیدی،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الامام الخمینی،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الحسینی الحایری، فقه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بنا بر یک تقسیم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عقودی مثل بیع و اجاره از زمره عقود عهدی‌اند، اما وکالت در زمره عقود اذنی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میان آمدن مفهوم 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تنها ازجانب موکل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عقد که یک قرار طرفینی است، گویا حامل یک تناقض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فوق، این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مسامحتاً؛ چون وکالت در حقیقت غیر از نیابت است؛ چنان‌که در بحث تعریف گذشت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علامت بلوغ دختران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از علامت دوم درباره آنها سخنی نگفته‌اند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باتفاق فقها حیض و حمل علامت بلوغ زنانند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مغنیه، الفقه علی مذاهب الخمسة،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الغریری،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جنون بیماری است که عقل را فاسد کرده و از درک درست اعمال که شخص انجام داده مانع می‌شود، هرچند دایمی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318/30</w:t>
      </w:r>
      <w:r>
        <w:rPr>
          <w:rFonts w:ascii="IRNazanin" w:hAnsi="IRNazanin" w:eastAsia="IRNazanin"/>
          <w:b w:val="false"/>
          <w:b w:val="false"/>
          <w:bCs w:val="false"/>
          <w:i w:val="false"/>
          <w:i w:val="false"/>
          <w:iCs w:val="false"/>
          <w:color w:val="333333"/>
          <w:sz w:val="20"/>
          <w:sz w:val="20"/>
          <w:szCs w:val="20"/>
          <w:rtl w:val="true"/>
        </w:rPr>
        <w:t>؛ کاتوزیان، ناصر، حقوق مدنی،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سهامی انتشار، تهران، چ </w:t>
      </w:r>
      <w:r>
        <w:rPr>
          <w:rFonts w:eastAsia="IRNazanin" w:cs="IRNazanin"/>
          <w:b w:val="false"/>
          <w:bCs w:val="false"/>
          <w:i w:val="false"/>
          <w:iCs w:val="false"/>
          <w:color w:val="333333"/>
          <w:sz w:val="20"/>
          <w:szCs w:val="20"/>
        </w:rPr>
        <w:t>8:1381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تشخیص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اخیر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النجفی، حسن،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الحسینی المرعشی، اسماعیل، اجماعیات فقه الشیعة،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احیاء آثار الامام الخویی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 </w:t>
      </w:r>
      <w:r>
        <w:rPr>
          <w:rFonts w:eastAsia="IRNazanin" w:cs="IRNazanin"/>
          <w:b w:val="false"/>
          <w:bCs w:val="false"/>
          <w:i w:val="false"/>
          <w:iCs w:val="false"/>
          <w:color w:val="333333"/>
          <w:sz w:val="20"/>
          <w:szCs w:val="20"/>
        </w:rPr>
        <w:t>2:1991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ازاین‌رو در برخی منابع اهلیت موکل اساسا با همین شرط توضیح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الشیخ الطوسی،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جواهر با وجود این شرط، ذکر بلوغ و عقل، اضافی عنوان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الروضة البهیة، باشراف السید محمد کلانتر،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شرایع‌الاسلام،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العلامة الحلی،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الحسینی المرعشی، اجماعیات فقه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دخالت معقول، در نگاه دینی شامل مقدور بودن عمل از نظر عقلی و شرعی هردو می‌شود؛ چون عملی که شرعا بر کسی تحریم می‌شود، مثل آن است که عقلا قادر به انجام آن نباشد، ازاین‌رو برخی از شرایط وکیل به‌طورکلی این تعبیر را به کار برده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یشترط فی الوکیل ان یکون ممن یعقل التصرف الذی وکل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رواس قلعه جی، الموسوعة الفقهیة المیسرة،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منصورالحسن العلامة الحلی، 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النجفی، 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حد القذف فحق الادمیین فحکمه حکم القصاص و یصح التوکیل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مساوی شب‌ها برای به‌سر بردن میان همسران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به این معنا شرعا بر مردی که چند همسر دارد،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 الله، معجم الفاظ الفقه الجعفری،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البحث الرابع، فیما فیه التوکیل والنظر فی شرایطه وهی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ان‌یکون مملوکا للموکل،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ان‌یکون قابلاً للنیابة،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ان‌یکون ما به التوکیل معلوماً ولو 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تذکرة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الوکالة عقد شرع للارتفاق و دفع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المراد بکون متعلق الوکالة مملوکاً مما یمکن التصرف فیه و مباشرته بنفسه عقلا و شرعا بکون متعلق الوکالة مملوکا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واما ما تدخله النیابة، فضابطه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جعله ذریعة الی غرض لایختص بالمباشرة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می‌توان لزوم عدم غرر در متعلق وکالت را که امثال شیخ مطرح کرده‌اند، ناظر به همین شرط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دکتر مهدی حایری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آیت الله شیخ عبدالکریم حایری مؤسس حوزه علمیه قم که در لندن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نقد دیدگاه ایشان،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مبانی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حکومت اسلامی،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مکاتبه انتقادی میان دکتر حائری و آیت الله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محقق ثانی،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الزحیلی، و هبة، الفقه الاسلامی و ادلته،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تاکیداً یادآوری می‌کنم آوردن این مطالب به‌صورت مفصل صرفاً برای این است که از اصل صورت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وکالت دعاوی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ارائه شود تا با بررسی محورهای فوق علاوه بر روشن شدن جوانب مسأله وکالت زن، سلسله مباحثی که در این ارتباط در فقه‌پژوهی شیعه مغفول مانده و یا جدی گرفته نشده است نیز توضیح لازم را یافته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 قول مقبول عندالقاضی یقصد به طلب حق قبل غیره، او دفع الخصم عن حق نفسه؛ دعوی شرعا سخنی است که به شکلی پذیرفته شده نزد قاضی برای درخواست حقی از دیگری و یا دفع ادعای کسی دیگر از حق خود 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ابوحبیب، القاموس الفقهی،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تعریف مختصر، به اجمال مراد از ترکیب وکالت دعاوی تا حدی مشخص می‌شود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جنید، فتاوی ابن جنید،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علی‌پناه الاشتهاردی،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معادل دعوی و نزاع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 معجم مقاییس اللغة، وضع حواشیه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شمس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طرفین دعوی نیز چون با هم دعوی و نزاع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و ازاین‌رو وکالت در این زمینه هم به وکالت در خصومت تعبیر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حرفة المحامی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محامات به شغل محامی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المدافع عن احد الخصمین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محامی در اصطلاح قضایی کسی است که از یکی از طرفین دعوی دفاع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مصطفی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المقنعة،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الشیخ الطوسی، النهایة،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خراسانی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ظافر القاسمی، نظام الحکم فی الشریعة والتاریخ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وهبة الزحیلی، الفقه الاسلامی و ادلته،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4089</w:t>
      </w:r>
      <w:r>
        <w:rPr>
          <w:rFonts w:ascii="IRNazanin" w:hAnsi="IRNazanin" w:eastAsia="IRNazanin"/>
          <w:b w:val="false"/>
          <w:b w:val="false"/>
          <w:bCs w:val="false"/>
          <w:i w:val="false"/>
          <w:i w:val="false"/>
          <w:iCs w:val="false"/>
          <w:color w:val="333333"/>
          <w:sz w:val="20"/>
          <w:sz w:val="20"/>
          <w:szCs w:val="20"/>
          <w:rtl w:val="true"/>
        </w:rPr>
        <w:t xml:space="preserve">؛ اسماعیل عبدالنبی شاهین، المسئولیة الوکیل فی الفقه الاسلامی،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محمود سلمان مشهور حسن، المحاماة تاریخها فی النظم وموقف الشریعة الاسلامیة،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مسلم محمد جودت الیوسف، المحاماة فی ضوء الشریعة الاسلامیة والقوانین العربیة،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فایز الکندری، عقد المحاماة فی القانون الکویتی والقانون المقارن،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اسامة توفیق ابوالفضل، رسالة المحاماة،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اخیر برای مشروعیت وکالت دعاوی تنها از ادله مشروعیت وکالت عام و وکالت دعاوی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این کار را قبل از او محمود سلمان در المحاماة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الیوسف،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المسئولیة الوکیل فی‌الفقه الاسلامی،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مشهور حسن، 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برخی تفاوت‌ها،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منابع، ادامه از درس‌های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وظیفة الوکیل من طرف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والمدعی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وکیل المدعی طرح الدعوی علی المدعی علیه عند الحاکم الشرعی، واقامة البینة وتعدیل البینة وتحلیف المنکر وطلب الحکم علی الخصم، وبالجمله ان یقوم بکل مایثبت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وظیفة الوکیل المنکر الطعن بالشهود واقامة بینة الجرح ومطالبة الحاکم بالاستماع الی بینة الجرح والحکم به وان یسعی کل جهده فی الدفاع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محمد رضا الموسوی الگلبایگانی، مجمع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این مطلب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الاعلی الموسوی الخوانساری، مهذب الاحکام،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تقریبا عین این سه وظیفه در قانون متحد محامات کشورهای عربی نیز انعکاس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مهنة المحاماة واهدافها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المحاماة علی ممارسة واجباتها وتحقق رسالتها بالوسایل التالیه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عن الافراد للادعا بالحقوق والدفاع عنها، لدی کافة المحاکم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المشورة القانونیه و تنظیم العقود واعداد اللوایح القانونیه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المعونة القضائییه للمواطنین، وتیسیر العدالة علیهم امام کل المراجع المختصه،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 قانون المحامات الموحد للبلاد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محمد بوریس، موسوعة المحامی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همین وظایف درقانون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وکالت دادگستری فرانسه به‌عنوان زمینه‌های فعالیت وکیل دادگستری تعریف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ذو العین، ماهنامه وکالت،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 آنچه را از گذشته‌ها تحت لزوم رعایت مصلحت موکل برای وکیل مطرح بوده، ناظر به جنبه دفاع از موکل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الحسینی الشیرازی، الفقه،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الوکالة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القاضی المغربی، دعائم الاسلام،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فیضی،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تلاش‌های بسیار به این کتاب دسترسی پیدا نکردم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از چند اثر در دسترس برای اطلاع و تحقیق نام برده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المحاماة، تاریخها فی النظم وموقف الشریعة الاسلامیة، مشهور حسن، محمود سلمان، دارالفیجا، چاپ اول، عمان، الاردن،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مسئولیة الوکیل فی الفقه الاسلامی، اسماعیل عبد النبی، شاهین، جامعة الکویت، چاپ اول، کویت،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المحاماة فی ضوءالشریعة الاسلامیة والقوانین العربیة، مسلم محمد جودت الیوسف، مؤسسة الریان، چاپ اول، بیروت، لبنان،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المحاماة وحقوق الانسان، علی بن فائز الجحنی، الریاض، </w:t>
      </w:r>
      <w:r>
        <w:rPr>
          <w:rFonts w:eastAsia="IRNazanin" w:cs="IRNazanin"/>
          <w:b w:val="false"/>
          <w:bCs w:val="false"/>
          <w:i w:val="false"/>
          <w:iCs w:val="false"/>
          <w:color w:val="333333"/>
          <w:sz w:val="20"/>
          <w:szCs w:val="20"/>
        </w:rPr>
        <w:t>2003/1422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المحاماة، اسامه توفیق ابوالفضل، دار الطلیعة الجدیدة، مکتبة الاسد، چاپ اول، دمشق،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دو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آن را متأسفانه پیدا نکردم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محمد جودت الیوسف، المحاماة،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موضع‌گیری منفی در قبال این مسأله قبلاً به شکل غیرگسترده دست کم از سوی محمود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المحاماة،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اسماعیل شاهین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مسؤلیة الوکیل،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موردی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و محمدعلی طاهری، دانش‌نامه حقوق خصوصی،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محراب فکر، چاپ اول، تهران،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مشخصات کامل این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المحامی العرب، عمران محمد موریس، منشورات السلفیوم،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چاپ اول،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Internatoinal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Bar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accociation</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//www.irabav - com/pibal.php 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نقل و تلخص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فتاحی،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قضاء و وکالت در ایران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وکالت،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مهر پور، نظام بین المللی حقوق بشر،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فتحی زغلول، المحاماة،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اسامه توفیق ابوالفضل، رسالة المحاماة،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الدفاع و المحاماة و جهان لعملة واحدة، او تعبیران لمعنی واحد؛ حق دفاع و محاماة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وکالت دعاوی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روی یک سکه یا تعبیری از یک معنی واحد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ابوالفضل، رسالة المحاماة،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 زغلول، المحاماة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نقل از منبع 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 مناع، 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ساکت، دادرسی در حقوق اسلامی،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لویس، برنارد، اسلام و لیبرال دموکراسی؛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مدارا و مدیریت،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حسین، مجلة الامة، سال سوم،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محمد جودت الیوسف، المحاماة،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الشیخ الطوسی، النهایة فی مجرد الفقه و الفتاوی،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اسامه توفیق ابوالفضل، رسالة المحاماة،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سلمان مشهور حسن، المحاماة،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یکره لذوی المروات مباشرة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الشرایع و النافع و الارشاد و جامع المقاصد و المسالک و الروضه و مجمع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الوجه فی ذالک انه یلزم من ذالک تضییع الحقوق؛ و انهم لایبالون بفعل المکروهات و لا بما قالوا و لا بما قیل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یستحب لهم التوکیل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المقنعة و النهایة و الکافی و جامع الشرایع و التذکرة و التحریر و اللمعه و جامع المقاصد و الروضة و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العاملی، مفتاح الکرامة،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السید الیزدی، تکملة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الفیض کاشانی، المحجة البیضاء فی تهذیب الاحیاء،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عبارت بدون تصرف از غزالی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ابی حامد الغزالی، احیاء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راوندی، سیر قانون و دادگستری در ایران،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ابن شبه النمیری، تاریخ المدینة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محققان قدیمی‌ترین مورد وکالت دعاوی در اسلام را مربوط به دعوای حسان بن ثابت می‌دانند که در دوره خلیفه از سوی توسط ابن عباس صورت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ظافر القاسمی، نظام الحکم فی الشریعة والتاریخ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روایاتی که در منابع فوق آمده، برمی‌آید که نخستین نمونه همان وکالت یاد شده در متن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بودن زن یک دغدغه همیشگی در فرهنگ غرب بوده است؛ 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ماکون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از طرف کلیسا به‌عنوان دو پرسش مهم مطرح شده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زن روح دارد؟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زن انسان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المسلمة فی عصر العولمة،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سلمان، المحاماة تاریخها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هرات،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اصحاب و نسل‌های بعد از آنها همواره مردان را وکیل گرفته‌اند و هرگز نمونه ای که زن را وکیل گرفته باشند، شناخته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سلمان مشهور حسن، المحاماة و تاریخها فی النظم و موقف الشریعة الاسلامیة،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الغروی،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مازح، یاسر، الفقه علی المذاهب الاربعة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الجزیری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مذهب اهل‌البیت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اجماعیات فقه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منیة السائل،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بحث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وکالت دعاوی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الامام الشافعی، محمدبن ادریس، کتاب الام،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فراز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محی الدین النووی، المجموع فی شرح المهذب،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متنی که اینجا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مفتاح الکرامه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شیخ در مبسوط سند روایت را از طریق ما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عقیده تعلیقه‌نویس شرح 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مشکل متنی دارد؛ چون باور این قضیه دشوار است که امام دعاوی را با این وصف به برادر بزرگش فرا افکنی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باشراف السید کلانتر،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دشوار، واداشتن درمعرض نابودی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الفراهیدی، کتاب العین،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السائل،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الامام الخمینی، المکاسب المحرمة،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آیة الله الگلپایگانی؛ مجمع‌المسائل،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علامه محمدحسین فضل‌الله، الندوه،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القاضی،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عظیمی، وکیل دادگستری،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لرد بیرکت،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وکیل مدافع در دفاع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علی خادم، مجله کانون وکلا، 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سال هفدهم،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شعر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بر پلنگ تیزدندان ستمکاری بود بر گوسفندان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العلامه الحلی، 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العروه،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اجماعیات فقه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شمس الدین، المبسوط،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فصل اول، شرایط وکیل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سبزواری در بحث از شرایط بیع تذکر می‌دهد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شرایطی از قبیل بلوغ و عقل از شرایط عمومی همه معاملاتند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ما از بحث از آنها در هر عقد به طور جداگانه بی نیاز خواهیم بود؛ زیرا دلیل واحد، و مصادیق متعدد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الموسوی السبزواری، مهذب الاحکام،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خویی معتقد است برای شرط بلوغ در معامله اصلا دلیلی نقلی که از نظر دلالت تام باشد،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 می‌دهد که آنچه در معاملات تعیین‌کننده است، انعقاد معامله به شیوه عقلانی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الاردبیلی، مجمع الفائدة والبرهان،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لانصاری،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لازم درباره این شرط قبلا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بحث شرایط وکیل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الصادق،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لاشک فی قیام السیرة علی الحمل علی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مورد شک فی صحة المعاملات، بیعاً کان، او اجارة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غیر ذلک من العناوین المذکورة فی ابواب المعاملات من العقود و الایقاعات بعد تحقق ذلک العنوان بنظر العرف و عندهم، لاحتمال فقد شرط اعتبره الشارع او العقلاء زائداً علی ما هو المقوم لذلک العنوان عندهم، او احتمال وجود مانع کذلک، فیبنون علی الصحة و لایعتنون الی ذلک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ان یکون ذلک المحتمل الفقدان من الشرائط العقد، او المتعاقدین، او العوضین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المعلوم انها تجری فی المعاملات فی ابواب العقود و الایقاعات، و تکون مقدمة علی اصالة الفساد فیها التی هی عبارة عن اصالة عدم النقل و الانتقال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محمدحسن البجنوردی، القواعد الفقهیة،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و محمدحسن الدرایتی،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بحث شرایط وکیل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التوحیدی،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ملاک صحت وکالت وکیل دو چیز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که در انجام آن وکیل می‌شود، جایز بوده و بر او تحریم نشده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عمل نیابت‌پذیر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قلمرو وکالت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اعلامیه حقوق بشر اسلامی، ماده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ب هم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و پناه بردن به دادگاه حقی است که برای همه تضمین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العلامه الحلی، همان،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الاسلام الفضل بن الحسن الطبرسی، مجمع البیان فی تفسیر القران،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العلماء المحققین الاخصائیین،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الواحدی النیشابوری، اسباب النزول،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مدیر شانه‌چی، آیات الاحکام،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ترجمه 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 الاثیر الجزری، 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الری‌شهری، موسوعة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بحوث دار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قضاوت‌های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افزون بر آنچه در اینجا آمده، احادیثی درباره حضور زن در این قضاوت‌ها وجود دارد، ولی ما برای اثبات مطلب به همین نمونه‌های قطعی بسنده کرده، از ذکر آنها خودداری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اطلاع القرطبی، اقضیة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ضیاء الرحمن الاعظمی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سیمون دبوار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انتقاد از نظام زناشویی که از سوی کلیسا در غرب معمول بوده،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نظام زناشویی، زن پس از شوهر کردن حق اقامه دعوی را از دست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دوم، ترجمه قاسم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ناجی راد، موانع مشارکت زنان،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فاضل لنکرانی، سیری کامل در اصول فقه،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العلامة الحلی،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المحقق الثانی،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 توانایی زنان در کسب علم و دانش،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آئینه جلال و جمال،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علمی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برهان؛ مهدی مهریزی، شخصیت و حقوق زن در اسلام،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وکالت زن در دعاوی از این بعد به اندازه‌ای اهمیت دارد که حکومت سعودی به‌رغم سختگیری‌هایش در فعالیت اجتماعی زنان اخیرا با وکالت زن در مسائل قضایی مربوط به زنان موافقت کرده است تا از طریق فعالیت زنان متخصص در مسائل قضاء جریان امور قضایی آنان را تسهیل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فعالیت اختصاص به مسائل زنان دارد و آنها حق حضور در محاکمی ندارتد که قضات آن مردانند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الشبکة العربیة لمعلومات حقوق الانسان،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یولیو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www.hrinfo.org</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وکالت زن و دیدگاه فقهای شیعه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للمرأة ان تزوج نفسها او غیرها، بنتها او اختها، ویجوز ان تکون وکیلة فی الایجاب والقبول، و به قال ابوحنیفة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الشافعی کل ذلک 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 المرأة معتبرة فی العقد عندنا، مع البلوغ و الرشد، ای العقل، فیجوز لها ان تزوج نفسها وان تکون وکیلة لغیرها ایجاباً و قبولاً بلاخلاف، بل یمکن تحصیل الاجماع علیه، بل و لا اشکال لاطلاق الادله، بل لو قلنا بثبوت الولایة علی البکر البالغة الرشیده للاب و الجد لم یستلزم ذالک سلب عبارتها للغیر، بل و لا لها باذنه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عن الشافعی من سلب عبارتها مطلقاً معلوم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 وکالتها عندنا فی عقد النکاح ایجاباً وقبولاً لان عبارتها معتبرة فیه عندنا، للعمومات، خلافاً للشافعی المانع من توکیلها فیه ایجاباً وقبولا کالمحرم ولیس بشی کما ذکرناه فی محله، فهی مندرجة فی الضابط المزبور الذی مفاد العمومات، ضرورة عدم حرمة شیء من ذالک علیها وقابلیته للینابة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عبدالله محمد ابن ادریس الشافعی، موسوعة الامام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و عادل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دارد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لانکاح الا بولی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گونه اقدام مستقل زن را در امر ازدواج شرعاً ممنوع می‌داند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نظرشافعیه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بدون ولی حق مباشرت در عقد نکاح خود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وکالتش از دیگران هم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الجزیری، کتاب الفقه علی مذاهب الاربعه،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النبی شاهین به طور مبنایی بر اساس این دیدگاه عدم اهلیت زن در نکاح را به حوزه وکالت دعوا هم تعمیم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مسؤلیة الوکیل فی الفقه الاسلامی،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در استدلال ممنوع بودن زن از وکالت در طلاق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وکالت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اینجا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نمی‌تواند وکیل در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بید من اخذ بالساق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عدم صحت وکالت در طلاق مطلقاً ظهور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وکالت غیر زن به دلیل مستقل خارج شده، بقیه موارد تحت منع باقی می‌ماند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این استدلال آشکار است؛ زیرا مغایرت میان موضوع وکالت و وکیل اعتباراً کفایت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مغایرت در اینجا موجود است و مفاد روایت هم بر فرض مسلم بودنش انحصار وکالت برای مرد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زین الدین، مسالک الافهام،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نسبت که شیخ طوسی از باب لزوم مغایرت میان وکیل و مطلقه، این مورد را نفی کرده معروف است، ولی همان گونه که مصححان جدید مسالک تذکر داده‌اند، در بیان شیخ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صاحب جواهر با اینکه در جواهر،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شیخ را مبنی بر ظهور نصوص‌می داند، نه اشتراط مغایرت، در کتاب الوکالة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شیخ طوسی روی همین مغایرت حرف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اصل نسبت درست است و شیخ در دو جای 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استدلال ارائه کند، به شکل فتوا مسأله را به مذهب امامیه نسبت می‌دهد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اینکه اصل طلاق امر وکالت‌پذیر است، تردید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مبانی روایی مسأله،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وکالت زن در طلاق خودش درست است؟ بر مبنای شیخ که میان وکیل و مطلقه مغایرت را شرط می‌داند،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تردید وجود داشته، بلکه براساس اقتضای عمومات طلاق، وکالت زن در این مورد اشکال ندارد و مغایرت اعتباری در این موارد کفایت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جدی‌ترین نقد وکالت در طلاق زن را در تمام اشکال آن محمد جواد مغنیه در فقه الامام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 این از مواضع شبهه‌های واجب الاحتیاط است ازاین‌رو در قضایایی از این قبیل باید احتیاط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اجماعیات فقه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احمد بن علی بن ابی طالب، احتجاج،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بهراد،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السید محمد باقر الصدر، المجموعة الکاملة لمؤلفات السید محمد باقر الصدر،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احتجاج الزهراء لم یکن حول المیراث اولنحله، و انما کان حربا سیاسا کما نسمیها الیوم و تظلما لقرینها العظیم الذی شاء الخلیفه و اصحابه ان یبعدوا عن المقام الطبیعی له فی دنیا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فالمسألة اذن لیست مسألة میراث ونحلة الا بالمقدار الذی یتصل بموضوع السیاسة العلیا و لیست مطالبة بعقار او دار، بل هی فی نظر الزهراء مسألة اسلام وکفر ومسألة ایمان ونفاق ومسألة نصّ و شوری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تذکرة الخواص،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لمؤلفات السید محمدباقر الصدر،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خوب موضوع را دریافته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در واکنش تند بعد از سخنان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نکوهش‌هایش را متوجه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فلم‌یتکلم الا عن علی فوصفه بانه ثعالة وانه مرب لکل فتنة وانه کام طحال وان فاطمة ذنبه التابع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عن المیراث قلیلاً و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کامل سوده در اکثر منابع تاریخی معتبر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ترتیب 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بلاغات النساء،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عبد ربه الاندلسی، 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ابن عساکر، علی بن هبة الله الشافعی، تاریخ دمشق الکبیر،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عاشور الجنوی،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باقر المجلسی، 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مستقیم ما در اینجا از نسخه عقد الفرید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عبدالنبی شاهین، مسئولیة الوکیل فی الفقه الاسلامی،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سلمان، مشهور حسن، المحاماة وتاریخها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البخاری، 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النبی الی کسری وقیصر،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لایاتم الرجل بامرأة،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لایولی الوالی امراٌة ولا فاسقا ولا جاهلا امر القضاء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الیوسف، المحاماة فی ضوء الشریعة،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کتاب ایشان اخیراً در اینترنت شبکه </w:t>
      </w:r>
      <w:r>
        <w:rPr>
          <w:rFonts w:eastAsia="IRNazanin" w:cs="IRNazanin"/>
          <w:b w:val="false"/>
          <w:bCs w:val="false"/>
          <w:i w:val="false"/>
          <w:iCs w:val="false"/>
          <w:color w:val="333333"/>
          <w:sz w:val="20"/>
          <w:szCs w:val="20"/>
        </w:rPr>
        <w:t>http//saaid.net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ارائه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 این مدعا کافی است در نحوه برخورد متفاوت با زن در کشورهای اسلامی چون عربستان سعودی، ایران و افغانستان دقت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استناد همه به شریعت اسلامی، برخوردها چنان تفاوتی فاحش دارند که در یکی زن حق رانندگی ندارد و در دیگری تا تصدی وزارتخانه و کرسی مجلس شورا، پیش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این برخوردها بیش از آنکه مستند به شریعت باشد، به فرهنگ‌های بومی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و برداشت‌های جهت‌دار از شریعت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هم روزگاری برای اجرای شریعت غرای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 زنان را به بیرون از خانه تحریم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اخیراً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شخصیت‌های مذهبی عربستان بیانیه استدلالی‌شان را درباره حرمت رانندگی زنان را منتشر کرده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شخصیة سعودیة یرفضون فی بیان جدید قیادة المرأه للسیارة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www.alarabia.ne</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یوسف گیلانی، طومار عفت،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دیگران،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ناقص عمن هو بخلاف هذه الصفة الشبیه علی ما یصلح للجدال ودفع الخصم الالد بحسن البیان عند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در تفسیر الجلالین هم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فی الخصام غیر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مظهر الحجة لضعفه عنها بالانوثة؛ ضعف آنها در اظهار دلیل به‌دلیل زن بودن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المحلی و جلال الدین السیوطی، تفسیر الجلالین،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الرازی، التفسیر الکبیر،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نقص عقل و ضعف ذاتی زنان نیز به همین منبع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سلمان، پژوهشگر عمانی، از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این نوع تفسیر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عین همان جمله مجمع البیان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مؤید منع وکالت زن در دعاوی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المحاماة، تاریخها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جعفر کاشف الغطاء، کشف الغطاء عن مبهمات الشریعة الغراء،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اعطاه الله من القوة ان اری فرعون صورته علی فرش من ذهب رطب علیه ثیاب من ذهب رطب،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 ینشّأُ فی الحلیة ای ینشّأُ بالذهب و هو فی الخصام غیرمبین،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لایبین الکلام و لایتبین من الناس و لو کان نیبا لکان خلاف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سیدهاشم البحرانی، البرهان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از بیت 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 پرورد تنعم نبرد راه به جاهعاشقی شیوه رندان بلاکش باشد</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سید عبدالله شبر، تفسیر القرآن الکریم،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ذیل بررسی آیه شهادت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مفرادت الفاظ القرآن،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نتسئال هل هذا الوصف القرانی للمرأة تمثل تحدیدا مفهومیا لشخصیتها یعتبر انسانا مستغرقا فی 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وکیانا یملک الضعف فلا یستطیع الدفاع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ان هذالوصف یمثل تحدیدا واقعی لصورة المرأة من خلال التربیة التی یتربی علیها لتعیش الحیاة تسیطر علیها عناصر الضعف بدلا من عناصر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نستفید من التعبیر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هذ الوصف متعلق بالتنشئة و التربیة والاعداد الذی تتلقاه الانثی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الوقت الذی تملک فیه المرأة القابلیة ا لاخذ باسباب القوة الفکریة و الحرکیة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نلاحظه فیما حدثنا به القرآن من نمازج القویة فی مجمل الحیاة الاجتماعیة التی تضم المسلمین و 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فرعون و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ملاحظة اننا نری فی التاریخ و فی الحاضر، کثیراً من النساء اللاتی یمکن القوة فی الجدل و الشدة فی الدفاع و ارادة الحدیدیة فی مواجهة التحدیات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یبعد الضعف عن ان تکون من لوازم الشخصیة و یقربها من ان تکون من مقتضیات التربیة التی تتنمی نقاط الضعفها الغریزیة و تهمل تنمیة نقاط القوة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الوقت الذی لاننکر فیه قوة الجانب العاطفی فیها و لکن، لا بالمستوی الذی یلغی منه امکانیة التنمیة الفکریة و العملیة للجانب العقلانی لدیها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وضوئ ذلک یمکننا ان نفهم ان الایة توجه النظر الی الواقع ویثیر التساؤل حول النبرر البنات الی الله فی ضل هذا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حسین فضل الله، من وحی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تعجیل تزویج البنت عند بلوغها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هرگاه یکی از آنان را به دختر مژده آورند، چهره اش سیاه می‌گردد، درحالی‌که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فرو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علی الطهرانی، تفسیر مقتنیات الدرر و ملتقیات الثمر،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همه آیات در این کتاب از ترجمه استاد فولادوند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تنها آیه‌ای است که با توجه به برخی روایات می‌تواند محمل قرآنی دیدگاه نقصان عقل زن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انتخاب آیه فوق در این بررسی بیشتر توجه به همین بُعد بوده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مدیر شانه چی، آیات الاحکام،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الشیخ جمال الدین السیوری، کنز العرفان فی فقه القران،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رضا القمی، تفسیر کنزالدقائق و بحر الغرایب،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الطباطبایی، ریاض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فراز نخست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 یکونا 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این منبع به نقل از 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اندک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بخاری هم ذیل این آیه روایتی به این مضمون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فرازهای نهج البلاغه در این کتاب از ترجمه استاد شهیدی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موسوعة الکتب الاربعة،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شخصیت و حقوق زن در اسلام،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منبع نزدیک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از منابع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نقصان عقل زنان، با سند و جزئیات گردآوری کرده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ذیل آیه عدم توان زن در بیان دلیل،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خردمندی، وکالت درحقوق تجارت و تطبیق آن بر فقه،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الطباطبائی، ریاض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اصل در شهادت زنان عدم نفوذ است، مگر در مواردی که دلیل خاص وارد شده باشد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قال ان تضل احدیهما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الصحیح ان علینا ان نتعبد بالن صحتی لوجهلنا الحکمة منه، محمدجواد مغنیه، تفسیر 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الخویی،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العلامة الحلی، خلاصة الاقوال فی معرفة الرجال،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محمدهادی معرفت، تفسیر و مفسران،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الزهرا الحسینی الخطیب، مصادر نهج البلاغه واسانیده،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اسناد و مدارک نهج البلاغه،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با این دو منبع اخیر، به دو جا از کافی ارجاع کرده که در یکی فقط فراز آخر این خطبه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آدرس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المسترشد،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المحمودی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فقیه در کجا می‌تواند بر اساس علت یک حکم حکمی دیگر را استنباط کند،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الحکیم، السید محمد تقی، اصول العامه للفقه المقارن،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منبع شماره بعد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رضا المظفر،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دروس فی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تفسیر و مفسران،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استاد صرفاً جهت تقریر مطلب آورده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الخویی، مصباح الاصول،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سرور الواعظ الحسینی البهسودی،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ترجمه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آیت الله فاضل لنکرانی، سیری کامل در اصول فقه،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 وحی القران،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یک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دختر خویلد، ام المؤمنین، همسر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زنی بود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ازدواج کرد و نخستین کسی بود که ایمان آورد؛ هیچ مرد یا زنی بر او سبقت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علی بن محمد الجزری، 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حجر عسقلانی، الاصابة فی تمییز الصحابة،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العطار،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و تفسیر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که از شوائب پیراسته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القران،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خالص هر چیزی هم می‌آید و به این جهت به خود عقل انسان نیز لب گفته می‌شود؛ چون عقل خالص‌ترین ویژگی انسان را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الفراهیدی، کتاب العین،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المصطفوی، التحقیق فی کلمات القران الکریم،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طاعة العقل و مخالفة الجهل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نجعل له عینین و لساناً و شفتین و هدیناه النجدین؛ آیا دو چشمش نداده ایم؟ و زبانی و دو 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بدو نمایان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وَ ما سَوّاها فَأَلْهَمَها فُجُورَها وَ تَقْواها؛ سوگند به نفس و آن که آن را درست کرد؛ پس پلیدکاری و پرهیزگاری اش را به آن الهام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فی ظلال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از آیت الله حسینی حایری است که برای منع زن از قضاوت به‌کار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فی الفقه الاسلامی،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شمس الدین، الاجتهاد و الحیاة،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الحسینی،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محمدحسین فضل الله، همین منبع،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الحائری، القضاء فی الفقه الاسلامی،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الموسوی الاردبیلی، فقه‌القضاء،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اشتراط الذکورة فذلک ظاهرا فیما لم‌یجز للمرأة امر، واما فی غیر ذلک فلانعلم له دلیلاً واضحاً، نعم ذلک هو المشهور فلو کان اجماعاً، فلا بحث و الا فالمنع بالکلیة محل بحث، اذا لا محذور بشهادة النساء مع سماع شهادتهن بین المرأتین مثلا بشیء مع اتصافها بشرائط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ترجمه وتفسیر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آنکه بحث نقص عقل زن از مباحثی است که تحلیل همه‌جانبه آن به دلیل عمق و گستره آن در این مختصر نمی 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این مباحث ضمن ارائه سر نخ‌هایی از مسأله، گامی به جلو محسوب شود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احمق لا رأی له یرجع الیه؛ ابن‌فارس؛ معجم 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الافن قلة العقل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همین مضمون با اندکی تفاوت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عن احمد، عن الجامورانی، عن الحسن بن علی بن ابی حمزة، عن صندل، عن ابن مسکان، 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ایاکم و مشاورة النساء، فان فیهن الضعف و الوهن و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اسانیده،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البلاغة، جعفر شهیدی،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و اسانیده،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محمد بن الحسن الفاضل الهندی، کشف اللثام،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 مهدی النراقی، مستند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ابوالقاسم الخویی، مبانی تکملة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القضاء والحدود،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حسینی تهرانی، رساله بدیعه،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محمدحسین حسینی تهرانی، ولایت فقیه و حکومت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سعیدیان و محمدحسین رجبی،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حسینعلی منتظری، مبانی فقهی حکومت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صلواتی،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 از آن در همین کتاب ذیل روایات منع از مشاوره با زنان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نمونه‌های دیگر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محمد بن یزید الربعی، سنن ابن ماجه،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عبدالباقی،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رسالة بدیعة،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زن در آیینه جلال و جمال،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مفسران،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اضواء علی السنة المحمدیة،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العلامه الحلی، نجم الدین، معارج الاصول،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فوق هرچند از نظر سندی اعتبار لازم را ندارند، مضامین آنها متواتر دانسته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الخویی، البیان فی تفسیر القرآن،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مضمون این روایات اجمالاً نزد اکثریت، بلکه همه فقها پذیرفته شده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حداقل بدان جهت است که از برخی از این آیات بعضی فقها وجوب شورا را در امر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باید تشکل و اداره آن بر اساس نظام شورایی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موسی، الدین والدلة والامة عند الامام مهدی شمس الدین،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ائتمروا به، اذا هموا به و تشاوروا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الائتمار و الاستئمار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محمدحسین نایینی، تنبیه الامة و تنزیه الملة،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ورعی،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الدینوری،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باقر شریف القرشی، حیاة المحرر الاعظم الرسول الاکرم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الحمدونیة،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اسماعیل ابن کثیر،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تحلیل فقهی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مختلف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برای مطالعه روایات دیگر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منبع،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استبد برأیه هلک، و من شاور الرجال شارکها فی عقولها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الرجال و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فقها تصریح کرده‌اند که یکی از مقدمات اطمینان و وثوق به روایت، موافقت مضمون آن با روح قواعد عقلی و اصول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السیستانی، الرافد فی‌علم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که در انطباق مضمون این دست روایات با روح خردگرایی اسلامی از طریق رایزنی‌های سالم تردید نیست، نیازی به بحث سندی نیست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زن در آیینه جلال وجمال،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قبلی، ادامه آیات مشاوره، پاورقی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حیاة محرر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سیرت رسول الله،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الدین اسحاق همدانی،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ری‌شهری، منتخب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مرتضی عاملی، الصحیح من سیرة النبی الاعظم،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المحرر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نخست 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ارتباط نازل شده است که برخی از زنان آن حضرت با توسل به بهانه‌های مختلف می‌خواستند روابط ایشان را با برخی زنان دیگرش محدود کنند، برای مطالعه اقوال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المحرر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ابن اثیر، تاریخ کامل،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روحانی،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زن لبابه و مادر عبدالله بن عباس، دومین زن صحابی است که بعد از خدیجه ایمان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الجمل،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ناحیه غربی دریای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جنگ که صد و ده روز طول کشید، هفتاد هزار کشته بر جا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خلیل جمعه، نساء من عصر التابعات،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القلقشندی، صبح الاعشی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زرقاء، عکرشه و ام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عقد الفرید در مقدمه آن آورده که در این کتاب جوهر جواهر، چکیده جامع‌ترین و لب لباب کلام را برگزیده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مرتضی مطهری، 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النیشابوری، المستدرک،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المرعشی،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احمد بن حنبل،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حذف روات قبل از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الهیثمی، مجمع الزوائد و منبع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الاصابة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اخرج الجوزجانی فی تاریخه من طریق ابی راشد الحبرانی،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بمسکن مع معاویة، فبعث الی عبدالرحمن بن 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من فقهاء اصحاب رسول الله صلی الله علیه وسلم و قدمائهم، فقم فی الناس، و عظهم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ادوار، تحولات و اهداف منع نشر حدیث،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فروع الکافی؛ موسوعة الکتب الاربعة،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الفرفخ،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روایی، یکی از عوامل مؤثر در رشد خرد، همین گیاه فرفخ معرفی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خرفه؛ زیرا زیرکی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اگر چیزی به خرد بیفزاید، همان خرفه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ری‌شهری، خردگرایی در قرآن وحدیث،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مکارم الاخلاق،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مرتضوی،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بانوان در حدیث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تخصصی علوم حدیث،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بلاغات النساء،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حجون نام کوهی در ناحیه بلندی مکه که قبرستان اهالی آن هم همان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البدان،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نمونه‌های دیگر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عکرشه در صفین، منبع پیشین،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یوسف صانعی، پیام زن،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محمد بن یعقوب، عن علی بن ابراهیم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الحسن بن ابی الحسین الفارسی، عن عبدالرحمن بن زید، عن ابیه، 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فریضة علی کل مسلم، الا ان الله یحب بغاة العلم؛ فراگیری علم بر هر مسلمانی واجب است؛ آگاه باشید که خدا جویندگان علم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العلم و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تفاوتی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چند حدیث مسلم داشته باشیم که فریقین آن را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باشند، یکی همین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همان، ده گفتار،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زن در آیینه جلال و جمال،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غزالی، کیمیایی سعادت، تصحیح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الشدیاق درباره اینکه چرا تحصیل علم زن در جامعه عرب همواره مفسده‌آمیز تلقی شده،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پندار آنها زن وقتی اولین ترکیب الفبا را یاد می‌گیرد، برای عاشقش نامه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برای جلوگیری از فساد کوشش شده از سبب آن جلوگیری کنند؛ درحالی‌که حیای فطری زن از هر مانعی برای صیانتش قوی‌تر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بوعلی یاسین، حقوق المرأة فی الکتابة العربیة منذ عصر النهضة، حقوق الانسان فی الفکر العربی،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الیزدی،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مسأله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اسلام با استناد به منابع اسلامی فتوا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به هیچ وجه حق ممانعت از شوهر از تجدید فراش ندارد و نباید از خانه بدون اذن او بیرون رود و شوهر حق دارد هرچه که بخواهد، اقدام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السعداوی،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استراتیجیة الادماج المرأة العربیة وتعیتها فی الحرکة القومیة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بولتن مرجع فمنیسم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کمالی، جامعه مدنی، دولت و نوسازی در ایران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کماال پولادی،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و سیاست ویراست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دراین زمینه گرد آوری شده است، برای شرح و بررسی،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نخستین بار به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بغداد، در قطع رقعی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با چاپ سربی توسط مطبعه حیدری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چاپ آن در ایران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مقدمه و توضیحات آیت الله سید محمود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جدیدترین چاپ آن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تصحیح و تحقیق سید محمدجواد ورعی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آن به زبان عربی در شماره پنجم مجله الموسم به سال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سوی محمد سعید الطریحی در لبنان منتشر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الامة وتنزیه الملة،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محمدجواد ورعی،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هرایر دکمجیان، جنبش‌های اسلامی در جهان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احمدی،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الشهید الصدر، الاسلام یقود الحیاة،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آلوسی، روح المعانی فی‌تفسیر القران العظیم،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الراغب الاصفهانی، الذریعة الی‌مکارم الشریعه، ص </w:t>
      </w:r>
      <w:r>
        <w:rPr>
          <w:rFonts w:eastAsia="IRNazanin" w:cs="IRNazanin"/>
          <w:b w:val="false"/>
          <w:bCs w:val="false"/>
          <w:i w:val="false"/>
          <w:iCs w:val="false"/>
          <w:color w:val="333333"/>
          <w:sz w:val="20"/>
          <w:szCs w:val="20"/>
        </w:rPr>
        <w:t>25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امیر ساعد و پوریا عسکری، قانون اساسی در نظم حقوقی کنونی، با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حبیبی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درآمدی بر فقه سیاسی،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مجلس تحت عنوان قوه مقننه یاد کرده و نیز در اصل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صلاحیت و اختیار مجلس را قانون گذاری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اسلامی در عموم مسائل در حدود مقرر در قانون اساسی می‌تواند قانون وضع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در نظم حقوقی کنونی،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فقه سیاسی،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 شورای اسلامی حق تحقیق و تفحص در تمام امور کشور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قانون اساسی در نظم حقوقی کنونی،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 الحیاة،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ینبثق عن الامة بالانتخاب المباشر، مجلس وهو مجلس الحل والعقد ویقوم هذالمجلس بالوظائف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اعضاء الحکومة التی یشکلها رئیس السلطة التنفذیة؛ثانیا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احدی البدائل من الاجتهادات المشروعة؛ثالثا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 منطقة الفراغ بتشریع قوانین مناسبته؛رابعا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علی سیر تطبق الدستور والقوانین والمراقبة السلطة التنفذیة ومناقشها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نظریه‌های دولت در فقه شیعه،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قلمرو وکالت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وکالت در شئون حکومتی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اذعان محسن کدیور این نوع تحلیل از حکومت نخستین بار در ابتغاء الفضیلة فی شرح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مکاسب 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ارکان این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دولت در فقه شیعه،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حائری یزدی، حکمت و حکومت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حقیقت، توزیع قدرت در اندیشه سیاسی شیعه،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انوار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نظریه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همو، پرسش‌ها و پاسخ‌ها،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پرسش‌ها و پاسخ‌ها،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نائینی نیز در پاسخ کسانی که دخالت مردم در سیاست به شکل نمایندگی در مجلس را زیر سؤال برده بود، به این ادله تمسک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حسبیه بودن وظایف سیاسیه، شورویه‌بودن اصل سلطنت اسلامیه، پرداخت مالیات از جانب مردم که از این بابت حق نظارت دارند و منع از تجاوزات در باب نهی‌ازمنکر اقتضا می‌کنند که به انتخاب ملت صورت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درکل دیدگاه ایشان جانب مشروعیت مردمی 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مبانی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صحت انعقاد امامت به انتخاب امت، افزون 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عقلی و نقلی را، طرح و به آنها استدلال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اعتباری که این اثر در حوزه اندیشه سیاسی پیدا کرده، این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مشروعیت مردمی یا نظریه 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ایشان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تحلیل و به‌ویژه نقد این دیدگاه،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نظام سیاسی در اسلام،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نجفی اسفاد و فرید محسنی، حقوق اساسی جمهوری اسلامی ایران،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در نظم حقوقی کنونی،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نیز معتقد است مفهوم انتخابات درباره نمایندگان مجلس به همان معنای وکالت مصطلح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عین همین استدلال را برای استقلال مجلس خبرگان هم 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اول،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مهدی حائری، وکالت در حکومت تماماً منطبق بر همان وکالت فقهی است و از نظر جواز و لزوم هم تفاوت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صرفاً یک وکالت و نمایندگی از سوی مالکان حقیقی که شهروندانند بیش نیست و معلوم است قرارداد وکالت و نمایندگی از هر جهت پیوسته در اختیار موکلین است؛ زیرا وکالت به گفته فقیهان ماهیتا ًیک قرارداد جایز و غیر لازم الایفا است و موکل یا موکلین هر زمان که بخواهند، می‌توانند قرارداد مزبور را یک‌سویه حل و فسخ نمایند و وکیل هم پیوسته در اختیار و زیر نظر موکل خود تنها مسؤلیت‌هایی را که در دایره وکالت اوست، انجام می‌دهد و حق تجاوز از محدوده وکالت و نمایندگی خود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حکومت،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دیدگاه را دکتر قرضاوی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الحاکم فی نظرالاسلام وکیل عن الامة او اجیر عندها، ومن حق الاصیل ان‌یحاسب الوکیل او یحسب منه الوکالة ان شاء؛ حاکم در دیدگاه اسلامی وکیل یا اجیر است و به همین جهت، امت حق دارد به‌عنوان اصیل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وکیل حساب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اگر بخواهد، وکالت را از او بازپس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القرضاوی، من فقه الدولة،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اهلیة المرأة لتولی السلطة،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عن مبهمات الشریعة الغراء،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قلمرو وکالت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تحولات این دوره و تحلیل مواضع امام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پزشکی و دیگران، انقلاب اسلامی و چرایی و چگونگی رخداد آن، ویراست و چاپ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تحلیل موضع امام در قبال مسائل زن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نظام سیاسی و دولت در اسلام،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اندیشة امام خمینی، تبیان، دفتر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مهدی، فی الاجتماع السیاسی الاسلامی،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اول آبان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مراسم یکصد هزار نفری میلاد کوثر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اوّل من استشهد فی سبیل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عزالدین علی بن محمد الجزری، اسد الغابة فی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فبایعهم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عندالعقبة علی بیعة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وفق بیعة النساء التی نزلت بعد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السمهودی،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دوازدهم بعثت دوازده نفر از اهل یثرب در عقبه با رسول خدا دیدار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عقبه همان جمره عقبه در منی است؛ جایی که مسجد البیعه نیز در کنار آن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دیدار با رسول خدا طبق آنچه در محتوای بیعه النساء آمده است، بیعت کردند البته تفاوت‌های اندکی هم میان موادهای این دو آمده است که چندان بااهمیت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العقبة الاولی علی ان لانشرک بالله شیئاَ ولانسرق، ولانزنی ولانقتل اولادنا، ولانأتی ببهتان نفتریه من بین ایدینا وارجلنا ولا نعصیه فی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ولایعصینک فی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مجمع البیان این گونه توضیح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جمیع ما یأمرهنّ به،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تمهید القواعد،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الشهید محمد باقر الصدر، بحوث اسلامیة،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محمد حسین فضل الله، الاجتهاد والحیاة،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معتقد است رأی در نظام انتخاباتی جدید با بیعت تفاوت ماهوی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پیام زن، سال اول،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ملکه در قرآن ذکر نشده، ولی اکثر مفسران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سرزمینی بوده در یمن واقع در جنوب غربی جزیرة العرب که تا قرن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پادشاهان سبا یکی از مهدهای تمدن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الاعلام،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السید محمد باقر الحکیم، القصص القرآنی،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 الله علینا شیئاً من الاخبار السالفة الا لنعتبربه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تفسیر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القصص یکشف عن مبادی ثابتة فی الشریعة الاسلامیة یمکن للفقیه ان‌یاخذها فی‌اعتبارها عند البحث عن الحکم الشرعی و الاستدلال علیه فی مقام الاجتهاد و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 الدین، الستر والنظر،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از سید محمد طنطاوی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القصه فی القران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قصص الانبیا فی ظلال القرآن، اعداد و تحقیق و 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ابومحمد الجیالی،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دمشقی نیز از قول حسن بصری تعبیر زننده‌ای را درباره ملکه سبا که مردم حکومت خویش را بدو سپرده بودند،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شمس الدین،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عبدالفتاح الخالدی، مع القصص السابقین فی‌القرآن،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القرطبی، الجامع لاحکام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الامام الثعلبی، الکشف والبیان،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عاشور،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قتاده نقل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ماکان اعقلها فی‌اسلامها وفی‌شرکها، علمت ان الهدیة تقع موقع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عماره دختر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نسیبه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بیعت عقبه حضور داشته، همراه با شوهرش زید بن عاصم در جنگ احد شرکت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بیعت رضوان هم حضور داشته و در جنگ یمامه جزء مبارزان بوده است که دوازده زخم بر بدنش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منیع دختر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خدیج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شباث در شب بیعت عقبه متولد شد در بیعت عقبه خدیج با همسرش ام منیع هردو حضور داشتند، از زنانی است که اسلام آورده و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کرده است گفته شده در جنگ خیبر هم همراه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دارالفکر،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طبع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احمد بن یحیی البلاذری،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سیره رسول خدا،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ویژگی‌های این بیعت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 رمضان البوطی، فقه السیرة،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رواس قلعه جی، قرائة سیاسیة للسیرة النبویة،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به‌طورکلی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عبارتی سه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بیعت عمومی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عقبه و دیگری در جریان صلح حدیبه که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بیعت‌های عمومی که مهم‌ترین آنها همین بیعت عقبه دوم و بیعت رضوان است، زن‌ها حضور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التراتیب الاداریة به نقل از ابن جوزی شمار زنانی که به شکل انفرادی یا عمومی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کرده‌اند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عبدالحی الکتانی، نظام الحکومة النبویة،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بالتراتیب الاداریة،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منبع به نقل از قرطبی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مبایعته لاصحابه بحسب ما یحتاج الیه، من تجدید عهد او توکید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زکار،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الکتانی، 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مؤلفات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الاسلام یقود الحیاة،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آصفی، البیعة السیاسیة، مجلة الفکر الجدید، سال دوم،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شریعت پناهی، بایسته‌های حقوق اساسی،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فصل چهارم، کارویژه‌های مجلس شوری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الامر بالمعروف،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جمله ای است که در روایات ازامربه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فریضه ای تعبیر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تقام الفرائض، یا استقامة الفرائض یا قوام الشریعه،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الریشهری، 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ترتیب ص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قبل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مشارکت سیاسی زنان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عابدی،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 الحیاه،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شمس الدین، همان، فی الاجتماع السیاسی،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همین فصل، بحث مبنای مشروعیت وکالت مجلس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القرضاوی، ضوابط تشریح المرأة للمجلس النیابیة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islamonline.net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عبدالحلم ابوشقه، المشارکة النسویه فی المجلس النیابیة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 www.blagh</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جایگاه این نهاد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حسبه از ریشه حسب به معنای نظارت و اطلاع به قصد آزمودن، معادل رسیدگی در فارسی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المصطفوی، التحقیق فی کلمات القرآن الکریم،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فقها همان امربه‌معروف و نهی‌ازمنکر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الطریحی، مجمع البحرین،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علی بن محمد الماوردی، الاحکام السلطانیة والولایات العامة،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خلیفه،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الدروس الشرعیة فی‌فقه الامامیة،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اخوه، محمد بن محمد القرشی، معالم القربة فی‌احکام الحسبة،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کیمیایی سعادت، به کوشش خدیو 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عبد البرالقرطبی، الاستیعاب فی معرفة الاصحاب،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معوض و احمد عبد الموجود،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ظافر القاسمی، نظام الحکم فی الشریعة والتاریخ،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کوک، امر به معروف و نهی‌ازمنکر در اندیشه اسلامی، ترجمه، احمد نمایی،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چالمتا خندرن، ارباب بازار در اسپانیا،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علی بن احمد بن حزم الاندلسی، جمهرة انساب العرب،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همان، المحلی بالاثار،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البغدادی،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البدایه والنهایه،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المعجم الفقهی، ویراست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در فلسطین اشغالی زنان هنوز هم در سمت محتسب بازار در برخی شهرها ایفای مسؤلیت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الحسبة بطولة الدور النسوی و اسئلة التنمیه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www.amanjordan.org</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الله صرامی، حسبه یک نهاد حکومتی دراسلام،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محمد عبدالله، ولایة الحسبة فی‌الاسلام،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حقوق و سیاست در قرآن،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نشر و حفظ آثار حضرت آیت الله العظمی خامنه‌ای، درس خارج فقه، جلسه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1379/12/7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تنبیه الامة و تنزیه الملة،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حقوق و سیاست در قرآن،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السباعی، المرأة بین الفقه والقانون،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الیوسف القرضاوی، من فقه الدولة فی الاسلام،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متقابل مردم و حکومت،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 در اندیشه اسلامی این است که حقیقت شورا در زندگی مردم تحقق پیدا نماید، بدون آنکه شیوه مشخصی را برایش معین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ابوفارس، حکم الشوری فی الاسلام ونتیجتها،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باقر الموسوی، الشوری والدیمقراطیة،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کفایی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شارع صرف تحققش را خواسته است، بدون آنکه انجام آن را به صنف و نوعی خاص مقید کرده باشد؛ مثل غسل میت که امری واجب است، ولی هرکس اقدام کرد، چه جمعی و چه فردی، واجب تحقق یافته و از عهده دیگران ساقط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المشکینی، مصطلحات الاصول،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عبدالمعطی محمد بیومی، ولایة المرأة شرعیتها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فقه‌پژوهی،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القیوم سجادی، مبانی تحزب در اندیشه سیاسی اسلام،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متقابل مردم و حکومت،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ناجی راد، موانع مشارکت زنان،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حسینی تهرانی، انوار الملکوت،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همین عبارات با کژتابی ملایم در فلسفه خلقت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وجدی، المرأة المسلمة،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رسائل حجابیه،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ترکمان، مدرس در پنج دورة تقنینیة،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علیجانی،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بیداری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فردا،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ویژه نوروز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مهرانگیز کار، موانع مشارکت سیاسی زنان،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فواران، مقاومت شکننده، تحولات اجتماعی ایران از صفویه تا سال‌های پس از انقلاب،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تدین،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راد،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شکننده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حسین تهرانی، ولایت فقیه و حکومت در اسلام، تنظیم و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سعیدیان و محمدحسین راجی،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راد، 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راد،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اهلیة المرأة لتولی السلطة،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زن ریحانه آفرینش، تهیه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آثار،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راد، 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یوسف البحرانی، الحدائق الناضرة، 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الایروانی و یوسف البقاعی،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یرتبط عمل المرأة المسلمه بالدعوة الی تحریرها عن طریق رفع الحجاب وازالة 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مسلم یوسف، المحماة،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 وَ یَحْفَظُوا فُرُوجَهُمْ ذلِکَ أَزْکی لَهُمْ إِنَّ اللّهَ خَبِیرٌ بِما یَصْنَعُونَ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پوشش را مشخص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آیه شیعه وسنی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در هوای گرم مدینه زنی جوان و زیبا درحالی‌که طبق معمول روسری خود را به پشت و گردن انداخته بود و دور گردن و بناگوشش پیدا بود، از کوچه عبور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اصحاب رسول خدا از طرف مقابل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منظره زیبا سخت نظر او را جلب کرد و چنان غرق تماشای آن زن زیبا شد که از خودش و اطرافش غافل گشت و جلو خود را نگاه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وارد کوچه ای شد و جوان با چشم خود او را دنبال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می‌رفت ناگهان استخوان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دیوار بیرون آمده بود، به صورتش خورد و صورتش را مجروح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خود آمد که خون از سر و صورتش جاری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حال به حضور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ماجرا را به عرض رساند، اینجا بود که آیه مبارکه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صافی و تفسیر درالمنثور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نکته باید یادآوری شود که معمولا این حدیث که از ماجرای بازبودن بناگوش و دور گردن زنی و نگاه‌های شهوت آلود و عمدی مردی حکایت می‌کند، در کتب اهل حدیث و مفسران به‌عنوان شأن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لِلْمُؤْمِنِینَ یَغُضُّوا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می‌شود و در ابتدا چنین به نظر می‌رسد که با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لِلْمُؤْمِناتِ یَغْضُضْنَ مِنْ أَبْصارِهِنَّ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ارتباطی ندارد و حال آنکه این دو آیه با هم نازل شده‌اند و همچنان که آیه اول تکلیف نگاه مرد را روشن می‌کند، آیه دوم به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یُبْدِینَ زِینَتَهُنَّ إِلاّ ما ظَهَرَ مِنْها وَ لْیَضْرِبْنَ بِخُمُرِهِنَّ عَلی جُیُوبِهِنَّ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زنان را روشن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آیه همین است که در تفسیر صافی این حدیث را ذیل آیه دوم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محمدمهدی شمس الدین، الستر والنظر،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حقوق الزوجیة،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ضمانات شرعیة لتحصین عمل المرأة من الاختلاط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دیدگاه‌های موجود راجع به زنان،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مشارکت اجتماعی زنان،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رویکردهای مذهبی در تاریخ معاصر ایران به زن،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مجله آیینه پژوهش،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شایستگی زنان برای قضاوت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حکومت اسلامی، سال دوم،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اینکه زنان از تصدی مناصب حکومتی بر اساس یک ملاک مشترک منع می‌شوند،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الحسینی الشیرازی،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بدیعه،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بیشتر دیدگاه ایشان در آخر فصل گذشته تحت عنوان ناگفته‌ها بند الف مرور 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رساله الاسلام، سال چهارم،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برخی اساساً معقولیت تصرف وکیل، شرط وکالت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یشترط فی الوکیل ان‌یکون ممن یعقل التصرف الذی وکل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رواس قلعه جی، الموسوعة الفقهیة المیسرة،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 پور، حقوق زن در کشاکش سنت و تجدد، ص </w:t>
      </w:r>
      <w:r>
        <w:rPr>
          <w:rFonts w:eastAsia="IRNazanin" w:cs="IRNazanin"/>
          <w:b w:val="false"/>
          <w:bCs w:val="false"/>
          <w:i w:val="false"/>
          <w:iCs w:val="false"/>
          <w:color w:val="333333"/>
          <w:sz w:val="20"/>
          <w:szCs w:val="20"/>
        </w:rPr>
        <w:t>163</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بدیعة فی‌تفسیر آیة شریفة الرجال قوامون علی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در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تألیف و از سوی انتشارت حکمت نشر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آن از سوی جمعی از نویسندگان را نیز همان ناشر در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 عنوان ترجمه رساله بدیعه منتشر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این کتاب را ناشران متعددی چاپ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هر دو متن در پایگاه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www.Maarefislam.Com</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رساله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قَوّامُونَ عَلَی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جستاری در فیمینیسم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تابعیت و جنسیت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تقوی دهقانی،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محمدهادی معرفت،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مؤسسه پژوهشی و آموزشی امام خمینی،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به علت عدم دسترسی نتوانستیم از یافته‌های آن استفاده کنیم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مدیر شانه‌چی، آیات الاحکام،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رازی، حسین بن علی بن احمد الخزاعی النیشابوری، روض الجنان وروح الجنان فی تفسیر القرآن،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یاحقی و محمد مهدی ناصح،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الجواد الکاظمی، مسالک الافهام الی آیات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الباقر البهبودی،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المقداد، کنزالعرفان فی فقه القرآن، مقدمه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العقیقی البخشایشی،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رسالة بدیعه،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بدیعه،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حکومت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حکیم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نشوز و ضرب از نگاهی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پژوهش‌های قرآنی، ویژه زن درقرآن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درباره پیوند عقل و ایمان،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مهدی‌زاده، آیین عقل ورزی،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نقصان عقل زن،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فصل سوم، تأمل در ناسازگاری نقصان عقل زن با قرآن و جهان‌بینی اسلامی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رسالة بدیعه،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فصل دوم، ذیل آیه شهادت، بحث تجدیدنظر در معنای عقل در ادبیات روایی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اهلیة المرأة لتولی السلطه،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القرآن، ص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العلماء من قوله تعالی وبما انفقوا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متی عجز عن نفقها لم‌یکن قواما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الجامع لاحکام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مرتفع، و به سرپیچی زن از اطاعت شوهر و نیز جفای مرد بر همسرش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اسماعیل الجوهری،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آنها با این رفتار نوعی برتری جسته و مانع از تسلط همدیگر می‌شوند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السیداحمد الخوانساری، جامع المدارک،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سیدطباطبایی قمی درباره عدم حق امتناع زوجه در برابر نشوز زوج ذیل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نکاح منهاج الصالحین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الدلیل علی جواز نشوزها، وبعبارة اخری بمقتضی الادلة حرمة نشوزها ولو مع نشوز الزوج؛ مبانی منهاج الصالحین،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منظور ایشان از ادله همان ادله اطاعت زن در برابر شوهر است که گویا به گفته ایشان اطلاق دارد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رساله توضیح المسائل،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الشیخ الانصاری، المکاسب،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تحقیق تراث الشیخ الاعظم،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و تحقیق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 الدین، حقوق الزوجیه،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احکام النساء،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مسالک الافهام،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السیدعلی الطباطبایی، ریاض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جلدی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التفسیر 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از ماهیت و حدود حاکمیت مرد در خانه،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آیات الاحکام،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همان؛ زن در آیینه جلال و جمال،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شمس الدین، الاجتهاد والتقلید،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زن در آیینه جلال و جمال،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زینب ابراهیم شوربا، نحوفهم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الموسوی البجنوردی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محمد الغروی، المرأة فی الشریعة الاسلامیة،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رسالة بدیعة،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جمشیدی و دیگران، جستاری در هستی شناسی زن،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ناشایستگی زنان برای قضاوت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حکومت اسلامی، سال دوم،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با تفسیری که در قرن هشتم از این آیه شده، شباهت بسیار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ناقصة الظاهر والباطن فی الصورة والمعنی، فیکمل نقص ظاهرها وصورتها بلبس الحلی وما فی معناها، لیجبر ما فیها من النقص، واما نقص معناها، فانها ضعیفة عاجزة عن الانتصار لاعبارة لها ولا 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اسماعیل ابن کثیر دمشقی، تفسیر القرآن العظیم،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الحاج،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کسری وقیصر؛ احمد البیهقی،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لایاتم الرجل بامرأة،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لایول الوالی امرأة ولا فاسقا ولا جاهلا امر القضاء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الحسن ابن شعبة الحرانی، تحف العقول عن آل الرسول،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الحجر العسقلانی، سبل السلام شرح بلوغ المرام، ص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عارف علی عارف، تولی المرأة منصب القضاء بین تراثنا الفقهی والواقع المعاصر، التجدید،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مالزی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الاسلام، سال چهارم،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التقریب بین المذاهب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پژوهش‌های قدس رضوی، ط </w:t>
      </w:r>
      <w:r>
        <w:rPr>
          <w:rFonts w:eastAsia="IRNazanin" w:cs="IRNazanin"/>
          <w:b w:val="false"/>
          <w:bCs w:val="false"/>
          <w:i w:val="false"/>
          <w:iCs w:val="false"/>
          <w:color w:val="333333"/>
          <w:sz w:val="20"/>
          <w:szCs w:val="20"/>
        </w:rPr>
        <w:t>2:1991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و دیگران، زن و انتخابات،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بدیعه،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الحسینی الشیرازی،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میرزاعلی مشکینی، اصطلاحات الاصول،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الخبرالضعیف لایکون حجة فی نفسه علی الفرض، کذالک فتوی المشهور غیرحجة علی الفرض ایضاً وانضمام غیرحجة الی غیرالحجة لایوجب الحجیة، فان انضمام العدم الی العدم لاینتج الا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هذاکله من حیث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الصغری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استناد المشهور الی الخبرالضعیف فی مقام العمل والفتوی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فاثباتها اشکل من الکبری، لان مراد القائلین بالانجبار هو الانجبار بعمل قدماء الاصحاب باعتبار قرب عهدهم بزمان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والقدماء لم‌یتعرضوا للاستدلال فی‌کتبهم لیعلم استنادهم الی الخبر الضعیف، وانما المذکور فی کتبهم مجرد الفتوی والمتعرض الاستدلال انما هو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المسبوط، فمن این یستکشف عمل قدماء الاصحاب بخبر ضعیف واستنادهم الیه، غایة الامر انا نجد فتوی منهم مطابقة لخبرالضعیف، ومجرد المطابقة لایدل علی انهم استندوا فی‌هذه الفتوی الی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الخویی، مصباح الاصول،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السیدمحمد سرور الواعظ الحسینی البهسودی،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والعلة فی ذالک کله تولی المرأة فی قیادة الامة، لان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 عدم الفلاح علی المرأة تتولی امور القوم ولم یات فی الفاظ الرسول بیان اوصاف اخری او تخص صذالک بقوم او بزمن اوببلد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انور، حافظ، ولایة المرأة فی الفقه الاسلامی، دار بلنسیة للنشر والتوزیع، المملکة العرببه السعودیه، ط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وجمال،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باستانی پاریزی، جامع المقدمات،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التواریخ والقصص،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نواده مهلب پسر محمد شادی،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الدین نجم آبادی زیگفروید،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مدت حکومت او یک سال و چهار ماه بوده است، در برخی منابع دیگر هم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آرتور کیرستین، ایران در زمان ساسانیان،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یاسمی،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والقصص،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عده ای از فقها در یک مسأله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اتفاقی که انسان از آن به موافقت معصوم قطع پیدا کند، بنابراین، خود اتفاق حکم شرعی نخواهد بود، بلکه چون کاشف از قول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دیدگاه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حجت خواهد بود؛ یعنی امکان دارد انسان از توافق عده‌ای در یک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مبنای لطف یا تراکم 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به موافقت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صورت نقش اجماع نقش خبر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خبر لفظا کاشف از قول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اجماع حدسا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ماهیت اجماع،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اصول الفقه،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الشهید السید محمدباقر الصدر، دروس فی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رسالة بدیعه،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لایفلح قوم ولیتهم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کاملا فی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الخلقة والاحکام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کمال الاحکام، فان یکون بالغا عاقلا ذکرا فان المرأة لاینعقد لها القضاء بحال،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ان تکون المرأة قاضیة، والاول 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کتاب شرایع الاسلام فی مسائل الحلال والحرام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نظر تبویب و جامعیت بهترین کتاب فقهی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تألیف تا الان در همه مراکز علمی تشیع جزء متون درسی بوده است و در تمام این مدت فقها بحث و تدریس خویش را بر محور آن ساماندهی می‌کرده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زیادی از موسوعه‌های فقه شیعه که بعد از این کتاب نگاشته شده، شرح شرایع محقق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مجموعه‌هایی که مشخصاً تحت عنوان شرح بر این کتاب تألیف شده، بالغ بر هشتاد عنوان کتاب می‌شود؛ یعنی به طور میانگین در هر قرن افزون بر ده شرح برای این کتاب در حوزه‌های فقه شیعه تألیف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آغابزرگ تهرانی، محمد محسن، الذریعه الی تصانیف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دروس خارج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آموزشی پژوهشی فیضیه،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تحصیلی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ابوالقاسم الخویی، مبانی‌تکملة المنهاج، موسوعة الامام الخویی،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القضاء والشهادات،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السید محمد کاظم الیزدی الطباطبایی، تکملة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پس از ذکر شرایط شش‌گانه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عقل کامل، ایمان، عدالت، پاکزادی، علم مرد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نقل اجماع از سوی صاحب مسالک و ریاض مبنی بر اعتبار این شرایط،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جز برای سومی و ششمی قائل به اجماع است؛ جواهرالکلام،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احمد، مجمع الفائده والبرهان،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قمی، ابوالقاسم محمد حسن، جامع الشتات،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محمدتقی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مجلسی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المتقین،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موسوی و شیخ علی پناه اشتهاردی،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فضل الله، دنیاء المرأة،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قمی، قوانین الاصول،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تقریر فارسی،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محقق داماد، اصول فقه، دفتر دوم،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وسیاست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بدیعه،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الفاضل الصفار، فقه الدوله،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قدامه، المغنی والشرح الکبیر علی متن المقنع،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تهرانی، ولایت فقیه و حکومت در اسلام،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سعیدی و محمدحسین رجبی،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کمبریج، زیرنظر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هولت و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لمبتون،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این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الدر الصالحیة ام خلیل، الملقبة بعصمة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ملکة مصر ذکر شده است؛ خیر الدین، کلی،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سکه به نام این زن این عبارت حک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المستعصمة الصالحیة، ملکة المسلمین، والدة الملک المنصور خلیل امیرالمؤمنین؛ خیرالدین،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تاریخ گزیده،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نوایی،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مدت حکومت رسمی او را هشت ماه گفته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القلقشندی، صبح الاعشی،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همان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ادموند باسورث کلیفورد، سلسله‌های اسلامی جدید،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بدره ای،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عارف علی عارف است؛ التجدید، مالزی،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 المرأه منصب القضاء بین تراثنا الفقهی والواقع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اول، ع </w:t>
      </w:r>
      <w:r>
        <w:rPr>
          <w:rFonts w:eastAsia="IRNazanin" w:cs="IRNazanin"/>
          <w:b w:val="false"/>
          <w:bCs w:val="false"/>
          <w:i w:val="false"/>
          <w:iCs w:val="false"/>
          <w:color w:val="333333"/>
          <w:sz w:val="20"/>
          <w:szCs w:val="20"/>
        </w:rPr>
        <w:t>2:1997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علاقه‌مند بود زنان رسول خدا در پرده باشند و بیرون نروند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این مطلب را درمیان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زنان پیغمبر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اختیار با من بود، چشمی شما را نمی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روز بر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شما با سایر زنان فرق دارید؛ همچنان‌که شوهر شما با سایر مردان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به پرده درشوید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همسر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در خانه ما نازل می‌شود و آنگاه تو نسبت به ما غیرت می‌ورزی وتکلیف معین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الکشاف دار احیاء التراث،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مطهری، 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ص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حیات خود یکی از دروازه‌های مسجد را به زنان اختصاص داده بود؛ سنن ابی‌داود،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شرکت زنان در مسجد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حضور زنان در مسجد در دوره پیامبراکرم مسلم است، اما بعدا زن‌ها از حضور در آن منع می‌شوند تا آنکه معتبرترین کتاب‌های اخلاقی به‌جای آنکه از سنت عصر رسول تمجید کند، از سنتی که بعدها حضور زن را در مسجد ممنوع کرده تمجید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نمونه‌ها قابل‌توجه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قد اذن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للنساء فی‌حضور المسجد والصواب الان المنع الا العجائز بل استصوب ذالک فی زمن الصحابه؛ غزالی، 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والصواب الیوم ان‌یمنعن من المساجد الا العجائز وقد استصوب ذالک فی زمن الصحابه؛ محسن فیض الکاشانی، المحجة البیضاء فی تهذیب الاحیاء،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ابوالقاسم خویی، 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فتاوی آیت الله محمدحسین الوحید الخراسانی،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اجماعیات فقه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ماهیت وکالت،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وکالت در اصطلاح</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پیام زن،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درباره ماهیت نظام انتخابات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بعد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مافکر می‌کنیم رأی دادن وکیل گرفتن است و وکیل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عمومی برای زن و مرد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ما حقیقت رأی دادن همان وکالت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نمایندگان واقعی مردم طبقه حاکمه نیستند، همان نماینده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نمایندگانی هستند که هر چیزی را که تصویب می‌کنند، چون مردم آنها را انتخاب کرده‌اند و وکیل کرده اند، تصویبشان هم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قانونی که آنها می‌گذارند، جز تصویب چیز دیگری نیست؛ تصویبی است که چون تو خودت او را وکیل قرار دادی، حکَم کردی، اگر تصویب کرد؛ مجاز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آغاز فصل پنجم، وکالت زن در مجلس شورا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مبانی اقتصاد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فقه‌پژوهی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بین الفقه والقانون،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خویی در بحث شرط رجولیت مفتی پس از رد ادله روایی مسأله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مذاق شارع استفاده می‌کنیم که رغبت شرع نسبت به فعالیت زن در خانه‌داری و تحجب و تستر است و روشن است که تصدی مقام افتا با این وظایف زن در تضاد است؛ چون عادتاً ریاست و اداره جامعه مقتضی آن است که انسان خود را در معرض مراجعه و پرسش مردم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شارع به دخالت زن در امور اجتماع و زعامت مسلمین راضی می‌شود، درحالی‌که به امامت زن در نماز جماعت رضایت نداده است؟ روی این جهت سیره عقلا مبنی بر رجوع جاهل به عالم که در آن زن و مرد بودن دخالت ندارد، تقیید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الخویی، التنقیح فی شرح العروة الوثقی،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الغروی،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حوزه پانزده سال پیش در نقد این رویکرد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دستگاه و سیستمی به هم پیوسته است و دریافت مذاق شرع در یک بخش بدون تصویر و برداشتی کلی از شریعت نادرست و غیرممکن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به مذاق شریعت در تکامل علوم، رشد و توسعه، رفاه، گسترش بهداشت، استقلال وخودکفایی اقتصادی و ده‌ها مسأله دیگر بی توجه بود و تنها از زاویه چند روایت مربوط به بحث زنان به مذاق شریعت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دریافت ذائقه شریعت نبایستی به اقوال معصومان کفایت کرد، بلکه بایستی قرآن و سیره و افعال پیامبر 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مورد مطالعه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زنان پیامبر و امامان و یا دختران و نزدیکان آنان چگونه عمل می‌کردند؟ بهترین رهیافت به مذاق شریعت روش و الگویی است که زنان در صدر اسلام پذیرفته‌اند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ارتباطات بیرونی جامعه زنان تقلیل یافت؟ یا به تعبیر شهید مطهری فقط حریم پیدا کرد؟ حوزه،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 الحیاة،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خامنه‌ای، مراسم میلاد کوثر، روزنامه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وکالت زن در مجلس شورا از منظر فقه امامیه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سروش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عدم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سیاسی، سال هفتم،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محمدتقی جعفری، حکمت اصول سیاسی اسلامی،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رعی به‌معنای زمین سرسبز و چراگاه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حیوانات را به چرا می‌برد، راعی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روی، کسی که امور جمعی را اداره کند، راعی آنهاست و قوم و جمعیت تحت اداره او رعیت؛ الفراهیدی، کتاب العین،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خود گله و رمه هم گفته شده است؛ جرجس ناصیف و جوزیف الیاس، المنار،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اصل آزاد بوده است، اما ازسوی قدرت تحت غلبه قرار گرفته و به بندگی کشیده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الصحاح،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ابوعمر،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و تحقیق بیشتر درباره این اصل،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شبستری، تأملاتی در قرائت انسانی از دین،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اثر، معنای محصل اصل عدم ولایت، به مفهوم حاکمیت الهی در مفهوم حقوقی آن، انکار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نویسنده اذعان داشته که اصل مذکور از پیشینه تاریخی در فقه برخوردار نیست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82052</Words>
  <Characters>328536</Characters>
  <CharactersWithSpaces>408022</CharactersWithSpaces>
  <Paragraphs>3212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2026-08-19T01:49:06Z</dcterms:created>
  <dc:creator>ghaemiyeh.com</dc:creator>
  <dc:description/>
  <dc:language>en-US</dc:language>
  <cp:lastModifiedBy/>
  <dcterms:modified xsi:type="dcterms:W3CDTF">2026-08-19T05:19:17Z</dcterms:modified>
  <cp:revision>1</cp:revision>
  <dc:subject/>
  <dc:title>بررسی فقهی وکالت زن در دعاوی و مجلس</dc:title>
</cp:coreProperties>
</file>

<file path=docProps/custom.xml><?xml version="1.0" encoding="utf-8"?>
<Properties xmlns="http://schemas.openxmlformats.org/officeDocument/2006/custom-properties" xmlns:vt="http://schemas.openxmlformats.org/officeDocument/2006/docPropsVTypes"/>
</file>