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دروس فی تاریخ الفقه و ادواره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27310_581953129">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127312_581953129">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127314_581953129">
            <w:r>
              <w:rPr>
                <w:webHidden/>
                <w:rStyle w:val="IndexLink"/>
                <w:rtl w:val="true"/>
              </w:rPr>
              <w:t>کلمة الناشر</w:t>
            </w:r>
            <w:r>
              <w:rPr>
                <w:rStyle w:val="IndexLink"/>
                <w:rtl w:val="true"/>
              </w:rPr>
              <w:tab/>
            </w:r>
            <w:r>
              <w:rPr>
                <w:rStyle w:val="IndexLink"/>
              </w:rPr>
              <w:t>9</w:t>
            </w:r>
          </w:hyperlink>
        </w:p>
        <w:p>
          <w:pPr>
            <w:pStyle w:val="Contents2"/>
            <w:tabs>
              <w:tab w:val="clear" w:pos="8743"/>
              <w:tab w:val="right" w:pos="9026" w:leader="dot"/>
            </w:tabs>
            <w:rPr/>
          </w:pPr>
          <w:hyperlink w:anchor="__RefHeading___Toc1127316_581953129">
            <w:r>
              <w:rPr>
                <w:webHidden/>
                <w:rStyle w:val="IndexLink"/>
                <w:rtl w:val="true"/>
              </w:rPr>
              <w:t>الفهرس</w:t>
            </w:r>
            <w:r>
              <w:rPr>
                <w:rStyle w:val="IndexLink"/>
                <w:rtl w:val="true"/>
              </w:rPr>
              <w:tab/>
            </w:r>
            <w:r>
              <w:rPr>
                <w:rStyle w:val="IndexLink"/>
              </w:rPr>
              <w:t>11</w:t>
            </w:r>
          </w:hyperlink>
        </w:p>
        <w:p>
          <w:pPr>
            <w:pStyle w:val="Contents2"/>
            <w:tabs>
              <w:tab w:val="clear" w:pos="8743"/>
              <w:tab w:val="right" w:pos="9026" w:leader="dot"/>
            </w:tabs>
            <w:rPr/>
          </w:pPr>
          <w:hyperlink w:anchor="__RefHeading___Toc1127318_581953129">
            <w:r>
              <w:rPr>
                <w:webHidden/>
                <w:rStyle w:val="IndexLink"/>
                <w:rtl w:val="true"/>
              </w:rPr>
              <w:t>مقدمة</w:t>
            </w:r>
            <w:r>
              <w:rPr>
                <w:rStyle w:val="IndexLink"/>
                <w:rtl w:val="true"/>
              </w:rPr>
              <w:tab/>
            </w:r>
            <w:r>
              <w:rPr>
                <w:rStyle w:val="IndexLink"/>
              </w:rPr>
              <w:t>14</w:t>
            </w:r>
          </w:hyperlink>
        </w:p>
        <w:p>
          <w:pPr>
            <w:pStyle w:val="Contents2"/>
            <w:tabs>
              <w:tab w:val="clear" w:pos="8743"/>
              <w:tab w:val="right" w:pos="9026" w:leader="dot"/>
            </w:tabs>
            <w:rPr/>
          </w:pPr>
          <w:hyperlink w:anchor="__RefHeading___Toc1127320_581953129">
            <w:r>
              <w:rPr>
                <w:webHidden/>
                <w:rStyle w:val="IndexLink"/>
              </w:rPr>
              <w:t>1</w:t>
            </w:r>
            <w:r>
              <w:rPr>
                <w:rStyle w:val="IndexLink"/>
                <w:rtl w:val="true"/>
              </w:rPr>
              <w:t>-</w:t>
            </w:r>
            <w:r>
              <w:rPr>
                <w:rStyle w:val="IndexLink"/>
                <w:rtl w:val="true"/>
              </w:rPr>
              <w:t>تمهید</w:t>
            </w:r>
            <w:r>
              <w:rPr>
                <w:rStyle w:val="IndexLink"/>
                <w:rtl w:val="true"/>
              </w:rPr>
              <w:tab/>
            </w:r>
            <w:r>
              <w:rPr>
                <w:rStyle w:val="IndexLink"/>
              </w:rPr>
              <w:t>16</w:t>
            </w:r>
          </w:hyperlink>
        </w:p>
        <w:p>
          <w:pPr>
            <w:pStyle w:val="Contents3"/>
            <w:tabs>
              <w:tab w:val="clear" w:pos="8459"/>
              <w:tab w:val="right" w:pos="9026" w:leader="dot"/>
            </w:tabs>
            <w:rPr/>
          </w:pPr>
          <w:hyperlink w:anchor="__RefHeading___Toc1127322_581953129">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1127324_581953129">
            <w:r>
              <w:rPr>
                <w:webHidden/>
                <w:rStyle w:val="IndexLink"/>
              </w:rPr>
              <w:t>1</w:t>
            </w:r>
            <w:r>
              <w:rPr>
                <w:rStyle w:val="IndexLink"/>
                <w:rtl w:val="true"/>
              </w:rPr>
              <w:t xml:space="preserve">- </w:t>
            </w:r>
            <w:r>
              <w:rPr>
                <w:rStyle w:val="IndexLink"/>
                <w:rtl w:val="true"/>
              </w:rPr>
              <w:t>تعریف الفقه والاجتهاد</w:t>
            </w:r>
            <w:r>
              <w:rPr>
                <w:rStyle w:val="IndexLink"/>
                <w:rtl w:val="true"/>
              </w:rPr>
              <w:tab/>
            </w:r>
            <w:r>
              <w:rPr>
                <w:rStyle w:val="IndexLink"/>
              </w:rPr>
              <w:t>16</w:t>
            </w:r>
          </w:hyperlink>
        </w:p>
        <w:p>
          <w:pPr>
            <w:pStyle w:val="Contents3"/>
            <w:tabs>
              <w:tab w:val="clear" w:pos="8459"/>
              <w:tab w:val="right" w:pos="9026" w:leader="dot"/>
            </w:tabs>
            <w:rPr/>
          </w:pPr>
          <w:hyperlink w:anchor="__RefHeading___Toc1127326_581953129">
            <w:r>
              <w:rPr>
                <w:webHidden/>
                <w:rStyle w:val="IndexLink"/>
              </w:rPr>
              <w:t>2</w:t>
            </w:r>
            <w:r>
              <w:rPr>
                <w:rStyle w:val="IndexLink"/>
                <w:rtl w:val="true"/>
              </w:rPr>
              <w:t xml:space="preserve">- </w:t>
            </w:r>
            <w:r>
              <w:rPr>
                <w:rStyle w:val="IndexLink"/>
                <w:rtl w:val="true"/>
              </w:rPr>
              <w:t>مصادر التشریع</w:t>
            </w:r>
            <w:r>
              <w:rPr>
                <w:rStyle w:val="IndexLink"/>
                <w:rtl w:val="true"/>
              </w:rPr>
              <w:tab/>
            </w:r>
            <w:r>
              <w:rPr>
                <w:rStyle w:val="IndexLink"/>
              </w:rPr>
              <w:t>17</w:t>
            </w:r>
          </w:hyperlink>
        </w:p>
        <w:p>
          <w:pPr>
            <w:pStyle w:val="Contents4"/>
            <w:tabs>
              <w:tab w:val="clear" w:pos="8176"/>
              <w:tab w:val="right" w:pos="9026" w:leader="dot"/>
            </w:tabs>
            <w:rPr/>
          </w:pPr>
          <w:hyperlink w:anchor="__RefHeading___Toc1127328_581953129">
            <w:r>
              <w:rPr>
                <w:webHidden/>
                <w:rStyle w:val="IndexLink"/>
                <w:rtl w:val="true"/>
              </w:rPr>
              <w:t>اشارة</w:t>
            </w:r>
            <w:r>
              <w:rPr>
                <w:rStyle w:val="IndexLink"/>
                <w:rtl w:val="true"/>
              </w:rPr>
              <w:tab/>
            </w:r>
            <w:r>
              <w:rPr>
                <w:rStyle w:val="IndexLink"/>
              </w:rPr>
              <w:t>17</w:t>
            </w:r>
          </w:hyperlink>
        </w:p>
        <w:p>
          <w:pPr>
            <w:pStyle w:val="Contents4"/>
            <w:tabs>
              <w:tab w:val="clear" w:pos="8176"/>
              <w:tab w:val="right" w:pos="9026" w:leader="dot"/>
            </w:tabs>
            <w:rPr/>
          </w:pPr>
          <w:hyperlink w:anchor="__RefHeading___Toc1127330_581953129">
            <w:r>
              <w:rPr>
                <w:webHidden/>
                <w:rStyle w:val="IndexLink"/>
                <w:rtl w:val="true"/>
              </w:rPr>
              <w:t>أ</w:t>
            </w:r>
            <w:r>
              <w:rPr>
                <w:rStyle w:val="IndexLink"/>
                <w:rtl w:val="true"/>
              </w:rPr>
              <w:t xml:space="preserve">) </w:t>
            </w:r>
            <w:r>
              <w:rPr>
                <w:rStyle w:val="IndexLink"/>
                <w:rtl w:val="true"/>
              </w:rPr>
              <w:t>الکتاب</w:t>
            </w:r>
            <w:r>
              <w:rPr>
                <w:rStyle w:val="IndexLink"/>
                <w:rtl w:val="true"/>
              </w:rPr>
              <w:tab/>
            </w:r>
            <w:r>
              <w:rPr>
                <w:rStyle w:val="IndexLink"/>
              </w:rPr>
              <w:t>17</w:t>
            </w:r>
          </w:hyperlink>
        </w:p>
        <w:p>
          <w:pPr>
            <w:pStyle w:val="Contents4"/>
            <w:tabs>
              <w:tab w:val="clear" w:pos="8176"/>
              <w:tab w:val="right" w:pos="9026" w:leader="dot"/>
            </w:tabs>
            <w:rPr/>
          </w:pPr>
          <w:hyperlink w:anchor="__RefHeading___Toc1127332_581953129">
            <w:r>
              <w:rPr>
                <w:webHidden/>
                <w:rStyle w:val="IndexLink"/>
                <w:rtl w:val="true"/>
              </w:rPr>
              <w:t>ب</w:t>
            </w:r>
            <w:r>
              <w:rPr>
                <w:rStyle w:val="IndexLink"/>
                <w:rtl w:val="true"/>
              </w:rPr>
              <w:t xml:space="preserve">) </w:t>
            </w:r>
            <w:r>
              <w:rPr>
                <w:rStyle w:val="IndexLink"/>
                <w:rtl w:val="true"/>
              </w:rPr>
              <w:t>السنّة</w:t>
            </w:r>
            <w:r>
              <w:rPr>
                <w:rStyle w:val="IndexLink"/>
                <w:rtl w:val="true"/>
              </w:rPr>
              <w:tab/>
            </w:r>
            <w:r>
              <w:rPr>
                <w:rStyle w:val="IndexLink"/>
              </w:rPr>
              <w:t>20</w:t>
            </w:r>
          </w:hyperlink>
        </w:p>
        <w:p>
          <w:pPr>
            <w:pStyle w:val="Contents4"/>
            <w:tabs>
              <w:tab w:val="clear" w:pos="8176"/>
              <w:tab w:val="right" w:pos="9026" w:leader="dot"/>
            </w:tabs>
            <w:rPr/>
          </w:pPr>
          <w:hyperlink w:anchor="__RefHeading___Toc1127334_581953129">
            <w:r>
              <w:rPr>
                <w:webHidden/>
                <w:rStyle w:val="IndexLink"/>
                <w:rtl w:val="true"/>
              </w:rPr>
              <w:t>ج</w:t>
            </w:r>
            <w:r>
              <w:rPr>
                <w:rStyle w:val="IndexLink"/>
                <w:rtl w:val="true"/>
              </w:rPr>
              <w:t xml:space="preserve">) </w:t>
            </w:r>
            <w:r>
              <w:rPr>
                <w:rStyle w:val="IndexLink"/>
                <w:rtl w:val="true"/>
              </w:rPr>
              <w:t>الإجماع</w:t>
            </w:r>
            <w:r>
              <w:rPr>
                <w:rStyle w:val="IndexLink"/>
                <w:rtl w:val="true"/>
              </w:rPr>
              <w:tab/>
            </w:r>
            <w:r>
              <w:rPr>
                <w:rStyle w:val="IndexLink"/>
              </w:rPr>
              <w:t>20</w:t>
            </w:r>
          </w:hyperlink>
        </w:p>
        <w:p>
          <w:pPr>
            <w:pStyle w:val="Contents4"/>
            <w:tabs>
              <w:tab w:val="clear" w:pos="8176"/>
              <w:tab w:val="right" w:pos="9026" w:leader="dot"/>
            </w:tabs>
            <w:rPr/>
          </w:pPr>
          <w:hyperlink w:anchor="__RefHeading___Toc1127336_581953129">
            <w:r>
              <w:rPr>
                <w:webHidden/>
                <w:rStyle w:val="IndexLink"/>
                <w:rtl w:val="true"/>
              </w:rPr>
              <w:t>د</w:t>
            </w:r>
            <w:r>
              <w:rPr>
                <w:rStyle w:val="IndexLink"/>
                <w:rtl w:val="true"/>
              </w:rPr>
              <w:t xml:space="preserve">) </w:t>
            </w:r>
            <w:r>
              <w:rPr>
                <w:rStyle w:val="IndexLink"/>
                <w:rtl w:val="true"/>
              </w:rPr>
              <w:t>العقل</w:t>
            </w:r>
            <w:r>
              <w:rPr>
                <w:rStyle w:val="IndexLink"/>
                <w:rtl w:val="true"/>
              </w:rPr>
              <w:tab/>
            </w:r>
            <w:r>
              <w:rPr>
                <w:rStyle w:val="IndexLink"/>
              </w:rPr>
              <w:t>21</w:t>
            </w:r>
          </w:hyperlink>
        </w:p>
        <w:p>
          <w:pPr>
            <w:pStyle w:val="Contents3"/>
            <w:tabs>
              <w:tab w:val="clear" w:pos="8459"/>
              <w:tab w:val="right" w:pos="9026" w:leader="dot"/>
            </w:tabs>
            <w:rPr/>
          </w:pPr>
          <w:hyperlink w:anchor="__RefHeading___Toc1127338_581953129">
            <w:r>
              <w:rPr>
                <w:webHidden/>
                <w:rStyle w:val="IndexLink"/>
              </w:rPr>
              <w:t>3</w:t>
            </w:r>
            <w:r>
              <w:rPr>
                <w:rStyle w:val="IndexLink"/>
                <w:rtl w:val="true"/>
              </w:rPr>
              <w:t xml:space="preserve">- </w:t>
            </w:r>
            <w:r>
              <w:rPr>
                <w:rStyle w:val="IndexLink"/>
                <w:rtl w:val="true"/>
              </w:rPr>
              <w:t>مکانة الاجتهاد فی الفقه الإسلامی</w:t>
            </w:r>
            <w:r>
              <w:rPr>
                <w:rStyle w:val="IndexLink"/>
                <w:rtl w:val="true"/>
              </w:rPr>
              <w:tab/>
            </w:r>
            <w:r>
              <w:rPr>
                <w:rStyle w:val="IndexLink"/>
              </w:rPr>
              <w:t>23</w:t>
            </w:r>
          </w:hyperlink>
        </w:p>
        <w:p>
          <w:pPr>
            <w:pStyle w:val="Contents3"/>
            <w:tabs>
              <w:tab w:val="clear" w:pos="8459"/>
              <w:tab w:val="right" w:pos="9026" w:leader="dot"/>
            </w:tabs>
            <w:rPr/>
          </w:pPr>
          <w:hyperlink w:anchor="__RefHeading___Toc1127340_581953129">
            <w:r>
              <w:rPr>
                <w:webHidden/>
                <w:rStyle w:val="IndexLink"/>
              </w:rPr>
              <w:t>4</w:t>
            </w:r>
            <w:r>
              <w:rPr>
                <w:rStyle w:val="IndexLink"/>
                <w:rtl w:val="true"/>
              </w:rPr>
              <w:t xml:space="preserve">- </w:t>
            </w:r>
            <w:r>
              <w:rPr>
                <w:rStyle w:val="IndexLink"/>
                <w:rtl w:val="true"/>
              </w:rPr>
              <w:t>الحاجة إلی تاریخ الفقه</w:t>
            </w:r>
            <w:r>
              <w:rPr>
                <w:rStyle w:val="IndexLink"/>
                <w:rtl w:val="true"/>
              </w:rPr>
              <w:tab/>
            </w:r>
            <w:r>
              <w:rPr>
                <w:rStyle w:val="IndexLink"/>
              </w:rPr>
              <w:t>24</w:t>
            </w:r>
          </w:hyperlink>
        </w:p>
        <w:p>
          <w:pPr>
            <w:pStyle w:val="Contents3"/>
            <w:tabs>
              <w:tab w:val="clear" w:pos="8459"/>
              <w:tab w:val="right" w:pos="9026" w:leader="dot"/>
            </w:tabs>
            <w:rPr/>
          </w:pPr>
          <w:hyperlink w:anchor="__RefHeading___Toc1127342_581953129">
            <w:r>
              <w:rPr>
                <w:webHidden/>
                <w:rStyle w:val="IndexLink"/>
              </w:rPr>
              <w:t>5</w:t>
            </w:r>
            <w:r>
              <w:rPr>
                <w:rStyle w:val="IndexLink"/>
                <w:rtl w:val="true"/>
              </w:rPr>
              <w:t xml:space="preserve">- </w:t>
            </w:r>
            <w:r>
              <w:rPr>
                <w:rStyle w:val="IndexLink"/>
                <w:rtl w:val="true"/>
              </w:rPr>
              <w:t>المناهج المتّبعة فی تاریخ الفقه</w:t>
            </w:r>
            <w:r>
              <w:rPr>
                <w:rStyle w:val="IndexLink"/>
                <w:rtl w:val="true"/>
              </w:rPr>
              <w:tab/>
            </w:r>
            <w:r>
              <w:rPr>
                <w:rStyle w:val="IndexLink"/>
              </w:rPr>
              <w:t>24</w:t>
            </w:r>
          </w:hyperlink>
        </w:p>
        <w:p>
          <w:pPr>
            <w:pStyle w:val="Contents2"/>
            <w:tabs>
              <w:tab w:val="clear" w:pos="8743"/>
              <w:tab w:val="right" w:pos="9026" w:leader="dot"/>
            </w:tabs>
            <w:rPr/>
          </w:pPr>
          <w:hyperlink w:anchor="__RefHeading___Toc1127344_581953129">
            <w:r>
              <w:rPr>
                <w:webHidden/>
                <w:rStyle w:val="IndexLink"/>
              </w:rPr>
              <w:t>2</w:t>
            </w:r>
            <w:r>
              <w:rPr>
                <w:rStyle w:val="IndexLink"/>
                <w:rtl w:val="true"/>
              </w:rPr>
              <w:t xml:space="preserve">- </w:t>
            </w:r>
            <w:r>
              <w:rPr>
                <w:rStyle w:val="IndexLink"/>
                <w:rtl w:val="true"/>
              </w:rPr>
              <w:t>العهد التأسیسی للتشریع</w:t>
            </w:r>
            <w:r>
              <w:rPr>
                <w:rStyle w:val="IndexLink"/>
                <w:rtl w:val="true"/>
              </w:rPr>
              <w:tab/>
            </w:r>
            <w:r>
              <w:rPr>
                <w:rStyle w:val="IndexLink"/>
              </w:rPr>
              <w:t>26</w:t>
            </w:r>
          </w:hyperlink>
        </w:p>
        <w:p>
          <w:pPr>
            <w:pStyle w:val="Contents3"/>
            <w:tabs>
              <w:tab w:val="clear" w:pos="8459"/>
              <w:tab w:val="right" w:pos="9026" w:leader="dot"/>
            </w:tabs>
            <w:rPr/>
          </w:pPr>
          <w:hyperlink w:anchor="__RefHeading___Toc1127346_581953129">
            <w:r>
              <w:rPr>
                <w:webHidden/>
                <w:rStyle w:val="IndexLink"/>
                <w:rtl w:val="true"/>
              </w:rPr>
              <w:t>اشارة</w:t>
            </w:r>
            <w:r>
              <w:rPr>
                <w:rStyle w:val="IndexLink"/>
                <w:rtl w:val="true"/>
              </w:rPr>
              <w:tab/>
            </w:r>
            <w:r>
              <w:rPr>
                <w:rStyle w:val="IndexLink"/>
              </w:rPr>
              <w:t>26</w:t>
            </w:r>
          </w:hyperlink>
        </w:p>
        <w:p>
          <w:pPr>
            <w:pStyle w:val="Contents3"/>
            <w:tabs>
              <w:tab w:val="clear" w:pos="8459"/>
              <w:tab w:val="right" w:pos="9026" w:leader="dot"/>
            </w:tabs>
            <w:rPr/>
          </w:pPr>
          <w:hyperlink w:anchor="__RefHeading___Toc1127348_581953129">
            <w:r>
              <w:rPr>
                <w:webHidden/>
                <w:rStyle w:val="IndexLink"/>
              </w:rPr>
              <w:t>1</w:t>
            </w:r>
            <w:r>
              <w:rPr>
                <w:rStyle w:val="IndexLink"/>
                <w:rtl w:val="true"/>
              </w:rPr>
              <w:t xml:space="preserve">- </w:t>
            </w:r>
            <w:r>
              <w:rPr>
                <w:rStyle w:val="IndexLink"/>
                <w:rtl w:val="true"/>
              </w:rPr>
              <w:t>معالم التشریع الإسلامی</w:t>
            </w:r>
            <w:r>
              <w:rPr>
                <w:rStyle w:val="IndexLink"/>
                <w:rtl w:val="true"/>
              </w:rPr>
              <w:tab/>
            </w:r>
            <w:r>
              <w:rPr>
                <w:rStyle w:val="IndexLink"/>
              </w:rPr>
              <w:t>26</w:t>
            </w:r>
          </w:hyperlink>
        </w:p>
        <w:p>
          <w:pPr>
            <w:pStyle w:val="Contents4"/>
            <w:tabs>
              <w:tab w:val="clear" w:pos="8176"/>
              <w:tab w:val="right" w:pos="9026" w:leader="dot"/>
            </w:tabs>
            <w:rPr/>
          </w:pPr>
          <w:hyperlink w:anchor="__RefHeading___Toc1127350_581953129">
            <w:r>
              <w:rPr>
                <w:webHidden/>
                <w:rStyle w:val="IndexLink"/>
                <w:rtl w:val="true"/>
              </w:rPr>
              <w:t>اشارة</w:t>
            </w:r>
            <w:r>
              <w:rPr>
                <w:rStyle w:val="IndexLink"/>
                <w:rtl w:val="true"/>
              </w:rPr>
              <w:tab/>
            </w:r>
            <w:r>
              <w:rPr>
                <w:rStyle w:val="IndexLink"/>
              </w:rPr>
              <w:t>26</w:t>
            </w:r>
          </w:hyperlink>
        </w:p>
        <w:p>
          <w:pPr>
            <w:pStyle w:val="Contents4"/>
            <w:tabs>
              <w:tab w:val="clear" w:pos="8176"/>
              <w:tab w:val="right" w:pos="9026" w:leader="dot"/>
            </w:tabs>
            <w:rPr/>
          </w:pPr>
          <w:hyperlink w:anchor="__RefHeading___Toc1127352_581953129">
            <w:r>
              <w:rPr>
                <w:webHidden/>
                <w:rStyle w:val="IndexLink"/>
                <w:rtl w:val="true"/>
              </w:rPr>
              <w:t>أ</w:t>
            </w:r>
            <w:r>
              <w:rPr>
                <w:rStyle w:val="IndexLink"/>
                <w:rtl w:val="true"/>
              </w:rPr>
              <w:t xml:space="preserve">) </w:t>
            </w:r>
            <w:r>
              <w:rPr>
                <w:rStyle w:val="IndexLink"/>
                <w:rtl w:val="true"/>
              </w:rPr>
              <w:t>التدرّج فی التشریع</w:t>
            </w:r>
            <w:r>
              <w:rPr>
                <w:rStyle w:val="IndexLink"/>
                <w:rtl w:val="true"/>
              </w:rPr>
              <w:tab/>
            </w:r>
            <w:r>
              <w:rPr>
                <w:rStyle w:val="IndexLink"/>
              </w:rPr>
              <w:t>26</w:t>
            </w:r>
          </w:hyperlink>
        </w:p>
        <w:p>
          <w:pPr>
            <w:pStyle w:val="Contents4"/>
            <w:tabs>
              <w:tab w:val="clear" w:pos="8176"/>
              <w:tab w:val="right" w:pos="9026" w:leader="dot"/>
            </w:tabs>
            <w:rPr/>
          </w:pPr>
          <w:hyperlink w:anchor="__RefHeading___Toc1127354_581953129">
            <w:r>
              <w:rPr>
                <w:webHidden/>
                <w:rStyle w:val="IndexLink"/>
                <w:rtl w:val="true"/>
              </w:rPr>
              <w:t>ب</w:t>
            </w:r>
            <w:r>
              <w:rPr>
                <w:rStyle w:val="IndexLink"/>
                <w:rtl w:val="true"/>
              </w:rPr>
              <w:t xml:space="preserve">) </w:t>
            </w:r>
            <w:r>
              <w:rPr>
                <w:rStyle w:val="IndexLink"/>
                <w:rtl w:val="true"/>
              </w:rPr>
              <w:t>شمولیة التشریع</w:t>
            </w:r>
            <w:r>
              <w:rPr>
                <w:rStyle w:val="IndexLink"/>
                <w:rtl w:val="true"/>
              </w:rPr>
              <w:tab/>
            </w:r>
            <w:r>
              <w:rPr>
                <w:rStyle w:val="IndexLink"/>
              </w:rPr>
              <w:t>28</w:t>
            </w:r>
          </w:hyperlink>
        </w:p>
        <w:p>
          <w:pPr>
            <w:pStyle w:val="Contents4"/>
            <w:tabs>
              <w:tab w:val="clear" w:pos="8176"/>
              <w:tab w:val="right" w:pos="9026" w:leader="dot"/>
            </w:tabs>
            <w:rPr/>
          </w:pPr>
          <w:hyperlink w:anchor="__RefHeading___Toc1127356_581953129">
            <w:r>
              <w:rPr>
                <w:webHidden/>
                <w:rStyle w:val="IndexLink"/>
                <w:rtl w:val="true"/>
              </w:rPr>
              <w:t>ج</w:t>
            </w:r>
            <w:r>
              <w:rPr>
                <w:rStyle w:val="IndexLink"/>
                <w:rtl w:val="true"/>
              </w:rPr>
              <w:t xml:space="preserve">) </w:t>
            </w:r>
            <w:r>
              <w:rPr>
                <w:rStyle w:val="IndexLink"/>
                <w:rtl w:val="true"/>
              </w:rPr>
              <w:t>سعة آفاق التشریع</w:t>
            </w:r>
            <w:r>
              <w:rPr>
                <w:rStyle w:val="IndexLink"/>
                <w:rtl w:val="true"/>
              </w:rPr>
              <w:tab/>
            </w:r>
            <w:r>
              <w:rPr>
                <w:rStyle w:val="IndexLink"/>
              </w:rPr>
              <w:t>28</w:t>
            </w:r>
          </w:hyperlink>
        </w:p>
        <w:p>
          <w:pPr>
            <w:pStyle w:val="Contents3"/>
            <w:tabs>
              <w:tab w:val="clear" w:pos="8459"/>
              <w:tab w:val="right" w:pos="9026" w:leader="dot"/>
            </w:tabs>
            <w:rPr/>
          </w:pPr>
          <w:hyperlink w:anchor="__RefHeading___Toc1127358_581953129">
            <w:r>
              <w:rPr>
                <w:webHidden/>
                <w:rStyle w:val="IndexLink"/>
              </w:rPr>
              <w:t>2</w:t>
            </w:r>
            <w:r>
              <w:rPr>
                <w:rStyle w:val="IndexLink"/>
                <w:rtl w:val="true"/>
              </w:rPr>
              <w:t xml:space="preserve">- </w:t>
            </w:r>
            <w:r>
              <w:rPr>
                <w:rStyle w:val="IndexLink"/>
                <w:rtl w:val="true"/>
              </w:rPr>
              <w:t>النبی صلی الله علیه و آله والاجتهاد</w:t>
            </w:r>
            <w:r>
              <w:rPr>
                <w:rStyle w:val="IndexLink"/>
                <w:rtl w:val="true"/>
              </w:rPr>
              <w:tab/>
            </w:r>
            <w:r>
              <w:rPr>
                <w:rStyle w:val="IndexLink"/>
              </w:rPr>
              <w:t>29</w:t>
            </w:r>
          </w:hyperlink>
        </w:p>
        <w:p>
          <w:pPr>
            <w:pStyle w:val="Contents3"/>
            <w:tabs>
              <w:tab w:val="clear" w:pos="8459"/>
              <w:tab w:val="right" w:pos="9026" w:leader="dot"/>
            </w:tabs>
            <w:rPr/>
          </w:pPr>
          <w:hyperlink w:anchor="__RefHeading___Toc1127360_581953129">
            <w:r>
              <w:rPr>
                <w:webHidden/>
                <w:rStyle w:val="IndexLink"/>
              </w:rPr>
              <w:t>3</w:t>
            </w:r>
            <w:r>
              <w:rPr>
                <w:rStyle w:val="IndexLink"/>
                <w:rtl w:val="true"/>
              </w:rPr>
              <w:t xml:space="preserve">- </w:t>
            </w:r>
            <w:r>
              <w:rPr>
                <w:rStyle w:val="IndexLink"/>
                <w:rtl w:val="true"/>
              </w:rPr>
              <w:t>اجتهاد النبی وتسرب الخطأ إلیه</w:t>
            </w:r>
            <w:r>
              <w:rPr>
                <w:rStyle w:val="IndexLink"/>
                <w:rtl w:val="true"/>
              </w:rPr>
              <w:tab/>
            </w:r>
            <w:r>
              <w:rPr>
                <w:rStyle w:val="IndexLink"/>
              </w:rPr>
              <w:t>30</w:t>
            </w:r>
          </w:hyperlink>
        </w:p>
        <w:p>
          <w:pPr>
            <w:pStyle w:val="Contents3"/>
            <w:tabs>
              <w:tab w:val="clear" w:pos="8459"/>
              <w:tab w:val="right" w:pos="9026" w:leader="dot"/>
            </w:tabs>
            <w:rPr/>
          </w:pPr>
          <w:hyperlink w:anchor="__RefHeading___Toc1127362_581953129">
            <w:r>
              <w:rPr>
                <w:webHidden/>
                <w:rStyle w:val="IndexLink"/>
              </w:rPr>
              <w:t>4</w:t>
            </w:r>
            <w:r>
              <w:rPr>
                <w:rStyle w:val="IndexLink"/>
                <w:rtl w:val="true"/>
              </w:rPr>
              <w:t xml:space="preserve">- </w:t>
            </w:r>
            <w:r>
              <w:rPr>
                <w:rStyle w:val="IndexLink"/>
                <w:rtl w:val="true"/>
              </w:rPr>
              <w:t>الاجتهاد فی عصر النبی صلی الله علیه و آله</w:t>
            </w:r>
            <w:r>
              <w:rPr>
                <w:rStyle w:val="IndexLink"/>
                <w:rtl w:val="true"/>
              </w:rPr>
              <w:tab/>
            </w:r>
            <w:r>
              <w:rPr>
                <w:rStyle w:val="IndexLink"/>
              </w:rPr>
              <w:t>32</w:t>
            </w:r>
          </w:hyperlink>
        </w:p>
        <w:p>
          <w:pPr>
            <w:pStyle w:val="Contents3"/>
            <w:tabs>
              <w:tab w:val="clear" w:pos="8459"/>
              <w:tab w:val="right" w:pos="9026" w:leader="dot"/>
            </w:tabs>
            <w:rPr/>
          </w:pPr>
          <w:hyperlink w:anchor="__RefHeading___Toc1127364_581953129">
            <w:r>
              <w:rPr>
                <w:webHidden/>
                <w:rStyle w:val="IndexLink"/>
              </w:rPr>
              <w:t>5</w:t>
            </w:r>
            <w:r>
              <w:rPr>
                <w:rStyle w:val="IndexLink"/>
                <w:rtl w:val="true"/>
              </w:rPr>
              <w:t xml:space="preserve">- </w:t>
            </w:r>
            <w:r>
              <w:rPr>
                <w:rStyle w:val="IndexLink"/>
                <w:rtl w:val="true"/>
              </w:rPr>
              <w:t>اجتهاد الصحابة بعد رحیل النبی صلی الله علیه و آله</w:t>
            </w:r>
            <w:r>
              <w:rPr>
                <w:rStyle w:val="IndexLink"/>
                <w:rtl w:val="true"/>
              </w:rPr>
              <w:tab/>
            </w:r>
            <w:r>
              <w:rPr>
                <w:rStyle w:val="IndexLink"/>
              </w:rPr>
              <w:t>33</w:t>
            </w:r>
          </w:hyperlink>
        </w:p>
        <w:p>
          <w:pPr>
            <w:pStyle w:val="Contents2"/>
            <w:tabs>
              <w:tab w:val="clear" w:pos="8743"/>
              <w:tab w:val="right" w:pos="9026" w:leader="dot"/>
            </w:tabs>
            <w:rPr/>
          </w:pPr>
          <w:hyperlink w:anchor="__RefHeading___Toc1127366_581953129">
            <w:r>
              <w:rPr>
                <w:webHidden/>
                <w:rStyle w:val="IndexLink"/>
              </w:rPr>
              <w:t>3</w:t>
            </w:r>
            <w:r>
              <w:rPr>
                <w:rStyle w:val="IndexLink"/>
                <w:rtl w:val="true"/>
              </w:rPr>
              <w:t xml:space="preserve">- </w:t>
            </w:r>
            <w:r>
              <w:rPr>
                <w:rStyle w:val="IndexLink"/>
                <w:rtl w:val="true"/>
              </w:rPr>
              <w:t>الاجتهاد فی عصر الأئمّة</w:t>
            </w:r>
            <w:r>
              <w:rPr>
                <w:rStyle w:val="IndexLink"/>
                <w:rtl w:val="true"/>
              </w:rPr>
              <w:tab/>
            </w:r>
            <w:r>
              <w:rPr>
                <w:rStyle w:val="IndexLink"/>
              </w:rPr>
              <w:t>34</w:t>
            </w:r>
          </w:hyperlink>
        </w:p>
        <w:p>
          <w:pPr>
            <w:pStyle w:val="Contents3"/>
            <w:tabs>
              <w:tab w:val="clear" w:pos="8459"/>
              <w:tab w:val="right" w:pos="9026" w:leader="dot"/>
            </w:tabs>
            <w:rPr/>
          </w:pPr>
          <w:hyperlink w:anchor="__RefHeading___Toc1127368_581953129">
            <w:r>
              <w:rPr>
                <w:webHidden/>
                <w:rStyle w:val="IndexLink"/>
                <w:rtl w:val="true"/>
              </w:rPr>
              <w:t>اشارة</w:t>
            </w:r>
            <w:r>
              <w:rPr>
                <w:rStyle w:val="IndexLink"/>
                <w:rtl w:val="true"/>
              </w:rPr>
              <w:tab/>
            </w:r>
            <w:r>
              <w:rPr>
                <w:rStyle w:val="IndexLink"/>
              </w:rPr>
              <w:t>34</w:t>
            </w:r>
          </w:hyperlink>
        </w:p>
        <w:p>
          <w:pPr>
            <w:pStyle w:val="Contents3"/>
            <w:tabs>
              <w:tab w:val="clear" w:pos="8459"/>
              <w:tab w:val="right" w:pos="9026" w:leader="dot"/>
            </w:tabs>
            <w:rPr/>
          </w:pPr>
          <w:hyperlink w:anchor="__RefHeading___Toc1127370_581953129">
            <w:r>
              <w:rPr>
                <w:webHidden/>
                <w:rStyle w:val="IndexLink"/>
                <w:rtl w:val="true"/>
              </w:rPr>
              <w:t>الاجتهاد لدی الشیعة</w:t>
            </w:r>
            <w:r>
              <w:rPr>
                <w:rStyle w:val="IndexLink"/>
                <w:rtl w:val="true"/>
              </w:rPr>
              <w:tab/>
            </w:r>
            <w:r>
              <w:rPr>
                <w:rStyle w:val="IndexLink"/>
              </w:rPr>
              <w:t>35</w:t>
            </w:r>
          </w:hyperlink>
        </w:p>
        <w:p>
          <w:pPr>
            <w:pStyle w:val="Contents3"/>
            <w:tabs>
              <w:tab w:val="clear" w:pos="8459"/>
              <w:tab w:val="right" w:pos="9026" w:leader="dot"/>
            </w:tabs>
            <w:rPr/>
          </w:pPr>
          <w:hyperlink w:anchor="__RefHeading___Toc1127372_581953129">
            <w:r>
              <w:rPr>
                <w:webHidden/>
                <w:rStyle w:val="IndexLink"/>
                <w:rtl w:val="true"/>
              </w:rPr>
              <w:t>الأُصول والمصنّفات لأصحاب الأئمّة علیهم السلام</w:t>
            </w:r>
            <w:r>
              <w:rPr>
                <w:rStyle w:val="IndexLink"/>
                <w:rtl w:val="true"/>
              </w:rPr>
              <w:tab/>
            </w:r>
            <w:r>
              <w:rPr>
                <w:rStyle w:val="IndexLink"/>
              </w:rPr>
              <w:t>37</w:t>
            </w:r>
          </w:hyperlink>
        </w:p>
        <w:p>
          <w:pPr>
            <w:pStyle w:val="Contents3"/>
            <w:tabs>
              <w:tab w:val="clear" w:pos="8459"/>
              <w:tab w:val="right" w:pos="9026" w:leader="dot"/>
            </w:tabs>
            <w:rPr/>
          </w:pPr>
          <w:hyperlink w:anchor="__RefHeading___Toc1127374_581953129">
            <w:r>
              <w:rPr>
                <w:webHidden/>
                <w:rStyle w:val="IndexLink"/>
                <w:rtl w:val="true"/>
              </w:rPr>
              <w:t>الاجتهاد لدی السنّة</w:t>
            </w:r>
            <w:r>
              <w:rPr>
                <w:rStyle w:val="IndexLink"/>
                <w:rtl w:val="true"/>
              </w:rPr>
              <w:tab/>
            </w:r>
            <w:r>
              <w:rPr>
                <w:rStyle w:val="IndexLink"/>
              </w:rPr>
              <w:t>39</w:t>
            </w:r>
          </w:hyperlink>
        </w:p>
        <w:p>
          <w:pPr>
            <w:pStyle w:val="Contents4"/>
            <w:tabs>
              <w:tab w:val="clear" w:pos="8176"/>
              <w:tab w:val="right" w:pos="9026" w:leader="dot"/>
            </w:tabs>
            <w:rPr/>
          </w:pPr>
          <w:hyperlink w:anchor="__RefHeading___Toc1127376_581953129">
            <w:r>
              <w:rPr>
                <w:webHidden/>
                <w:rStyle w:val="IndexLink"/>
                <w:rtl w:val="true"/>
              </w:rPr>
              <w:t>اشارة</w:t>
            </w:r>
            <w:r>
              <w:rPr>
                <w:rStyle w:val="IndexLink"/>
                <w:rtl w:val="true"/>
              </w:rPr>
              <w:tab/>
            </w:r>
            <w:r>
              <w:rPr>
                <w:rStyle w:val="IndexLink"/>
              </w:rPr>
              <w:t>39</w:t>
            </w:r>
          </w:hyperlink>
        </w:p>
        <w:p>
          <w:pPr>
            <w:pStyle w:val="Contents4"/>
            <w:tabs>
              <w:tab w:val="clear" w:pos="8176"/>
              <w:tab w:val="right" w:pos="9026" w:leader="dot"/>
            </w:tabs>
            <w:rPr/>
          </w:pPr>
          <w:hyperlink w:anchor="__RefHeading___Toc1127378_581953129">
            <w:r>
              <w:rPr>
                <w:webHidden/>
                <w:rStyle w:val="IndexLink"/>
                <w:rtl w:val="true"/>
              </w:rPr>
              <w:t>أهل الفتیا من التابعین</w:t>
            </w:r>
            <w:r>
              <w:rPr>
                <w:rStyle w:val="IndexLink"/>
                <w:rtl w:val="true"/>
              </w:rPr>
              <w:tab/>
            </w:r>
            <w:r>
              <w:rPr>
                <w:rStyle w:val="IndexLink"/>
              </w:rPr>
              <w:t>41</w:t>
            </w:r>
          </w:hyperlink>
        </w:p>
        <w:p>
          <w:pPr>
            <w:pStyle w:val="Contents5"/>
            <w:tabs>
              <w:tab w:val="clear" w:pos="7892"/>
              <w:tab w:val="right" w:pos="9026" w:leader="dot"/>
            </w:tabs>
            <w:rPr/>
          </w:pPr>
          <w:hyperlink w:anchor="__RefHeading___Toc1127380_581953129">
            <w:r>
              <w:rPr>
                <w:webHidden/>
                <w:rStyle w:val="IndexLink"/>
                <w:rtl w:val="true"/>
              </w:rPr>
              <w:t>اشارة</w:t>
            </w:r>
            <w:r>
              <w:rPr>
                <w:rStyle w:val="IndexLink"/>
                <w:rtl w:val="true"/>
              </w:rPr>
              <w:tab/>
            </w:r>
            <w:r>
              <w:rPr>
                <w:rStyle w:val="IndexLink"/>
              </w:rPr>
              <w:t>41</w:t>
            </w:r>
          </w:hyperlink>
        </w:p>
        <w:p>
          <w:pPr>
            <w:pStyle w:val="Contents5"/>
            <w:tabs>
              <w:tab w:val="clear" w:pos="7892"/>
              <w:tab w:val="right" w:pos="9026" w:leader="dot"/>
            </w:tabs>
            <w:rPr/>
          </w:pPr>
          <w:hyperlink w:anchor="__RefHeading___Toc1127382_581953129">
            <w:r>
              <w:rPr>
                <w:webHidden/>
                <w:rStyle w:val="IndexLink"/>
                <w:rtl w:val="true"/>
              </w:rPr>
              <w:t>أهل الفتیا فی مکة المکرمة</w:t>
            </w:r>
            <w:r>
              <w:rPr>
                <w:rStyle w:val="IndexLink"/>
                <w:rtl w:val="true"/>
              </w:rPr>
              <w:tab/>
            </w:r>
            <w:r>
              <w:rPr>
                <w:rStyle w:val="IndexLink"/>
              </w:rPr>
              <w:t>41</w:t>
            </w:r>
          </w:hyperlink>
        </w:p>
        <w:p>
          <w:pPr>
            <w:pStyle w:val="Contents5"/>
            <w:tabs>
              <w:tab w:val="clear" w:pos="7892"/>
              <w:tab w:val="right" w:pos="9026" w:leader="dot"/>
            </w:tabs>
            <w:rPr/>
          </w:pPr>
          <w:hyperlink w:anchor="__RefHeading___Toc1127384_581953129">
            <w:r>
              <w:rPr>
                <w:webHidden/>
                <w:rStyle w:val="IndexLink"/>
                <w:rtl w:val="true"/>
              </w:rPr>
              <w:t>أهل الفتیا فی المدینة المنورة</w:t>
            </w:r>
            <w:r>
              <w:rPr>
                <w:rStyle w:val="IndexLink"/>
                <w:rtl w:val="true"/>
              </w:rPr>
              <w:tab/>
            </w:r>
            <w:r>
              <w:rPr>
                <w:rStyle w:val="IndexLink"/>
              </w:rPr>
              <w:t>42</w:t>
            </w:r>
          </w:hyperlink>
        </w:p>
        <w:p>
          <w:pPr>
            <w:pStyle w:val="Contents3"/>
            <w:tabs>
              <w:tab w:val="clear" w:pos="8459"/>
              <w:tab w:val="right" w:pos="9026" w:leader="dot"/>
            </w:tabs>
            <w:rPr/>
          </w:pPr>
          <w:hyperlink w:anchor="__RefHeading___Toc1127386_581953129">
            <w:r>
              <w:rPr>
                <w:webHidden/>
                <w:rStyle w:val="IndexLink"/>
                <w:rtl w:val="true"/>
              </w:rPr>
              <w:t>دور الفقهاء بعد عصر التابعین</w:t>
            </w:r>
            <w:r>
              <w:rPr>
                <w:rStyle w:val="IndexLink"/>
                <w:rtl w:val="true"/>
              </w:rPr>
              <w:tab/>
            </w:r>
            <w:r>
              <w:rPr>
                <w:rStyle w:val="IndexLink"/>
              </w:rPr>
              <w:t>42</w:t>
            </w:r>
          </w:hyperlink>
        </w:p>
        <w:p>
          <w:pPr>
            <w:pStyle w:val="Contents3"/>
            <w:tabs>
              <w:tab w:val="clear" w:pos="8459"/>
              <w:tab w:val="right" w:pos="9026" w:leader="dot"/>
            </w:tabs>
            <w:rPr/>
          </w:pPr>
          <w:hyperlink w:anchor="__RefHeading___Toc1127388_581953129">
            <w:r>
              <w:rPr>
                <w:webHidden/>
                <w:rStyle w:val="IndexLink"/>
                <w:rtl w:val="true"/>
              </w:rPr>
              <w:t>المذاهب السائدة</w:t>
            </w:r>
            <w:r>
              <w:rPr>
                <w:rStyle w:val="IndexLink"/>
                <w:rtl w:val="true"/>
              </w:rPr>
              <w:tab/>
            </w:r>
            <w:r>
              <w:rPr>
                <w:rStyle w:val="IndexLink"/>
              </w:rPr>
              <w:t>43</w:t>
            </w:r>
          </w:hyperlink>
        </w:p>
        <w:p>
          <w:pPr>
            <w:pStyle w:val="Contents4"/>
            <w:tabs>
              <w:tab w:val="clear" w:pos="8176"/>
              <w:tab w:val="right" w:pos="9026" w:leader="dot"/>
            </w:tabs>
            <w:rPr/>
          </w:pPr>
          <w:hyperlink w:anchor="__RefHeading___Toc1127390_581953129">
            <w:r>
              <w:rPr>
                <w:webHidden/>
                <w:rStyle w:val="IndexLink"/>
                <w:rtl w:val="true"/>
              </w:rPr>
              <w:t>اشارة</w:t>
            </w:r>
            <w:r>
              <w:rPr>
                <w:rStyle w:val="IndexLink"/>
                <w:rtl w:val="true"/>
              </w:rPr>
              <w:tab/>
            </w:r>
            <w:r>
              <w:rPr>
                <w:rStyle w:val="IndexLink"/>
              </w:rPr>
              <w:t>43</w:t>
            </w:r>
          </w:hyperlink>
        </w:p>
        <w:p>
          <w:pPr>
            <w:pStyle w:val="Contents4"/>
            <w:tabs>
              <w:tab w:val="clear" w:pos="8176"/>
              <w:tab w:val="right" w:pos="9026" w:leader="dot"/>
            </w:tabs>
            <w:rPr/>
          </w:pPr>
          <w:hyperlink w:anchor="__RefHeading___Toc1127392_581953129">
            <w:r>
              <w:rPr>
                <w:webHidden/>
                <w:rStyle w:val="IndexLink"/>
                <w:rtl w:val="true"/>
              </w:rPr>
              <w:t>المذهب الحنفی</w:t>
            </w:r>
            <w:r>
              <w:rPr>
                <w:rStyle w:val="IndexLink"/>
                <w:rtl w:val="true"/>
              </w:rPr>
              <w:tab/>
            </w:r>
            <w:r>
              <w:rPr>
                <w:rStyle w:val="IndexLink"/>
              </w:rPr>
              <w:t>43</w:t>
            </w:r>
          </w:hyperlink>
        </w:p>
        <w:p>
          <w:pPr>
            <w:pStyle w:val="Contents4"/>
            <w:tabs>
              <w:tab w:val="clear" w:pos="8176"/>
              <w:tab w:val="right" w:pos="9026" w:leader="dot"/>
            </w:tabs>
            <w:rPr/>
          </w:pPr>
          <w:hyperlink w:anchor="__RefHeading___Toc1127394_581953129">
            <w:r>
              <w:rPr>
                <w:webHidden/>
                <w:rStyle w:val="IndexLink"/>
                <w:rtl w:val="true"/>
              </w:rPr>
              <w:t>المذهب المالکی</w:t>
            </w:r>
            <w:r>
              <w:rPr>
                <w:rStyle w:val="IndexLink"/>
                <w:rtl w:val="true"/>
              </w:rPr>
              <w:tab/>
            </w:r>
            <w:r>
              <w:rPr>
                <w:rStyle w:val="IndexLink"/>
              </w:rPr>
              <w:t>44</w:t>
            </w:r>
          </w:hyperlink>
        </w:p>
        <w:p>
          <w:pPr>
            <w:pStyle w:val="Contents4"/>
            <w:tabs>
              <w:tab w:val="clear" w:pos="8176"/>
              <w:tab w:val="right" w:pos="9026" w:leader="dot"/>
            </w:tabs>
            <w:rPr/>
          </w:pPr>
          <w:hyperlink w:anchor="__RefHeading___Toc1127396_581953129">
            <w:r>
              <w:rPr>
                <w:webHidden/>
                <w:rStyle w:val="IndexLink"/>
                <w:rtl w:val="true"/>
              </w:rPr>
              <w:t>المذهب الشافعی</w:t>
            </w:r>
            <w:r>
              <w:rPr>
                <w:rStyle w:val="IndexLink"/>
                <w:rtl w:val="true"/>
              </w:rPr>
              <w:tab/>
            </w:r>
            <w:r>
              <w:rPr>
                <w:rStyle w:val="IndexLink"/>
              </w:rPr>
              <w:t>44</w:t>
            </w:r>
          </w:hyperlink>
        </w:p>
        <w:p>
          <w:pPr>
            <w:pStyle w:val="Contents4"/>
            <w:tabs>
              <w:tab w:val="clear" w:pos="8176"/>
              <w:tab w:val="right" w:pos="9026" w:leader="dot"/>
            </w:tabs>
            <w:rPr/>
          </w:pPr>
          <w:hyperlink w:anchor="__RefHeading___Toc1127398_581953129">
            <w:r>
              <w:rPr>
                <w:webHidden/>
                <w:rStyle w:val="IndexLink"/>
                <w:rtl w:val="true"/>
              </w:rPr>
              <w:t>المذهب الحنبلی</w:t>
            </w:r>
            <w:r>
              <w:rPr>
                <w:rStyle w:val="IndexLink"/>
                <w:rtl w:val="true"/>
              </w:rPr>
              <w:tab/>
            </w:r>
            <w:r>
              <w:rPr>
                <w:rStyle w:val="IndexLink"/>
              </w:rPr>
              <w:t>44</w:t>
            </w:r>
          </w:hyperlink>
        </w:p>
        <w:p>
          <w:pPr>
            <w:pStyle w:val="Contents3"/>
            <w:tabs>
              <w:tab w:val="clear" w:pos="8459"/>
              <w:tab w:val="right" w:pos="9026" w:leader="dot"/>
            </w:tabs>
            <w:rPr/>
          </w:pPr>
          <w:hyperlink w:anchor="__RefHeading___Toc1127400_581953129">
            <w:r>
              <w:rPr>
                <w:webHidden/>
                <w:rStyle w:val="IndexLink"/>
                <w:rtl w:val="true"/>
              </w:rPr>
              <w:t>ضوابط الاستنباط عند الشیعة والسنّة</w:t>
            </w:r>
            <w:r>
              <w:rPr>
                <w:rStyle w:val="IndexLink"/>
                <w:rtl w:val="true"/>
              </w:rPr>
              <w:tab/>
            </w:r>
            <w:r>
              <w:rPr>
                <w:rStyle w:val="IndexLink"/>
              </w:rPr>
              <w:t>45</w:t>
            </w:r>
          </w:hyperlink>
        </w:p>
        <w:p>
          <w:pPr>
            <w:pStyle w:val="Contents3"/>
            <w:tabs>
              <w:tab w:val="clear" w:pos="8459"/>
              <w:tab w:val="right" w:pos="9026" w:leader="dot"/>
            </w:tabs>
            <w:rPr/>
          </w:pPr>
          <w:hyperlink w:anchor="__RefHeading___Toc1127402_581953129">
            <w:r>
              <w:rPr>
                <w:webHidden/>
                <w:rStyle w:val="IndexLink"/>
                <w:rtl w:val="true"/>
              </w:rPr>
              <w:t>تدوین أُصول الفقه عند السنّة</w:t>
            </w:r>
            <w:r>
              <w:rPr>
                <w:rStyle w:val="IndexLink"/>
                <w:rtl w:val="true"/>
              </w:rPr>
              <w:tab/>
            </w:r>
            <w:r>
              <w:rPr>
                <w:rStyle w:val="IndexLink"/>
              </w:rPr>
              <w:t>46</w:t>
            </w:r>
          </w:hyperlink>
        </w:p>
        <w:p>
          <w:pPr>
            <w:pStyle w:val="Contents4"/>
            <w:tabs>
              <w:tab w:val="clear" w:pos="8176"/>
              <w:tab w:val="right" w:pos="9026" w:leader="dot"/>
            </w:tabs>
            <w:rPr/>
          </w:pPr>
          <w:hyperlink w:anchor="__RefHeading___Toc1127404_581953129">
            <w:r>
              <w:rPr>
                <w:webHidden/>
                <w:rStyle w:val="IndexLink"/>
                <w:rtl w:val="true"/>
              </w:rPr>
              <w:t>اشارة</w:t>
            </w:r>
            <w:r>
              <w:rPr>
                <w:rStyle w:val="IndexLink"/>
                <w:rtl w:val="true"/>
              </w:rPr>
              <w:tab/>
            </w:r>
            <w:r>
              <w:rPr>
                <w:rStyle w:val="IndexLink"/>
              </w:rPr>
              <w:t>46</w:t>
            </w:r>
          </w:hyperlink>
        </w:p>
        <w:p>
          <w:pPr>
            <w:pStyle w:val="Contents4"/>
            <w:tabs>
              <w:tab w:val="clear" w:pos="8176"/>
              <w:tab w:val="right" w:pos="9026" w:leader="dot"/>
            </w:tabs>
            <w:rPr/>
          </w:pPr>
          <w:hyperlink w:anchor="__RefHeading___Toc1127406_581953129">
            <w:r>
              <w:rPr>
                <w:webHidden/>
                <w:rStyle w:val="IndexLink"/>
              </w:rPr>
              <w:t>1</w:t>
            </w:r>
            <w:r>
              <w:rPr>
                <w:rStyle w:val="IndexLink"/>
                <w:rtl w:val="true"/>
              </w:rPr>
              <w:t xml:space="preserve">- </w:t>
            </w:r>
            <w:r>
              <w:rPr>
                <w:rStyle w:val="IndexLink"/>
                <w:rtl w:val="true"/>
              </w:rPr>
              <w:t>طریقة المتکلّمین</w:t>
            </w:r>
            <w:r>
              <w:rPr>
                <w:rStyle w:val="IndexLink"/>
                <w:rtl w:val="true"/>
              </w:rPr>
              <w:tab/>
            </w:r>
            <w:r>
              <w:rPr>
                <w:rStyle w:val="IndexLink"/>
              </w:rPr>
              <w:t>46</w:t>
            </w:r>
          </w:hyperlink>
        </w:p>
        <w:p>
          <w:pPr>
            <w:pStyle w:val="Contents4"/>
            <w:tabs>
              <w:tab w:val="clear" w:pos="8176"/>
              <w:tab w:val="right" w:pos="9026" w:leader="dot"/>
            </w:tabs>
            <w:rPr/>
          </w:pPr>
          <w:hyperlink w:anchor="__RefHeading___Toc1127408_581953129">
            <w:r>
              <w:rPr>
                <w:webHidden/>
                <w:rStyle w:val="IndexLink"/>
              </w:rPr>
              <w:t>2</w:t>
            </w:r>
            <w:r>
              <w:rPr>
                <w:rStyle w:val="IndexLink"/>
                <w:rtl w:val="true"/>
              </w:rPr>
              <w:t xml:space="preserve">- </w:t>
            </w:r>
            <w:r>
              <w:rPr>
                <w:rStyle w:val="IndexLink"/>
                <w:rtl w:val="true"/>
              </w:rPr>
              <w:t>طریقة الفقهاء</w:t>
            </w:r>
            <w:r>
              <w:rPr>
                <w:rStyle w:val="IndexLink"/>
                <w:rtl w:val="true"/>
              </w:rPr>
              <w:tab/>
            </w:r>
            <w:r>
              <w:rPr>
                <w:rStyle w:val="IndexLink"/>
              </w:rPr>
              <w:t>47</w:t>
            </w:r>
          </w:hyperlink>
        </w:p>
        <w:p>
          <w:pPr>
            <w:pStyle w:val="Contents4"/>
            <w:tabs>
              <w:tab w:val="clear" w:pos="8176"/>
              <w:tab w:val="right" w:pos="9026" w:leader="dot"/>
            </w:tabs>
            <w:rPr/>
          </w:pPr>
          <w:hyperlink w:anchor="__RefHeading___Toc1127410_581953129">
            <w:r>
              <w:rPr>
                <w:webHidden/>
                <w:rStyle w:val="IndexLink"/>
              </w:rPr>
              <w:t>3</w:t>
            </w:r>
            <w:r>
              <w:rPr>
                <w:rStyle w:val="IndexLink"/>
                <w:rtl w:val="true"/>
              </w:rPr>
              <w:t xml:space="preserve">- </w:t>
            </w:r>
            <w:r>
              <w:rPr>
                <w:rStyle w:val="IndexLink"/>
                <w:rtl w:val="true"/>
              </w:rPr>
              <w:t>طریقة المتأخّرین</w:t>
            </w:r>
            <w:r>
              <w:rPr>
                <w:rStyle w:val="IndexLink"/>
                <w:rtl w:val="true"/>
              </w:rPr>
              <w:tab/>
            </w:r>
            <w:r>
              <w:rPr>
                <w:rStyle w:val="IndexLink"/>
              </w:rPr>
              <w:t>48</w:t>
            </w:r>
          </w:hyperlink>
        </w:p>
        <w:p>
          <w:pPr>
            <w:pStyle w:val="Contents2"/>
            <w:tabs>
              <w:tab w:val="clear" w:pos="8743"/>
              <w:tab w:val="right" w:pos="9026" w:leader="dot"/>
            </w:tabs>
            <w:rPr/>
          </w:pPr>
          <w:hyperlink w:anchor="__RefHeading___Toc1127412_581953129">
            <w:r>
              <w:rPr>
                <w:webHidden/>
                <w:rStyle w:val="IndexLink"/>
              </w:rPr>
              <w:t>4</w:t>
            </w:r>
            <w:r>
              <w:rPr>
                <w:rStyle w:val="IndexLink"/>
                <w:rtl w:val="true"/>
              </w:rPr>
              <w:t xml:space="preserve">- </w:t>
            </w:r>
            <w:r>
              <w:rPr>
                <w:rStyle w:val="IndexLink"/>
                <w:rtl w:val="true"/>
              </w:rPr>
              <w:t>اسلوب تدوین الفقه</w:t>
            </w:r>
            <w:r>
              <w:rPr>
                <w:rStyle w:val="IndexLink"/>
                <w:rtl w:val="true"/>
              </w:rPr>
              <w:tab/>
            </w:r>
            <w:r>
              <w:rPr>
                <w:rStyle w:val="IndexLink"/>
              </w:rPr>
              <w:t>49</w:t>
            </w:r>
          </w:hyperlink>
        </w:p>
        <w:p>
          <w:pPr>
            <w:pStyle w:val="Contents3"/>
            <w:tabs>
              <w:tab w:val="clear" w:pos="8459"/>
              <w:tab w:val="right" w:pos="9026" w:leader="dot"/>
            </w:tabs>
            <w:rPr/>
          </w:pPr>
          <w:hyperlink w:anchor="__RefHeading___Toc1127414_581953129">
            <w:r>
              <w:rPr>
                <w:webHidden/>
                <w:rStyle w:val="IndexLink"/>
                <w:rtl w:val="true"/>
              </w:rPr>
              <w:t>اشارة</w:t>
            </w:r>
            <w:r>
              <w:rPr>
                <w:rStyle w:val="IndexLink"/>
                <w:rtl w:val="true"/>
              </w:rPr>
              <w:tab/>
            </w:r>
            <w:r>
              <w:rPr>
                <w:rStyle w:val="IndexLink"/>
              </w:rPr>
              <w:t>49</w:t>
            </w:r>
          </w:hyperlink>
        </w:p>
        <w:p>
          <w:pPr>
            <w:pStyle w:val="Contents3"/>
            <w:tabs>
              <w:tab w:val="clear" w:pos="8459"/>
              <w:tab w:val="right" w:pos="9026" w:leader="dot"/>
            </w:tabs>
            <w:rPr/>
          </w:pPr>
          <w:hyperlink w:anchor="__RefHeading___Toc1127416_581953129">
            <w:r>
              <w:rPr>
                <w:webHidden/>
                <w:rStyle w:val="IndexLink"/>
                <w:rtl w:val="true"/>
              </w:rPr>
              <w:t>الأوّل</w:t>
            </w:r>
            <w:r>
              <w:rPr>
                <w:rStyle w:val="IndexLink"/>
                <w:rtl w:val="true"/>
              </w:rPr>
              <w:t xml:space="preserve">: </w:t>
            </w:r>
            <w:r>
              <w:rPr>
                <w:rStyle w:val="IndexLink"/>
                <w:rtl w:val="true"/>
              </w:rPr>
              <w:t>نمط تجرید المتون عن الأسانید</w:t>
            </w:r>
            <w:r>
              <w:rPr>
                <w:rStyle w:val="IndexLink"/>
                <w:rtl w:val="true"/>
              </w:rPr>
              <w:tab/>
            </w:r>
            <w:r>
              <w:rPr>
                <w:rStyle w:val="IndexLink"/>
              </w:rPr>
              <w:t>49</w:t>
            </w:r>
          </w:hyperlink>
        </w:p>
        <w:p>
          <w:pPr>
            <w:pStyle w:val="Contents3"/>
            <w:tabs>
              <w:tab w:val="clear" w:pos="8459"/>
              <w:tab w:val="right" w:pos="9026" w:leader="dot"/>
            </w:tabs>
            <w:rPr/>
          </w:pPr>
          <w:hyperlink w:anchor="__RefHeading___Toc1127418_581953129">
            <w:r>
              <w:rPr>
                <w:webHidden/>
                <w:rStyle w:val="IndexLink"/>
                <w:rtl w:val="true"/>
              </w:rPr>
              <w:t>الثانی</w:t>
            </w:r>
            <w:r>
              <w:rPr>
                <w:rStyle w:val="IndexLink"/>
                <w:rtl w:val="true"/>
              </w:rPr>
              <w:t xml:space="preserve">: </w:t>
            </w:r>
            <w:r>
              <w:rPr>
                <w:rStyle w:val="IndexLink"/>
                <w:rtl w:val="true"/>
              </w:rPr>
              <w:t>أُسلوب عدم الالتزام بألفاظ النصوص</w:t>
            </w:r>
            <w:r>
              <w:rPr>
                <w:rStyle w:val="IndexLink"/>
                <w:rtl w:val="true"/>
              </w:rPr>
              <w:tab/>
            </w:r>
            <w:r>
              <w:rPr>
                <w:rStyle w:val="IndexLink"/>
              </w:rPr>
              <w:t>50</w:t>
            </w:r>
          </w:hyperlink>
        </w:p>
        <w:p>
          <w:pPr>
            <w:pStyle w:val="Contents3"/>
            <w:tabs>
              <w:tab w:val="clear" w:pos="8459"/>
              <w:tab w:val="right" w:pos="9026" w:leader="dot"/>
            </w:tabs>
            <w:rPr/>
          </w:pPr>
          <w:hyperlink w:anchor="__RefHeading___Toc1127420_581953129">
            <w:r>
              <w:rPr>
                <w:webHidden/>
                <w:rStyle w:val="IndexLink"/>
                <w:rtl w:val="true"/>
              </w:rPr>
              <w:t>البصمات التی ترکها المفید وتلامذته علی الفقه الإمامی</w:t>
            </w:r>
            <w:r>
              <w:rPr>
                <w:rStyle w:val="IndexLink"/>
                <w:rtl w:val="true"/>
              </w:rPr>
              <w:tab/>
            </w:r>
            <w:r>
              <w:rPr>
                <w:rStyle w:val="IndexLink"/>
              </w:rPr>
              <w:t>52</w:t>
            </w:r>
          </w:hyperlink>
        </w:p>
        <w:p>
          <w:pPr>
            <w:pStyle w:val="Contents4"/>
            <w:tabs>
              <w:tab w:val="clear" w:pos="8176"/>
              <w:tab w:val="right" w:pos="9026" w:leader="dot"/>
            </w:tabs>
            <w:rPr/>
          </w:pPr>
          <w:hyperlink w:anchor="__RefHeading___Toc1127422_581953129">
            <w:r>
              <w:rPr>
                <w:webHidden/>
                <w:rStyle w:val="IndexLink"/>
                <w:rtl w:val="true"/>
              </w:rPr>
              <w:t>اشارة</w:t>
            </w:r>
            <w:r>
              <w:rPr>
                <w:rStyle w:val="IndexLink"/>
                <w:rtl w:val="true"/>
              </w:rPr>
              <w:tab/>
            </w:r>
            <w:r>
              <w:rPr>
                <w:rStyle w:val="IndexLink"/>
              </w:rPr>
              <w:t>52</w:t>
            </w:r>
          </w:hyperlink>
        </w:p>
        <w:p>
          <w:pPr>
            <w:pStyle w:val="Contents4"/>
            <w:tabs>
              <w:tab w:val="clear" w:pos="8176"/>
              <w:tab w:val="right" w:pos="9026" w:leader="dot"/>
            </w:tabs>
            <w:rPr/>
          </w:pPr>
          <w:hyperlink w:anchor="__RefHeading___Toc1127424_581953129">
            <w:r>
              <w:rPr>
                <w:webHidden/>
                <w:rStyle w:val="IndexLink"/>
              </w:rPr>
              <w:t>1</w:t>
            </w:r>
            <w:r>
              <w:rPr>
                <w:rStyle w:val="IndexLink"/>
                <w:rtl w:val="true"/>
              </w:rPr>
              <w:t xml:space="preserve">- </w:t>
            </w:r>
            <w:r>
              <w:rPr>
                <w:rStyle w:val="IndexLink"/>
                <w:rtl w:val="true"/>
              </w:rPr>
              <w:t>التوسع فی أُصول الفقه</w:t>
            </w:r>
            <w:r>
              <w:rPr>
                <w:rStyle w:val="IndexLink"/>
                <w:rtl w:val="true"/>
              </w:rPr>
              <w:tab/>
            </w:r>
            <w:r>
              <w:rPr>
                <w:rStyle w:val="IndexLink"/>
              </w:rPr>
              <w:t>53</w:t>
            </w:r>
          </w:hyperlink>
        </w:p>
        <w:p>
          <w:pPr>
            <w:pStyle w:val="Contents4"/>
            <w:tabs>
              <w:tab w:val="clear" w:pos="8176"/>
              <w:tab w:val="right" w:pos="9026" w:leader="dot"/>
            </w:tabs>
            <w:rPr/>
          </w:pPr>
          <w:hyperlink w:anchor="__RefHeading___Toc1127426_581953129">
            <w:r>
              <w:rPr>
                <w:webHidden/>
                <w:rStyle w:val="IndexLink"/>
              </w:rPr>
              <w:t>2</w:t>
            </w:r>
            <w:r>
              <w:rPr>
                <w:rStyle w:val="IndexLink"/>
                <w:rtl w:val="true"/>
              </w:rPr>
              <w:t xml:space="preserve">- </w:t>
            </w:r>
            <w:r>
              <w:rPr>
                <w:rStyle w:val="IndexLink"/>
                <w:rtl w:val="true"/>
              </w:rPr>
              <w:t>العنایة بالفقه المقارن</w:t>
            </w:r>
            <w:r>
              <w:rPr>
                <w:rStyle w:val="IndexLink"/>
                <w:rtl w:val="true"/>
              </w:rPr>
              <w:tab/>
            </w:r>
            <w:r>
              <w:rPr>
                <w:rStyle w:val="IndexLink"/>
              </w:rPr>
              <w:t>53</w:t>
            </w:r>
          </w:hyperlink>
        </w:p>
        <w:p>
          <w:pPr>
            <w:pStyle w:val="Contents4"/>
            <w:tabs>
              <w:tab w:val="clear" w:pos="8176"/>
              <w:tab w:val="right" w:pos="9026" w:leader="dot"/>
            </w:tabs>
            <w:rPr/>
          </w:pPr>
          <w:hyperlink w:anchor="__RefHeading___Toc1127428_581953129">
            <w:r>
              <w:rPr>
                <w:webHidden/>
                <w:rStyle w:val="IndexLink"/>
              </w:rPr>
              <w:t>3</w:t>
            </w:r>
            <w:r>
              <w:rPr>
                <w:rStyle w:val="IndexLink"/>
                <w:rtl w:val="true"/>
              </w:rPr>
              <w:t xml:space="preserve">- </w:t>
            </w:r>
            <w:r>
              <w:rPr>
                <w:rStyle w:val="IndexLink"/>
                <w:rtl w:val="true"/>
              </w:rPr>
              <w:t>التفریع والتخریج فی ظل النصوص والقواعد المتوارثة عن أئمّة أهل البیت علیهم السلام</w:t>
            </w:r>
            <w:r>
              <w:rPr>
                <w:rStyle w:val="IndexLink"/>
                <w:rtl w:val="true"/>
              </w:rPr>
              <w:tab/>
            </w:r>
            <w:r>
              <w:rPr>
                <w:rStyle w:val="IndexLink"/>
              </w:rPr>
              <w:t>53</w:t>
            </w:r>
          </w:hyperlink>
        </w:p>
        <w:p>
          <w:pPr>
            <w:pStyle w:val="Contents3"/>
            <w:tabs>
              <w:tab w:val="clear" w:pos="8459"/>
              <w:tab w:val="right" w:pos="9026" w:leader="dot"/>
            </w:tabs>
            <w:rPr/>
          </w:pPr>
          <w:hyperlink w:anchor="__RefHeading___Toc1127430_581953129">
            <w:r>
              <w:rPr>
                <w:webHidden/>
                <w:rStyle w:val="IndexLink"/>
                <w:rtl w:val="true"/>
              </w:rPr>
              <w:t>عصر الرکود بعد رحیل الشیخ</w:t>
            </w:r>
            <w:r>
              <w:rPr>
                <w:rStyle w:val="IndexLink"/>
                <w:rtl w:val="true"/>
              </w:rPr>
              <w:tab/>
            </w:r>
            <w:r>
              <w:rPr>
                <w:rStyle w:val="IndexLink"/>
              </w:rPr>
              <w:t>54</w:t>
            </w:r>
          </w:hyperlink>
        </w:p>
        <w:p>
          <w:pPr>
            <w:pStyle w:val="Contents3"/>
            <w:tabs>
              <w:tab w:val="clear" w:pos="8459"/>
              <w:tab w:val="right" w:pos="9026" w:leader="dot"/>
            </w:tabs>
            <w:rPr/>
          </w:pPr>
          <w:hyperlink w:anchor="__RefHeading___Toc1127432_581953129">
            <w:r>
              <w:rPr>
                <w:webHidden/>
                <w:rStyle w:val="IndexLink"/>
                <w:rtl w:val="true"/>
              </w:rPr>
              <w:t>نشوء المذاهب الأربعة وحصر الاجتهاد فیها</w:t>
            </w:r>
            <w:r>
              <w:rPr>
                <w:rStyle w:val="IndexLink"/>
                <w:rtl w:val="true"/>
              </w:rPr>
              <w:tab/>
            </w:r>
            <w:r>
              <w:rPr>
                <w:rStyle w:val="IndexLink"/>
              </w:rPr>
              <w:t>55</w:t>
            </w:r>
          </w:hyperlink>
        </w:p>
        <w:p>
          <w:pPr>
            <w:pStyle w:val="Contents3"/>
            <w:tabs>
              <w:tab w:val="clear" w:pos="8459"/>
              <w:tab w:val="right" w:pos="9026" w:leader="dot"/>
            </w:tabs>
            <w:rPr/>
          </w:pPr>
          <w:hyperlink w:anchor="__RefHeading___Toc1127434_581953129">
            <w:r>
              <w:rPr>
                <w:webHidden/>
                <w:rStyle w:val="IndexLink"/>
                <w:rtl w:val="true"/>
              </w:rPr>
              <w:t>مضاعفات حصر المذاهب</w:t>
            </w:r>
            <w:r>
              <w:rPr>
                <w:rStyle w:val="IndexLink"/>
                <w:rtl w:val="true"/>
              </w:rPr>
              <w:tab/>
            </w:r>
            <w:r>
              <w:rPr>
                <w:rStyle w:val="IndexLink"/>
              </w:rPr>
              <w:t>56</w:t>
            </w:r>
          </w:hyperlink>
        </w:p>
        <w:p>
          <w:pPr>
            <w:pStyle w:val="Contents2"/>
            <w:tabs>
              <w:tab w:val="clear" w:pos="8743"/>
              <w:tab w:val="right" w:pos="9026" w:leader="dot"/>
            </w:tabs>
            <w:rPr/>
          </w:pPr>
          <w:hyperlink w:anchor="__RefHeading___Toc1127436_581953129">
            <w:r>
              <w:rPr>
                <w:webHidden/>
                <w:rStyle w:val="IndexLink"/>
              </w:rPr>
              <w:t>5</w:t>
            </w:r>
            <w:r>
              <w:rPr>
                <w:rStyle w:val="IndexLink"/>
                <w:rtl w:val="true"/>
              </w:rPr>
              <w:t xml:space="preserve">- </w:t>
            </w:r>
            <w:r>
              <w:rPr>
                <w:rStyle w:val="IndexLink"/>
                <w:rtl w:val="true"/>
              </w:rPr>
              <w:t>تجدید الحیاة الفقهیة فی القرن السادس</w:t>
            </w:r>
            <w:r>
              <w:rPr>
                <w:rStyle w:val="IndexLink"/>
                <w:rtl w:val="true"/>
              </w:rPr>
              <w:tab/>
            </w:r>
            <w:r>
              <w:rPr>
                <w:rStyle w:val="IndexLink"/>
              </w:rPr>
              <w:t>58</w:t>
            </w:r>
          </w:hyperlink>
        </w:p>
        <w:p>
          <w:pPr>
            <w:pStyle w:val="Contents2"/>
            <w:tabs>
              <w:tab w:val="clear" w:pos="8743"/>
              <w:tab w:val="right" w:pos="9026" w:leader="dot"/>
            </w:tabs>
            <w:rPr/>
          </w:pPr>
          <w:hyperlink w:anchor="__RefHeading___Toc1127438_581953129">
            <w:r>
              <w:rPr>
                <w:webHidden/>
                <w:rStyle w:val="IndexLink"/>
              </w:rPr>
              <w:t>6</w:t>
            </w:r>
            <w:r>
              <w:rPr>
                <w:rStyle w:val="IndexLink"/>
                <w:rtl w:val="true"/>
              </w:rPr>
              <w:t xml:space="preserve">- </w:t>
            </w:r>
            <w:r>
              <w:rPr>
                <w:rStyle w:val="IndexLink"/>
                <w:rtl w:val="true"/>
              </w:rPr>
              <w:t>ظهور الحرکة الأخباریة</w:t>
            </w:r>
            <w:r>
              <w:rPr>
                <w:rStyle w:val="IndexLink"/>
                <w:rtl w:val="true"/>
              </w:rPr>
              <w:tab/>
            </w:r>
            <w:r>
              <w:rPr>
                <w:rStyle w:val="IndexLink"/>
              </w:rPr>
              <w:t>61</w:t>
            </w:r>
          </w:hyperlink>
        </w:p>
        <w:p>
          <w:pPr>
            <w:pStyle w:val="Contents3"/>
            <w:tabs>
              <w:tab w:val="clear" w:pos="8459"/>
              <w:tab w:val="right" w:pos="9026" w:leader="dot"/>
            </w:tabs>
            <w:rPr/>
          </w:pPr>
          <w:hyperlink w:anchor="__RefHeading___Toc1127440_581953129">
            <w:r>
              <w:rPr>
                <w:webHidden/>
                <w:rStyle w:val="IndexLink"/>
                <w:rtl w:val="true"/>
              </w:rPr>
              <w:t>اشارة</w:t>
            </w:r>
            <w:r>
              <w:rPr>
                <w:rStyle w:val="IndexLink"/>
                <w:rtl w:val="true"/>
              </w:rPr>
              <w:tab/>
            </w:r>
            <w:r>
              <w:rPr>
                <w:rStyle w:val="IndexLink"/>
              </w:rPr>
              <w:t>61</w:t>
            </w:r>
          </w:hyperlink>
        </w:p>
        <w:p>
          <w:pPr>
            <w:pStyle w:val="Contents3"/>
            <w:tabs>
              <w:tab w:val="clear" w:pos="8459"/>
              <w:tab w:val="right" w:pos="9026" w:leader="dot"/>
            </w:tabs>
            <w:rPr/>
          </w:pPr>
          <w:hyperlink w:anchor="__RefHeading___Toc1127442_581953129">
            <w:r>
              <w:rPr>
                <w:webHidden/>
                <w:rStyle w:val="IndexLink"/>
                <w:rtl w:val="true"/>
              </w:rPr>
              <w:t>لمحة من سیرة المؤسّس</w:t>
            </w:r>
            <w:r>
              <w:rPr>
                <w:rStyle w:val="IndexLink"/>
                <w:rtl w:val="true"/>
              </w:rPr>
              <w:tab/>
            </w:r>
            <w:r>
              <w:rPr>
                <w:rStyle w:val="IndexLink"/>
              </w:rPr>
              <w:t>62</w:t>
            </w:r>
          </w:hyperlink>
        </w:p>
        <w:p>
          <w:pPr>
            <w:pStyle w:val="Contents3"/>
            <w:tabs>
              <w:tab w:val="clear" w:pos="8459"/>
              <w:tab w:val="right" w:pos="9026" w:leader="dot"/>
            </w:tabs>
            <w:rPr/>
          </w:pPr>
          <w:hyperlink w:anchor="__RefHeading___Toc1127444_581953129">
            <w:r>
              <w:rPr>
                <w:webHidden/>
                <w:rStyle w:val="IndexLink"/>
                <w:rtl w:val="true"/>
              </w:rPr>
              <w:t>الأخباریة بین التطرف والاعتدال</w:t>
            </w:r>
            <w:r>
              <w:rPr>
                <w:rStyle w:val="IndexLink"/>
                <w:rtl w:val="true"/>
              </w:rPr>
              <w:tab/>
            </w:r>
            <w:r>
              <w:rPr>
                <w:rStyle w:val="IndexLink"/>
              </w:rPr>
              <w:t>63</w:t>
            </w:r>
          </w:hyperlink>
        </w:p>
        <w:p>
          <w:pPr>
            <w:pStyle w:val="Contents3"/>
            <w:tabs>
              <w:tab w:val="clear" w:pos="8459"/>
              <w:tab w:val="right" w:pos="9026" w:leader="dot"/>
            </w:tabs>
            <w:rPr/>
          </w:pPr>
          <w:hyperlink w:anchor="__RefHeading___Toc1127446_581953129">
            <w:r>
              <w:rPr>
                <w:webHidden/>
                <w:rStyle w:val="IndexLink"/>
                <w:rtl w:val="true"/>
              </w:rPr>
              <w:t>روّاد الاجتهاد فی العصر الأخباری</w:t>
            </w:r>
            <w:r>
              <w:rPr>
                <w:rStyle w:val="IndexLink"/>
                <w:rtl w:val="true"/>
              </w:rPr>
              <w:tab/>
            </w:r>
            <w:r>
              <w:rPr>
                <w:rStyle w:val="IndexLink"/>
              </w:rPr>
              <w:t>64</w:t>
            </w:r>
          </w:hyperlink>
        </w:p>
        <w:p>
          <w:pPr>
            <w:pStyle w:val="Contents2"/>
            <w:tabs>
              <w:tab w:val="clear" w:pos="8743"/>
              <w:tab w:val="right" w:pos="9026" w:leader="dot"/>
            </w:tabs>
            <w:rPr/>
          </w:pPr>
          <w:hyperlink w:anchor="__RefHeading___Toc1127448_581953129">
            <w:r>
              <w:rPr>
                <w:webHidden/>
                <w:rStyle w:val="IndexLink"/>
              </w:rPr>
              <w:t>7</w:t>
            </w:r>
            <w:r>
              <w:rPr>
                <w:rStyle w:val="IndexLink"/>
                <w:rtl w:val="true"/>
              </w:rPr>
              <w:t xml:space="preserve">- </w:t>
            </w:r>
            <w:r>
              <w:rPr>
                <w:rStyle w:val="IndexLink"/>
                <w:rtl w:val="true"/>
              </w:rPr>
              <w:t>عصر تصعید النشاط الاجتهادی</w:t>
            </w:r>
            <w:r>
              <w:rPr>
                <w:rStyle w:val="IndexLink"/>
                <w:rtl w:val="true"/>
              </w:rPr>
              <w:tab/>
            </w:r>
            <w:r>
              <w:rPr>
                <w:rStyle w:val="IndexLink"/>
              </w:rPr>
              <w:t>66</w:t>
            </w:r>
          </w:hyperlink>
        </w:p>
        <w:p>
          <w:pPr>
            <w:pStyle w:val="Contents3"/>
            <w:tabs>
              <w:tab w:val="clear" w:pos="8459"/>
              <w:tab w:val="right" w:pos="9026" w:leader="dot"/>
            </w:tabs>
            <w:rPr/>
          </w:pPr>
          <w:hyperlink w:anchor="__RefHeading___Toc1127450_581953129">
            <w:r>
              <w:rPr>
                <w:webHidden/>
                <w:rStyle w:val="IndexLink"/>
                <w:rtl w:val="true"/>
              </w:rPr>
              <w:t>اشارة</w:t>
            </w:r>
            <w:r>
              <w:rPr>
                <w:rStyle w:val="IndexLink"/>
                <w:rtl w:val="true"/>
              </w:rPr>
              <w:tab/>
            </w:r>
            <w:r>
              <w:rPr>
                <w:rStyle w:val="IndexLink"/>
              </w:rPr>
              <w:t>66</w:t>
            </w:r>
          </w:hyperlink>
        </w:p>
        <w:p>
          <w:pPr>
            <w:pStyle w:val="Contents3"/>
            <w:tabs>
              <w:tab w:val="clear" w:pos="8459"/>
              <w:tab w:val="right" w:pos="9026" w:leader="dot"/>
            </w:tabs>
            <w:rPr/>
          </w:pPr>
          <w:hyperlink w:anchor="__RefHeading___Toc1127452_581953129">
            <w:r>
              <w:rPr>
                <w:webHidden/>
                <w:rStyle w:val="IndexLink"/>
                <w:rtl w:val="true"/>
              </w:rPr>
              <w:t>حیاة المحقّق البهبهانی وسیرته</w:t>
            </w:r>
            <w:r>
              <w:rPr>
                <w:rStyle w:val="IndexLink"/>
                <w:rtl w:val="true"/>
              </w:rPr>
              <w:tab/>
            </w:r>
            <w:r>
              <w:rPr>
                <w:rStyle w:val="IndexLink"/>
              </w:rPr>
              <w:t>66</w:t>
            </w:r>
          </w:hyperlink>
        </w:p>
        <w:p>
          <w:pPr>
            <w:pStyle w:val="Contents4"/>
            <w:tabs>
              <w:tab w:val="clear" w:pos="8176"/>
              <w:tab w:val="right" w:pos="9026" w:leader="dot"/>
            </w:tabs>
            <w:rPr/>
          </w:pPr>
          <w:hyperlink w:anchor="__RefHeading___Toc1127454_581953129">
            <w:r>
              <w:rPr>
                <w:webHidden/>
                <w:rStyle w:val="IndexLink"/>
                <w:rtl w:val="true"/>
              </w:rPr>
              <w:t>اشارة</w:t>
            </w:r>
            <w:r>
              <w:rPr>
                <w:rStyle w:val="IndexLink"/>
                <w:rtl w:val="true"/>
              </w:rPr>
              <w:tab/>
            </w:r>
            <w:r>
              <w:rPr>
                <w:rStyle w:val="IndexLink"/>
              </w:rPr>
              <w:t>66</w:t>
            </w:r>
          </w:hyperlink>
        </w:p>
        <w:p>
          <w:pPr>
            <w:pStyle w:val="Contents4"/>
            <w:tabs>
              <w:tab w:val="clear" w:pos="8176"/>
              <w:tab w:val="right" w:pos="9026" w:leader="dot"/>
            </w:tabs>
            <w:rPr/>
          </w:pPr>
          <w:hyperlink w:anchor="__RefHeading___Toc1127456_581953129">
            <w:r>
              <w:rPr>
                <w:webHidden/>
                <w:rStyle w:val="IndexLink"/>
              </w:rPr>
              <w:t>1</w:t>
            </w:r>
            <w:r>
              <w:rPr>
                <w:rStyle w:val="IndexLink"/>
                <w:rtl w:val="true"/>
              </w:rPr>
              <w:t xml:space="preserve">- </w:t>
            </w:r>
            <w:r>
              <w:rPr>
                <w:rStyle w:val="IndexLink"/>
                <w:rtl w:val="true"/>
              </w:rPr>
              <w:t>حجّیة الکتاب</w:t>
            </w:r>
            <w:r>
              <w:rPr>
                <w:rStyle w:val="IndexLink"/>
                <w:rtl w:val="true"/>
              </w:rPr>
              <w:tab/>
            </w:r>
            <w:r>
              <w:rPr>
                <w:rStyle w:val="IndexLink"/>
              </w:rPr>
              <w:t>67</w:t>
            </w:r>
          </w:hyperlink>
        </w:p>
        <w:p>
          <w:pPr>
            <w:pStyle w:val="Contents4"/>
            <w:tabs>
              <w:tab w:val="clear" w:pos="8176"/>
              <w:tab w:val="right" w:pos="9026" w:leader="dot"/>
            </w:tabs>
            <w:rPr/>
          </w:pPr>
          <w:hyperlink w:anchor="__RefHeading___Toc1127458_581953129">
            <w:r>
              <w:rPr>
                <w:webHidden/>
                <w:rStyle w:val="IndexLink"/>
              </w:rPr>
              <w:t>2</w:t>
            </w:r>
            <w:r>
              <w:rPr>
                <w:rStyle w:val="IndexLink"/>
                <w:rtl w:val="true"/>
              </w:rPr>
              <w:t xml:space="preserve">- </w:t>
            </w:r>
            <w:r>
              <w:rPr>
                <w:rStyle w:val="IndexLink"/>
                <w:rtl w:val="true"/>
              </w:rPr>
              <w:t>حجّیة العقل</w:t>
            </w:r>
            <w:r>
              <w:rPr>
                <w:rStyle w:val="IndexLink"/>
                <w:rtl w:val="true"/>
              </w:rPr>
              <w:tab/>
            </w:r>
            <w:r>
              <w:rPr>
                <w:rStyle w:val="IndexLink"/>
              </w:rPr>
              <w:t>67</w:t>
            </w:r>
          </w:hyperlink>
        </w:p>
        <w:p>
          <w:pPr>
            <w:pStyle w:val="Contents4"/>
            <w:tabs>
              <w:tab w:val="clear" w:pos="8176"/>
              <w:tab w:val="right" w:pos="9026" w:leader="dot"/>
            </w:tabs>
            <w:rPr/>
          </w:pPr>
          <w:hyperlink w:anchor="__RefHeading___Toc1127460_581953129">
            <w:r>
              <w:rPr>
                <w:webHidden/>
                <w:rStyle w:val="IndexLink"/>
              </w:rPr>
              <w:t>3</w:t>
            </w:r>
            <w:r>
              <w:rPr>
                <w:rStyle w:val="IndexLink"/>
                <w:rtl w:val="true"/>
              </w:rPr>
              <w:t xml:space="preserve">- </w:t>
            </w:r>
            <w:r>
              <w:rPr>
                <w:rStyle w:val="IndexLink"/>
                <w:rtl w:val="true"/>
              </w:rPr>
              <w:t>حجیة الإجماع</w:t>
            </w:r>
            <w:r>
              <w:rPr>
                <w:rStyle w:val="IndexLink"/>
                <w:rtl w:val="true"/>
              </w:rPr>
              <w:tab/>
            </w:r>
            <w:r>
              <w:rPr>
                <w:rStyle w:val="IndexLink"/>
              </w:rPr>
              <w:t>67</w:t>
            </w:r>
          </w:hyperlink>
        </w:p>
        <w:p>
          <w:pPr>
            <w:pStyle w:val="Contents4"/>
            <w:tabs>
              <w:tab w:val="clear" w:pos="8176"/>
              <w:tab w:val="right" w:pos="9026" w:leader="dot"/>
            </w:tabs>
            <w:rPr/>
          </w:pPr>
          <w:hyperlink w:anchor="__RefHeading___Toc1127462_581953129">
            <w:r>
              <w:rPr>
                <w:webHidden/>
                <w:rStyle w:val="IndexLink"/>
              </w:rPr>
              <w:t>4</w:t>
            </w:r>
            <w:r>
              <w:rPr>
                <w:rStyle w:val="IndexLink"/>
                <w:rtl w:val="true"/>
              </w:rPr>
              <w:t xml:space="preserve">- </w:t>
            </w:r>
            <w:r>
              <w:rPr>
                <w:rStyle w:val="IndexLink"/>
                <w:rtl w:val="true"/>
              </w:rPr>
              <w:t>عدم قطعیة أخبار الکتب الأربعة</w:t>
            </w:r>
            <w:r>
              <w:rPr>
                <w:rStyle w:val="IndexLink"/>
                <w:rtl w:val="true"/>
              </w:rPr>
              <w:tab/>
            </w:r>
            <w:r>
              <w:rPr>
                <w:rStyle w:val="IndexLink"/>
              </w:rPr>
              <w:t>68</w:t>
            </w:r>
          </w:hyperlink>
        </w:p>
        <w:p>
          <w:pPr>
            <w:pStyle w:val="Contents4"/>
            <w:tabs>
              <w:tab w:val="clear" w:pos="8176"/>
              <w:tab w:val="right" w:pos="9026" w:leader="dot"/>
            </w:tabs>
            <w:rPr/>
          </w:pPr>
          <w:hyperlink w:anchor="__RefHeading___Toc1127464_581953129">
            <w:r>
              <w:rPr>
                <w:webHidden/>
                <w:rStyle w:val="IndexLink"/>
                <w:rtl w:val="true"/>
              </w:rPr>
              <w:t>ابتکاراته الأُصولیة</w:t>
            </w:r>
            <w:r>
              <w:rPr>
                <w:rStyle w:val="IndexLink"/>
                <w:rtl w:val="true"/>
              </w:rPr>
              <w:tab/>
            </w:r>
            <w:r>
              <w:rPr>
                <w:rStyle w:val="IndexLink"/>
              </w:rPr>
              <w:t>68</w:t>
            </w:r>
          </w:hyperlink>
        </w:p>
        <w:p>
          <w:pPr>
            <w:pStyle w:val="Contents3"/>
            <w:tabs>
              <w:tab w:val="clear" w:pos="8459"/>
              <w:tab w:val="right" w:pos="9026" w:leader="dot"/>
            </w:tabs>
            <w:rPr/>
          </w:pPr>
          <w:hyperlink w:anchor="__RefHeading___Toc1127466_581953129">
            <w:r>
              <w:rPr>
                <w:webHidden/>
                <w:rStyle w:val="IndexLink"/>
                <w:rtl w:val="true"/>
              </w:rPr>
              <w:t>الاجتهاد عند أهل السنّة عقیب القرن السابع</w:t>
            </w:r>
            <w:r>
              <w:rPr>
                <w:rStyle w:val="IndexLink"/>
                <w:rtl w:val="true"/>
              </w:rPr>
              <w:tab/>
            </w:r>
            <w:r>
              <w:rPr>
                <w:rStyle w:val="IndexLink"/>
              </w:rPr>
              <w:t>69</w:t>
            </w:r>
          </w:hyperlink>
        </w:p>
        <w:p>
          <w:pPr>
            <w:pStyle w:val="Contents2"/>
            <w:tabs>
              <w:tab w:val="clear" w:pos="8743"/>
              <w:tab w:val="right" w:pos="9026" w:leader="dot"/>
            </w:tabs>
            <w:rPr/>
          </w:pPr>
          <w:hyperlink w:anchor="__RefHeading___Toc1127468_581953129">
            <w:r>
              <w:rPr>
                <w:webHidden/>
                <w:rStyle w:val="IndexLink"/>
              </w:rPr>
              <w:t>8</w:t>
            </w:r>
            <w:r>
              <w:rPr>
                <w:rStyle w:val="IndexLink"/>
                <w:rtl w:val="true"/>
              </w:rPr>
              <w:t xml:space="preserve">- </w:t>
            </w:r>
            <w:r>
              <w:rPr>
                <w:rStyle w:val="IndexLink"/>
                <w:rtl w:val="true"/>
              </w:rPr>
              <w:t>عصر الإبداع الفقهی</w:t>
            </w:r>
            <w:r>
              <w:rPr>
                <w:rStyle w:val="IndexLink"/>
                <w:rtl w:val="true"/>
              </w:rPr>
              <w:tab/>
            </w:r>
            <w:r>
              <w:rPr>
                <w:rStyle w:val="IndexLink"/>
              </w:rPr>
              <w:t>71</w:t>
            </w:r>
          </w:hyperlink>
        </w:p>
        <w:p>
          <w:pPr>
            <w:pStyle w:val="Contents3"/>
            <w:tabs>
              <w:tab w:val="clear" w:pos="8459"/>
              <w:tab w:val="right" w:pos="9026" w:leader="dot"/>
            </w:tabs>
            <w:rPr/>
          </w:pPr>
          <w:hyperlink w:anchor="__RefHeading___Toc1127470_581953129">
            <w:r>
              <w:rPr>
                <w:webHidden/>
                <w:rStyle w:val="IndexLink"/>
                <w:rtl w:val="true"/>
              </w:rPr>
              <w:t>اشارة</w:t>
            </w:r>
            <w:r>
              <w:rPr>
                <w:rStyle w:val="IndexLink"/>
                <w:rtl w:val="true"/>
              </w:rPr>
              <w:tab/>
            </w:r>
            <w:r>
              <w:rPr>
                <w:rStyle w:val="IndexLink"/>
              </w:rPr>
              <w:t>71</w:t>
            </w:r>
          </w:hyperlink>
        </w:p>
        <w:p>
          <w:pPr>
            <w:pStyle w:val="Contents3"/>
            <w:tabs>
              <w:tab w:val="clear" w:pos="8459"/>
              <w:tab w:val="right" w:pos="9026" w:leader="dot"/>
            </w:tabs>
            <w:rPr/>
          </w:pPr>
          <w:hyperlink w:anchor="__RefHeading___Toc1127472_581953129">
            <w:r>
              <w:rPr>
                <w:webHidden/>
                <w:rStyle w:val="IndexLink"/>
              </w:rPr>
              <w:t>1</w:t>
            </w:r>
            <w:r>
              <w:rPr>
                <w:rStyle w:val="IndexLink"/>
                <w:rtl w:val="true"/>
              </w:rPr>
              <w:t xml:space="preserve">- </w:t>
            </w:r>
            <w:r>
              <w:rPr>
                <w:rStyle w:val="IndexLink"/>
                <w:rtl w:val="true"/>
              </w:rPr>
              <w:t>الشیخ محمد حسن صاحب الجواهر</w:t>
            </w:r>
            <w:r>
              <w:rPr>
                <w:rStyle w:val="IndexLink"/>
                <w:rtl w:val="true"/>
              </w:rPr>
              <w:tab/>
            </w:r>
            <w:r>
              <w:rPr>
                <w:rStyle w:val="IndexLink"/>
              </w:rPr>
              <w:t>71</w:t>
            </w:r>
          </w:hyperlink>
        </w:p>
        <w:p>
          <w:pPr>
            <w:pStyle w:val="Contents3"/>
            <w:tabs>
              <w:tab w:val="clear" w:pos="8459"/>
              <w:tab w:val="right" w:pos="9026" w:leader="dot"/>
            </w:tabs>
            <w:rPr/>
          </w:pPr>
          <w:hyperlink w:anchor="__RefHeading___Toc1127474_581953129">
            <w:r>
              <w:rPr>
                <w:webHidden/>
                <w:rStyle w:val="IndexLink"/>
              </w:rPr>
              <w:t>2</w:t>
            </w:r>
            <w:r>
              <w:rPr>
                <w:rStyle w:val="IndexLink"/>
                <w:rtl w:val="true"/>
              </w:rPr>
              <w:t xml:space="preserve">- </w:t>
            </w:r>
            <w:r>
              <w:rPr>
                <w:rStyle w:val="IndexLink"/>
                <w:rtl w:val="true"/>
              </w:rPr>
              <w:t>الشیخ مرتضی الأنصاری</w:t>
            </w:r>
            <w:r>
              <w:rPr>
                <w:rStyle w:val="IndexLink"/>
                <w:rtl w:val="true"/>
              </w:rPr>
              <w:tab/>
            </w:r>
            <w:r>
              <w:rPr>
                <w:rStyle w:val="IndexLink"/>
              </w:rPr>
              <w:t>73</w:t>
            </w:r>
          </w:hyperlink>
        </w:p>
        <w:p>
          <w:pPr>
            <w:pStyle w:val="Contents4"/>
            <w:tabs>
              <w:tab w:val="clear" w:pos="8176"/>
              <w:tab w:val="right" w:pos="9026" w:leader="dot"/>
            </w:tabs>
            <w:rPr/>
          </w:pPr>
          <w:hyperlink w:anchor="__RefHeading___Toc1127476_581953129">
            <w:r>
              <w:rPr>
                <w:webHidden/>
                <w:rStyle w:val="IndexLink"/>
                <w:rtl w:val="true"/>
              </w:rPr>
              <w:t>اشارة</w:t>
            </w:r>
            <w:r>
              <w:rPr>
                <w:rStyle w:val="IndexLink"/>
                <w:rtl w:val="true"/>
              </w:rPr>
              <w:tab/>
            </w:r>
            <w:r>
              <w:rPr>
                <w:rStyle w:val="IndexLink"/>
              </w:rPr>
              <w:t>73</w:t>
            </w:r>
          </w:hyperlink>
        </w:p>
        <w:p>
          <w:pPr>
            <w:pStyle w:val="Contents4"/>
            <w:tabs>
              <w:tab w:val="clear" w:pos="8176"/>
              <w:tab w:val="right" w:pos="9026" w:leader="dot"/>
            </w:tabs>
            <w:rPr/>
          </w:pPr>
          <w:hyperlink w:anchor="__RefHeading___Toc1127478_581953129">
            <w:r>
              <w:rPr>
                <w:webHidden/>
                <w:rStyle w:val="IndexLink"/>
                <w:rtl w:val="true"/>
              </w:rPr>
              <w:t>إبداعاته العلمیة</w:t>
            </w:r>
            <w:r>
              <w:rPr>
                <w:rStyle w:val="IndexLink"/>
                <w:rtl w:val="true"/>
              </w:rPr>
              <w:tab/>
            </w:r>
            <w:r>
              <w:rPr>
                <w:rStyle w:val="IndexLink"/>
              </w:rPr>
              <w:t>74</w:t>
            </w:r>
          </w:hyperlink>
        </w:p>
        <w:p>
          <w:pPr>
            <w:pStyle w:val="Contents4"/>
            <w:tabs>
              <w:tab w:val="clear" w:pos="8176"/>
              <w:tab w:val="right" w:pos="9026" w:leader="dot"/>
            </w:tabs>
            <w:rPr/>
          </w:pPr>
          <w:hyperlink w:anchor="__RefHeading___Toc1127480_581953129">
            <w:r>
              <w:rPr>
                <w:webHidden/>
                <w:rStyle w:val="IndexLink"/>
                <w:rtl w:val="true"/>
              </w:rPr>
              <w:t>روّاد منهجه</w:t>
            </w:r>
            <w:r>
              <w:rPr>
                <w:rStyle w:val="IndexLink"/>
                <w:rtl w:val="true"/>
              </w:rPr>
              <w:tab/>
            </w:r>
            <w:r>
              <w:rPr>
                <w:rStyle w:val="IndexLink"/>
              </w:rPr>
              <w:t>74</w:t>
            </w:r>
          </w:hyperlink>
        </w:p>
        <w:p>
          <w:pPr>
            <w:pStyle w:val="Contents4"/>
            <w:tabs>
              <w:tab w:val="clear" w:pos="8176"/>
              <w:tab w:val="right" w:pos="9026" w:leader="dot"/>
            </w:tabs>
            <w:rPr/>
          </w:pPr>
          <w:hyperlink w:anchor="__RefHeading___Toc1127482_581953129">
            <w:r>
              <w:rPr>
                <w:webHidden/>
                <w:rStyle w:val="IndexLink"/>
                <w:rtl w:val="true"/>
              </w:rPr>
              <w:t>إعادة النشاط الفقهی عند أهل السنّة</w:t>
            </w:r>
            <w:r>
              <w:rPr>
                <w:rStyle w:val="IndexLink"/>
                <w:rtl w:val="true"/>
              </w:rPr>
              <w:tab/>
            </w:r>
            <w:r>
              <w:rPr>
                <w:rStyle w:val="IndexLink"/>
              </w:rPr>
              <w:t>76</w:t>
            </w:r>
          </w:hyperlink>
        </w:p>
        <w:p>
          <w:pPr>
            <w:pStyle w:val="Contents2"/>
            <w:tabs>
              <w:tab w:val="clear" w:pos="8743"/>
              <w:tab w:val="right" w:pos="9026" w:leader="dot"/>
            </w:tabs>
            <w:rPr/>
          </w:pPr>
          <w:hyperlink w:anchor="__RefHeading___Toc1127484_581953129">
            <w:r>
              <w:rPr>
                <w:webHidden/>
                <w:rStyle w:val="IndexLink"/>
              </w:rPr>
              <w:t>9</w:t>
            </w:r>
            <w:r>
              <w:rPr>
                <w:rStyle w:val="IndexLink"/>
                <w:rtl w:val="true"/>
              </w:rPr>
              <w:t xml:space="preserve">- </w:t>
            </w:r>
            <w:r>
              <w:rPr>
                <w:rStyle w:val="IndexLink"/>
                <w:rtl w:val="true"/>
              </w:rPr>
              <w:t>عصر إنهاض الفقه بمتطلّبات الحکم</w:t>
            </w:r>
            <w:r>
              <w:rPr>
                <w:rStyle w:val="IndexLink"/>
                <w:rtl w:val="true"/>
              </w:rPr>
              <w:tab/>
            </w:r>
            <w:r>
              <w:rPr>
                <w:rStyle w:val="IndexLink"/>
              </w:rPr>
              <w:t>77</w:t>
            </w:r>
          </w:hyperlink>
        </w:p>
        <w:p>
          <w:pPr>
            <w:pStyle w:val="Contents3"/>
            <w:tabs>
              <w:tab w:val="clear" w:pos="8459"/>
              <w:tab w:val="right" w:pos="9026" w:leader="dot"/>
            </w:tabs>
            <w:rPr/>
          </w:pPr>
          <w:hyperlink w:anchor="__RefHeading___Toc1127486_581953129">
            <w:r>
              <w:rPr>
                <w:webHidden/>
                <w:rStyle w:val="IndexLink"/>
                <w:rtl w:val="true"/>
              </w:rPr>
              <w:t>اشارة</w:t>
            </w:r>
            <w:r>
              <w:rPr>
                <w:rStyle w:val="IndexLink"/>
                <w:rtl w:val="true"/>
              </w:rPr>
              <w:tab/>
            </w:r>
            <w:r>
              <w:rPr>
                <w:rStyle w:val="IndexLink"/>
              </w:rPr>
              <w:t>77</w:t>
            </w:r>
          </w:hyperlink>
        </w:p>
        <w:p>
          <w:pPr>
            <w:pStyle w:val="Contents3"/>
            <w:tabs>
              <w:tab w:val="clear" w:pos="8459"/>
              <w:tab w:val="right" w:pos="9026" w:leader="dot"/>
            </w:tabs>
            <w:rPr/>
          </w:pPr>
          <w:hyperlink w:anchor="__RefHeading___Toc1127488_581953129">
            <w:r>
              <w:rPr>
                <w:webHidden/>
                <w:rStyle w:val="IndexLink"/>
                <w:rtl w:val="true"/>
              </w:rPr>
              <w:t>دور الزمان والمکان فی استنباط الأحکام</w:t>
            </w:r>
            <w:r>
              <w:rPr>
                <w:rStyle w:val="IndexLink"/>
                <w:rtl w:val="true"/>
              </w:rPr>
              <w:tab/>
            </w:r>
            <w:r>
              <w:rPr>
                <w:rStyle w:val="IndexLink"/>
              </w:rPr>
              <w:t>81</w:t>
            </w:r>
          </w:hyperlink>
        </w:p>
        <w:p>
          <w:pPr>
            <w:pStyle w:val="Contents4"/>
            <w:tabs>
              <w:tab w:val="clear" w:pos="8176"/>
              <w:tab w:val="right" w:pos="9026" w:leader="dot"/>
            </w:tabs>
            <w:rPr/>
          </w:pPr>
          <w:hyperlink w:anchor="__RefHeading___Toc1127490_581953129">
            <w:r>
              <w:rPr>
                <w:webHidden/>
                <w:rStyle w:val="IndexLink"/>
                <w:rtl w:val="true"/>
              </w:rPr>
              <w:t>اشارة</w:t>
            </w:r>
            <w:r>
              <w:rPr>
                <w:rStyle w:val="IndexLink"/>
                <w:rtl w:val="true"/>
              </w:rPr>
              <w:tab/>
            </w:r>
            <w:r>
              <w:rPr>
                <w:rStyle w:val="IndexLink"/>
              </w:rPr>
              <w:t>81</w:t>
            </w:r>
          </w:hyperlink>
        </w:p>
        <w:p>
          <w:pPr>
            <w:pStyle w:val="Contents4"/>
            <w:tabs>
              <w:tab w:val="clear" w:pos="8176"/>
              <w:tab w:val="right" w:pos="9026" w:leader="dot"/>
            </w:tabs>
            <w:rPr/>
          </w:pPr>
          <w:hyperlink w:anchor="__RefHeading___Toc1127492_581953129">
            <w:r>
              <w:rPr>
                <w:webHidden/>
                <w:rStyle w:val="IndexLink"/>
                <w:rtl w:val="true"/>
              </w:rPr>
              <w:t>التأثیر فی مقام الإفتاء</w:t>
            </w:r>
            <w:r>
              <w:rPr>
                <w:rStyle w:val="IndexLink"/>
                <w:rtl w:val="true"/>
              </w:rPr>
              <w:tab/>
            </w:r>
            <w:r>
              <w:rPr>
                <w:rStyle w:val="IndexLink"/>
              </w:rPr>
              <w:t>81</w:t>
            </w:r>
          </w:hyperlink>
        </w:p>
        <w:p>
          <w:pPr>
            <w:pStyle w:val="Contents4"/>
            <w:tabs>
              <w:tab w:val="clear" w:pos="8176"/>
              <w:tab w:val="right" w:pos="9026" w:leader="dot"/>
            </w:tabs>
            <w:rPr/>
          </w:pPr>
          <w:hyperlink w:anchor="__RefHeading___Toc1127494_581953129">
            <w:r>
              <w:rPr>
                <w:webHidden/>
                <w:rStyle w:val="IndexLink"/>
                <w:rtl w:val="true"/>
              </w:rPr>
              <w:t>تأثیر الخصوصیات الطارئة فی حکم الحاکم</w:t>
            </w:r>
            <w:r>
              <w:rPr>
                <w:rStyle w:val="IndexLink"/>
                <w:rtl w:val="true"/>
              </w:rPr>
              <w:tab/>
            </w:r>
            <w:r>
              <w:rPr>
                <w:rStyle w:val="IndexLink"/>
              </w:rPr>
              <w:t>83</w:t>
            </w:r>
          </w:hyperlink>
        </w:p>
        <w:p>
          <w:pPr>
            <w:pStyle w:val="Contents3"/>
            <w:tabs>
              <w:tab w:val="clear" w:pos="8459"/>
              <w:tab w:val="right" w:pos="9026" w:leader="dot"/>
            </w:tabs>
            <w:rPr/>
          </w:pPr>
          <w:hyperlink w:anchor="__RefHeading___Toc1127496_581953129">
            <w:r>
              <w:rPr>
                <w:webHidden/>
                <w:rStyle w:val="IndexLink"/>
                <w:rtl w:val="true"/>
              </w:rPr>
              <w:t>دور الحاکم فی رفع التزاحم بین الأحکام الأوّلیّة</w:t>
            </w:r>
            <w:r>
              <w:rPr>
                <w:rStyle w:val="IndexLink"/>
                <w:rtl w:val="true"/>
              </w:rPr>
              <w:tab/>
            </w:r>
            <w:r>
              <w:rPr>
                <w:rStyle w:val="IndexLink"/>
              </w:rPr>
              <w:t>85</w:t>
            </w:r>
          </w:hyperlink>
        </w:p>
        <w:p>
          <w:pPr>
            <w:pStyle w:val="Contents2"/>
            <w:tabs>
              <w:tab w:val="clear" w:pos="8743"/>
              <w:tab w:val="right" w:pos="9026" w:leader="dot"/>
            </w:tabs>
            <w:rPr/>
          </w:pPr>
          <w:hyperlink w:anchor="__RefHeading___Toc1127498_581953129">
            <w:r>
              <w:rPr>
                <w:webHidden/>
                <w:rStyle w:val="IndexLink"/>
              </w:rPr>
              <w:t>10</w:t>
            </w:r>
            <w:r>
              <w:rPr>
                <w:rStyle w:val="IndexLink"/>
                <w:rtl w:val="true"/>
              </w:rPr>
              <w:t xml:space="preserve">- </w:t>
            </w:r>
            <w:r>
              <w:rPr>
                <w:rStyle w:val="IndexLink"/>
                <w:rtl w:val="true"/>
              </w:rPr>
              <w:t>خاتمة المطاف</w:t>
            </w:r>
            <w:r>
              <w:rPr>
                <w:rStyle w:val="IndexLink"/>
                <w:rtl w:val="true"/>
              </w:rPr>
              <w:tab/>
            </w:r>
            <w:r>
              <w:rPr>
                <w:rStyle w:val="IndexLink"/>
              </w:rPr>
              <w:t>89</w:t>
            </w:r>
          </w:hyperlink>
        </w:p>
        <w:p>
          <w:pPr>
            <w:pStyle w:val="Contents3"/>
            <w:tabs>
              <w:tab w:val="clear" w:pos="8459"/>
              <w:tab w:val="right" w:pos="9026" w:leader="dot"/>
            </w:tabs>
            <w:rPr/>
          </w:pPr>
          <w:hyperlink w:anchor="__RefHeading___Toc1127500_581953129">
            <w:r>
              <w:rPr>
                <w:webHidden/>
                <w:rStyle w:val="IndexLink"/>
                <w:rtl w:val="true"/>
              </w:rPr>
              <w:t>اشارة</w:t>
            </w:r>
            <w:r>
              <w:rPr>
                <w:rStyle w:val="IndexLink"/>
                <w:rtl w:val="true"/>
              </w:rPr>
              <w:tab/>
            </w:r>
            <w:r>
              <w:rPr>
                <w:rStyle w:val="IndexLink"/>
              </w:rPr>
              <w:t>89</w:t>
            </w:r>
          </w:hyperlink>
        </w:p>
        <w:p>
          <w:pPr>
            <w:pStyle w:val="Contents3"/>
            <w:tabs>
              <w:tab w:val="clear" w:pos="8459"/>
              <w:tab w:val="right" w:pos="9026" w:leader="dot"/>
            </w:tabs>
            <w:rPr/>
          </w:pPr>
          <w:hyperlink w:anchor="__RefHeading___Toc1127502_581953129">
            <w:r>
              <w:rPr>
                <w:webHidden/>
                <w:rStyle w:val="IndexLink"/>
                <w:rtl w:val="true"/>
              </w:rPr>
              <w:t>الأوّل</w:t>
            </w:r>
            <w:r>
              <w:rPr>
                <w:rStyle w:val="IndexLink"/>
                <w:rtl w:val="true"/>
              </w:rPr>
              <w:t xml:space="preserve">: </w:t>
            </w:r>
            <w:r>
              <w:rPr>
                <w:rStyle w:val="IndexLink"/>
                <w:rtl w:val="true"/>
              </w:rPr>
              <w:t>التأثیر المتقابل بین قوانین الإسلام والغرب</w:t>
            </w:r>
            <w:r>
              <w:rPr>
                <w:rStyle w:val="IndexLink"/>
                <w:rtl w:val="true"/>
              </w:rPr>
              <w:tab/>
            </w:r>
            <w:r>
              <w:rPr>
                <w:rStyle w:val="IndexLink"/>
              </w:rPr>
              <w:t>89</w:t>
            </w:r>
          </w:hyperlink>
        </w:p>
        <w:p>
          <w:pPr>
            <w:pStyle w:val="Contents3"/>
            <w:tabs>
              <w:tab w:val="clear" w:pos="8459"/>
              <w:tab w:val="right" w:pos="9026" w:leader="dot"/>
            </w:tabs>
            <w:rPr/>
          </w:pPr>
          <w:hyperlink w:anchor="__RefHeading___Toc1127504_581953129">
            <w:r>
              <w:rPr>
                <w:webHidden/>
                <w:rStyle w:val="IndexLink"/>
                <w:rtl w:val="true"/>
              </w:rPr>
              <w:t>الثانی</w:t>
            </w:r>
            <w:r>
              <w:rPr>
                <w:rStyle w:val="IndexLink"/>
                <w:rtl w:val="true"/>
              </w:rPr>
              <w:t xml:space="preserve">: </w:t>
            </w:r>
            <w:r>
              <w:rPr>
                <w:rStyle w:val="IndexLink"/>
                <w:rtl w:val="true"/>
              </w:rPr>
              <w:t>ولایة الفقیه أو الزعامة السیاسیة</w:t>
            </w:r>
            <w:r>
              <w:rPr>
                <w:rStyle w:val="IndexLink"/>
                <w:rtl w:val="true"/>
              </w:rPr>
              <w:tab/>
            </w:r>
            <w:r>
              <w:rPr>
                <w:rStyle w:val="IndexLink"/>
              </w:rPr>
              <w:t>90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344_40498"/>
      <w:bookmarkStart w:id="1" w:name="pg5344_40498"/>
      <w:bookmarkEnd w:id="1"/>
    </w:p>
    <w:p>
      <w:pPr>
        <w:pStyle w:val="Heading2"/>
        <w:numPr>
          <w:ilvl w:val="1"/>
          <w:numId w:val="1"/>
        </w:numPr>
        <w:rPr/>
      </w:pPr>
      <w:bookmarkStart w:id="2" w:name="pg5344_40498"/>
      <w:bookmarkStart w:id="3" w:name="__RefHeading___Toc1127310_581953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تبریزی، جعفر، </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 فی تاریخ‌الفقه و ادواره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جعفر السبحانی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المرکز‌العالمی للدراسات‌الاسلامیه،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مکتب‌التخطیط و تدوین‌المناهج‌الدراسیه؛ </w:t>
      </w:r>
      <w:r>
        <w:rPr>
          <w:rFonts w:ascii="IRNazanin" w:hAnsi="IRNazanin" w:eastAsia="IRNazanin"/>
          <w:color w:val="111111"/>
          <w:sz w:val="28"/>
          <w:sz w:val="28"/>
          <w:szCs w:val="28"/>
          <w:lang w:bidi="fa-IR"/>
        </w:rPr>
        <w:t>۴۸</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جهانی علوم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برنامه‌ریزی و تدوین متون درسی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۳۹</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۳۰۵۶۷۷۸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27312_581953129"/>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دروس فی تاریخ الفقه وأدواره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السبحانی</w:t>
      </w:r>
    </w:p>
    <w:p>
      <w:pPr>
        <w:pStyle w:val="BookText"/>
        <w:rPr/>
      </w:pPr>
      <w:r>
        <w:rPr>
          <w:rFonts w:ascii="IRNazanin" w:hAnsi="IRNazanin" w:eastAsia="IRNazanin"/>
          <w:color w:val="111111"/>
          <w:sz w:val="28"/>
          <w:sz w:val="28"/>
          <w:szCs w:val="28"/>
          <w:rtl w:val="true"/>
          <w:lang w:bidi="fa-IR"/>
        </w:rPr>
        <w:t xml:space="preserve">سبحانی تبریزی، جعفر، </w:t>
      </w:r>
      <w:r>
        <w:rPr>
          <w:rFonts w:eastAsia="IRNazanin" w:cs="IRNazanin"/>
          <w:color w:val="111111"/>
          <w:sz w:val="28"/>
          <w:szCs w:val="28"/>
          <w:lang w:bidi="fa-IR"/>
        </w:rPr>
        <w:t>1308</w:t>
      </w:r>
    </w:p>
    <w:p>
      <w:pPr>
        <w:pStyle w:val="BookText"/>
        <w:rPr/>
      </w:pPr>
      <w:r>
        <w:rPr>
          <w:rFonts w:ascii="IRNazanin" w:hAnsi="IRNazanin" w:eastAsia="IRNazanin"/>
          <w:color w:val="111111"/>
          <w:sz w:val="28"/>
          <w:sz w:val="28"/>
          <w:szCs w:val="28"/>
          <w:rtl w:val="true"/>
          <w:lang w:bidi="fa-IR"/>
        </w:rPr>
        <w:t xml:space="preserve">دروس فی تاریخ الفقه وأدواره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 جعفر السبحانی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للمرکز المصطفی صلی الله علیه و آله العالمی للترجمة و النشر، مرکز دراسات المصطفی صلی الله علیه و آله الدولی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المصطفی صلی الله علیه و آله العالمی للترجمة و النشر،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مرکز دراسات المصطفی صلی الله علیه و آله الدولی</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Times New Roman" w:cs="Times New Roman" w:ascii="Times New Roman" w:hAnsi="Times New Roman"/>
          <w:color w:val="111111"/>
          <w:sz w:val="28"/>
          <w:szCs w:val="28"/>
          <w:lang w:val="en-US" w:bidi="en-US"/>
        </w:rPr>
        <w:t>ISBN: 964-7741-86-3</w:t>
      </w:r>
    </w:p>
    <w:p>
      <w:pPr>
        <w:pStyle w:val="BookText"/>
        <w:rPr/>
      </w:pPr>
      <w:r>
        <w:rPr>
          <w:rFonts w:ascii="IRNazanin" w:hAnsi="IRNazanin" w:eastAsia="IRNazanin"/>
          <w:color w:val="111111"/>
          <w:sz w:val="28"/>
          <w:sz w:val="28"/>
          <w:szCs w:val="28"/>
          <w:rtl w:val="true"/>
          <w:lang w:bidi="fa-IR"/>
        </w:rPr>
        <w:t>فهرست‌نویسی بر 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بین‌المللی ترجمة و نشر المصطفی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پژوهشگاه بین‌المللی المصطفی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297/39</w:t>
      </w:r>
    </w:p>
    <w:p>
      <w:pPr>
        <w:pStyle w:val="BookText"/>
        <w:rPr/>
      </w:pPr>
      <w:r>
        <w:rPr>
          <w:rFonts w:ascii="IRNazanin" w:hAnsi="IRNazanin" w:eastAsia="IRNazanin"/>
          <w:color w:val="111111"/>
          <w:sz w:val="28"/>
          <w:sz w:val="28"/>
          <w:szCs w:val="28"/>
          <w:rtl w:val="true"/>
          <w:lang w:bidi="fa-IR"/>
        </w:rPr>
        <w:t>دروسٌ فی تاریخ الفقه وأدواره</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سماحة آیة‌الله جعفر السبحانی</w:t>
      </w:r>
    </w:p>
    <w:p>
      <w:pPr>
        <w:pStyle w:val="BookText"/>
        <w:rPr/>
      </w:pP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المصطفی صلی الله علیه و آله العالمی للترجمة و النشر</w:t>
      </w:r>
    </w:p>
    <w:p>
      <w:pPr>
        <w:pStyle w:val="BookText"/>
        <w:rPr/>
      </w:pP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إسراء السّعر</w:t>
      </w:r>
      <w:r>
        <w:rPr>
          <w:rFonts w:eastAsia="IRNazanin" w:cs="IRNazanin"/>
          <w:color w:val="111111"/>
          <w:sz w:val="28"/>
          <w:szCs w:val="28"/>
          <w:rtl w:val="true"/>
          <w:lang w:bidi="fa-IR"/>
        </w:rPr>
        <w:t xml:space="preserve">: </w:t>
      </w:r>
      <w:r>
        <w:rPr>
          <w:rFonts w:eastAsia="IRNazanin" w:cs="IRNazanin"/>
          <w:color w:val="111111"/>
          <w:sz w:val="28"/>
          <w:szCs w:val="28"/>
          <w:lang w:bidi="fa-IR"/>
        </w:rPr>
        <w:t>16000</w:t>
      </w:r>
      <w:r>
        <w:rPr>
          <w:rFonts w:ascii="IRNazanin" w:hAnsi="IRNazanin" w:eastAsia="IRNazanin"/>
          <w:color w:val="111111"/>
          <w:sz w:val="28"/>
          <w:sz w:val="28"/>
          <w:szCs w:val="28"/>
          <w:rtl w:val="true"/>
          <w:lang w:bidi="fa-IR"/>
        </w:rPr>
        <w:t>ریال عدد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p>
    <w:p>
      <w:pPr>
        <w:pStyle w:val="BookText"/>
        <w:rPr/>
      </w:pPr>
      <w:r>
        <w:rPr>
          <w:rFonts w:ascii="Amiri" w:hAnsi="Amiri" w:eastAsia="Amiri" w:cs="Amiri"/>
          <w:color w:val="111111"/>
          <w:sz w:val="28"/>
          <w:sz w:val="28"/>
          <w:szCs w:val="28"/>
          <w:rtl w:val="true"/>
          <w:lang w:bidi="ar-SA"/>
        </w:rPr>
        <w:t>حقوق الطبع محفوظة للناشر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التوزیع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استدارة الشهداء، شارع الحجتیه، معرض مرکز المصطفی صلی الله علیه و آله العالمی للترجمه و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فکس</w:t>
      </w:r>
      <w:r>
        <w:rPr>
          <w:rFonts w:eastAsia="IRNazanin" w:cs="IRNazanin"/>
          <w:color w:val="111111"/>
          <w:sz w:val="28"/>
          <w:szCs w:val="28"/>
          <w:rtl w:val="true"/>
          <w:lang w:bidi="fa-IR"/>
        </w:rPr>
        <w:t xml:space="preserve">: </w:t>
      </w:r>
      <w:r>
        <w:rPr>
          <w:rFonts w:eastAsia="IRNazanin" w:cs="IRNazanin"/>
          <w:color w:val="111111"/>
          <w:sz w:val="28"/>
          <w:szCs w:val="28"/>
          <w:lang w:bidi="fa-IR"/>
        </w:rPr>
        <w:t>02517730517</w:t>
      </w:r>
    </w:p>
    <w:p>
      <w:pPr>
        <w:pStyle w:val="BookText"/>
        <w:rPr/>
      </w:pPr>
      <w:r>
        <w:rPr>
          <w:rFonts w:ascii="IRNazanin" w:hAnsi="IRNazanin" w:eastAsia="IRNazanin"/>
          <w:color w:val="111111"/>
          <w:sz w:val="28"/>
          <w:sz w:val="28"/>
          <w:szCs w:val="28"/>
          <w:rtl w:val="true"/>
          <w:lang w:bidi="fa-IR"/>
        </w:rPr>
        <w:t>قم، شارع محمد الامین، تقاطع سالاریة، معرض مرکز المصطفی صلی الله علیه و آله العالمی للترجمة و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02512133106</w:t>
      </w:r>
      <w:r>
        <w:rPr>
          <w:rFonts w:ascii="IRNazanin" w:hAnsi="IRNazanin" w:eastAsia="IRNazanin"/>
          <w:color w:val="111111"/>
          <w:sz w:val="28"/>
          <w:sz w:val="28"/>
          <w:szCs w:val="28"/>
          <w:rtl w:val="true"/>
          <w:lang w:bidi="fa-IR"/>
        </w:rPr>
        <w:t>، فکس</w:t>
      </w:r>
      <w:r>
        <w:rPr>
          <w:rFonts w:eastAsia="IRNazanin" w:cs="IRNazanin"/>
          <w:color w:val="111111"/>
          <w:sz w:val="28"/>
          <w:szCs w:val="28"/>
          <w:rtl w:val="true"/>
          <w:lang w:bidi="fa-IR"/>
        </w:rPr>
        <w:t xml:space="preserve">: </w:t>
      </w:r>
      <w:r>
        <w:rPr>
          <w:rFonts w:eastAsia="IRNazanin" w:cs="IRNazanin"/>
          <w:color w:val="111111"/>
          <w:sz w:val="28"/>
          <w:szCs w:val="28"/>
          <w:lang w:bidi="fa-IR"/>
        </w:rPr>
        <w:t>02512133146</w:t>
      </w:r>
    </w:p>
    <w:p>
      <w:pPr>
        <w:pStyle w:val="BookText"/>
        <w:rPr/>
      </w:pPr>
      <w:r>
        <w:rPr>
          <w:rFonts w:eastAsia="Times New Roman" w:cs="Times New Roman" w:ascii="Times New Roman" w:hAnsi="Times New Roman"/>
          <w:color w:val="111111"/>
          <w:sz w:val="28"/>
          <w:szCs w:val="28"/>
          <w:lang w:val="en-US" w:bidi="en-US"/>
        </w:rPr>
        <w:t>www.miup.ir, www.eshop.miup.ir</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admin@miup.ir, root@miup.ir</w:t>
      </w:r>
      <w:bookmarkStart w:id="7" w:name="pg5344_40506"/>
    </w:p>
    <w:p>
      <w:pPr>
        <w:pStyle w:val="Heading2"/>
        <w:numPr>
          <w:ilvl w:val="1"/>
          <w:numId w:val="1"/>
        </w:numPr>
        <w:rPr/>
      </w:pPr>
      <w:bookmarkStart w:id="8" w:name="__RefHeading___Toc1127314_581953129"/>
      <w:bookmarkStart w:id="9" w:name="_Toc3"/>
      <w:bookmarkEnd w:id="7"/>
      <w:bookmarkEnd w:id="8"/>
      <w:r>
        <w:rPr>
          <w:rtl w:val="true"/>
        </w:rPr>
        <w:t>کلمة الناشر</w:t>
      </w:r>
      <w:bookmarkEnd w:id="9"/>
    </w:p>
    <w:p>
      <w:pPr>
        <w:pStyle w:val="BookText"/>
        <w:rPr/>
      </w:pPr>
      <w:r>
        <w:rPr>
          <w:rFonts w:ascii="IRNazanin" w:hAnsi="IRNazanin" w:eastAsia="IRNazanin"/>
          <w:color w:val="111111"/>
          <w:sz w:val="28"/>
          <w:sz w:val="28"/>
          <w:szCs w:val="28"/>
          <w:rtl w:val="true"/>
          <w:lang w:bidi="fa-IR"/>
        </w:rPr>
        <w:t>إن التطور العلمی الذی یشهده عالمنا الیوم، والوسائل التکنولوجیة الحدیثة قد دفعت بعجلة المدنیة والثقافة الی الأمام، بل واصبح الانسان یرقب فی کل یوم تصورا آخر، وهذا التطور قد کشف لنا القناع عن بعض المناهج الدراسیة فی معاهدنا ومؤسساتنا العلمیة واذا بها مناهج تحتل زوایة ضیقة من هذا العالم العلمی الفسیح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اتخذت المؤسسات العلمیّة فی الجمهوریة الاسلامیة فی ایران وفی مقدّمتها جامعة المصطفی صلی الله علیه و آله العالمیّة؛ أتخذت علی عاتقها صیاغة بعض المناهج الدراسیّة صیاغة تلائم الحرکة العلمیّة المعاصرة، ومالها من متطلّبات بحیث تنسجم مع المحیط العلمی الجدید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بادرت الاقسام العلمیّة فی جامعة المصطفی صلی الله علیه و آله بمخاطبة الاساتذة ذوی الأختصاص لیساهموا فی وضع مناهج حدیثة فی علوم القرآن، والفقه، والاصول، والتفسیر، والتاریخ،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تلبّی احتیاجات الدارسین فی مختلف المستویات وعلی صعید کل الاختصاصات الأنسانیة والدینیة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خطوة الجامعة جریئة وموفقة حیث بذرت بذوراً صالحة تفتّقت من خلالها براعم طیبة، وانتجت ثماراً ناضجة تؤتی اکُلها فی کلّ حین</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لمّا کانت بعض المواد الدراسیّة لم تتوفر فیها الکتب المنهجیّة اللازمة التی تنسجم مع السطح العلمی لعموم المعاهد والمؤسسات العلمیّة، فقد أناطت ادارة جامعة المصطفی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الحقل العلمی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مهمّة تدوین وتألیف هذه المناهج الجدیدة والبحوث العلمیّة ذات الطابع</w:t>
      </w:r>
    </w:p>
    <w:p>
      <w:pPr>
        <w:pStyle w:val="BookText"/>
        <w:rPr/>
      </w:pPr>
      <w:r>
        <w:rPr>
          <w:rFonts w:ascii="IRNazanin" w:hAnsi="IRNazanin" w:eastAsia="IRNazanin"/>
          <w:color w:val="111111"/>
          <w:sz w:val="28"/>
          <w:sz w:val="28"/>
          <w:szCs w:val="28"/>
          <w:rtl w:val="true"/>
          <w:lang w:bidi="fa-IR"/>
        </w:rPr>
        <w:t>العلمی والأکادیمی الی جملة من الاستاتذة المختصّین والعلماء الأفاضل، وأولتهم رعایة فائقة وتسهیلات محمودة کی یتمّ انجاز تلک البحوث علی وفق المناهج المقرّرة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وفعلا تصدّی للعمل نخبة من العلماء، واُنجز الکثیر من تلک البحوث والمؤلّفات، حیث بذل أصحاب الفضیلة جهوداً مضنیة، ومساعی متواصلة، بغیة المساهمة الجادة فی خلق کادرٍ متخصّصٍ فی شتی العلوم والفنون، ثم جاءت هذه المساهمة صادقة فی کل ابعادها، تجلّلها النظرة الشمولیة والعمق العلمی والبیان الواضح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جامعة‌المصطفی صلی الله علیه و آله العالمیّة اصبحت الیوم محطّ انظار الدارسین فی الداخل والخارج، وهی تعدّ بحقٍ من اکبر المؤسسات العلمیة فی عالمنا الاسلامی والعربی، وقد استقطبت العدید من اصحاب الاختصاص من الاساتذة والمؤلفین، کما أغنت المکتبة الاسلامیة بمجموعة بحوث ومؤلفات قد تم طبعها ونشرها خلال هذه السنین القلائل لتکون منهلاً عذباً للدارسین وطلاب الحقیقة والمعرفة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منطلق الخدمة العلمیّة یتقدّم مرکز النشر المصطفی صلی الله علیه و آله العالمیة فی هذه الجامعة بالشکر والتقدیر لسماحة الاستاذ لما بذله من جهود تستحق الاحترام والتقدیر فی سماحة آیة‌الله جعفر السبحانی لکتاب دروسٌ فی تاریخ الفقه وأدواره کما نشکر اعضاء الکادر الفنی الذی ساهم بشکل حثیث فی انجاز وطبع هذا الکتاب الماثل بین یدی القاریءالکریم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وکلّنا أمل ورجاء بأن نکون قد ساهمنا فی رفد الحقل العلمی والمکتبة الاسلامیة بالبحوث والمؤلفات خدمة للعلم والعلماء ومشارکة منّا فی تفعیل الحرکة الثقافیة فی العالم الاسلامی، وما التوفیق إلا من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المصطفی صلی الله علیه و آله العالمی للترجمة والنشر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bookmarkStart w:id="10" w:name="pg5344_40510"/>
    </w:p>
    <w:p>
      <w:pPr>
        <w:pStyle w:val="Heading2"/>
        <w:numPr>
          <w:ilvl w:val="1"/>
          <w:numId w:val="1"/>
        </w:numPr>
        <w:rPr/>
      </w:pPr>
      <w:bookmarkStart w:id="11" w:name="__RefHeading___Toc1127316_581953129"/>
      <w:bookmarkStart w:id="12" w:name="_Toc4"/>
      <w:bookmarkEnd w:id="10"/>
      <w:bookmarkEnd w:id="11"/>
      <w:r>
        <w:rPr>
          <w:rtl w:val="true"/>
        </w:rPr>
        <w:t>الفهرس</w:t>
      </w:r>
      <w:bookmarkEnd w:id="12"/>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lang w:bidi="ar-SA"/>
        </w:rPr>
        <w:t>11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تمهید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تعریف الفقه والاجتهاد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مصادر التشریع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مکانة الاجتهاد فی الفقه الإسلامی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الحاجة إلی تاریخ الفقه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المناهج المتّبعة فی تاریخ الفقه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العهد التأسیسی للتشریع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معالم التشریع الإسلامی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التدرّج فی التشریع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شمولیة التشریع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سعة آفاق التشریع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النبی صلی الله علیه و آله والاجتهاد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اجتهاد النبی وتسرب الخطأ إلیه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الاجتهاد فی عصر النبی صلی الله علیه و آله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اجتهاد الصحابة بعد رحیل النبی صلی الله علیه و آله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الاجتهاد فی عصر الأئمّة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الاجتهاد لدی الشیعة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الأُصول والمصنّفات لأصحاب الأئمّة علیهم السلام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الاجتهاد لدی السنّة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أهل الفتیا من التابعین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أهل الفتیا فی مکة المکرمة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أهل الفتیا فی المدینة المنورة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دور الفقهاء بعد عصر التابعین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المذاهب السائدة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المذهب الحنفی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المذهب المالکی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المذهب الشافعی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المذهب الحنبلی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ضوابط الاستنباط عند الشیعة والسنّة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تدوین أُصول الفقه عند السنّة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طریقة المتکلّمین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طریقة الفقهاء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طریقة المتأخّرین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اسلوب تدوین الفقه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نمط تجرید المتون عن الأسانید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أُسلوب عدم الالتزام بألفاظ النصوص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البصمات التی ترکها المفید وتلامذته علی الفقه الإمامی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التوسع فی أُصول الفقه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العنایة بالفقه المقارن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التفریع والتخریج فی ظل النصوص والقواعد المتوارثة عن أئمّة أهل‌البیت علیهم السلام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عصر الرکود بعد رحیل الشیخ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نشوء المذاهب الأربعة وحصر الاجتهاد فیها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مضاعفات حصر المذاهب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تجدید الحیاة الفقهیة فی القرن السادس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ظهور الحرکة الأخباریة </w:t>
      </w:r>
      <w:r>
        <w:rPr>
          <w:rFonts w:eastAsia="IRNazanin" w:cs="IRNazanin"/>
          <w:color w:val="111111"/>
          <w:sz w:val="28"/>
          <w:szCs w:val="28"/>
          <w:lang w:bidi="fa-IR"/>
        </w:rPr>
        <w:t>61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لمحة من سیرة المؤسّس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الأخباریة بین التطرف والاعتدال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روّاد الاجتهاد فی العصر الأخباری </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عصر تصعید النشاط الاجتهادی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حیاة المحقّق البهبهانی وسیرته </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حجّیة الکتاب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حجّیة العقل </w:t>
      </w:r>
      <w:r>
        <w:rPr>
          <w:rFonts w:eastAsia="Amiri" w:cs="Amiri" w:ascii="Amiri" w:hAnsi="Amiri"/>
          <w:color w:val="111111"/>
          <w:sz w:val="28"/>
          <w:szCs w:val="28"/>
          <w:lang w:bidi="ar-SA"/>
        </w:rPr>
        <w:t>68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حجیة الإجماع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قطعیة أخبار الکتب الأربعة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ابتکاراته الأُصولیة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الاجتهاد عند أهل‌السنّة عقیب القرن السابع </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عصر الإبداع الفقهی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محمد حسن صاحب الجواهر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مرتضی الأنصاری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إبداعاته العلمیة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روّاد منهجه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إعادة النشاط الفقهی عند أهل‌السنّة </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عصر إنهاض الفقه بمتطلّبات الحکم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دور الزمان والمکان فی استنباط الأحکام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التأثیر فی مقام الإفتاء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تأثیر الخصوصیات الطارئة فی حکم الحاکم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دور الحاکم فی رفع التزاحم بین الأحکام الأوّلیّة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خاتمة المطاف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التأثیر المتقابل بین قوانین الإسلام والغرب </w:t>
      </w:r>
      <w:r>
        <w:rPr>
          <w:rFonts w:eastAsia="IRNazanin" w:cs="IRNazanin"/>
          <w:color w:val="111111"/>
          <w:sz w:val="28"/>
          <w:szCs w:val="28"/>
          <w:lang w:bidi="fa-IR"/>
        </w:rPr>
        <w:t>91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ولایة الفقیه أو الزعامة السیاسیة </w:t>
      </w:r>
      <w:r>
        <w:rPr>
          <w:rFonts w:eastAsia="IRNazanin" w:cs="IRNazanin"/>
          <w:color w:val="111111"/>
          <w:sz w:val="28"/>
          <w:szCs w:val="28"/>
          <w:lang w:bidi="fa-IR"/>
        </w:rPr>
        <w:t>92</w:t>
      </w:r>
      <w:bookmarkStart w:id="13" w:name="pg5344_40518"/>
    </w:p>
    <w:p>
      <w:pPr>
        <w:pStyle w:val="Heading2"/>
        <w:numPr>
          <w:ilvl w:val="1"/>
          <w:numId w:val="1"/>
        </w:numPr>
        <w:rPr/>
      </w:pPr>
      <w:bookmarkStart w:id="14" w:name="__RefHeading___Toc1127318_581953129"/>
      <w:bookmarkStart w:id="15" w:name="_Toc5"/>
      <w:bookmarkEnd w:id="13"/>
      <w:bookmarkEnd w:id="14"/>
      <w:r>
        <w:rPr>
          <w:rtl w:val="true"/>
        </w:rPr>
        <w:t>مقدمة</w:t>
      </w:r>
      <w:bookmarkEnd w:id="15"/>
    </w:p>
    <w:p>
      <w:pPr>
        <w:pStyle w:val="BookText"/>
        <w:rPr/>
      </w:pPr>
      <w:r>
        <w:rPr>
          <w:rFonts w:ascii="IRNazanin" w:hAnsi="IRNazanin" w:eastAsia="IRNazanin"/>
          <w:color w:val="111111"/>
          <w:sz w:val="28"/>
          <w:sz w:val="28"/>
          <w:szCs w:val="28"/>
          <w:rtl w:val="true"/>
          <w:lang w:bidi="fa-IR"/>
        </w:rPr>
        <w:t>الحمدللّه الذی علّم بالقلم، علّم الإنسان ما لم یعلم، والصلاة والسلام علی نبیّه الخاتم، وعلی الأئمّة الهداة، قادة الأمم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فهذه دروس موجزة فی تاریخ الفقه وأدواره منذ عصر التشریع إلی یومنا هذا، فإنّ علم الفقه یتمتّع بمکانة خاصة بین المعارف والعلوم الإسلامیة، لأنّه منهج للحیاة فی کافة المجالات لا سیّما العبادات والمعاملات والإیقاعات والسیاسات، فلابدّ للمسلم أن یتبع ذلک المنهاج القویم فی حیاته الفردیة والاجتماعیة لتکتمل سعادته فی الدارین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سبحانه قد اختار أفضل خلائقه وأشرف أنبیائه لإبلاغ تلک المهمة الجسیمة، فاکتملت الشریعة بقرآنه وسننه، فصارت کاملة الجوانب جامعة الأطراف لم یفوتها بیان شیء، ولذلک أغنت المجتمع الإسلامی عن کلّ تعلیم غیر سماوی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الفقهاء هم الذین خاضوا عباب الشریعة، وخرجوا بدرر ثمینة عبر القرون،وحافظوا علی الشریعة وبیّنوا الأحکام، واستنطقوا القرآن والسنّة علی مرّالعصور،فلبُّوا حاجاتِ المجتمع فی المستجدّات التی لم یکن لها مثیل فی عصر الرسالة وماتلاه</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ولأجل تشخیص تلک الجهود المضنیة التی بذلوها فی خدمة دینهم وشریعتهم وأُمّتهم، یجب علینا دراسة تاریخهم والوقوف علی جهودهم والآثار التی خلفوها، والبصمات التی</w:t>
      </w:r>
    </w:p>
    <w:p>
      <w:pPr>
        <w:pStyle w:val="BookText"/>
        <w:rPr/>
      </w:pPr>
      <w:r>
        <w:rPr>
          <w:rFonts w:ascii="IRNazanin" w:hAnsi="IRNazanin" w:eastAsia="IRNazanin"/>
          <w:color w:val="111111"/>
          <w:sz w:val="28"/>
          <w:sz w:val="28"/>
          <w:szCs w:val="28"/>
          <w:rtl w:val="true"/>
          <w:lang w:bidi="fa-IR"/>
        </w:rPr>
        <w:t>ترکوها علی جبین الفقه من دون أن یخرجوا عن نطاق الشریعة وضوابط الکتاب والسنّة، وهذا هو العلم المسمّی بتاریخ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ألّفنا هذا الکتاب الموجز نزولاً عند رغبة المرکز العالمی للدراسات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السبحانی</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الصادق</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bookmarkStart w:id="16" w:name="pg5344_40521"/>
    </w:p>
    <w:p>
      <w:pPr>
        <w:pStyle w:val="Heading2"/>
        <w:numPr>
          <w:ilvl w:val="1"/>
          <w:numId w:val="1"/>
        </w:numPr>
        <w:rPr/>
      </w:pPr>
      <w:bookmarkStart w:id="17" w:name="__RefHeading___Toc1127320_581953129"/>
      <w:bookmarkStart w:id="18" w:name="_Toc6"/>
      <w:bookmarkEnd w:id="16"/>
      <w:bookmarkEnd w:id="17"/>
      <w:r>
        <w:rPr/>
        <w:t>1</w:t>
      </w:r>
      <w:r>
        <w:rPr>
          <w:rtl w:val="true"/>
        </w:rPr>
        <w:t>-</w:t>
      </w:r>
      <w:r>
        <w:rPr>
          <w:rtl w:val="true"/>
        </w:rPr>
        <w:t>تمهید</w:t>
      </w:r>
      <w:bookmarkEnd w:id="18"/>
    </w:p>
    <w:p>
      <w:pPr>
        <w:pStyle w:val="Heading3"/>
        <w:numPr>
          <w:ilvl w:val="2"/>
          <w:numId w:val="1"/>
        </w:numPr>
        <w:rPr/>
      </w:pPr>
      <w:bookmarkStart w:id="19" w:name="__RefHeading___Toc1127322_581953129"/>
      <w:bookmarkStart w:id="20" w:name="_Toc7"/>
      <w:bookmarkEnd w:id="19"/>
      <w:r>
        <w:rPr>
          <w:rtl w:val="true"/>
        </w:rPr>
        <w:t>اشارة</w:t>
      </w:r>
      <w:bookmarkEnd w:id="20"/>
    </w:p>
    <w:p>
      <w:pPr>
        <w:pStyle w:val="BookText"/>
        <w:rPr/>
      </w:pPr>
      <w:r>
        <w:rPr>
          <w:rFonts w:ascii="IRNazanin" w:hAnsi="IRNazanin" w:eastAsia="IRNazanin"/>
          <w:color w:val="111111"/>
          <w:sz w:val="28"/>
          <w:sz w:val="28"/>
          <w:szCs w:val="28"/>
          <w:rtl w:val="true"/>
          <w:lang w:bidi="fa-IR"/>
        </w:rPr>
        <w:t>وقبل الخوض فی المقصود نقدّم الأُمور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الفقه والاجتهاد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مصادر التشریع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 الاجتهاد فی خلود الدین وخاتمیته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المناهج المتّبعة فی تاریخ الفقه وإیضاح أدواره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وإلیک البیان</w:t>
      </w:r>
      <w:r>
        <w:rPr>
          <w:rFonts w:eastAsia="IRNazanin" w:cs="IRNazanin"/>
          <w:color w:val="111111"/>
          <w:sz w:val="28"/>
          <w:szCs w:val="28"/>
          <w:rtl w:val="true"/>
          <w:lang w:bidi="fa-IR"/>
        </w:rPr>
        <w:t>:</w:t>
      </w:r>
    </w:p>
    <w:p>
      <w:pPr>
        <w:pStyle w:val="Heading3"/>
        <w:numPr>
          <w:ilvl w:val="2"/>
          <w:numId w:val="1"/>
        </w:numPr>
        <w:rPr/>
      </w:pPr>
      <w:bookmarkStart w:id="21" w:name="__RefHeading___Toc1127324_581953129"/>
      <w:bookmarkStart w:id="22" w:name="_Toc8"/>
      <w:bookmarkEnd w:id="21"/>
      <w:r>
        <w:rPr/>
        <w:t>1</w:t>
      </w:r>
      <w:r>
        <w:rPr>
          <w:rtl w:val="true"/>
        </w:rPr>
        <w:t xml:space="preserve">- </w:t>
      </w:r>
      <w:r>
        <w:rPr>
          <w:rtl w:val="true"/>
        </w:rPr>
        <w:t>تعریف الفقه والاجتهاد</w:t>
      </w:r>
      <w:bookmarkEnd w:id="22"/>
    </w:p>
    <w:p>
      <w:pPr>
        <w:pStyle w:val="BookText"/>
        <w:rPr/>
      </w:pPr>
      <w:r>
        <w:rPr>
          <w:rFonts w:ascii="IRNazanin" w:hAnsi="IRNazanin" w:eastAsia="IRNazanin"/>
          <w:color w:val="111111"/>
          <w:sz w:val="28"/>
          <w:sz w:val="28"/>
          <w:szCs w:val="28"/>
          <w:rtl w:val="true"/>
          <w:lang w:bidi="fa-IR"/>
        </w:rPr>
        <w:t>الفقه هو العلم بالأحکام الشرعیة الفرعیة عن أدلّتها التفصیلیة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 بقید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العقلیة، 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الاعتقادیة والمسائل الأُصولیة، 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المقلِّد بالأحکام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وإن کان عالماً بالأحکام، لکنّه لا عن دلیل تفصیلی، بل بتبع دلیل إجمالی، وهو حجّیة رأی المجتهد فی حقّه فی عامّة الأحکام، وأمّا المجتهد فهو عالم بکلّ حکم عن دلیله الخاص بالفعل أو بقوة قریبة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والاجتهاد لغة مأخوذ من الجُهد، فهو إمّا بمعنی بذل الطاقة والوسع أو تحمّل الجهد والمشقة</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اصطلاحاً فقد عرف بتعاریف أفضلها ما عرفه بهاء الدین العاملی بأنّه عبارة عن ملکة یقتدر بها علی استنباط الحکم الشرعی الفرعی من أدلّته فعلاً أو قوة قریبة منه</w:t>
      </w:r>
      <w:r>
        <w:rPr>
          <w:rFonts w:eastAsia="IRNazanin" w:cs="IRNazanin"/>
          <w:color w:val="111111"/>
          <w:sz w:val="28"/>
          <w:szCs w:val="28"/>
          <w:rtl w:val="true"/>
          <w:lang w:bidi="fa-IR"/>
        </w:rPr>
        <w:t xml:space="preserve">. </w:t>
      </w:r>
      <w:r>
        <w:rPr>
          <w:rStyle w:val="FootnoteAnchor"/>
          <w:rtl w:val="true"/>
        </w:rPr>
        <w:footnoteReference w:id="2"/>
      </w:r>
      <w:bookmarkStart w:id="23" w:name="pg5344_40523"/>
    </w:p>
    <w:p>
      <w:pPr>
        <w:pStyle w:val="BookText"/>
        <w:rPr/>
      </w:pPr>
      <w:bookmarkEnd w:id="23"/>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فعلاً أو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قیدان للاستنباط لا للملکة للزوم فعلیتها، وأمّا الاستنباط فینقسم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کمن تهیّأت له أسبابه ولم یبق إلاّ المراجعة، وإلی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 لم تتهیّأ له أسبابه کفقد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علیه إضافة قید آخر، وهو استنباط الوظیفة الفعلیة، کأن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ملکة یقتدر بها علی استنباط الحکم الشرعی الفرعی أو الوظیفة الفعلیة، وذلک کما فی مجاری الأُصول، فإنّ المستنبط فیها هو الوظیفة فی حال الشک لا الحکم الواقعی</w:t>
      </w:r>
      <w:r>
        <w:rPr>
          <w:rFonts w:eastAsia="IRNazanin" w:cs="IRNazanin"/>
          <w:color w:val="111111"/>
          <w:sz w:val="28"/>
          <w:szCs w:val="28"/>
          <w:rtl w:val="true"/>
          <w:lang w:bidi="fa-IR"/>
        </w:rPr>
        <w:t>.</w:t>
      </w:r>
    </w:p>
    <w:p>
      <w:pPr>
        <w:pStyle w:val="Heading3"/>
        <w:numPr>
          <w:ilvl w:val="2"/>
          <w:numId w:val="1"/>
        </w:numPr>
        <w:rPr/>
      </w:pPr>
      <w:bookmarkStart w:id="24" w:name="__RefHeading___Toc1127326_581953129"/>
      <w:bookmarkStart w:id="25" w:name="_Toc9"/>
      <w:bookmarkEnd w:id="24"/>
      <w:r>
        <w:rPr/>
        <w:t>2</w:t>
      </w:r>
      <w:r>
        <w:rPr>
          <w:rtl w:val="true"/>
        </w:rPr>
        <w:t xml:space="preserve">- </w:t>
      </w:r>
      <w:r>
        <w:rPr>
          <w:rtl w:val="true"/>
        </w:rPr>
        <w:t>مصادر التشریع</w:t>
      </w:r>
      <w:bookmarkEnd w:id="25"/>
    </w:p>
    <w:p>
      <w:pPr>
        <w:pStyle w:val="Heading4"/>
        <w:numPr>
          <w:ilvl w:val="3"/>
          <w:numId w:val="1"/>
        </w:numPr>
        <w:rPr/>
      </w:pPr>
      <w:bookmarkStart w:id="26" w:name="__RefHeading___Toc1127328_581953129"/>
      <w:bookmarkStart w:id="27" w:name="_Toc10"/>
      <w:bookmarkEnd w:id="26"/>
      <w:r>
        <w:rPr>
          <w:rtl w:val="true"/>
        </w:rPr>
        <w:t>اشارة</w:t>
      </w:r>
      <w:bookmarkEnd w:id="27"/>
    </w:p>
    <w:p>
      <w:pPr>
        <w:pStyle w:val="BookText"/>
        <w:rPr/>
      </w:pPr>
      <w:r>
        <w:rPr>
          <w:rFonts w:ascii="IRNazanin" w:hAnsi="IRNazanin" w:eastAsia="IRNazanin"/>
          <w:color w:val="111111"/>
          <w:sz w:val="28"/>
          <w:sz w:val="28"/>
          <w:szCs w:val="28"/>
          <w:rtl w:val="true"/>
          <w:lang w:bidi="fa-IR"/>
        </w:rPr>
        <w:t>مصادر التشریع الإسلامی هی التی یصدر عنها الفقیه لدی استنباطه للأحکام الشرعیة، وهی عند الإمامیة تنحصر فی أربعة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ولأجل التعرّف علی هذه المصادر نستعرضها علی وجه الإیجاز</w:t>
      </w:r>
      <w:r>
        <w:rPr>
          <w:rFonts w:eastAsia="IRNazanin" w:cs="IRNazanin"/>
          <w:color w:val="111111"/>
          <w:sz w:val="28"/>
          <w:szCs w:val="28"/>
          <w:rtl w:val="true"/>
          <w:lang w:bidi="fa-IR"/>
        </w:rPr>
        <w:t>.</w:t>
      </w:r>
    </w:p>
    <w:p>
      <w:pPr>
        <w:pStyle w:val="Heading4"/>
        <w:numPr>
          <w:ilvl w:val="3"/>
          <w:numId w:val="1"/>
        </w:numPr>
        <w:rPr/>
      </w:pPr>
      <w:bookmarkStart w:id="28" w:name="__RefHeading___Toc1127330_581953129"/>
      <w:bookmarkStart w:id="29" w:name="_Toc11"/>
      <w:bookmarkEnd w:id="28"/>
      <w:r>
        <w:rPr>
          <w:rtl w:val="true"/>
        </w:rPr>
        <w:t>أ</w:t>
      </w:r>
      <w:r>
        <w:rPr>
          <w:rtl w:val="true"/>
        </w:rPr>
        <w:t xml:space="preserve">) </w:t>
      </w:r>
      <w:r>
        <w:rPr>
          <w:rtl w:val="true"/>
        </w:rPr>
        <w:t>الکتاب</w:t>
      </w:r>
      <w:bookmarkEnd w:id="29"/>
    </w:p>
    <w:p>
      <w:pPr>
        <w:pStyle w:val="BookText"/>
        <w:rPr/>
      </w:pPr>
      <w:r>
        <w:rPr>
          <w:rFonts w:ascii="IRNazanin" w:hAnsi="IRNazanin" w:eastAsia="IRNazanin"/>
          <w:color w:val="111111"/>
          <w:sz w:val="28"/>
          <w:sz w:val="28"/>
          <w:szCs w:val="28"/>
          <w:rtl w:val="true"/>
          <w:lang w:bidi="fa-IR"/>
        </w:rPr>
        <w:t>إنّ الکتاب من أهم المصادر الشرعیة للاستنباط، فلا محیص للفقیه من مراجعة الکتاب واستنطاقه، وقد نقل عن بعض أصحابنا الأخباریین عدم حجّیة ظواهر الکتاب، وهذا ما یندی له الجبین، إذ کیف تکون المعجزة الکبری للنبی صلی الله علیه و آله مسلوبة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اقتصارهم علی السنّة کان رد فعل لما رواه البخاری عن عمر بن الخطاب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طلب النبی صلی الله علیه و آله القلم والدواة لیکتب کتاباً للأُمّة لئلاّ یضلّوا بعده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وعلی کلّ تقدیر فالاقتصار علی الکتاب کالاقتصار علی السنّة علی طرفی الإفراط والتفریط</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والمراد من حجّیة ظواهر القرآن فی مجال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نصوصه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التمسّک بعموماته ومطلقاته بعد الفحص عن القرائن العقلیة أو اللفظیة المتصلة أو الحالیة المنقولة بخبر الثقة خصوصاً بعد الفحص عن مقیّداته ومخصّصاته فی أحادیث العترة الطاهرة، فإذا تمت هذه الأُمور فهل یتمسّک بظواهر القرآن فی موردها؟</w:t>
      </w:r>
    </w:p>
    <w:p>
      <w:pPr>
        <w:pStyle w:val="BookText"/>
        <w:rPr/>
      </w:pPr>
      <w:r>
        <w:rPr>
          <w:rFonts w:ascii="IRNazanin" w:hAnsi="IRNazanin" w:eastAsia="IRNazanin"/>
          <w:color w:val="111111"/>
          <w:sz w:val="28"/>
          <w:sz w:val="28"/>
          <w:szCs w:val="28"/>
          <w:rtl w:val="true"/>
          <w:lang w:bidi="fa-IR"/>
        </w:rPr>
        <w:t>ذهب علماء الأُصول إلی وجوب الاستضاءة بنور القرآن فیما یدلّ علیه بظاهره والأخباریون إلی المنع، وانّ الاستدلال بالقرآن یتوقّف علی تفسیر المعصوم فیُصبح الاحتجاج بتفسیره علیه السلام لا بنصّ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الأدلّة علی حجّیة ظواهر القرآن کثیرة نذکر منها ما یلی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غیر واحدة من الآیات القرآنیة علی أنّ القرآن نور، والنور بذاته ظاهرمظهر لغیره،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قَدْ جاءَکُمْ بُرْهانٌ مِنْ رَبِّکُمْ وَ أَنْزَلْنا إِلَیْکُمْ نُوراً مُبِیناً</w:t>
      </w:r>
      <w:r>
        <w:rPr>
          <w:rFonts w:eastAsia="Amiri" w:cs="Amiri" w:ascii="Amiri" w:hAnsi="Amiri"/>
          <w:color w:val="111111"/>
          <w:sz w:val="28"/>
          <w:szCs w:val="28"/>
          <w:rtl w:val="true"/>
          <w:lang w:bidi="ar-SA"/>
        </w:rPr>
        <w:t xml:space="preserve">) .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وفی آیة أُخری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جاءَکُمْ مِنَ اللّهِ نُورٌ وَ کِتابٌ مُبِینٌ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فلو کان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کِتابٌ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تفسیر لما قبله، یکون المرا د من النور هو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سبحانه یصف القرآن بأنّه تبیان لکلّ شیء، وحاشا أن یکون تبیاناً لکلّ شیء ولا یکون تبیاناً لنفسه،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نَزَّلْنا عَلَیْکَ الْکِتابَ تِبْیاناً لِکُلِّ شَیْ‌ءٍ وَ هُدیً وَ رَحْمَةً وَ بُشْری لِلْمُسْلِمِینَ</w:t>
      </w:r>
      <w:r>
        <w:rPr>
          <w:rFonts w:eastAsia="Amiri" w:cs="Amiri" w:ascii="Amiri" w:hAnsi="Amiri"/>
          <w:color w:val="111111"/>
          <w:sz w:val="28"/>
          <w:szCs w:val="28"/>
          <w:rtl w:val="true"/>
          <w:lang w:bidi="ar-SA"/>
        </w:rPr>
        <w:t xml:space="preserve">) .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الْقُرْآنَ یَهْدِی لِلَّتِی هِیَ أَقْوَمُ وَ یُبَشِّرُ الْمُؤْمِنِینَ الَّذِینَ یَعْمَلُونَ الصّالِحاتِ أَنَّ لَهُمْ أَجْراً کَبِیراً</w:t>
      </w:r>
      <w:r>
        <w:rPr>
          <w:rFonts w:eastAsia="Amiri" w:cs="Amiri" w:ascii="Amiri" w:hAnsi="Amiri"/>
          <w:color w:val="111111"/>
          <w:sz w:val="28"/>
          <w:szCs w:val="28"/>
          <w:rtl w:val="true"/>
          <w:lang w:bidi="ar-SA"/>
        </w:rPr>
        <w:t xml:space="preserve">) .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أفیمکن أن یهدی من دون أن یکون المهتدی مستفیداً من هدایته؟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الاستدلال بظواهر القرآن علی حجّیتها دور واضح، فإنّ الأخباری لا یقول بحجّیتها؟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الاحتجاج علی حجّیة القرآن إنّما هو بنصوصه لا بظواهره، والأخباری إنّما یمنع حجّیة ظواهره لا حجّیة نصوصه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تضافر بل تواتر عن النبی صلی الله علیه و آله وجوب التمسّک بالثقلین وفسرهما بالکتاب والعترة الطاهرة، وقال</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إن تمسکتم بهما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من الثقلین حجّة وانّ کلاً یؤید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التعلیمیة التی علّم فیها الإمام تلامیذه کیفیة استنباط الحکم من القرآن الکریم، فلو لم تکن ظواهر الکتاب حجّة لما کان للتعلیم قیمة، فإنّ موقف الإمام فی هذه المقامات موقف المعلّم لا موقف المتکلّم عن الغیب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والروایات فی ذلک المجال کثیرة نذکر منها واحدة، وهی روایة عبدالأعلی مولی آل‌سام وقد سأل أبا عبدالله علیه 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عثر فوقع ظفره فجعل علی أصبعه مرارة،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یعرف من کتاب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 عَلَیْکُمْ فِی الدِّینِ مِنْ حَرَجٍ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 علی المرارة</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فأحال الإمام علیه السلام حکم المسح علی اصبعه المغطّی بالمرارة، إلی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تضافر عن أبی عبدالله علیه السلام فی مورد تعارض الروایات، لزوم عرضه علی القرآن وانّ ما وافق کتاب الله یؤخذ به وما خالف کتاب الله فیُترک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عن أبی عبدالله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 کلّ حق‌حقیقة، وعلی کلّ صواب نوراً، فما وافق کتاب الله فخذوه، وما خالف کتاب الله‌فدعوه</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 الفقهاء علی أنّ کلّ شرط خالف کتاب الله فهو مرفوض، ففی صحیحة عبدالله بن سنان،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اشترط شرطاً مخالفاً لکتاب اللّه‌فلا یجوز له، ولا یجوز علی الذی اشترط علیه، والمسلمون عند شروطهم ممّا وافق کتاب‌الله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 عند شروطهم، إلاّ کلّ شرط خالف کتاب الله عزّ وجلّ فلا یجوز</w:t>
      </w:r>
      <w:r>
        <w:rPr>
          <w:rFonts w:eastAsia="IRNazanin" w:cs="IRNazanin"/>
          <w:color w:val="111111"/>
          <w:sz w:val="28"/>
          <w:szCs w:val="28"/>
          <w:rtl w:val="true"/>
          <w:lang w:bidi="fa-IR"/>
        </w:rPr>
        <w:t xml:space="preserve">». </w:t>
      </w:r>
      <w:r>
        <w:rPr>
          <w:rStyle w:val="FootnoteAnchor"/>
          <w:rtl w:val="true"/>
        </w:rPr>
        <w:footnoteReference w:id="9"/>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لم تکن ظواهر الکتاب حجّة، لما کان هناک معنی لعرض الشرط علی الکتاب فی هذه الروایات وغیرها ممّا یشرف الفقیه علی القطع بحجّیة ظواهر الکتاب</w:t>
      </w:r>
      <w:r>
        <w:rPr>
          <w:rFonts w:eastAsia="IRNazanin" w:cs="IRNazanin"/>
          <w:color w:val="111111"/>
          <w:sz w:val="28"/>
          <w:szCs w:val="28"/>
          <w:rtl w:val="true"/>
          <w:lang w:bidi="fa-IR"/>
        </w:rPr>
        <w:t>.</w:t>
      </w:r>
      <w:bookmarkStart w:id="30" w:name="pg5344_40529"/>
    </w:p>
    <w:p>
      <w:pPr>
        <w:pStyle w:val="Heading4"/>
        <w:numPr>
          <w:ilvl w:val="3"/>
          <w:numId w:val="1"/>
        </w:numPr>
        <w:rPr/>
      </w:pPr>
      <w:bookmarkStart w:id="31" w:name="__RefHeading___Toc1127332_581953129"/>
      <w:bookmarkStart w:id="32" w:name="_Toc12"/>
      <w:bookmarkEnd w:id="30"/>
      <w:bookmarkEnd w:id="31"/>
      <w:r>
        <w:rPr>
          <w:rtl w:val="true"/>
        </w:rPr>
        <w:t>ب</w:t>
      </w:r>
      <w:r>
        <w:rPr>
          <w:rtl w:val="true"/>
        </w:rPr>
        <w:t xml:space="preserve">) </w:t>
      </w:r>
      <w:r>
        <w:rPr>
          <w:rtl w:val="true"/>
        </w:rPr>
        <w:t>السنّة</w:t>
      </w:r>
      <w:bookmarkEnd w:id="32"/>
    </w:p>
    <w:p>
      <w:pPr>
        <w:pStyle w:val="BookText"/>
        <w:rPr/>
      </w:pPr>
      <w:r>
        <w:rPr>
          <w:rFonts w:ascii="IRNazanin" w:hAnsi="IRNazanin" w:eastAsia="IRNazanin"/>
          <w:color w:val="111111"/>
          <w:sz w:val="28"/>
          <w:sz w:val="28"/>
          <w:szCs w:val="28"/>
          <w:rtl w:val="true"/>
          <w:lang w:bidi="fa-IR"/>
        </w:rPr>
        <w:t>قد تطلق السنّة ویراد منها قول المعصوم وفعله وتقریره، فلا شک انّ السنّة بهذا المعنی‌من الأدلّة القطعیة، إذ هی عِدْل القرآن الکریم فهی الحجة الثانیة بعد الذکرالحکیم، ومن أعرض عن السنّة واستغنی بالقرآن الکریم، فقد عدل عن المحجّة‌البیضاء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تطلق السنّة ویراد منها الخبر الحاکی عن السنّة الواقعیة، وهو المراد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أنُقلت بصورة متواترة، أو مستفیضة، أو محفوفة بالقرائن، أو مجرّدة عن الاستفاضة والقرائن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والخبر المتواتر والمحفوف بالقرینة یفیدان العلم، وهکذا الخبر المستفیض یورث الاطمئنان المتاخم للعلم، وأمّا الخبر الواحد إذا کان الراوی ثقة فقد أقام الأُصولیون دلائل قطعیة علی حجّیته، وأفضل الأدلّة علی حجّیته هو السیرة العقلائیة المنتشرة بینهم ولم یردع عنها الشارع حیث جرت سیرتهم علی العمل بخبر الثقة المفید للاطمئنان الذی هو علم عرفی وإن لم یکن علماً عقلیاً، وما هذا إلاّ لأجل أنّ تحصیل العلم فی أغلب الموارد موجب للعسر والحرج، هذا من جانب، ومن جانب آخر انّ القلب یسکن إلی قول الثقة ویطمئن إلیه، ولأجل ذلک یعدّ عند العرف علماً لا ظنّاً، لما له من ملکة رادعة عن الاقتحام فی الکذب، فبملاحظة هذین الأمرین جرت سیرتهم علی الأخذ بقول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کانت السیرة أمراً غیر مرضی للشارع، کان علیه الردع عنها کما ردع عن العمل بقول الفاسق</w:t>
      </w:r>
      <w:r>
        <w:rPr>
          <w:rFonts w:eastAsia="IRNazanin" w:cs="IRNazanin"/>
          <w:color w:val="111111"/>
          <w:sz w:val="28"/>
          <w:szCs w:val="28"/>
          <w:rtl w:val="true"/>
          <w:lang w:bidi="fa-IR"/>
        </w:rPr>
        <w:t>.</w:t>
      </w:r>
    </w:p>
    <w:p>
      <w:pPr>
        <w:pStyle w:val="Heading4"/>
        <w:numPr>
          <w:ilvl w:val="3"/>
          <w:numId w:val="1"/>
        </w:numPr>
        <w:rPr/>
      </w:pPr>
      <w:bookmarkStart w:id="33" w:name="__RefHeading___Toc1127334_581953129"/>
      <w:bookmarkStart w:id="34" w:name="_Toc13"/>
      <w:bookmarkEnd w:id="33"/>
      <w:r>
        <w:rPr>
          <w:rtl w:val="true"/>
        </w:rPr>
        <w:t>ج</w:t>
      </w:r>
      <w:r>
        <w:rPr>
          <w:rtl w:val="true"/>
        </w:rPr>
        <w:t xml:space="preserve">) </w:t>
      </w:r>
      <w:r>
        <w:rPr>
          <w:rtl w:val="true"/>
        </w:rPr>
        <w:t>الإجماع</w:t>
      </w:r>
      <w:bookmarkEnd w:id="34"/>
    </w:p>
    <w:p>
      <w:pPr>
        <w:pStyle w:val="BookText"/>
        <w:rPr/>
      </w:pPr>
      <w:r>
        <w:rPr>
          <w:rFonts w:ascii="IRNazanin" w:hAnsi="IRNazanin" w:eastAsia="IRNazanin"/>
          <w:color w:val="111111"/>
          <w:sz w:val="28"/>
          <w:sz w:val="28"/>
          <w:szCs w:val="28"/>
          <w:rtl w:val="true"/>
          <w:lang w:bidi="fa-IR"/>
        </w:rPr>
        <w:t>ینقسم الإجماع إلی محصّل ومنقول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قام المجتهد بنفسه باستقراء آراء العلماء فی حکم واقعة وحصَّل اتفاقهم علی حکم، فهو إجماع 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قام مجتهد آخر بهذا العمل ووقف علی اتّفاقهم علی حکم فی واقعة ثمّ نقله إلی غیره، فیکون هذا بالنسبة إلی المنقول إلیه إجماعاً منقولاً وإن کان بالنسبة إلی الناقل إجماعاً محصّلاً</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الإجماع المحصّل فهو حجّة قطعیة تکشف عن وجود دلیل شرعی اعتمد علیه الفقهاء فی الإفتاء، وعلی ذلک فالإجماع بما هوهو لیس بحجّة بل بما انّه کاشف عن حجّة شرعیة</w:t>
      </w:r>
      <w:r>
        <w:rPr>
          <w:rFonts w:eastAsia="IRNazanin" w:cs="IRNazanin"/>
          <w:color w:val="111111"/>
          <w:sz w:val="28"/>
          <w:szCs w:val="28"/>
          <w:rtl w:val="true"/>
          <w:lang w:bidi="fa-IR"/>
        </w:rPr>
        <w:t>.</w:t>
      </w:r>
      <w:bookmarkStart w:id="35" w:name="pg5344_40531"/>
    </w:p>
    <w:p>
      <w:pPr>
        <w:pStyle w:val="BookText"/>
        <w:rPr/>
      </w:pPr>
      <w:bookmarkEnd w:id="35"/>
      <w:r>
        <w:rPr>
          <w:rFonts w:ascii="IRNazanin" w:hAnsi="IRNazanin" w:eastAsia="IRNazanin"/>
          <w:color w:val="111111"/>
          <w:sz w:val="28"/>
          <w:sz w:val="28"/>
          <w:szCs w:val="28"/>
          <w:rtl w:val="true"/>
          <w:lang w:bidi="fa-IR"/>
        </w:rPr>
        <w:t>وأمّا الإجماع المحکی بخبر الواحد الذی یطلق علیه الإجماع المنقول، فقد اختلف الأُصولیون فی حجّیته، والتفصیل موکول إلی محله</w:t>
      </w:r>
      <w:r>
        <w:rPr>
          <w:rFonts w:eastAsia="IRNazanin" w:cs="IRNazanin"/>
          <w:color w:val="111111"/>
          <w:sz w:val="28"/>
          <w:szCs w:val="28"/>
          <w:rtl w:val="true"/>
          <w:lang w:bidi="fa-IR"/>
        </w:rPr>
        <w:t>.</w:t>
      </w:r>
    </w:p>
    <w:p>
      <w:pPr>
        <w:pStyle w:val="Heading4"/>
        <w:numPr>
          <w:ilvl w:val="3"/>
          <w:numId w:val="1"/>
        </w:numPr>
        <w:rPr/>
      </w:pPr>
      <w:bookmarkStart w:id="36" w:name="__RefHeading___Toc1127336_581953129"/>
      <w:bookmarkStart w:id="37" w:name="_Toc14"/>
      <w:bookmarkEnd w:id="36"/>
      <w:r>
        <w:rPr>
          <w:rtl w:val="true"/>
        </w:rPr>
        <w:t>د</w:t>
      </w:r>
      <w:r>
        <w:rPr>
          <w:rtl w:val="true"/>
        </w:rPr>
        <w:t xml:space="preserve">) </w:t>
      </w:r>
      <w:r>
        <w:rPr>
          <w:rtl w:val="true"/>
        </w:rPr>
        <w:t>العقل</w:t>
      </w:r>
      <w:bookmarkEnd w:id="37"/>
    </w:p>
    <w:p>
      <w:pPr>
        <w:pStyle w:val="BookText"/>
        <w:rPr/>
      </w:pPr>
      <w:r>
        <w:rPr>
          <w:rFonts w:ascii="IRNazanin" w:hAnsi="IRNazanin" w:eastAsia="IRNazanin"/>
          <w:color w:val="111111"/>
          <w:sz w:val="28"/>
          <w:sz w:val="28"/>
          <w:szCs w:val="28"/>
          <w:rtl w:val="true"/>
          <w:lang w:bidi="fa-IR"/>
        </w:rPr>
        <w:t xml:space="preserve">إنّ العقل أحد الحجج الأربع الذی اتّفق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قلیلاً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حجّیته فی مجال استنباط الحکم الشرعی، ثمّ إن عدّ العقل من مصادر التشریع وإنّه أحد الأدلّة الأربعة یتصوّر علی أنحاء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استقلّ العقل بحسن فعل أو قبحه بما هو فعل صادر عن الفاعل المختار، وتجرّد فی قضائه عن کلّ شیء إلاّ النظر إلی نفس الفعل یکون حکم العقل کاشفاً عن حکم الشرع، وهذا نظیر استقلال العقل بقبح العقاب بلا بیان وحسنه معه، فیستکشف منه انّ حکم الشرع کذلک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أمر المولی بشیء واستقلّ العقل بوجود الملازمة بین وجوب الشیء ووجوب مقدّمته، أو وجوب الشیء وحرمة ملازمه، إلی غیر ذلک من أقسام باب الملازمات، فیستکشف منه انّ حکم الشرع فی باب المقدّمة وغیرها کذلک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تنقیح مناطات الأحکام وملاکاتها بالسبر والتقسیم بأن تُحصر الأوصاف التی تصلح لأن تکون علّة للحکم، ثمّ یختبرها وصفاً وصفاً علی ضوء الشروط الواجب توفرها فی العلّة، وبواسطة هذا الاختبار تُستبعد الأوصاف التی لا یصحّ أن تکون علة، ویُستبقی ما یصحّ أن یکون علة، وبهذا الاستبعاد وهذا الاستبقاء یتوصل إلی الحکم بأنّ هذا الوصف هو العلّة ثمّ یتبعه التشریع فی کلّ مورد وجدت فیه العلّة، وهذا ما یسمّی فی الفقه الشیعی الإمامی بتنقیح المناط واستنباط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اتّفقوا علی حجّیة العقل فی القسمین الأوّلین دون الثالث، اللهمّ إلاّ إذا حصل الیقین بأنّ ما استنبطه من المناط هو الملاک للحکم الشرعی</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ما لدی الشیعة وأمّا السنّة فهم یقولون بحجّیة أُمور أُخری وراء الأدلّة الأربعة، کالقیاس والاستحسان، والاستصلاح وسد الذرائع وفتح الذرائع وقول الصحابی وإجماع أهل المدینة، والتفصیل موکول إلی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شیء وهو حجّیة العرف والسیرة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العرف عبارة عن کلّ ما اعتاده الناس وصاروا علیه من فعل شاع بینهم أو قول تعارفوا علیه، وهو حجّة فی منطقة الفراغ، أی المورد الذی لم یرد فیه نصّ من الشارع، وإلاّ فالعرف ساقط عن الاعتبار، سواء أخالفه أم وافقه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ویشترط فی العمل بالعرف أمران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لا یعارض التنصیص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تکون السیرة متّصلة بزمان المعصوم وکانت بمرأی ومسمع منه ومع ذلک سکت عنها، وعندئذ تکون حجة علی الأجیال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السیر الحادثة بین المسلمین بعد رحیل المعصوم فلا یصحّ الاحتجاج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تعارف شیء بین المسلمین من دون أن یدعمه دلیل من الکتاب والسنّة فیعمل به، وذلک کما فی الأمثلة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العقود المعاطاتیة من البیع والإجارة والرهن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الأشجار والأبنیة من دون وقف العقار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الحمام من دون تقدیر مدة المکث فیه ومقدار المیاه التی یصرفها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الحافلة بأُجرة معینة من دون أن یعیّن حدّ المسافة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السیر المستمرة الرائجة بین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حول العرف والسیرة العامین، وأمّا الأعراف الخاصّة فهی حجّة علی أهلها بشرط أن لا یصادم النص، ولنذکر نماذج لهذا النوع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باع دابة ثمّ اختلفا فی مفهومه، فالمرجع لیس هو اللغة، بل ما هو المتبادر فی عرف المتعاقدین، وهو الفرس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باع اللحم ثمّ اختلفا فی مفهومه، فالمرجع ما هو المتبادر فی عرف المتبایعین، وهو اللحم الأحمر دون اللحم الأبیض کلحم السمک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وصی بشیء لولده، فالمرجع فی تفسیر الولد هو العرف، ولا یطلق فیه إلاّعلی</w:t>
      </w:r>
      <w:bookmarkStart w:id="38" w:name="pg5344_40535"/>
    </w:p>
    <w:p>
      <w:pPr>
        <w:pStyle w:val="BookText"/>
        <w:rPr/>
      </w:pPr>
      <w:bookmarkEnd w:id="38"/>
      <w:r>
        <w:rPr>
          <w:rFonts w:ascii="Amiri" w:hAnsi="Amiri" w:eastAsia="Amiri" w:cs="Amiri"/>
          <w:color w:val="111111"/>
          <w:sz w:val="28"/>
          <w:sz w:val="28"/>
          <w:szCs w:val="28"/>
          <w:rtl w:val="true"/>
          <w:lang w:bidi="ar-SA"/>
        </w:rPr>
        <w:t>الذکر لا الأُنثی، خلافاً للفقه والکتاب العزیز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لِلذَّکَرِ مِثْلُ حَظِّ الْأُنْثَیَیْنِ</w:t>
      </w:r>
      <w:r>
        <w:rPr>
          <w:rFonts w:eastAsia="Amiri" w:cs="Amiri" w:ascii="Amiri" w:hAnsi="Amiri"/>
          <w:color w:val="111111"/>
          <w:sz w:val="28"/>
          <w:szCs w:val="28"/>
          <w:rtl w:val="true"/>
          <w:lang w:bidi="ar-SA"/>
        </w:rPr>
        <w:t xml:space="preserve">...) ; </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اختلفت البلدان فی بیع شیء بالکیل أو الوزن أو بالعد، فالمتّبع هو العرف الرائج فی بلد البیع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اختلف الزوجان فی أداء المهر، فالمرجع هو العرف الخاص، فلو جرت العادة علی تقدیم المهر أو جزء منه قبل الزفاف ولکن ادّعت الزوجة بعده انّها لم تأخذه وادّعی الزوج دفعه إلیها، فللحاکم أن یحکم علی وفق العرف الدارج فی البلد</w:t>
      </w:r>
      <w:r>
        <w:rPr>
          <w:rFonts w:eastAsia="IRNazanin" w:cs="IRNazanin"/>
          <w:color w:val="111111"/>
          <w:sz w:val="28"/>
          <w:szCs w:val="28"/>
          <w:rtl w:val="true"/>
          <w:lang w:bidi="fa-IR"/>
        </w:rPr>
        <w:t>.</w:t>
      </w:r>
    </w:p>
    <w:p>
      <w:pPr>
        <w:pStyle w:val="Heading3"/>
        <w:numPr>
          <w:ilvl w:val="2"/>
          <w:numId w:val="1"/>
        </w:numPr>
        <w:rPr/>
      </w:pPr>
      <w:bookmarkStart w:id="39" w:name="__RefHeading___Toc1127338_581953129"/>
      <w:bookmarkStart w:id="40" w:name="_Toc15"/>
      <w:bookmarkEnd w:id="39"/>
      <w:r>
        <w:rPr/>
        <w:t>3</w:t>
      </w:r>
      <w:r>
        <w:rPr>
          <w:rtl w:val="true"/>
        </w:rPr>
        <w:t xml:space="preserve">- </w:t>
      </w:r>
      <w:r>
        <w:rPr>
          <w:rtl w:val="true"/>
        </w:rPr>
        <w:t>مکانة الاجتهاد فی الفقه الإسلامی</w:t>
      </w:r>
      <w:bookmarkEnd w:id="40"/>
    </w:p>
    <w:p>
      <w:pPr>
        <w:pStyle w:val="BookText"/>
        <w:rPr/>
      </w:pPr>
      <w:r>
        <w:rPr>
          <w:rFonts w:ascii="IRNazanin" w:hAnsi="IRNazanin" w:eastAsia="IRNazanin"/>
          <w:color w:val="111111"/>
          <w:sz w:val="28"/>
          <w:sz w:val="28"/>
          <w:szCs w:val="28"/>
          <w:rtl w:val="true"/>
          <w:lang w:bidi="fa-IR"/>
        </w:rPr>
        <w:t>قد عرفت أنّ الاجتهاد عبارة عن بذل الجهد فی استنباط الأحکام من أدلّتها الشرعیة، 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استنطاق الکتاب والسنّة فی الحوادث الطارئة، علی ذلک فلا محیص عن القول بانفتاح باب الاجتهاد من عصر التشریع إلی یومنا هذا، فإنّ الحوادث المستجدة لا تنتهی عند حد، فلا محیص للمجتهد عن الإجابة علیها، ولا تتحقّق الغایة المنشودة إلاّ ببذل الجهد فی تحصیل حکم الحادثة من الأدلّة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فالاجتهاد رمز خلود الشریعة وخاتمیتها، وبه تُحفظ غضاضة الدین وطراوته کما یصان به عن الاندراس، وبه یستغنی المسلمون عن موائد الأجانب فی الحقوق والأحکام، فمن أقفله فقد رجع عن إقفاله مع الندامة الکثیرة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اقتدی الشیعة فی فتح هذا الباب علی مصراعیه فی وجه الأُمة بأئمّة دینهم وخلفاء رسولهم الذین حثُّوا شیعتهم بأقوالهم وأفعالهم علی التفقّه فی الدین والاجتهاد فیه، وأنّه</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یتفقّه فهو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وأرشدوهم إلی کیفیة استخراج الفروع من الآیات والأُصول المتلقاة عنهم، بالتدبّر فی الآیات والأُصول المتلقاة عنهم، وأمروا أصحابهم بالتفریع، وقدبلغت عنایتهم بذلک ما جعلهم ینصبون بعض من یعبأ بقوله ورأیه، فی منصب الإفتاء کما سیوافیک</w:t>
      </w:r>
      <w:r>
        <w:rPr>
          <w:rFonts w:eastAsia="IRNazanin" w:cs="IRNazanin"/>
          <w:color w:val="111111"/>
          <w:sz w:val="28"/>
          <w:szCs w:val="28"/>
          <w:rtl w:val="true"/>
          <w:lang w:bidi="fa-IR"/>
        </w:rPr>
        <w:t>.</w:t>
      </w:r>
      <w:bookmarkStart w:id="41" w:name="pg5344_40537"/>
    </w:p>
    <w:p>
      <w:pPr>
        <w:pStyle w:val="Heading3"/>
        <w:numPr>
          <w:ilvl w:val="2"/>
          <w:numId w:val="1"/>
        </w:numPr>
        <w:rPr/>
      </w:pPr>
      <w:bookmarkStart w:id="42" w:name="__RefHeading___Toc1127340_581953129"/>
      <w:bookmarkStart w:id="43" w:name="_Toc16"/>
      <w:bookmarkEnd w:id="41"/>
      <w:bookmarkEnd w:id="42"/>
      <w:r>
        <w:rPr/>
        <w:t>4</w:t>
      </w:r>
      <w:r>
        <w:rPr>
          <w:rtl w:val="true"/>
        </w:rPr>
        <w:t xml:space="preserve">- </w:t>
      </w:r>
      <w:r>
        <w:rPr>
          <w:rtl w:val="true"/>
        </w:rPr>
        <w:t>الحاجة إلی تاریخ الفقه</w:t>
      </w:r>
      <w:bookmarkEnd w:id="43"/>
    </w:p>
    <w:p>
      <w:pPr>
        <w:pStyle w:val="BookText"/>
        <w:rPr/>
      </w:pPr>
      <w:r>
        <w:rPr>
          <w:rFonts w:ascii="IRNazanin" w:hAnsi="IRNazanin" w:eastAsia="IRNazanin"/>
          <w:color w:val="111111"/>
          <w:sz w:val="28"/>
          <w:sz w:val="28"/>
          <w:szCs w:val="28"/>
          <w:rtl w:val="true"/>
          <w:lang w:bidi="fa-IR"/>
        </w:rPr>
        <w:t>قد ذکرت لدراسة تاریخ الفقه وأدواره فوائد علمیة جمّة نذکر منها أُموراً ثلاثة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فی دراسة تاریخ الفقه اطّلاعاً علی الأسالیب الفقهیة المختلفة التی سار علی ضوئها الفقهاء وتنوعّت بها مناهجهم ومسالکهم، فلا شک انّ الفقه بمختلف أسالیبه یهدف إلی أمر واحد وإنّما الاختلاف فی المناهج المتّخذة فی الاستنباط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فی دراسة تاریخ الفقه معرفةً للعوامل التی عاقت عن تقدّم العلم وتطوّره، کإقفال باب الاجتهاد فی أواسط القرن السابع عند السنّة، وکظهور الأخباریة عند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تاریخ الفقه غیر منفصل عن تاریخ التفسیر والحدیث، فإنّ الفقه الإسلامی یستمد مادته من المصدرین الأساسیّین الکتاب والسنّة، فعلی من یدوّن تاریخ الفقه الإسلامی، الإلمام بتاریخ نزول القرآن الکریم وأسبابه وتصنیفه إلی آیات تهدف إلی بیان المعارف العقلیة، إلی أُخری تستعرض قصص الأنبیاء وسیرتهم وجهادهم ضد المشرکین، إلی ثالثة تبیّن الأحکام الشرعیة التی تدور علیها رحی الفقه</w:t>
      </w:r>
      <w:r>
        <w:rPr>
          <w:rFonts w:eastAsia="IRNazanin" w:cs="IRNazanin"/>
          <w:color w:val="111111"/>
          <w:sz w:val="28"/>
          <w:szCs w:val="28"/>
          <w:rtl w:val="true"/>
          <w:lang w:bidi="fa-IR"/>
        </w:rPr>
        <w:t>.</w:t>
      </w:r>
    </w:p>
    <w:p>
      <w:pPr>
        <w:pStyle w:val="Heading3"/>
        <w:numPr>
          <w:ilvl w:val="2"/>
          <w:numId w:val="1"/>
        </w:numPr>
        <w:rPr/>
      </w:pPr>
      <w:bookmarkStart w:id="44" w:name="__RefHeading___Toc1127342_581953129"/>
      <w:bookmarkStart w:id="45" w:name="_Toc17"/>
      <w:bookmarkEnd w:id="44"/>
      <w:r>
        <w:rPr/>
        <w:t>5</w:t>
      </w:r>
      <w:r>
        <w:rPr>
          <w:rtl w:val="true"/>
        </w:rPr>
        <w:t xml:space="preserve">- </w:t>
      </w:r>
      <w:r>
        <w:rPr>
          <w:rtl w:val="true"/>
        </w:rPr>
        <w:t>المناهج المتّبعة فی تاریخ الفقه</w:t>
      </w:r>
      <w:bookmarkEnd w:id="45"/>
    </w:p>
    <w:p>
      <w:pPr>
        <w:pStyle w:val="BookText"/>
        <w:rPr/>
      </w:pPr>
      <w:r>
        <w:rPr>
          <w:rFonts w:ascii="IRNazanin" w:hAnsi="IRNazanin" w:eastAsia="IRNazanin"/>
          <w:color w:val="111111"/>
          <w:sz w:val="28"/>
          <w:sz w:val="28"/>
          <w:szCs w:val="28"/>
          <w:rtl w:val="true"/>
          <w:lang w:bidi="fa-IR"/>
        </w:rPr>
        <w:t>هناک منهجان متّبعان فی تاریخ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المنهج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الفقه ککائن حی، ومن أصدق أمارات الحیاة، الحرکةُ والنمو، وعلی هذا المنهج لم یزل الفقه منذ ولادته ینمو ویتکامل حتی یصل إلی طور الشیخوخة والهرم، وعلی هذا فصار له أطوار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الطور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 الطفولیة، وهو منذ بعثة النبی صلی الله علیه و آله إلی رحیله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الطور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 الشباب وهو بعد رحیل الرسول صلی الله علیه و آله إلی آخر القرن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الطور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 الکهولة ویمتد إلی آخر القرن الرابع</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الطور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 الشیخوخة والهرم وهو بعد القرن الرابع إلی یومنا هذا</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وتقسیم أدوار الفقه علی هذا النحو یناسب الفقه السنّی ولا ینطبق علی واقع الفقه الإمامی، فإنّه لم یزل من لدن تکوّنه إلی یومنا هذا علی خط التکامل والرقی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یحدّ من سیره التکاملی إصابته بنکسة فی بعض الأدوار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یصحّ حتّی علی واقع الفقه السنّی، لأنّ الفقه قد تجاوز طور الشیخوخة والهرم وأخذ فی الانتعاش والتجدّد وبدأت تدبّ فیه الحیاة، خاصة بعد ظهور فقهاء أخذوا علی عاتقهم تجدید الحیاة الفقهیة بإنشاء الموسوعات ومجالس الإفتاء والاجتهاد فی القرن الرابع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المنهج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 أدوار الفقه طبقاً للأسباب والأحداث التی رافقت تکامله وارتقاءه والتی اقترنت بأسماءجهابذة من الفقهاء الذین لعبوا دوراً مهماً فی إغناء التراث الفقهی، وهذا هو الموافق لواقع الفقه خصوصاً الفقه الإمامی</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فلنبحث فی أدوار الفقه وما یمت إلیها بصلة فی ضمن فصول</w:t>
      </w:r>
      <w:r>
        <w:rPr>
          <w:rFonts w:eastAsia="IRNazanin" w:cs="IRNazanin"/>
          <w:color w:val="111111"/>
          <w:sz w:val="28"/>
          <w:szCs w:val="28"/>
          <w:rtl w:val="true"/>
          <w:lang w:bidi="fa-IR"/>
        </w:rPr>
        <w:t>.</w:t>
      </w:r>
      <w:bookmarkStart w:id="46" w:name="pg5344_40541"/>
    </w:p>
    <w:p>
      <w:pPr>
        <w:pStyle w:val="Heading2"/>
        <w:numPr>
          <w:ilvl w:val="1"/>
          <w:numId w:val="1"/>
        </w:numPr>
        <w:rPr/>
      </w:pPr>
      <w:bookmarkStart w:id="47" w:name="__RefHeading___Toc1127344_581953129"/>
      <w:bookmarkStart w:id="48" w:name="_Toc18"/>
      <w:bookmarkEnd w:id="46"/>
      <w:bookmarkEnd w:id="47"/>
      <w:r>
        <w:rPr/>
        <w:t>2</w:t>
      </w:r>
      <w:r>
        <w:rPr>
          <w:rtl w:val="true"/>
        </w:rPr>
        <w:t xml:space="preserve">- </w:t>
      </w:r>
      <w:r>
        <w:rPr>
          <w:rtl w:val="true"/>
        </w:rPr>
        <w:t>العهد التأسیسی للتشریع</w:t>
      </w:r>
      <w:bookmarkEnd w:id="48"/>
    </w:p>
    <w:p>
      <w:pPr>
        <w:pStyle w:val="Heading3"/>
        <w:numPr>
          <w:ilvl w:val="2"/>
          <w:numId w:val="1"/>
        </w:numPr>
        <w:rPr/>
      </w:pPr>
      <w:bookmarkStart w:id="49" w:name="__RefHeading___Toc1127346_581953129"/>
      <w:bookmarkStart w:id="50" w:name="_Toc19"/>
      <w:bookmarkEnd w:id="49"/>
      <w:r>
        <w:rPr>
          <w:rtl w:val="true"/>
        </w:rPr>
        <w:t>اشارة</w:t>
      </w:r>
      <w:bookmarkEnd w:id="50"/>
    </w:p>
    <w:p>
      <w:pPr>
        <w:pStyle w:val="BookText"/>
        <w:rPr/>
      </w:pPr>
      <w:r>
        <w:rPr>
          <w:rFonts w:ascii="IRNazanin" w:hAnsi="IRNazanin" w:eastAsia="IRNazanin"/>
          <w:color w:val="111111"/>
          <w:sz w:val="28"/>
          <w:sz w:val="28"/>
          <w:szCs w:val="28"/>
          <w:rtl w:val="true"/>
          <w:lang w:bidi="fa-IR"/>
        </w:rPr>
        <w:t>المراد من العهد التأسیسی هو عهد الرسالة، فالنبی صلی الله علیه و آله هو المؤسّس علی لسان الوحی، وقد بیّن بفضل ما أُوحی إلیه، القواعد والضوابط الفقهیة الصالحة للتفریعات الکثیرة حسب الحاجات، وقد عدّه غیر واحد من کُتّاب أدوار الفقه من أدواره، ولکن الحقّ إخراجه عنه وتسمیته بالعهد التأسیسی، وذلک لأنّه یعدّ البذرة الأُولی لظهور الفقه إلی حیز الوجود، والدور عبارة عن التطور الذی یطرأ علی الشیء بعد وجوده فلا یعم عهد التأسیس</w:t>
      </w:r>
      <w:r>
        <w:rPr>
          <w:rFonts w:eastAsia="IRNazanin" w:cs="IRNazanin"/>
          <w:color w:val="111111"/>
          <w:sz w:val="28"/>
          <w:szCs w:val="28"/>
          <w:rtl w:val="true"/>
          <w:lang w:bidi="fa-IR"/>
        </w:rPr>
        <w:t>.</w:t>
      </w:r>
    </w:p>
    <w:p>
      <w:pPr>
        <w:pStyle w:val="Heading3"/>
        <w:numPr>
          <w:ilvl w:val="2"/>
          <w:numId w:val="1"/>
        </w:numPr>
        <w:rPr/>
      </w:pPr>
      <w:bookmarkStart w:id="51" w:name="__RefHeading___Toc1127348_581953129"/>
      <w:bookmarkStart w:id="52" w:name="_Toc20"/>
      <w:bookmarkEnd w:id="51"/>
      <w:r>
        <w:rPr/>
        <w:t>1</w:t>
      </w:r>
      <w:r>
        <w:rPr>
          <w:rtl w:val="true"/>
        </w:rPr>
        <w:t xml:space="preserve">- </w:t>
      </w:r>
      <w:r>
        <w:rPr>
          <w:rtl w:val="true"/>
        </w:rPr>
        <w:t>معالم التشریع الإسلامی</w:t>
      </w:r>
      <w:bookmarkEnd w:id="52"/>
    </w:p>
    <w:p>
      <w:pPr>
        <w:pStyle w:val="Heading4"/>
        <w:numPr>
          <w:ilvl w:val="3"/>
          <w:numId w:val="1"/>
        </w:numPr>
        <w:rPr/>
      </w:pPr>
      <w:bookmarkStart w:id="53" w:name="__RefHeading___Toc1127350_581953129"/>
      <w:bookmarkStart w:id="54" w:name="_Toc21"/>
      <w:bookmarkEnd w:id="53"/>
      <w:r>
        <w:rPr>
          <w:rtl w:val="true"/>
        </w:rPr>
        <w:t>اشارة</w:t>
      </w:r>
      <w:bookmarkEnd w:id="54"/>
    </w:p>
    <w:p>
      <w:pPr>
        <w:pStyle w:val="BookText"/>
        <w:rPr/>
      </w:pPr>
      <w:r>
        <w:rPr>
          <w:rFonts w:ascii="IRNazanin" w:hAnsi="IRNazanin" w:eastAsia="IRNazanin"/>
          <w:color w:val="111111"/>
          <w:sz w:val="28"/>
          <w:sz w:val="28"/>
          <w:szCs w:val="28"/>
          <w:rtl w:val="true"/>
          <w:lang w:bidi="fa-IR"/>
        </w:rPr>
        <w:t xml:space="preserve">إنّ للتشریع الإسلامی معالم متعددة، نشیر إلی ما هو المهم منها مع الاعتراف بأنّ الموضوع قابل للدراسة، أکثر من هذا، وقد استوفینا الکلام فی ذلک بعض الاستیفاء فی کتاب مفاهیم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الثالث</w:t>
      </w:r>
      <w:r>
        <w:rPr>
          <w:rFonts w:eastAsia="IRNazanin" w:cs="IRNazanin"/>
          <w:color w:val="111111"/>
          <w:sz w:val="28"/>
          <w:szCs w:val="28"/>
          <w:rtl w:val="true"/>
          <w:lang w:bidi="fa-IR"/>
        </w:rPr>
        <w:t>).</w:t>
      </w:r>
    </w:p>
    <w:p>
      <w:pPr>
        <w:pStyle w:val="Heading4"/>
        <w:numPr>
          <w:ilvl w:val="3"/>
          <w:numId w:val="1"/>
        </w:numPr>
        <w:rPr/>
      </w:pPr>
      <w:bookmarkStart w:id="55" w:name="__RefHeading___Toc1127352_581953129"/>
      <w:bookmarkStart w:id="56" w:name="_Toc22"/>
      <w:bookmarkEnd w:id="55"/>
      <w:r>
        <w:rPr>
          <w:rtl w:val="true"/>
        </w:rPr>
        <w:t>أ</w:t>
      </w:r>
      <w:r>
        <w:rPr>
          <w:rtl w:val="true"/>
        </w:rPr>
        <w:t xml:space="preserve">) </w:t>
      </w:r>
      <w:r>
        <w:rPr>
          <w:rtl w:val="true"/>
        </w:rPr>
        <w:t>التدرّج فی التشریع</w:t>
      </w:r>
      <w:bookmarkEnd w:id="56"/>
    </w:p>
    <w:p>
      <w:pPr>
        <w:pStyle w:val="BookText"/>
        <w:rPr/>
      </w:pPr>
      <w:r>
        <w:rPr>
          <w:rFonts w:ascii="IRNazanin" w:hAnsi="IRNazanin" w:eastAsia="IRNazanin"/>
          <w:color w:val="111111"/>
          <w:sz w:val="28"/>
          <w:sz w:val="28"/>
          <w:szCs w:val="28"/>
          <w:rtl w:val="true"/>
          <w:lang w:bidi="fa-IR"/>
        </w:rPr>
        <w:t>نزل القرآن الکریم خلال ثلاث وعشرین سنة لأسباب ودواع مختلفة اقتضت ذلک، وأشار إلیها الذکر الحکیم فی غیر واحد من الآیات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قُرْآناً فَرَقْناهُ لِتَقْرَأَهُ عَلَی النّاسِ عَلی مُکْثٍ وَ نَزَّلْناهُ تَنْزِیلاً</w:t>
      </w:r>
      <w:r>
        <w:rPr>
          <w:rFonts w:eastAsia="Amiri" w:cs="Amiri" w:ascii="Amiri" w:hAnsi="Amiri"/>
          <w:color w:val="111111"/>
          <w:sz w:val="28"/>
          <w:szCs w:val="28"/>
          <w:rtl w:val="true"/>
          <w:lang w:bidi="ar-SA"/>
        </w:rPr>
        <w:t xml:space="preserve">) . </w:t>
      </w:r>
      <w:r>
        <w:rPr>
          <w:rStyle w:val="FootnoteAnchor"/>
          <w:rtl w:val="true"/>
        </w:rPr>
        <w:footnoteReference w:id="12"/>
      </w:r>
      <w:r>
        <w:rPr>
          <w:rFonts w:ascii="Amiri" w:hAnsi="Amiri" w:eastAsia="Amiri" w:cs="Amiri"/>
          <w:color w:val="111111"/>
          <w:sz w:val="28"/>
          <w:sz w:val="28"/>
          <w:szCs w:val="28"/>
          <w:rtl w:val="true"/>
          <w:lang w:bidi="ar-SA"/>
        </w:rPr>
        <w:t>أی فرّقنا</w:t>
      </w:r>
    </w:p>
    <w:p>
      <w:pPr>
        <w:pStyle w:val="BookText"/>
        <w:rPr/>
      </w:pPr>
      <w:r>
        <w:rPr>
          <w:rFonts w:ascii="IRNazanin" w:hAnsi="IRNazanin" w:eastAsia="IRNazanin"/>
          <w:color w:val="111111"/>
          <w:sz w:val="28"/>
          <w:sz w:val="28"/>
          <w:szCs w:val="28"/>
          <w:rtl w:val="true"/>
          <w:lang w:bidi="fa-IR"/>
        </w:rPr>
        <w:t>نزوله کی تقرأه علی الناس علی مهل وتریث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أشار فی آیة أُخری إلی داع آخر،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الَّذِینَ کَفَرُوا لَوْ لا نُزِّلَ عَلَیْهِ الْقُرْآنُ جُمْلَةً واحِدَةً کَذلِکَ لِنُثَبِّتَ بِهِ فُؤادَکَ وَ رَتَّلْناهُ تَرْتِیلاً</w:t>
      </w:r>
      <w:r>
        <w:rPr>
          <w:rFonts w:eastAsia="Amiri" w:cs="Amiri" w:ascii="Amiri" w:hAnsi="Amiri"/>
          <w:color w:val="111111"/>
          <w:sz w:val="28"/>
          <w:szCs w:val="28"/>
          <w:rtl w:val="true"/>
          <w:lang w:bidi="ar-SA"/>
        </w:rPr>
        <w:t xml:space="preserve">) . </w:t>
      </w:r>
      <w:r>
        <w:rPr>
          <w:rStyle w:val="FootnoteAnchor"/>
          <w:rtl w:val="true"/>
        </w:rPr>
        <w:footnoteReference w:id="13"/>
      </w:r>
      <w:r>
        <w:rPr>
          <w:rFonts w:ascii="IRNazanin" w:hAnsi="IRNazanin" w:eastAsia="IRNazanin"/>
          <w:color w:val="111111"/>
          <w:sz w:val="28"/>
          <w:sz w:val="28"/>
          <w:szCs w:val="28"/>
          <w:rtl w:val="true"/>
          <w:lang w:bidi="fa-IR"/>
        </w:rPr>
        <w:t>فتثبیت فؤاد النبی صلی الله علیه و آله أحد الأسباب التی دعت إلی نزول القرآن بین الحین والآخر وفی غضون السنین، شاحذاً عزمه صلی الله علیه و آله للمضیّ فی طریق الدعوة بلا مبالاة لما یتّهمونهبه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والآیة تعرب عن أنّ الکتب السماویة الأُخری کالتوراة والإنجیل والزبور نزلت جملة واحدة، فرغب الکفار فی أن ینزل القرآن مثلها دفعة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ولیست الدواعی للنزول التدریجی منحصرة فیما سبق، بل أنّ هناک أسباباً ودواعی أُخری دعت إلی نزوله نجوماً، وهی مسایرة الکتاب للحوادث التی تستدعی لنفسها حکماً شرعیاً، فإنّ المسلمین کانوا یواجهون الأحداث المستجدَّة فی حیاتهم الفردیة الاجتماعیة ولم یکن لهم محیص من طرحها علی النبی صلی الله علیه و آله بغیة الظفر بأجوبتها، وقد تکرر فی الذکر الحکیم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یَسْئَلُونَکَ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قرابة خمس عشرة مرّة تصدی النبی صلی الله علیه و آله للإجابة عنها، وتختلف تلک المواضیع بین الاستفسار عن حکم شرعی، کحکم القتال فی الشهر الحرام، والخمر، والمیسر، والتصرف فی أموال الیتامی، والأهلّة، والمحیض، والأنفال، 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الاستفسار عن أُمور کونیة کالروح والجبال والساعة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شیء آخر ربما یؤکد لزوم کون التشریع أمراً تدریجیاً، وهو أنّ موقف النبی صلی الله علیه و آله تجاه أُمّته کموقف الطبیب من مریضه، فکما أنّ الطبیب یعالج المریض شیئاً فشیئاً حسب استعداده، فکذلک الطبیب الروحی یمارس نشاطه التربوی طبقاً لقابلیات الأُمّة الکامنة بغیة الاستجابة، لئلاّ تُثبط عزائمُهم ویُطفأ نشاطهم ویُثقل کاهلهم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ذلک فإن کانت الظروف مهیّئة لنزول تشریع أکثر تفصیلاً وأوسع تعقیداً وافاهم الوحی به، کما فی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تَعالَوْا أَتْلُ ما حَرَّمَ رَبُّکُمْ عَلَیْکُمْ أَلاّ تُشْرِکُوا بِهِ شَیْئاً وَ بِالْوالِدَیْنِ إِحْساناً وَ لا تَقْتُلُوا أَوْلادَکُمْ مِنْ إِمْلاقٍ نَحْنُ نَرْزُقُکُمْ وَ إِیّاهُمْ وَ لا تَقْرَبُوا الْفَواحِشَ ما ظَهَرَ مِنْها وَ ما</w:t>
      </w:r>
      <w:bookmarkStart w:id="57" w:name="pg5344_40545"/>
    </w:p>
    <w:p>
      <w:pPr>
        <w:pStyle w:val="BookText"/>
        <w:rPr/>
      </w:pPr>
      <w:bookmarkEnd w:id="57"/>
      <w:r>
        <w:rPr>
          <w:rFonts w:ascii="Amiri" w:hAnsi="Amiri" w:eastAsia="Amiri" w:cs="Amiri"/>
          <w:color w:val="111111"/>
          <w:sz w:val="28"/>
          <w:sz w:val="28"/>
          <w:szCs w:val="28"/>
          <w:rtl w:val="true"/>
          <w:lang w:bidi="ar-SA"/>
        </w:rPr>
        <w:t>بَطَنَ وَ لا تَقْتُلُوا النَّفْسَ الَّتِی حَرَّمَ اللّهُ إِلاّ بِالْحَقِّ ذلِکُمْ وَصّاکُمْ بِهِ لَعَلَّکُمْ تَعْقِلُونَ</w:t>
      </w:r>
      <w:r>
        <w:rPr>
          <w:rFonts w:eastAsia="Amiri" w:cs="Amiri" w:ascii="Amiri" w:hAnsi="Amiri"/>
          <w:color w:val="111111"/>
          <w:sz w:val="28"/>
          <w:szCs w:val="28"/>
          <w:rtl w:val="true"/>
          <w:lang w:bidi="ar-SA"/>
        </w:rPr>
        <w:t xml:space="preserve">) .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تَقْرَبُوا مالَ الْیَتِیمِ إِلاّ بِالَّتِی هِیَ أَحْسَنُ حَتّی یَبْلُغَ أَشُدَّهُ وَ أَوْفُوا الْکَیْلَ وَ الْمِیزانَ بِالْقِسْطِ لا نُکَلِّفُ نَفْساً إِلاّ وُسْعَها وَ إِذا قُلْتُمْ فَاعْدِلُوا وَ لَوْ کانَ ذا قُرْبی وَ بِعَهْدِ اللّهِ أَوْفُوا ذلِکُمْ وَصّاکُمْ بِهِ لَعَلَّکُمْ تَذَکَّرُونَ</w:t>
      </w:r>
      <w:r>
        <w:rPr>
          <w:rFonts w:eastAsia="Amiri" w:cs="Amiri" w:ascii="Amiri" w:hAnsi="Amiri"/>
          <w:color w:val="111111"/>
          <w:sz w:val="28"/>
          <w:szCs w:val="28"/>
          <w:rtl w:val="true"/>
          <w:lang w:bidi="ar-SA"/>
        </w:rPr>
        <w:t xml:space="preserve">) .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حیث تجد أنّ الآیتین تتکفّلان تشریع عشرة أحکام تُعَدُّ من جوامع الکلم</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1127354_581953129"/>
      <w:bookmarkStart w:id="59" w:name="_Toc23"/>
      <w:bookmarkEnd w:id="58"/>
      <w:r>
        <w:rPr>
          <w:rtl w:val="true"/>
        </w:rPr>
        <w:t>ب</w:t>
      </w:r>
      <w:r>
        <w:rPr>
          <w:rtl w:val="true"/>
        </w:rPr>
        <w:t xml:space="preserve">) </w:t>
      </w:r>
      <w:r>
        <w:rPr>
          <w:rtl w:val="true"/>
        </w:rPr>
        <w:t>شمولیة التشریع</w:t>
      </w:r>
      <w:bookmarkEnd w:id="59"/>
    </w:p>
    <w:p>
      <w:pPr>
        <w:pStyle w:val="BookText"/>
        <w:rPr/>
      </w:pPr>
      <w:r>
        <w:rPr>
          <w:rFonts w:ascii="Amiri" w:hAnsi="Amiri" w:eastAsia="Amiri" w:cs="Amiri"/>
          <w:color w:val="111111"/>
          <w:sz w:val="28"/>
          <w:sz w:val="28"/>
          <w:szCs w:val="28"/>
          <w:rtl w:val="true"/>
          <w:lang w:bidi="ar-SA"/>
        </w:rPr>
        <w:t>ومن میزات التشریع الإسلامی هی شمولیته لعامة الناس من دون فرق بین قوم قوم، فنظر إلی المکلّف بنظرة شمولیة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إِنّا خَلَقْناکُمْ مِنْ ذَکَرٍ وَ أُنْثی وَ جَعَلْناکُمْ شُعُوباً وَ قَبائِلَ لِتَعارَفُوا إِنَّ أَکْرَمَکُمْ عِنْدَ اللّهِ أَتْقاکُمْ إِنَّ اللّهَ عَلِیمٌ خَبِیرٌ</w:t>
      </w:r>
      <w:r>
        <w:rPr>
          <w:rFonts w:eastAsia="Amiri" w:cs="Amiri" w:ascii="Amiri" w:hAnsi="Amiri"/>
          <w:color w:val="111111"/>
          <w:sz w:val="28"/>
          <w:szCs w:val="28"/>
          <w:rtl w:val="true"/>
          <w:lang w:bidi="ar-SA"/>
        </w:rPr>
        <w:t xml:space="preserve">) .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التشریع القرآنی تشریع من جانب ربّ العالمین إلی نوع البشر فالوطن والقوم والقبیلة لم تؤخذ بنظر الاعتبار، والکرامة للإنسان وحده، ولا فضل لإنسان علی آخر إلاّ بالمُثل والأخلاق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فنری أنّه یخاطب المجتمع الإنسانی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یُشابهها، فحطم جمیع الحواجز والقیود التی یعتمد علیهاالمفکّر المادی فی التقنین الوضعی، والذی یقتفی أثر الیهود فی مزعمة الشعب‌المختار</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1127356_581953129"/>
      <w:bookmarkStart w:id="61" w:name="_Toc24"/>
      <w:bookmarkEnd w:id="60"/>
      <w:r>
        <w:rPr>
          <w:rtl w:val="true"/>
        </w:rPr>
        <w:t>ج</w:t>
      </w:r>
      <w:r>
        <w:rPr>
          <w:rtl w:val="true"/>
        </w:rPr>
        <w:t xml:space="preserve">) </w:t>
      </w:r>
      <w:r>
        <w:rPr>
          <w:rtl w:val="true"/>
        </w:rPr>
        <w:t>سعة آفاق التشریع</w:t>
      </w:r>
      <w:bookmarkEnd w:id="61"/>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تمعّن فی القرآن الکریم وتدبّر فی معانیه ومفاهیمه وقف علی سعة آفاق دلالته علی مقاصده غیر أنّ ثلة من الفقهاء مروا علی القرآن مروراً عابراً مع أنّه سبحانه یعرّف القرآن الکریم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نَزَّلْنا عَلَیْکَ الْکِتابَ تِبْیاناً لِکُلِّ شَیْ‌ءٍ وَ هُدیً وَ رَحْمَةً وَ بُشْری لِلْمُسْلِمِینَ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62" w:name="pg5344_40547"/>
    </w:p>
    <w:p>
      <w:pPr>
        <w:pStyle w:val="BookText"/>
        <w:rPr/>
      </w:pPr>
      <w:bookmarkEnd w:id="62"/>
      <w:r>
        <w:rPr>
          <w:rFonts w:ascii="IRNazanin" w:hAnsi="IRNazanin" w:eastAsia="IRNazanin"/>
          <w:color w:val="111111"/>
          <w:sz w:val="28"/>
          <w:sz w:val="28"/>
          <w:szCs w:val="28"/>
          <w:rtl w:val="true"/>
          <w:lang w:bidi="fa-IR"/>
        </w:rPr>
        <w:t>وعلی ضوء ذلک لا غنی للفقیه من دراسة آیات الأحکام دراسة معمّقة ثاقبة، لیجد فیها الجواب عن أکثر المسائل المطروحة ولا ینظر إلیها نظرة عابرة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استدلّ أئمّة أهل‌البیت علیهم السلام بالقرآن علی کثیر من الأحکام التی غفل عنها فقهاء عصرهم، ونذکر هنا نموذجاً علی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قدم إلی المتوکّل رجل نصرانی فجر بامرأة مسلمة، فأراد أن یقیم علیه الحدّ، فأسلم، فقال یحیی بن أکثم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الإیمان یمحو ما قبله،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ثلاثة حدود، فکتب المتوکّل إلی الإمام الهادی علیه السلام یسأله، فلما قرأ الکتاب، 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حتّی یموت، فأنکر الفقهاء ذلک، فکتب إلیه یسأله عن العلّة، فکتب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رَأَوْا بَأْسَنا قالُوا آمَنّا بِاللّهِ وَحْدَهُ وَ کَفَرْنا بِما کُنّا بِهِ 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یَکُ یَنْفَعُهُمْ إِیمانُهُمْ لَمّا رَأَوْا بَأْسَنا سُنَّتَ اللّهِ الَّتِی قَدْ خَلَتْ فِی عِبادِهِ وَ خَسِرَ هُنالِکَ الْکافِرُونَ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 المتوکل فضرب حتّی مات</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تجد انّ الإمام الهادی علیه السلام استنبط حکم الموضوع من آیة مبارکة، لا یذکرها الفقهاء فی عداد آیات الأحکام، غیر أنّ الإمام لوقوفه علی سعة دلالة القرآن استنبط حکم الموضوع من تلک الآیة، وکم لها من نظیر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انّ العهد التأسیسی کان یقوم علی رکنین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والسنّة، فصارا رکنین وثیقین للفقه فی هذا العهد، فإنّ التشریع فی عصر الرسول کان بأحد الطریقین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بتلاوة القرآن الکریم الذی هو وحی بلفظه ومعناه، أو ببیان الرسول وتعبیره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وحی بمعناه دون لفظه</w:t>
      </w:r>
      <w:r>
        <w:rPr>
          <w:rFonts w:eastAsia="IRNazanin" w:cs="IRNazanin"/>
          <w:color w:val="111111"/>
          <w:sz w:val="28"/>
          <w:szCs w:val="28"/>
          <w:rtl w:val="true"/>
          <w:lang w:bidi="fa-IR"/>
        </w:rPr>
        <w:t>.</w:t>
      </w:r>
    </w:p>
    <w:p>
      <w:pPr>
        <w:pStyle w:val="Heading3"/>
        <w:numPr>
          <w:ilvl w:val="2"/>
          <w:numId w:val="1"/>
        </w:numPr>
        <w:rPr/>
      </w:pPr>
      <w:bookmarkStart w:id="63" w:name="__RefHeading___Toc1127358_581953129"/>
      <w:bookmarkStart w:id="64" w:name="_Toc25"/>
      <w:bookmarkEnd w:id="63"/>
      <w:r>
        <w:rPr/>
        <w:t>2</w:t>
      </w:r>
      <w:r>
        <w:rPr>
          <w:rtl w:val="true"/>
        </w:rPr>
        <w:t xml:space="preserve">- </w:t>
      </w:r>
      <w:r>
        <w:rPr>
          <w:rtl w:val="true"/>
        </w:rPr>
        <w:t>النبی صلی الله علیه و آله والاجتهاد</w:t>
      </w:r>
      <w:bookmarkEnd w:id="64"/>
    </w:p>
    <w:p>
      <w:pPr>
        <w:pStyle w:val="BookText"/>
        <w:rPr/>
      </w:pPr>
      <w:r>
        <w:rPr>
          <w:rFonts w:ascii="IRNazanin" w:hAnsi="IRNazanin" w:eastAsia="IRNazanin"/>
          <w:color w:val="111111"/>
          <w:sz w:val="28"/>
          <w:sz w:val="28"/>
          <w:szCs w:val="28"/>
          <w:rtl w:val="true"/>
          <w:lang w:bidi="fa-IR"/>
        </w:rPr>
        <w:t>لقد طال الحوار والجدال حول اجتهاد النبی صلی الله علیه و آله وانّه هل کان مجتهداً فی بیان الأحکام الشرعیة کسائر الفقهاء، أو انّ علمه بعقائد الدین وأحکامه علی صعید أغناه عن الاجتهاد؟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والإمعان فی الآیات التالیة یدعم النظر الثانی</w:t>
      </w:r>
      <w:r>
        <w:rPr>
          <w:rFonts w:eastAsia="IRNazanin" w:cs="IRNazanin"/>
          <w:color w:val="111111"/>
          <w:sz w:val="28"/>
          <w:szCs w:val="28"/>
          <w:rtl w:val="true"/>
          <w:lang w:bidi="fa-IR"/>
        </w:rPr>
        <w:t>.</w:t>
      </w:r>
      <w:bookmarkStart w:id="65" w:name="pg5344_40549"/>
    </w:p>
    <w:p>
      <w:pPr>
        <w:pStyle w:val="BookText"/>
        <w:rPr/>
      </w:pPr>
      <w:bookmarkEnd w:id="65"/>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فَضْلُ اللّهِ عَلَیْکَ وَ رَحْمَتُهُ لَهَمَّتْ طائِفَةٌ مِنْهُمْ أَنْ یُضِلُّوکَ وَ ما یُضِلُّونَ إِلاّ أَنْفُسَهُمْ وَ ما یَضُرُّونَکَ مِنْ شَیْ‌ءٍ وَ أَنْزَلَ اللّهُ عَلَیْکَ الْکِتابَ وَ الْحِکْمَةَ وَ عَلَّمَکَ ما لَمْ تَکُنْ تَعْلَمُ وَ کانَ فَضْلُ اللّهِ عَلَیْکَ عَظِیماً</w:t>
      </w:r>
      <w:r>
        <w:rPr>
          <w:rFonts w:eastAsia="Amiri" w:cs="Amiri" w:ascii="Amiri" w:hAnsi="Amiri"/>
          <w:color w:val="111111"/>
          <w:sz w:val="28"/>
          <w:szCs w:val="28"/>
          <w:rtl w:val="true"/>
          <w:lang w:bidi="ar-SA"/>
        </w:rPr>
        <w:t xml:space="preserve">) .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وقد ذکر المفسرون أسباب نزول متعددة لهذه الآیة تجمعها انّها رفعت إلی النبی صلی الله علیه و آله واقعة کان الحقّ فیها غیر واضح، فأراه الله سبحانه حقیقة الواقع الذی تخاصم فیها المتحاکمان وعلّله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فَضْلُ اللّهِ عَلَیْکَ وَ رَحْمَتُهُ لَهَمَّتْ طائِفَةٌ مِنْهُمْ أَنْ یُضِلُّوکَ</w:t>
      </w:r>
      <w:r>
        <w:rPr>
          <w:rFonts w:eastAsia="Amiri" w:cs="Amiri" w:ascii="Amiri" w:hAnsi="Amiri"/>
          <w:color w:val="111111"/>
          <w:sz w:val="28"/>
          <w:szCs w:val="28"/>
          <w:rtl w:val="true"/>
          <w:lang w:bidi="ar-SA"/>
        </w:rPr>
        <w:t xml:space="preserve">...) .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ففضل الله ورحمته صدّاه عن الحکم بالباطل، فهو صلی الله علیه و آله فی کلّ الحوادث والوقائع یحکم بمرّ الحقّ وهو فی الواقع مؤیّداً من قبل الله، ومن اختصّ بهذه المنزلة الکبیرة فقد استغنی عن الاجتهاد المصیب تارة والمخطئ أُخری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جَعَلْناکَ عَلی شَرِیعَةٍ مِنَ الْأَمْرِ فَاتَّبِعْها وَ لا تَتَّبِعْ أَهْواءَ الَّذِینَ لا یَعْلَمُونَ</w:t>
      </w:r>
      <w:r>
        <w:rPr>
          <w:rFonts w:eastAsia="Amiri" w:cs="Amiri" w:ascii="Amiri" w:hAnsi="Amiri"/>
          <w:color w:val="111111"/>
          <w:sz w:val="28"/>
          <w:szCs w:val="28"/>
          <w:rtl w:val="true"/>
          <w:lang w:bidi="ar-SA"/>
        </w:rPr>
        <w:t xml:space="preserve">) .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والشریعة هی طریق ورود الماء، والأمر أمر الدین، ومعنی الآیة انّه تبارک وتعالی أورد النبی صلی الله علیه و آله علی طریق موصل للشریعة قطعاً، ومن حظا بتلک المنزلة، فما یصدر عنه إنّما یصدر عن واقع الدین لا عن الدین المظنون الذی یخطئ ویصیب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أیة حال فانّ طبیعة الاجتهاد خاضعة للنقاش والنقد فلو اجتهد النبی صلی الله علیه و آله فی بعض الأحکام یکون نظره کنظر غیره قابلاً للنقد والنقاش، ومعه کیف یکون حلال محمد حلالاً إلی یوم القیامة وحرامه حراماً إلی یوم القیامة؟ وکیف تکون شریعته خاتمة الشرائع؟</w:t>
      </w:r>
    </w:p>
    <w:p>
      <w:pPr>
        <w:pStyle w:val="BookText"/>
        <w:rPr/>
      </w:pPr>
      <w:r>
        <w:rPr>
          <w:rFonts w:ascii="IRNazanin" w:hAnsi="IRNazanin" w:eastAsia="IRNazanin"/>
          <w:color w:val="111111"/>
          <w:sz w:val="28"/>
          <w:sz w:val="28"/>
          <w:szCs w:val="28"/>
          <w:rtl w:val="true"/>
          <w:lang w:bidi="fa-IR"/>
        </w:rPr>
        <w:t>کلّ ذلک یعرب عن أنّ نسبة الاجتهاد إلی النبی صلی الله علیه و آله بعیدة عن الصواب</w:t>
      </w:r>
      <w:r>
        <w:rPr>
          <w:rFonts w:eastAsia="IRNazanin" w:cs="IRNazanin"/>
          <w:color w:val="111111"/>
          <w:sz w:val="28"/>
          <w:szCs w:val="28"/>
          <w:rtl w:val="true"/>
          <w:lang w:bidi="fa-IR"/>
        </w:rPr>
        <w:t>.</w:t>
      </w:r>
    </w:p>
    <w:p>
      <w:pPr>
        <w:pStyle w:val="Heading3"/>
        <w:numPr>
          <w:ilvl w:val="2"/>
          <w:numId w:val="1"/>
        </w:numPr>
        <w:rPr/>
      </w:pPr>
      <w:bookmarkStart w:id="66" w:name="__RefHeading___Toc1127360_581953129"/>
      <w:bookmarkStart w:id="67" w:name="_Toc26"/>
      <w:bookmarkEnd w:id="66"/>
      <w:r>
        <w:rPr/>
        <w:t>3</w:t>
      </w:r>
      <w:r>
        <w:rPr>
          <w:rtl w:val="true"/>
        </w:rPr>
        <w:t xml:space="preserve">- </w:t>
      </w:r>
      <w:r>
        <w:rPr>
          <w:rtl w:val="true"/>
        </w:rPr>
        <w:t>اجتهاد النبی وتسرب الخطأ إلیه</w:t>
      </w:r>
      <w:bookmarkEnd w:id="67"/>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سبق انّ النبی صلی الله علیه و آله فی غنی عن الاجتهاد فی الأحکام وانّه سبحانه أورده علی منهل الشریعة فأُمر باتّباعها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افترضنا جواز الاجتهاد علیه، فهل یمکن أن یتسرب إلیه الخطأ أو لا؟</w:t>
      </w:r>
    </w:p>
    <w:p>
      <w:pPr>
        <w:pStyle w:val="BookText"/>
        <w:rPr/>
      </w:pPr>
      <w:r>
        <w:rPr>
          <w:rFonts w:ascii="IRNazanin" w:hAnsi="IRNazanin" w:eastAsia="IRNazanin"/>
          <w:color w:val="111111"/>
          <w:sz w:val="28"/>
          <w:sz w:val="28"/>
          <w:szCs w:val="28"/>
          <w:rtl w:val="true"/>
          <w:lang w:bidi="fa-IR"/>
        </w:rPr>
        <w:t xml:space="preserve">ذهبت الإمامیة إلی صیانة اجتهاده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جواز الاجتهاد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الخطأ، واستدلّ علیه المحقّق الحلّی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معصوم من الخطأ عمداً ونسیاناً بما ثبت فی الکلام، ومع ذلک یستحیل علیه‌الغلط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انّنا مأمورون باتّباعه، فلو وقع منه الخطأ فی الأحکام، لزم الأمر بالعمل بالخطأ، وهو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جاز ذلک الخطأ لم یبق وثوق بأوامره ونواهیه، فیؤدی ذلک إلی التنفیر عن قبول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المخالف استدلّ بوجوه،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أَنَا بَشَرٌ مِثْلُکُمْ یُوحی إِلَیَّ</w:t>
      </w:r>
      <w:r>
        <w:rPr>
          <w:rFonts w:eastAsia="Amiri" w:cs="Amiri" w:ascii="Amiri" w:hAnsi="Amiri"/>
          <w:color w:val="111111"/>
          <w:sz w:val="28"/>
          <w:szCs w:val="28"/>
          <w:rtl w:val="true"/>
          <w:lang w:bidi="ar-SA"/>
        </w:rPr>
        <w:t xml:space="preserve">...) .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وجه المماثلة لیس تطرق الخطأ، بل عدم استطاعته صلی الله علیه و آله إلی تحقیق کلّ ما یقترحون علیه من المعاجز والآیات حیث أرادوا منه أن یأتی لهم بکلّ ما یقترحون علیه من عجائب الأُمور فنزل الوحی بأنّه بشر مثلکم، والفرق بینکم وبینه انّه یوحی إلیه دونکم، فکیف یتمکن من القیام بما یقترحون علیه من المعاجز والآیات بلا إذن منه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قضیت له بشیء من حق أخیه، فلا یأخذنّ إنّما أقطع له به قطعة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یدلّ علی انّه یجوز منه الغلط 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کان مأموراً بالقضاء بما أدّی إلیه البیّنة والیمین، فما یقضی به هو نفس الحکم الشرعی فی باب القضاء، سواء أکان مطابقاً للواقع أم لم یکن، فإنّه کان مأموراً فی فصل الخصومات بالظواهر لا بالبواطن</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وبذلک یعلم أنّه لو سوّغنا الاجتهاد للنبی صلی الله علیه و آله لم یخطئ فی مجال الإفتاء، بل ینتهی إلی نفس الواقع</w:t>
      </w:r>
      <w:r>
        <w:rPr>
          <w:rFonts w:eastAsia="IRNazanin" w:cs="IRNazanin"/>
          <w:color w:val="111111"/>
          <w:sz w:val="28"/>
          <w:szCs w:val="28"/>
          <w:rtl w:val="true"/>
          <w:lang w:bidi="fa-IR"/>
        </w:rPr>
        <w:t>.</w:t>
      </w:r>
      <w:bookmarkStart w:id="68" w:name="pg5344_40553"/>
    </w:p>
    <w:p>
      <w:pPr>
        <w:pStyle w:val="Heading3"/>
        <w:numPr>
          <w:ilvl w:val="2"/>
          <w:numId w:val="1"/>
        </w:numPr>
        <w:rPr/>
      </w:pPr>
      <w:bookmarkStart w:id="69" w:name="__RefHeading___Toc1127362_581953129"/>
      <w:bookmarkStart w:id="70" w:name="_Toc27"/>
      <w:bookmarkEnd w:id="68"/>
      <w:bookmarkEnd w:id="69"/>
      <w:r>
        <w:rPr/>
        <w:t>4</w:t>
      </w:r>
      <w:r>
        <w:rPr>
          <w:rtl w:val="true"/>
        </w:rPr>
        <w:t xml:space="preserve">- </w:t>
      </w:r>
      <w:r>
        <w:rPr>
          <w:rtl w:val="true"/>
        </w:rPr>
        <w:t>الاجتهاد فی عصر النبی صلی الله علیه و آله</w:t>
      </w:r>
      <w:bookmarkEnd w:id="70"/>
    </w:p>
    <w:p>
      <w:pPr>
        <w:pStyle w:val="BookText"/>
        <w:rPr/>
      </w:pPr>
      <w:r>
        <w:rPr>
          <w:rFonts w:ascii="IRNazanin" w:hAnsi="IRNazanin" w:eastAsia="IRNazanin"/>
          <w:color w:val="111111"/>
          <w:sz w:val="28"/>
          <w:sz w:val="28"/>
          <w:szCs w:val="28"/>
          <w:rtl w:val="true"/>
          <w:lang w:bidi="fa-IR"/>
        </w:rPr>
        <w:t>کان المرجع فی حیاة النبی صلی الله علیه و آله هو القرآن والسّنة، 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المرجع هو نفس النبی صلی الله علیه و آله وکان المسلمون فی غنی عن الاجتهاد، ومع ذلک لم تکن الصحابة فی غنی عن الاجتهاد عندما یذهبون إلی مناطق نائیة فلم یکن لهم بدّ من بذل الجهد فی استنباط الحکم عمّا تلقّوا من النبی صلی الله علیه و آله من القرآن والسنّة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ویرشدک إلی وجوده فی زمن النبی صلی الله علیه و آله قول الرسول لأمیر المؤمنین علیه السلام عندما بعثه إلی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بعثنی رسول الله إلی الیمن،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تبعثنی وأنا شاب، أقضی بینهم ولا أدری ما القضاء؟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بیده فی صدری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أهد قلبه وثبت لسانه، فوالذی نفسی بیده ما شککت فی قضاء بین اثنین</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وقال النبی صلی الله علیه و آله لمعاذ بن جبل حین وجّهه إلی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تقضی؟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فی کتاب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تجد؟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فی سنّة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تجد؟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اجتهد رأیی، ولا آلو جهداً، فسر النبی صلی الله علیه و آله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وفق رسول رسوله بما یرضی رسوله</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قد عرفت أنّ النبی صلی الله علیه و آله کان فی غنی عن الاجتهاد وقد أورده سبحانه علی المنهل العذب، وأمّا صحابته فقد ذاع بینهم الاجتهاد فی بعض الفترات، ولنذکر هنا نموذجین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 رجع رسول الله صلی الله علیه و آله من غزوة الأحزاب وأراد أن یخلع لباس الحرب أمره الله عزّ وجلّ باللحاق ببنی‌قریظة، فقال صلی الله علیه و آله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یصلّین أحد منکم، فساروا مسرعین، إلاّ أنّ بعضهم صلّی العصر فی الطریق وأوّل کلام الرسول بأنّه قصد السرعة، ولم یصلّ بعضهم الآخر إلاّ فی بنی‌قریظة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علیّاً علیه السلام قد حکم باجتهاده فی أصحاب الزبیة حینما وجهه النبی صلی الله علیه و آله قاضیاً إلی الیمن، وذلک انّ قوماً احتفروا زبیة للأسد، وازدحم الناس علیها، فوقع فیها رجل وأمسک بآخر، وأمسک الثانی بالثالث، حتّی صاروا فیها أربعة فماتوا، فقضی علی علیه السلام للأوّل بربع الدیة، لأنّه مات</w:t>
      </w:r>
      <w:bookmarkStart w:id="71" w:name="pg5344_40555"/>
    </w:p>
    <w:p>
      <w:pPr>
        <w:pStyle w:val="BookText"/>
        <w:rPr/>
      </w:pPr>
      <w:bookmarkEnd w:id="71"/>
      <w:r>
        <w:rPr>
          <w:rFonts w:ascii="IRNazanin" w:hAnsi="IRNazanin" w:eastAsia="IRNazanin"/>
          <w:color w:val="111111"/>
          <w:sz w:val="28"/>
          <w:sz w:val="28"/>
          <w:szCs w:val="28"/>
          <w:rtl w:val="true"/>
          <w:lang w:bidi="fa-IR"/>
        </w:rPr>
        <w:t>بتدافع المزدحمین حول الزبیة وبوقوع الثلاثة الذین جذبهم فوقه، فأهدر ما یقابل فعله من الدیة وذلک ثلاثة أرباعها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للثانی ثلث الدیة، لأنّه مات بجذب الأوّل له ووقوع الاثنین اللّذین جذبهما فوقه، فأهدر ما یقابل فعله وهو ثلث الدیة، وجعل للثالث نصف الدیة، لأنّه مات بجذب الثانی له ووقوع الرابع الذی جذبه علیه وأهدر ما یقابل فعله وهو نصف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للرابع الدیة کاملة، لأنّه مات بجذب الثالث له فقط، وحکم بأنّ الواجب کله علی قبائل الذین ازدحموا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أبوا قبول هذا الحکم، قدموا إلی النبی صلی الله علیه و آله ،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 کما قضاه علی</w:t>
      </w:r>
      <w:r>
        <w:rPr>
          <w:rFonts w:eastAsia="IRNazanin" w:cs="IRNazanin"/>
          <w:color w:val="111111"/>
          <w:sz w:val="28"/>
          <w:szCs w:val="28"/>
          <w:rtl w:val="true"/>
          <w:lang w:bidi="fa-IR"/>
        </w:rPr>
        <w:t xml:space="preserve">». </w:t>
      </w:r>
      <w:r>
        <w:rPr>
          <w:rStyle w:val="FootnoteAnchor"/>
          <w:rtl w:val="true"/>
        </w:rPr>
        <w:footnoteReference w:id="24"/>
      </w:r>
    </w:p>
    <w:p>
      <w:pPr>
        <w:pStyle w:val="Heading3"/>
        <w:numPr>
          <w:ilvl w:val="2"/>
          <w:numId w:val="1"/>
        </w:numPr>
        <w:rPr/>
      </w:pPr>
      <w:bookmarkStart w:id="72" w:name="__RefHeading___Toc1127364_581953129"/>
      <w:bookmarkStart w:id="73" w:name="_Toc28"/>
      <w:bookmarkEnd w:id="72"/>
      <w:r>
        <w:rPr/>
        <w:t>5</w:t>
      </w:r>
      <w:r>
        <w:rPr>
          <w:rtl w:val="true"/>
        </w:rPr>
        <w:t xml:space="preserve">- </w:t>
      </w:r>
      <w:r>
        <w:rPr>
          <w:rtl w:val="true"/>
        </w:rPr>
        <w:t>اجتهاد الصحابة بعد رحیل النبی صلی الله علیه و آله</w:t>
      </w:r>
      <w:bookmarkEnd w:id="73"/>
    </w:p>
    <w:p>
      <w:pPr>
        <w:pStyle w:val="BookText"/>
        <w:rPr/>
      </w:pPr>
      <w:r>
        <w:rPr>
          <w:rFonts w:ascii="IRNazanin" w:hAnsi="IRNazanin" w:eastAsia="IRNazanin"/>
          <w:color w:val="111111"/>
          <w:sz w:val="28"/>
          <w:sz w:val="28"/>
          <w:szCs w:val="28"/>
          <w:rtl w:val="true"/>
          <w:lang w:bidi="fa-IR"/>
        </w:rPr>
        <w:t>کانت الصحابة فی حیاة الرسول ترجع إلی النبی الأکرم صلی الله علیه و آله فی عامة الحوادث قدیمها وحدیثها، ولکنّهم بعد رحیله واجهوا حوادث لم یجدوا لها حلولاً فی المصدرین الرئیسیّین فلم یجدوا محیصاً من صیاغة قواعد تعینهم علی وضع الحلول المناسبة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واجه الفقهاء عبر تقدّم الزمان مستجدات تتطلب مزید إمعان ونظر بغیة الإجابة عنها حتّی أضحت الهوة عمیقة بین من تصدّی للإفتاء فی العصور الأُولی ومن تصدّی له فی العصور المتأخّرة لا یجمعها سوی لفظ الإفتاء مع اختلافهم فی سعة التفکیر وضیقه وقلّة القواعد المستفادة وکثرتها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الذین بذلوا جهودهم فی وضع الحلول لهذه المشاکل هم الصحابة ویلیهم التابعون علی اختلاف طبقاتهم ومراتبهم فی الفقه وفی حفظ الکتاب والسنّة وفطنتهم فی رد الفروع إلی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ابن واضح الأخباری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 عصر الخلافة، وهم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أمیر المؤمنین علی بن أبی طالب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بن کعب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ثابت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موسی الأشعری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الدرداء</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سعید الخدری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بن ربیعة الباهلی</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74" w:name="pg5344_40557"/>
    </w:p>
    <w:p>
      <w:pPr>
        <w:pStyle w:val="Heading2"/>
        <w:numPr>
          <w:ilvl w:val="1"/>
          <w:numId w:val="1"/>
        </w:numPr>
        <w:rPr/>
      </w:pPr>
      <w:bookmarkStart w:id="75" w:name="__RefHeading___Toc1127366_581953129"/>
      <w:bookmarkStart w:id="76" w:name="_Toc29"/>
      <w:bookmarkEnd w:id="74"/>
      <w:bookmarkEnd w:id="75"/>
      <w:r>
        <w:rPr/>
        <w:t>3</w:t>
      </w:r>
      <w:r>
        <w:rPr>
          <w:rtl w:val="true"/>
        </w:rPr>
        <w:t xml:space="preserve">- </w:t>
      </w:r>
      <w:r>
        <w:rPr>
          <w:rtl w:val="true"/>
        </w:rPr>
        <w:t>الاجتهاد فی عصر الأئمّة</w:t>
      </w:r>
      <w:bookmarkEnd w:id="76"/>
    </w:p>
    <w:p>
      <w:pPr>
        <w:pStyle w:val="Heading3"/>
        <w:numPr>
          <w:ilvl w:val="2"/>
          <w:numId w:val="1"/>
        </w:numPr>
        <w:rPr/>
      </w:pPr>
      <w:bookmarkStart w:id="77" w:name="__RefHeading___Toc1127368_581953129"/>
      <w:bookmarkStart w:id="78" w:name="_Toc30"/>
      <w:bookmarkEnd w:id="77"/>
      <w:r>
        <w:rPr>
          <w:rtl w:val="true"/>
        </w:rPr>
        <w:t>اشارة</w:t>
      </w:r>
      <w:bookmarkEnd w:id="78"/>
    </w:p>
    <w:p>
      <w:pPr>
        <w:pStyle w:val="BookText"/>
        <w:rPr/>
      </w:pPr>
      <w:r>
        <w:rPr>
          <w:rFonts w:ascii="IRNazanin" w:hAnsi="IRNazanin" w:eastAsia="IRNazanin"/>
          <w:color w:val="111111"/>
          <w:sz w:val="28"/>
          <w:sz w:val="28"/>
          <w:szCs w:val="28"/>
          <w:rtl w:val="true"/>
          <w:lang w:bidi="fa-IR"/>
        </w:rPr>
        <w:t>إنّ العترة الطاهرة أعدال الکتاب وقرناؤه، فقد عرَّفهم النبی صلی الله علیه و آله بأنّهم أحد الثقلین الذین ترکهم النبی صلی الله علیه و آله بین الأُمّة لصیانتها عن الضلال، وقال فی حدیث متواتر فی کتب الفریقین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وعترتی، ما إن تمسکتم بهما لن تضلّوا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أدرک الواعون من الأُمّة بعد رحیل النبی صلی الله علیه و آله خطورة الموقف، فاتّجهوا صوب العترة ولا سیّما الإمام علی بن أبی طالب علیه السلام عیبة علم الرسول وکاتب سنّته، فالتفوا حوله ونهلوا من نمیر علمه، کما نهلوا من علوم العترة الطاهرة أولاد الإمام علی إلی عهد الإمام العسکری علیه السلام ، فدوّنوا السنّة وفسروا معالم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تربّی فی أحضانهم عبر الزمان جیل من الفقهاء الذین کان لهم حظ وافر من‌الاستنباط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وبذلک تبیّن دور أئمّة أهل‌البیت علیهم السلام فی صیانة السنّة النبویة عن الاندراس، إذ کانت الأُمّة یومذاک خصوصاً فی القرن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معرضة عن کتابتها ودراستها إلاّ شیئاً لا یذکر، وذلک للحظر المفروض علی کتابة السنّة من جانب الخلفاء، غیر أنّ أئمّة أهل‌البیت علیهم السلام لم یُعیروا لهذا الحظر أیّ أهمیة، فنشروا السنّة کما فسروا الکتاب وعلّموا أصحابهم معالم الدین وأُصوله وفروعه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یظهر من أحد من ولد الحسن والحسین ما ظهر فی علم الدین والآثار والسنّة وعلم القرآن والسیرة وفنون الآداب ما ظهر من أبی جعفر الباقر علیه السلام </w:t>
      </w:r>
      <w:r>
        <w:rPr>
          <w:rFonts w:eastAsia="IRNazanin" w:cs="IRNazanin"/>
          <w:color w:val="111111"/>
          <w:sz w:val="28"/>
          <w:szCs w:val="28"/>
          <w:rtl w:val="true"/>
          <w:lang w:bidi="fa-IR"/>
        </w:rPr>
        <w:t xml:space="preserve">. </w:t>
      </w:r>
      <w:r>
        <w:rPr>
          <w:rStyle w:val="FootnoteAnchor"/>
          <w:rtl w:val="true"/>
        </w:rPr>
        <w:footnoteReference w:id="25"/>
      </w:r>
      <w:bookmarkStart w:id="79" w:name="pg5344_40559"/>
    </w:p>
    <w:p>
      <w:pPr>
        <w:pStyle w:val="BookText"/>
        <w:rPr/>
      </w:pPr>
      <w:bookmarkEnd w:id="79"/>
      <w:r>
        <w:rPr>
          <w:rFonts w:ascii="IRNazanin" w:hAnsi="IRNazanin" w:eastAsia="IRNazanin"/>
          <w:color w:val="111111"/>
          <w:sz w:val="28"/>
          <w:sz w:val="28"/>
          <w:szCs w:val="28"/>
          <w:rtl w:val="true"/>
          <w:lang w:bidi="fa-IR"/>
        </w:rPr>
        <w:t>وروی عنه معالم الدین بقایا الصحابة ووجوه التابعین وفقهاء المسلمین، وسارت بذکر علومه الأخبار، وانشدت فی مدائحه الأشعار</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وأمّا الإمام الصادق علیه السلام فحدث عنه ولا حرج، فقد ذاع صیته فی جمیع الأمصار الإسلامیة وأصبح قدوة لروّاد العلم، روی عنه جماعة من أعیان الأُمّة، فمنهم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سعید وابن جریج ومالک بن أنس والثوری وابن عیینة وأبو حنیفة وشعبة وأبو أیّوب السجستانی وغیرهم</w:t>
      </w:r>
      <w:r>
        <w:rPr>
          <w:rFonts w:eastAsia="IRNazanin" w:cs="IRNazanin"/>
          <w:color w:val="111111"/>
          <w:sz w:val="28"/>
          <w:szCs w:val="28"/>
          <w:rtl w:val="true"/>
          <w:lang w:bidi="fa-IR"/>
        </w:rPr>
        <w:t xml:space="preserve">. </w:t>
      </w:r>
      <w:r>
        <w:rPr>
          <w:rStyle w:val="FootnoteAnchor"/>
          <w:rtl w:val="true"/>
        </w:rPr>
        <w:footnoteReference w:id="27"/>
      </w:r>
    </w:p>
    <w:p>
      <w:pPr>
        <w:pStyle w:val="Heading3"/>
        <w:numPr>
          <w:ilvl w:val="2"/>
          <w:numId w:val="1"/>
        </w:numPr>
        <w:rPr/>
      </w:pPr>
      <w:bookmarkStart w:id="80" w:name="__RefHeading___Toc1127370_581953129"/>
      <w:bookmarkStart w:id="81" w:name="_Toc31"/>
      <w:bookmarkEnd w:id="80"/>
      <w:r>
        <w:rPr>
          <w:rtl w:val="true"/>
        </w:rPr>
        <w:t>الاجتهاد لدی الشیعة</w:t>
      </w:r>
      <w:bookmarkEnd w:id="81"/>
    </w:p>
    <w:p>
      <w:pPr>
        <w:pStyle w:val="BookText"/>
        <w:rPr/>
      </w:pPr>
      <w:r>
        <w:rPr>
          <w:rFonts w:ascii="IRNazanin" w:hAnsi="IRNazanin" w:eastAsia="IRNazanin"/>
          <w:color w:val="111111"/>
          <w:sz w:val="28"/>
          <w:sz w:val="28"/>
          <w:szCs w:val="28"/>
          <w:rtl w:val="true"/>
          <w:lang w:bidi="fa-IR"/>
        </w:rPr>
        <w:t xml:space="preserve">إنّ تمکّن الشیعة من الحضور عند أئمّة أهل‌البیت والاستضاءة بأنوار علومهم، لم یغنهم عن بذل الجهد فی استنباط الحکم الشرعی، فإنّ الظروف لم تکن تسنح لجمیع أصحاب الأئمة بالحضور إلی مجالسهم، وذلک إمّا لبعد الشقة وتواجد الأصحاب فی مناطق نائیة بعیداً عن الأئمّة، أو للظروف السیاسیة الحرجة التی کانت السلطات الزمنیة تفرضها علی الأئمّة علیهم السلام وتمنع الأصحاب من الاتّصال بهم وتُحذِّر من مغبة ذلک، هذا وذاک صارا سبباً لإقبال أصحاب الأئمّة الواعین إلی إعمال الاجتهاد واستخراج الأحکام من الأُصول المتلقاة عن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أئمّة أهل‌البیت علیهم السلام کانوا یشجِّعون أصحابهم إلی رد الفروع إلی الأُصول بقولهم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علینا إلقاء الأُصول وعلیکم التفریع</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وهانحن نذکر أسماء بعض من فقهاء أصحاب الأئمّة الذین دوّنوا الحدیث أو مارسوا الاجتهاد فی عصورهم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أصحاب الإمام علی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رافع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ذلک الصحابی الجلیل مؤلّف کتاب السنن والأحکام والقضایا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أبی رافع، تابعی من خیار الشیعة، کاتب الإمام أمیر المؤمنین علیه السلام ، جمع فی فنون من الفقه الوضوء والصلاة وسائر الأبواب</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 بن وهب الجهنی، مؤلّف کتاب خطب الإمام أمیرالمؤمنین علی المنابر فی الجُمَع والأعیاد وغیرها</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ولما تزایدت الضغوط علی الشیعة بعد رحیل الإمام فی عصر معاویة ومن تبعه من الأمویّین والمروانیّین لم یتسن للحسنین بث العلوم ونشرها إلی أن وصلت النوبة إلی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الصحیفة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له دور فی نشر العلوم والمعارف وتربّی علی یدیه ثلة من الأعلام ذکر أسماءهم الشیخ الطوسی فی الفهرست، کجابر الجعفی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وزیاد بن منذر، ولوط بن یحیی بن سعید، وجارود بن المنذر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جاء دور الإمام الباقر والصادق علیهما السلام وقد ارتفعت الحوائل وزالت الموانع وجد الإمامان فرصة ذهبیة لإشاعة السنّة، فشیّدوا أُسس جامعة إسلامیة قلّ نظیرها، قصدها روّاد العلم من کلّ صوب وحدب، ولیس بوسعنا الإشارة إلی القلیل من الکثیر الذین مارسوا الاجتهاد والفتیا من تلامیذهما، فمن حاول الوقوف علی ما کان للإمامین من دور فی التربیة والتعلیم فعلیه الرجوع إلی فهرست الشیخ ورجاله ورجال النجاشی وغیرها من الکتب التی أُلّفت فی هذا المضمار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أصحاب الأئمّة فی تشیید معالم الفقه</w:t>
      </w:r>
    </w:p>
    <w:p>
      <w:pPr>
        <w:pStyle w:val="BookText"/>
        <w:rPr/>
      </w:pPr>
      <w:r>
        <w:rPr>
          <w:rFonts w:ascii="IRNazanin" w:hAnsi="IRNazanin" w:eastAsia="IRNazanin"/>
          <w:color w:val="111111"/>
          <w:sz w:val="28"/>
          <w:sz w:val="28"/>
          <w:szCs w:val="28"/>
          <w:rtl w:val="true"/>
          <w:lang w:bidi="fa-IR"/>
        </w:rPr>
        <w:t xml:space="preserve">قد حظیت الطبقة العلیا من أصحاب الأئمّة بمرتبة الاجتهاد، فصاروا مراجع الفتیا وأجوبة الأسئلة بتنصیب من الأئمّة علیهم السلام ، فهذا هو أبان بن تغلب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یخاطبه الإمام أبو جعفر الباقر علیه السلام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اجلس فی مسجد المدینة وافت الناس، فإنّی أُحب أن یُری فی شیعتی مثلک</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وقال الإمام الصادق علیه السلام لمسلم بن أبی حیة</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 أبان بن تغلب، فانّه قد سمع منّی حدیثاً کثیراً، فما رواه لک فاروه عنی</w:t>
      </w:r>
      <w:r>
        <w:rPr>
          <w:rFonts w:eastAsia="IRNazanin" w:cs="IRNazanin"/>
          <w:color w:val="111111"/>
          <w:sz w:val="28"/>
          <w:szCs w:val="28"/>
          <w:rtl w:val="true"/>
          <w:lang w:bidi="fa-IR"/>
        </w:rPr>
        <w:t xml:space="preserve">». </w:t>
      </w:r>
      <w:r>
        <w:rPr>
          <w:rStyle w:val="FootnoteAnchor"/>
          <w:rtl w:val="true"/>
        </w:rPr>
        <w:footnoteReference w:id="32"/>
      </w:r>
      <w:bookmarkStart w:id="82" w:name="pg5344_40563"/>
    </w:p>
    <w:p>
      <w:pPr>
        <w:pStyle w:val="BookText"/>
        <w:rPr/>
      </w:pPr>
      <w:bookmarkEnd w:id="82"/>
      <w:r>
        <w:rPr>
          <w:rFonts w:ascii="IRNazanin" w:hAnsi="IRNazanin" w:eastAsia="IRNazanin"/>
          <w:color w:val="111111"/>
          <w:sz w:val="28"/>
          <w:sz w:val="28"/>
          <w:szCs w:val="28"/>
          <w:rtl w:val="true"/>
          <w:lang w:bidi="fa-IR"/>
        </w:rPr>
        <w:t xml:space="preserve">کما أنّ الإمام الرضا علیه السلام یحیل شیعته إلی زکریا بن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المتوفّیقبل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علی بن المسیب قال قلت للرضا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شُقتی بعیدة ولست أصل إلیک فی کلّ وقت، فممّن آخذ معالم دینی؟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زکریا بن آدم القمیّ، المأمون علی الدین والدنیا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المسیب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انصرفت قدمنا علی زکریا بن آدم فسألته عمّا احتجت إلیه</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وکان الأئمّة علیهم السلام یُنهضون هِمَم أصحابهم فی إعمال التدبّر والتفکیر فی فهم السنّة، ویقول الإمام الصادق علیه السلام لأصحابه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أفقه الناس إذا عرفتم معانی کلامنا، انّ الکلمة لتنصرف علی وجوه، فلو شاء إنسان لصرف کلامه کیف شاء ولا یکذب</w:t>
      </w:r>
      <w:r>
        <w:rPr>
          <w:rFonts w:eastAsia="IRNazanin" w:cs="IRNazanin"/>
          <w:color w:val="111111"/>
          <w:sz w:val="28"/>
          <w:szCs w:val="28"/>
          <w:rtl w:val="true"/>
          <w:lang w:bidi="fa-IR"/>
        </w:rPr>
        <w:t xml:space="preserve">». </w:t>
      </w:r>
      <w:r>
        <w:rPr>
          <w:rStyle w:val="FootnoteAnchor"/>
          <w:rtl w:val="true"/>
        </w:rPr>
        <w:footnoteReference w:id="34"/>
      </w:r>
    </w:p>
    <w:p>
      <w:pPr>
        <w:pStyle w:val="Heading3"/>
        <w:numPr>
          <w:ilvl w:val="2"/>
          <w:numId w:val="1"/>
        </w:numPr>
        <w:rPr/>
      </w:pPr>
      <w:bookmarkStart w:id="83" w:name="__RefHeading___Toc1127372_581953129"/>
      <w:bookmarkStart w:id="84" w:name="_Toc32"/>
      <w:bookmarkEnd w:id="83"/>
      <w:r>
        <w:rPr>
          <w:rtl w:val="true"/>
        </w:rPr>
        <w:t>الأُصول والمصنّفات لأصحاب الأئمّة علیهم السلام</w:t>
      </w:r>
      <w:bookmarkEnd w:id="84"/>
    </w:p>
    <w:p>
      <w:pPr>
        <w:pStyle w:val="BookText"/>
        <w:rPr/>
      </w:pPr>
      <w:r>
        <w:rPr>
          <w:rFonts w:ascii="IRNazanin" w:hAnsi="IRNazanin" w:eastAsia="IRNazanin"/>
          <w:color w:val="111111"/>
          <w:sz w:val="28"/>
          <w:sz w:val="28"/>
          <w:szCs w:val="28"/>
          <w:rtl w:val="true"/>
          <w:lang w:bidi="fa-IR"/>
        </w:rPr>
        <w:t>کان لأصحابنا فی عصر الصادقین علیهما السلام وما تلاه لونان من التألیف، یسمّی أحدهما بالأُصول والآخر بالتصنیف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 بینهما هو انّ الأصل یمتاز عن المصنّف بأنّه یشمل الأحادیث التی رواها الراوی عن المعصوم مباشرة أو بواسطة واحدة، بخلاف المصنّف فانّه فی سعة من ذلک الالتزام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وقام تلامذة أئمّة أهل‌البیت علیهم السلام بتألیف أُصول أربعمائة ما بین عصر الإمام الصادق علیه السلام إلی نهایة عصر الإمام الرضا علیه السلام ، وهذه الأُصول هی المعروفة بالأُصول الأربعمائة، فلها من الاعتبار والمکانة ما لیس لغیرها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السید رضی الدین علی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جماعة من أصحاب أبی الحسن من أهل بیته وشیعته یحضرون مجلسه ومعهم فی اکمامهم ألواح ابنوس لطاف وأمیال، فإذا نطق أبو الحسن علیه السلام بکلمة أو أفتی فی نازلة، أثبت القوم ما سمعوه منه فی ذلک</w:t>
      </w:r>
      <w:r>
        <w:rPr>
          <w:rFonts w:eastAsia="IRNazanin" w:cs="IRNazanin"/>
          <w:color w:val="111111"/>
          <w:sz w:val="28"/>
          <w:szCs w:val="28"/>
          <w:rtl w:val="true"/>
          <w:lang w:bidi="fa-IR"/>
        </w:rPr>
        <w:t xml:space="preserve">. </w:t>
      </w:r>
      <w:r>
        <w:rPr>
          <w:rStyle w:val="FootnoteAnchor"/>
          <w:rtl w:val="true"/>
        </w:rPr>
        <w:footnoteReference w:id="35"/>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شیخنا بهاء الدین العاملی فی مشرق الشمسین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بلغنا من مشایخنا انّه‌کان من دأب أصحاب الأُصول انّهم إذا سمعوا عن أحد من الأئمة حدیثاً بادروا إلی إثباته فی</w:t>
      </w:r>
    </w:p>
    <w:p>
      <w:pPr>
        <w:pStyle w:val="BookText"/>
        <w:rPr/>
      </w:pPr>
      <w:r>
        <w:rPr>
          <w:rFonts w:ascii="IRNazanin" w:hAnsi="IRNazanin" w:eastAsia="IRNazanin"/>
          <w:color w:val="111111"/>
          <w:sz w:val="28"/>
          <w:sz w:val="28"/>
          <w:szCs w:val="28"/>
          <w:rtl w:val="true"/>
          <w:lang w:bidi="fa-IR"/>
        </w:rPr>
        <w:t>أُصولهم، لئلاّ یعرض لهم نسیان لبعضه أو کلّه بتمادی الأیام</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 xml:space="preserve">والذی یهمّنا هنا هو الأُصول، وأمّا المصنّفات قد یعبر عنها الرجالیون کالنجاشی وغیره بقوله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کان نمط الکتابة فی الأُصول هو جمع الروایات من دون تبویب، فربّما تذکر روایات الزکاة إلی جانب روایات الجهاد، فهذه الأُصول أشبه بالمسانید عند أهل‌السنّة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هناک لون ثالث من التألیف ظهر فی عصر أئمّة أهل‌البیت هو جمع الروایات حسب الموضوعات، وهذا اللون من التألیف کان أمراً شائعاً، فمن راجع کتاب الرجال للنجاشی والفهرست للطوسی یقف علی أسماء کتب روائیة فی موضوعات خاصة، فیذکرون کثیراً فی حقّ الرواة له کتاب الصلاة، له کتاب الزکاة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وأفضل کتاب فی هذا الموضع هو کتاب الصلاة لحریز، وکتاب یوم ولیلة لیونس، ولأجل مکانتهما العالیة نذکر عنهما شیئاً لیقف القارئ علی مکانتهما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الصلاة لحریز بن عبد الله السجستانی، من فقهاء القرن الثانی، له مصنفات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الصلاة، یقول النجاشی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کتاب کبیر، وآخر ألطف منه، وله کتاب النوادر </w:t>
      </w:r>
      <w:r>
        <w:rPr>
          <w:rStyle w:val="FootnoteAnchor"/>
          <w:rtl w:val="true"/>
        </w:rPr>
        <w:footnoteReference w:id="37"/>
      </w:r>
      <w:r>
        <w:rPr>
          <w:rFonts w:ascii="IRNazanin" w:hAnsi="IRNazanin" w:eastAsia="IRNazanin"/>
          <w:color w:val="111111"/>
          <w:sz w:val="28"/>
          <w:sz w:val="28"/>
          <w:szCs w:val="28"/>
          <w:rtl w:val="true"/>
          <w:lang w:bidi="fa-IR"/>
        </w:rPr>
        <w:t>وکتاب الزکاة والصوم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هذا الکتاب مرجعاً للشیعة فی تلک الفترة حتّی تجد انّ کبار الفقهاء قد حفظوه عن ظهر قلب، فهذا حمّاد بن عیسی الجهمی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للإمام الصادق بأنّه یحفظ کتاب حریز</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یوم ولیلة لیونس بن عبد الرحمن مولی آل یقطین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وجهاً، متقدّماً، عظیم المنزلة وکان الإمام الرضا علیه السلام یشیر إلیه بالعلم والفتیا، وله أکثر من ثلاثین کتاباً،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جوامع الآثار وکتاب الشرائع وکتاب الزکاة وکتاب الصلاة وکتاب العلل الکبیر وکتاب اختلاف الحج وکتاب الاحتجاج فی الطلاق وکتاب الجامع الکبیر فی الفقه</w:t>
      </w:r>
      <w:r>
        <w:rPr>
          <w:rFonts w:eastAsia="IRNazanin" w:cs="IRNazanin"/>
          <w:color w:val="111111"/>
          <w:sz w:val="28"/>
          <w:szCs w:val="28"/>
          <w:rtl w:val="true"/>
          <w:lang w:bidi="fa-IR"/>
        </w:rPr>
        <w:t xml:space="preserve">. </w:t>
      </w:r>
      <w:r>
        <w:rPr>
          <w:rStyle w:val="FootnoteAnchor"/>
          <w:rtl w:val="true"/>
        </w:rPr>
        <w:footnoteReference w:id="39"/>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نمط التألیف فی عصر الغیبة فسیوافیک بیانه فی محلّه والذی یهمّنا فی المقام هو تبیین نمطه فی عصر الأئمّة علیهم السلام </w:t>
      </w:r>
      <w:r>
        <w:rPr>
          <w:rFonts w:eastAsia="IRNazanin" w:cs="IRNazanin"/>
          <w:color w:val="111111"/>
          <w:sz w:val="28"/>
          <w:szCs w:val="28"/>
          <w:rtl w:val="true"/>
          <w:lang w:bidi="fa-IR"/>
        </w:rPr>
        <w:t>.</w:t>
      </w:r>
      <w:bookmarkStart w:id="85" w:name="pg5344_40567"/>
    </w:p>
    <w:p>
      <w:pPr>
        <w:pStyle w:val="Heading3"/>
        <w:numPr>
          <w:ilvl w:val="2"/>
          <w:numId w:val="1"/>
        </w:numPr>
        <w:rPr/>
      </w:pPr>
      <w:bookmarkStart w:id="86" w:name="__RefHeading___Toc1127374_581953129"/>
      <w:bookmarkStart w:id="87" w:name="_Toc33"/>
      <w:bookmarkEnd w:id="85"/>
      <w:bookmarkEnd w:id="86"/>
      <w:r>
        <w:rPr>
          <w:rtl w:val="true"/>
        </w:rPr>
        <w:t>الاجتهاد لدی السنّة</w:t>
      </w:r>
      <w:bookmarkEnd w:id="87"/>
    </w:p>
    <w:p>
      <w:pPr>
        <w:pStyle w:val="Heading4"/>
        <w:numPr>
          <w:ilvl w:val="3"/>
          <w:numId w:val="1"/>
        </w:numPr>
        <w:rPr/>
      </w:pPr>
      <w:bookmarkStart w:id="88" w:name="__RefHeading___Toc1127376_581953129"/>
      <w:bookmarkStart w:id="89" w:name="_Toc34"/>
      <w:bookmarkEnd w:id="88"/>
      <w:r>
        <w:rPr>
          <w:rtl w:val="true"/>
        </w:rPr>
        <w:t>اشارة</w:t>
      </w:r>
      <w:bookmarkEnd w:id="89"/>
    </w:p>
    <w:p>
      <w:pPr>
        <w:pStyle w:val="BookText"/>
        <w:rPr/>
      </w:pPr>
      <w:r>
        <w:rPr>
          <w:rFonts w:ascii="IRNazanin" w:hAnsi="IRNazanin" w:eastAsia="IRNazanin"/>
          <w:color w:val="111111"/>
          <w:sz w:val="28"/>
          <w:sz w:val="28"/>
          <w:szCs w:val="28"/>
          <w:rtl w:val="true"/>
          <w:lang w:bidi="fa-IR"/>
        </w:rPr>
        <w:t>لقد تعرفت علی مکانة الاجتهاد وانّه رمز بقاء الدین وخلوده، والاستغناء عن سائر التشریعات البشریة، ولأجل ذلک لم یکن محیص عنه من غیر فرق بین الشیعة والسنّة، غیر أنّ حاجة السنّة إلی الاجتهاد کانت أکثر من الشیعة، وذلک لقلّة الروایات الفقهیة لدی السنّة فانّها لا تتجاوز عن خمسمائة روایة فقهیة تدعمها روایات موقوفة وآثار مرویة عن الصحابة، ومع ذلک کلّه لم تکن ملبّیة للحاجات المستجدة التی کانت تواجه الأُمّة الإسلامیة فی کلّ 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محمدرشید رضا فی الوحی المحمدی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أحادیث الأحکام الأُصول خمسمائة حدیث تمدها أربعة آلاف</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فهذا هو الحافظ ابن حجر العسقلانی </w:t>
      </w:r>
      <w:r>
        <w:rPr>
          <w:rFonts w:eastAsia="IRNazanin" w:cs="IRNazanin"/>
          <w:color w:val="111111"/>
          <w:sz w:val="28"/>
          <w:szCs w:val="28"/>
          <w:rtl w:val="true"/>
          <w:lang w:bidi="fa-IR"/>
        </w:rPr>
        <w:t>(</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جمع أُصول الأدلّة الحدیثیة للأحکام الشرعیة فبلغ </w:t>
      </w:r>
      <w:r>
        <w:rPr>
          <w:rFonts w:eastAsia="IRNazanin" w:cs="IRNazanin"/>
          <w:color w:val="111111"/>
          <w:sz w:val="28"/>
          <w:szCs w:val="28"/>
          <w:lang w:bidi="fa-IR"/>
        </w:rPr>
        <w:t>1596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قسماً منها لا یمت إلی الأحکام الشرعیة بصلة،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رسول الله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تقوم الساعة حتّی یتباهی الناس بالمساجد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وانّ قسماً منها یعد من الآثار من دون أن یستند إلی النبی صلی الله علیه و آله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مسعود اشترکت أنا وعمار وسعد فیما نصیب یوم بدر</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و قد شرحه الإمام محمد بن إسماعیل الصنعانی باسم شرح بلوغ المرام من جمع أدلّة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قلّة الروایات الفقهیة حملهم علی فتح باب الاجتهاد بکلا مصراعیه، فلنذکر نماذج من اجتهادات الصحابة بعد رحیل الرسول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محمد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حنیفة، عن حمّاد عن إبراهیم النخعی انّ رجلاً تزوّج امرأة ولم یفرض لها صداقاً فمات قبل أن یدخل بها؟ فقال 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صداق مثلها من نسائها ولا وکس ولا شطط، فلمّا قضی قال رجل من جلسائه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بلغنا انّه معقل بن سنان الأشجعی وکان من أصحاب رسول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قضیت بقضاء رسول الله فی بروع بنت واشق</w:t>
      </w:r>
    </w:p>
    <w:p>
      <w:pPr>
        <w:pStyle w:val="BookText"/>
        <w:rPr/>
      </w:pPr>
      <w:r>
        <w:rPr>
          <w:rFonts w:ascii="IRNazanin" w:hAnsi="IRNazanin" w:eastAsia="IRNazanin"/>
          <w:color w:val="111111"/>
          <w:sz w:val="28"/>
          <w:sz w:val="28"/>
          <w:szCs w:val="28"/>
          <w:rtl w:val="true"/>
          <w:lang w:bidi="fa-IR"/>
        </w:rPr>
        <w:t>الأشجعیة،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ففرح عبدالله فرحة ما فرح قبلها مثلها لموافقة قوله قول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وخالفه علی</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فی هذا القضاء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المیراث وعلیها العدة ولا صداق 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یقبل قول أعرابی من أشجع علی کتاب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اعتمد الإمام فی قضائه علی کتاب الله، لأنّ هذه الزوجة لو کانت طلّقت ما کان لها من الصداق شیء،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جُناحَ عَلَیْکُمْ إِنْ طَلَّقْتُمُ النِّساءَ ما لَمْ تَمَسُّوهُنَّ أَوْ تَفْرِضُوا لَهُنَّ فَرِیضَةً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فالموت عند الإمام کالطلاق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قضاء ابن مسعود فلم یعلم له وجه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أفتی عثمان بن عفان وزید بن ثابت بأنّ الحرة تکون زوجة للعبد تحرم الحرمةَ المؤبّدة بطلقتین، وخالفهما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تحرم إلاّ بثلاث تطلیقات أمّا الأمة تکون زوجة للحر فتحرم بطلقتین، فهؤلاء المفتون بعد اتّفاقهم علی تنصیف حقوق العبد اختلفوا هل یعتبر الطلاق بالزوج أو الزوجة؟ فرأی عثمان وزید انّه یعتبر بالزوج لأنّه الموقع للطلاق، ورأی علی انّه یعتبر بالزوجة لأنّها الواقع علیها الطلاق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الحامل المتوفّی عنها زوجها عدّتها، وضع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تعتد بأبعد الأجلین، بأبعد الحمل ومضی أربعة أشهر وعشراً، وسبب الخلاف أنّ الله جعل عدة المطلقة الحامل وضع الحمل وجعل عدة المتوفّی عنها أربعة أشهر وعشراً من غیر تفصیل، فعلی علیه السلام فی فتواه عمل فی المتوفّی عنها بالآیتین جمیعاً وعمر جعل آیة الطلاق حکماً علی آیة الوفاة</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ثمّ إنّ الصحابة الذین رویت عنهم الفتیا علی أصناف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مکثر ومتوسط ومقل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المکثرین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عبدالله بن عباس، عبدالله بن مسعود، زید بن ثابت، وعائشة أُمّ المؤمنین</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المتوسطین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بن مالک، أبو سعید الخدری، عثمان بن عفان، أبو موسی الأشعری، جابر بن عبدالله، ومعاذ بن جبل</w:t>
      </w:r>
      <w:r>
        <w:rPr>
          <w:rFonts w:eastAsia="IRNazanin" w:cs="IRNazanin"/>
          <w:color w:val="111111"/>
          <w:sz w:val="28"/>
          <w:szCs w:val="28"/>
          <w:rtl w:val="true"/>
          <w:lang w:bidi="fa-IR"/>
        </w:rPr>
        <w:t>.</w:t>
      </w:r>
      <w:bookmarkStart w:id="90" w:name="pg5344_40571"/>
    </w:p>
    <w:p>
      <w:pPr>
        <w:pStyle w:val="BookText"/>
        <w:rPr/>
      </w:pPr>
      <w:bookmarkEnd w:id="90"/>
      <w:r>
        <w:rPr>
          <w:rFonts w:ascii="IRNazanin" w:hAnsi="IRNazanin" w:eastAsia="IRNazanin"/>
          <w:color w:val="111111"/>
          <w:sz w:val="28"/>
          <w:sz w:val="28"/>
          <w:szCs w:val="28"/>
          <w:rtl w:val="true"/>
          <w:lang w:bidi="fa-IR"/>
        </w:rPr>
        <w:t>ومن المقلّین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الذین لا یروی عن واحد منهم إلاّ مسألة أو مسألتان، فلا حاجة إلی ذکر أسمائهم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ودام رکب الاجتهاد بعد انقراض الصحابة حتّی وصلت النوبة إلی التابعین، فبذلوا جهودهم فی وضع الحلول للمسائل المستجدة کالصحابة</w:t>
      </w:r>
      <w:r>
        <w:rPr>
          <w:rFonts w:eastAsia="IRNazanin" w:cs="IRNazanin"/>
          <w:color w:val="111111"/>
          <w:sz w:val="28"/>
          <w:szCs w:val="28"/>
          <w:rtl w:val="true"/>
          <w:lang w:bidi="fa-IR"/>
        </w:rPr>
        <w:t>.</w:t>
      </w:r>
    </w:p>
    <w:p>
      <w:pPr>
        <w:pStyle w:val="Heading4"/>
        <w:numPr>
          <w:ilvl w:val="3"/>
          <w:numId w:val="1"/>
        </w:numPr>
        <w:rPr/>
      </w:pPr>
      <w:bookmarkStart w:id="91" w:name="__RefHeading___Toc1127378_581953129"/>
      <w:bookmarkStart w:id="92" w:name="_Toc35"/>
      <w:bookmarkEnd w:id="91"/>
      <w:r>
        <w:rPr>
          <w:rtl w:val="true"/>
        </w:rPr>
        <w:t>أهل الفتیا من التابعین</w:t>
      </w:r>
      <w:bookmarkEnd w:id="92"/>
    </w:p>
    <w:p>
      <w:pPr>
        <w:pStyle w:val="Heading5"/>
        <w:numPr>
          <w:ilvl w:val="4"/>
          <w:numId w:val="1"/>
        </w:numPr>
        <w:rPr/>
      </w:pPr>
      <w:bookmarkStart w:id="93" w:name="__RefHeading___Toc1127380_581953129"/>
      <w:bookmarkStart w:id="94" w:name="_Toc36"/>
      <w:bookmarkEnd w:id="93"/>
      <w:r>
        <w:rPr>
          <w:rtl w:val="true"/>
        </w:rPr>
        <w:t>اشارة</w:t>
      </w:r>
      <w:bookmarkEnd w:id="94"/>
    </w:p>
    <w:p>
      <w:pPr>
        <w:pStyle w:val="BookText"/>
        <w:rPr/>
      </w:pPr>
      <w:r>
        <w:rPr>
          <w:rFonts w:ascii="IRNazanin" w:hAnsi="IRNazanin" w:eastAsia="IRNazanin"/>
          <w:color w:val="111111"/>
          <w:sz w:val="28"/>
          <w:sz w:val="28"/>
          <w:szCs w:val="28"/>
          <w:rtl w:val="true"/>
          <w:lang w:bidi="fa-IR"/>
        </w:rPr>
        <w:t xml:space="preserve">المراد من التابعین هم الذین رأوا الصحابة أو صحابیاً ولم یدرکوا النبی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من مات من الصحابة فی الکوفة عبدالله بن أبی أوفی سنة</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ه، و آخر من مات بالمدینة من الصحابة سهل بن سعد الساعدی المتوفّی سنة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ه، وهو ابن مائة، وآخر من مات من الصحابة بالبصرة، أنس بن مالک سنة</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ه وقیل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ه، وآخر من مات بالشام من الصحابة عبدالله بن بسر سنة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أبو الطفیل عامر بن واثلة رأی النبی صلی الله علیه و آله وکان آخر من رآه موتاً، مات بعد سنة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ولأجل ذلک تفرّق التابعون فی البلاد حسب انتشار الصحابة ولا یمکننا فی هذه الوجیزة الإشارة إلی فقهاء البلاد المذکورة من التابعین، وقد استوفینا أسماءهم فی مقدّمة موسوعة طبقات الفقهاء</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ونحن نذکر أسماء أصحاب الفتیا فی مکة المکرمة والمدینة المنورة من التابعین</w:t>
      </w:r>
      <w:r>
        <w:rPr>
          <w:rFonts w:eastAsia="IRNazanin" w:cs="IRNazanin"/>
          <w:color w:val="111111"/>
          <w:sz w:val="28"/>
          <w:szCs w:val="28"/>
          <w:rtl w:val="true"/>
          <w:lang w:bidi="fa-IR"/>
        </w:rPr>
        <w:t>.</w:t>
      </w:r>
    </w:p>
    <w:p>
      <w:pPr>
        <w:pStyle w:val="Heading5"/>
        <w:numPr>
          <w:ilvl w:val="4"/>
          <w:numId w:val="1"/>
        </w:numPr>
        <w:rPr/>
      </w:pPr>
      <w:bookmarkStart w:id="95" w:name="__RefHeading___Toc1127382_581953129"/>
      <w:bookmarkStart w:id="96" w:name="_Toc37"/>
      <w:bookmarkEnd w:id="95"/>
      <w:r>
        <w:rPr>
          <w:rtl w:val="true"/>
        </w:rPr>
        <w:t>أهل الفتیا فی مکة المکرمة</w:t>
      </w:r>
      <w:bookmarkEnd w:id="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عطاء بن رباح مولی أُمّ کرز الخزاعیة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بن کیسان الفارسی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الأسود والد عثمان بن الأسود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بن جبیر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عمیر اللیثی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عبدالله بن عبید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دینار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أبی ملیکة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سایط</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عکرمة مولی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الزبیر المکی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خالد بن أسید بن أبی العیص ابن أمیة</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طاووس</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بعدهم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بن عبد العزیز بن جریج</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عیینة</w:t>
      </w:r>
      <w:r>
        <w:rPr>
          <w:rFonts w:eastAsia="IRNazanin" w:cs="IRNazanin"/>
          <w:color w:val="111111"/>
          <w:sz w:val="28"/>
          <w:szCs w:val="28"/>
          <w:rtl w:val="true"/>
          <w:lang w:bidi="fa-IR"/>
        </w:rPr>
        <w:t>.</w:t>
      </w:r>
      <w:bookmarkStart w:id="97" w:name="pg5344_40573"/>
    </w:p>
    <w:p>
      <w:pPr>
        <w:pStyle w:val="Heading5"/>
        <w:numPr>
          <w:ilvl w:val="4"/>
          <w:numId w:val="1"/>
        </w:numPr>
        <w:rPr/>
      </w:pPr>
      <w:bookmarkStart w:id="98" w:name="__RefHeading___Toc1127384_581953129"/>
      <w:bookmarkStart w:id="99" w:name="_Toc38"/>
      <w:bookmarkEnd w:id="97"/>
      <w:bookmarkEnd w:id="98"/>
      <w:r>
        <w:rPr>
          <w:rtl w:val="true"/>
        </w:rPr>
        <w:t>أهل الفتیا فی المدینة المنورة</w:t>
      </w:r>
      <w:bookmarkEnd w:id="99"/>
    </w:p>
    <w:p>
      <w:pPr>
        <w:pStyle w:val="BookText"/>
        <w:rPr/>
      </w:pPr>
      <w:r>
        <w:rPr>
          <w:rFonts w:ascii="IRNazanin" w:hAnsi="IRNazanin" w:eastAsia="IRNazanin"/>
          <w:color w:val="111111"/>
          <w:sz w:val="28"/>
          <w:sz w:val="28"/>
          <w:szCs w:val="28"/>
          <w:rtl w:val="true"/>
          <w:lang w:bidi="fa-IR"/>
        </w:rPr>
        <w:t>اشتهر بین التابعین فی المدینة المنورة أشخاص سبعة، وقد ذکرهم ابن حزم الأندلسی بالنحو التالی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 بن المسیب المخزومی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بن الزبیر بن العوام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ابن محمد بن أبی بکر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عبدالله بن عتبة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خارجة بن زید بن ثابت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بن عبد الرحمن بن الحارث بن هشام المخزومی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یسار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إلی هنا تمّ دور المفتین من الصحابة والتابعین وحان دور الفقهاء الذین یتمیزون عن الطبقة الأُولی بممارسة الاجتهاد أکثر من ذی قبل ولذلک یعطف الفقهاء علی التابعین فی الکتب الفقهیة عند نقل أقوالهم</w:t>
      </w:r>
      <w:r>
        <w:rPr>
          <w:rFonts w:eastAsia="IRNazanin" w:cs="IRNazanin"/>
          <w:color w:val="111111"/>
          <w:sz w:val="28"/>
          <w:szCs w:val="28"/>
          <w:rtl w:val="true"/>
          <w:lang w:bidi="fa-IR"/>
        </w:rPr>
        <w:t>.</w:t>
      </w:r>
    </w:p>
    <w:p>
      <w:pPr>
        <w:pStyle w:val="Heading3"/>
        <w:numPr>
          <w:ilvl w:val="2"/>
          <w:numId w:val="1"/>
        </w:numPr>
        <w:rPr/>
      </w:pPr>
      <w:bookmarkStart w:id="100" w:name="__RefHeading___Toc1127386_581953129"/>
      <w:bookmarkStart w:id="101" w:name="_Toc39"/>
      <w:bookmarkEnd w:id="100"/>
      <w:r>
        <w:rPr>
          <w:rtl w:val="true"/>
        </w:rPr>
        <w:t>دور الفقهاء بعد عصر التابعین</w:t>
      </w:r>
      <w:bookmarkEnd w:id="101"/>
    </w:p>
    <w:p>
      <w:pPr>
        <w:pStyle w:val="BookText"/>
        <w:rPr/>
      </w:pPr>
      <w:r>
        <w:rPr>
          <w:rFonts w:ascii="IRNazanin" w:hAnsi="IRNazanin" w:eastAsia="IRNazanin"/>
          <w:color w:val="111111"/>
          <w:sz w:val="28"/>
          <w:sz w:val="28"/>
          <w:szCs w:val="28"/>
          <w:rtl w:val="true"/>
          <w:lang w:bidi="fa-IR"/>
        </w:rPr>
        <w:t>إنّ ما بذله الصحابة والتابعون فی مجال الفتیا أوجد أرضیة خصبة لحضور طبقة أُخری باسم طبقة الفقهاء الذین أرسوا قواعد الفقه وأشادوه وبسطوا الفروع فصار الفقه الإسلامی مواکباًللحضارة ملبّیاً لحاجاتها ومتطباتها، فظهرت هناک مذاهب فقهیة وهی بین بائدة لم یکتب لها البقاء طویلاً بعد رحیل أصحابها، وسائدة وهی التی کتب لها البقاء فدامت إلی عصرنا الحاضر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البائدة فنذکر منها علی نحو الإیجاز 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مذهب الحسن البصری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فی المدینة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مذهب محمد بن عبد الرحمن بن أبی لیلی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 القضاء بالکوفة، وأقام حاکماً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وکان فقیهاً مفتیاً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مذهب الأوزاعی أبو عمرو عبد الرحمن بن عمرو بن محمد الأوزاعی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انتشر مذهبه بالشام والأندلس وانقرض فی القرن الرابع</w:t>
      </w:r>
      <w:r>
        <w:rPr>
          <w:rFonts w:eastAsia="IRNazanin" w:cs="IRNazanin"/>
          <w:color w:val="111111"/>
          <w:sz w:val="28"/>
          <w:szCs w:val="28"/>
          <w:rtl w:val="true"/>
          <w:lang w:bidi="fa-IR"/>
        </w:rPr>
        <w:t>;</w:t>
      </w:r>
      <w:bookmarkStart w:id="102" w:name="pg5344_40575"/>
    </w:p>
    <w:p>
      <w:pPr>
        <w:pStyle w:val="BookText"/>
        <w:rPr/>
      </w:pPr>
      <w:bookmarkEnd w:id="102"/>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مذهب سفیان الثوری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له مذهب فقهی لم یطل العمل بمذهبه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مذهب لیث بن سعد الفهمی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مصری غلب علی مذهبه مذهب الإمامین مالک والشافعی اللّذین تقاسما مصر بعد وفاته، له رسالة إلی مالک بن أنس نشرها ابن قیم الجوزیة فی أعلام الموقعین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مذهب أبی ثور إبراهیم بن خالد بن الیمان الکلبی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مذهبه مشتقاً من مذهب الشافعی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مذهب أبی سلیمان داود بن علی بن خلف الاصبهانی </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بالظاهری کان من مقلّدی المذهب الشافعی، ثمّ انتحل لنفسه مذهباً خاصاً أساسه العمل بظاهر الکتاب والسنّة ما لم یدل دلیل منهما أو من الإجماع علی أنّ المراد غیر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یعتقد أنّ فی عمومات الکتاب والسنّة ما یفی بکلّ جواب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مذهب أبی جعفر محمد بن جریر الطبری </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طبرستان، درس فقه أهل العراق ومالک والشافعی فاجتمع عنده وجوه المعرفة بالفقه وانتحل لنفسه مذهباً خاصاً ومن مؤلّفاته فی الفقه کتاب اختلاف الفقهاء</w:t>
      </w:r>
      <w:r>
        <w:rPr>
          <w:rFonts w:eastAsia="IRNazanin" w:cs="IRNazanin"/>
          <w:color w:val="111111"/>
          <w:sz w:val="28"/>
          <w:szCs w:val="28"/>
          <w:rtl w:val="true"/>
          <w:lang w:bidi="fa-IR"/>
        </w:rPr>
        <w:t>.</w:t>
      </w:r>
    </w:p>
    <w:p>
      <w:pPr>
        <w:pStyle w:val="Heading3"/>
        <w:numPr>
          <w:ilvl w:val="2"/>
          <w:numId w:val="1"/>
        </w:numPr>
        <w:rPr/>
      </w:pPr>
      <w:bookmarkStart w:id="103" w:name="__RefHeading___Toc1127388_581953129"/>
      <w:bookmarkStart w:id="104" w:name="_Toc40"/>
      <w:bookmarkEnd w:id="103"/>
      <w:r>
        <w:rPr>
          <w:rtl w:val="true"/>
        </w:rPr>
        <w:t>المذاهب السائدة</w:t>
      </w:r>
      <w:bookmarkEnd w:id="104"/>
    </w:p>
    <w:p>
      <w:pPr>
        <w:pStyle w:val="Heading4"/>
        <w:numPr>
          <w:ilvl w:val="3"/>
          <w:numId w:val="1"/>
        </w:numPr>
        <w:rPr/>
      </w:pPr>
      <w:bookmarkStart w:id="105" w:name="__RefHeading___Toc1127390_581953129"/>
      <w:bookmarkStart w:id="106" w:name="_Toc41"/>
      <w:bookmarkEnd w:id="105"/>
      <w:r>
        <w:rPr>
          <w:rtl w:val="true"/>
        </w:rPr>
        <w:t>اشارة</w:t>
      </w:r>
      <w:bookmarkEnd w:id="106"/>
    </w:p>
    <w:p>
      <w:pPr>
        <w:pStyle w:val="BookText"/>
        <w:rPr/>
      </w:pPr>
      <w:r>
        <w:rPr>
          <w:rFonts w:ascii="IRNazanin" w:hAnsi="IRNazanin" w:eastAsia="IRNazanin"/>
          <w:color w:val="111111"/>
          <w:sz w:val="28"/>
          <w:sz w:val="28"/>
          <w:szCs w:val="28"/>
          <w:rtl w:val="true"/>
          <w:lang w:bidi="fa-IR"/>
        </w:rPr>
        <w:t>هذه المذاهب لم یکتب لها البقاء، وأمّا المذاهب السائدة إلی زماننا هذا فهی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الحنفی، والمالکی، والشافعی، والحنبلی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وإلیک لمحة خاطفة عن نشوئها وممیزاتها</w:t>
      </w:r>
      <w:r>
        <w:rPr>
          <w:rFonts w:eastAsia="IRNazanin" w:cs="IRNazanin"/>
          <w:color w:val="111111"/>
          <w:sz w:val="28"/>
          <w:szCs w:val="28"/>
          <w:rtl w:val="true"/>
          <w:lang w:bidi="fa-IR"/>
        </w:rPr>
        <w:t>.</w:t>
      </w:r>
    </w:p>
    <w:p>
      <w:pPr>
        <w:pStyle w:val="Heading4"/>
        <w:numPr>
          <w:ilvl w:val="3"/>
          <w:numId w:val="1"/>
        </w:numPr>
        <w:rPr/>
      </w:pPr>
      <w:bookmarkStart w:id="107" w:name="__RefHeading___Toc1127392_581953129"/>
      <w:bookmarkStart w:id="108" w:name="_Toc42"/>
      <w:bookmarkEnd w:id="107"/>
      <w:r>
        <w:rPr>
          <w:rtl w:val="true"/>
        </w:rPr>
        <w:t>المذهب الحنفی</w:t>
      </w:r>
      <w:bookmarkEnd w:id="108"/>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أسّسه أبو حنیفة النعمان بن ثابت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کوفی نشأ فیها ویعد من أتباع التابعین، وقد اشتغل منذ البدایة بعلم الکلام، ثمّ تحوّل إلی الفقه وتربّی علی یدی حماد بن أبی سلیمان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بدوره ورث الفقه من أعلام الصحابة والتابعین الذین جاءوا الکوفة ونزلوا بها وتعلم منهم الناس فقههم وفی مقدّمتهم علی بن أبی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وعبدالله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109" w:name="pg5344_40577"/>
    </w:p>
    <w:p>
      <w:pPr>
        <w:pStyle w:val="BookText"/>
        <w:rPr/>
      </w:pPr>
      <w:bookmarkEnd w:id="109"/>
      <w:r>
        <w:rPr>
          <w:rFonts w:ascii="IRNazanin" w:hAnsi="IRNazanin" w:eastAsia="IRNazanin"/>
          <w:color w:val="111111"/>
          <w:sz w:val="28"/>
          <w:sz w:val="28"/>
          <w:szCs w:val="28"/>
          <w:rtl w:val="true"/>
          <w:lang w:bidi="fa-IR"/>
        </w:rPr>
        <w:t>لقد بنی أبو حنیفة فقهه علی أُسس وقواعد، وهی وراء الکتاب والسنّة، قول الصحابی والقیاس والاستحسان والإجماع والعرف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والمعروف عن أبی حنیفة انّه لم یعتمد علی السنّة إلاّ قلیلاً،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یثبت عنده إلاّ سبعة عشر حدیثاً، ولأجل هذا التشدّد لم یجد أبو حنیفة محیصاً عن التمسّک بقواعد کالقیاس والاستحسان وقدّمه علی الأثر المنقول عن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المذهب أکثر انتشاراً من سائر المذاهب</w:t>
      </w:r>
      <w:r>
        <w:rPr>
          <w:rFonts w:eastAsia="IRNazanin" w:cs="IRNazanin"/>
          <w:color w:val="111111"/>
          <w:sz w:val="28"/>
          <w:szCs w:val="28"/>
          <w:rtl w:val="true"/>
          <w:lang w:bidi="fa-IR"/>
        </w:rPr>
        <w:t>.</w:t>
      </w:r>
    </w:p>
    <w:p>
      <w:pPr>
        <w:pStyle w:val="Heading4"/>
        <w:numPr>
          <w:ilvl w:val="3"/>
          <w:numId w:val="1"/>
        </w:numPr>
        <w:rPr/>
      </w:pPr>
      <w:bookmarkStart w:id="110" w:name="__RefHeading___Toc1127394_581953129"/>
      <w:bookmarkStart w:id="111" w:name="_Toc43"/>
      <w:bookmarkEnd w:id="110"/>
      <w:r>
        <w:rPr>
          <w:rtl w:val="true"/>
        </w:rPr>
        <w:t>المذهب المالکی</w:t>
      </w:r>
      <w:bookmarkEnd w:id="111"/>
    </w:p>
    <w:p>
      <w:pPr>
        <w:pStyle w:val="BookText"/>
        <w:rPr/>
      </w:pPr>
      <w:r>
        <w:rPr>
          <w:rFonts w:ascii="IRNazanin" w:hAnsi="IRNazanin" w:eastAsia="IRNazanin"/>
          <w:color w:val="111111"/>
          <w:sz w:val="28"/>
          <w:sz w:val="28"/>
          <w:szCs w:val="28"/>
          <w:rtl w:val="true"/>
          <w:lang w:bidi="fa-IR"/>
        </w:rPr>
        <w:t xml:space="preserve">وهو مذهب فقهی للإمام مالک بن أنس بن مالک بن أنس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وتتلخّص أُصول مذهبه الفقهی وراء الکتاب والسنّة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أهل المدینة، وقول الصحابی، والمصالح المرسلة، والقیاس، وسد الذرائع، والإجماع، والعرف، والاستحسان، والاستصحاب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مالک شدید المبالغة فی سد الذرائع، من أشهر کتبه الفقهیة کتاب الموطأ</w:t>
      </w:r>
      <w:r>
        <w:rPr>
          <w:rFonts w:eastAsia="IRNazanin" w:cs="IRNazanin"/>
          <w:color w:val="111111"/>
          <w:sz w:val="28"/>
          <w:szCs w:val="28"/>
          <w:rtl w:val="true"/>
          <w:lang w:bidi="fa-IR"/>
        </w:rPr>
        <w:t>.</w:t>
      </w:r>
    </w:p>
    <w:p>
      <w:pPr>
        <w:pStyle w:val="Heading4"/>
        <w:numPr>
          <w:ilvl w:val="3"/>
          <w:numId w:val="1"/>
        </w:numPr>
        <w:rPr/>
      </w:pPr>
      <w:bookmarkStart w:id="112" w:name="__RefHeading___Toc1127396_581953129"/>
      <w:bookmarkStart w:id="113" w:name="_Toc44"/>
      <w:bookmarkEnd w:id="112"/>
      <w:r>
        <w:rPr>
          <w:rtl w:val="true"/>
        </w:rPr>
        <w:t>المذهب الشافعی</w:t>
      </w:r>
      <w:bookmarkEnd w:id="113"/>
    </w:p>
    <w:p>
      <w:pPr>
        <w:pStyle w:val="BookText"/>
        <w:rPr/>
      </w:pPr>
      <w:r>
        <w:rPr>
          <w:rFonts w:ascii="IRNazanin" w:hAnsi="IRNazanin" w:eastAsia="IRNazanin"/>
          <w:color w:val="111111"/>
          <w:sz w:val="28"/>
          <w:sz w:val="28"/>
          <w:szCs w:val="28"/>
          <w:rtl w:val="true"/>
          <w:lang w:bidi="fa-IR"/>
        </w:rPr>
        <w:t xml:space="preserve">وقد شیّد معالمه محمد بن إدریس الشافعی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تخرج علی ید مالک شیخ الحجازیین وزعیم مدرسة الحدیث، کما اتّصل بمحمد بن الحسن تلمیذ أبی حنیفة وزعیم مدرسة الرأی فأخذ منهما، فصار مذهبه الفقهی حداً فاصلاً بین المذهبین الحنفی والمالکی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الإمام الشافعی أُصول مذهبه علی الکتاب والسنّة والإجماع والقیاس ولم یجنح إلی سائر الأدلّة التی اعتمد علیها أبو حنیفة ومالک، وانتشر مذهبه فی مصر</w:t>
      </w:r>
      <w:r>
        <w:rPr>
          <w:rFonts w:eastAsia="IRNazanin" w:cs="IRNazanin"/>
          <w:color w:val="111111"/>
          <w:sz w:val="28"/>
          <w:szCs w:val="28"/>
          <w:rtl w:val="true"/>
          <w:lang w:bidi="fa-IR"/>
        </w:rPr>
        <w:t>.</w:t>
      </w:r>
    </w:p>
    <w:p>
      <w:pPr>
        <w:pStyle w:val="Heading4"/>
        <w:numPr>
          <w:ilvl w:val="3"/>
          <w:numId w:val="1"/>
        </w:numPr>
        <w:rPr/>
      </w:pPr>
      <w:bookmarkStart w:id="114" w:name="__RefHeading___Toc1127398_581953129"/>
      <w:bookmarkStart w:id="115" w:name="_Toc45"/>
      <w:bookmarkEnd w:id="114"/>
      <w:r>
        <w:rPr>
          <w:rtl w:val="true"/>
        </w:rPr>
        <w:t>المذهب الحنبلی</w:t>
      </w:r>
      <w:bookmarkEnd w:id="115"/>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المذهب الحنبلی هو المنسوب إلی الإمام أحمد بن محمد بن حنبل </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ویعدّ من کبار المحدّثین، ومسنده الموجود دلیل علی توسعه فی الحدیث، وفقهه المنسوب إلیه مبنی علی أُصول خمسة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 وما أفتی به الصحابة، وإذا اختلفت الصحابة تخیّر من أقوالهم ما کان أقربها للکتاب والسنّة، والأخذ بالمرسل والحدیث الضعیف، والقیاس</w:t>
      </w:r>
      <w:r>
        <w:rPr>
          <w:rFonts w:eastAsia="IRNazanin" w:cs="IRNazanin"/>
          <w:color w:val="111111"/>
          <w:sz w:val="28"/>
          <w:szCs w:val="28"/>
          <w:rtl w:val="true"/>
          <w:lang w:bidi="fa-IR"/>
        </w:rPr>
        <w:t>.</w:t>
      </w:r>
      <w:bookmarkStart w:id="116" w:name="pg5344_40579"/>
    </w:p>
    <w:p>
      <w:pPr>
        <w:pStyle w:val="Heading3"/>
        <w:numPr>
          <w:ilvl w:val="2"/>
          <w:numId w:val="1"/>
        </w:numPr>
        <w:rPr/>
      </w:pPr>
      <w:bookmarkStart w:id="117" w:name="__RefHeading___Toc1127400_581953129"/>
      <w:bookmarkStart w:id="118" w:name="_Toc46"/>
      <w:bookmarkEnd w:id="116"/>
      <w:bookmarkEnd w:id="117"/>
      <w:r>
        <w:rPr>
          <w:rtl w:val="true"/>
        </w:rPr>
        <w:t>ضوابط الاستنباط عند الشیعة والسنّة</w:t>
      </w:r>
      <w:bookmarkEnd w:id="118"/>
    </w:p>
    <w:p>
      <w:pPr>
        <w:pStyle w:val="BookText"/>
        <w:rPr/>
      </w:pPr>
      <w:r>
        <w:rPr>
          <w:rFonts w:ascii="IRNazanin" w:hAnsi="IRNazanin" w:eastAsia="IRNazanin"/>
          <w:color w:val="111111"/>
          <w:sz w:val="28"/>
          <w:sz w:val="28"/>
          <w:szCs w:val="28"/>
          <w:rtl w:val="true"/>
          <w:lang w:bidi="fa-IR"/>
        </w:rPr>
        <w:t>ضوابط الاستنباط عبارة عن القواعد الممهّدة لاستنباط الأحکام الشرعیة وما ینتهی إلیها المجتهد فی مقام العمل المسمّی بالأُصول العملیة، وهذه الضوابط یعبر عنها بأُصول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کان الاجتهاد عبارة عن بذل الوسع فی استنباط الأحکام الشرعیة أو الوظائف العملیة، فالتعرف علی الضوابط التی یبتنی علیها الاجتهاد یصبح أمراً ضروریاً، ولذلک صار أُصول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 یبتنی علیه الاجتهاد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 لازماً بعد عصر التشریع الذی احتاجت الأُمّة فیه إلی استنطاق الکتاب والسنّة وسائر الأدلّة فی استنباط 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لم یکن علم الأُصول بمحتواه أمراً مغفولاً عنه فی عصر الأئمّة، فقد أملی الإمام الباقر علیه السلام وأعقبه الإمام الصادق علیه السلام علی أصحابهما قواعد کلیة فی الاستنباط، رتّبها بعض الأصحاب علی ترتیب مباحث أُصول الفقه، وقد جمعها المحدّث الحرّ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الفصول المهمة فی أُصول الأئمّة وهذا الکتاب یشتمل علی القواعد الکلّیة المنصوصة فی أُصول الفقه وغیره، وتبعه آخرین فی هذا المنهاج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ألّف یونس بن عبد الرحمن من أصحاب الکاظم والصادق علیهما السلام کتاباً فی اختلاف الحدیث ومسائله</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 xml:space="preserve">وتلاه فی التألیف أبو سهل النوبختی </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فألّف کتاب الخصوص والعموم والأسماء والأحکام وإبطال القیاس، وجاء بعده الحسن بن موسی النوبختی فألّف کتاباً خبر الواحد والعمل به، لکن أوّل من ألّف کتاب فی عامّة مسائل علم الأُصول هو الشیخ محمد بن محمد النعمان المعروف بالشیخ المفید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فألّف کتاباً باسم التذکرة فی أُصول الفقه وطبع فی ضمن مصنّفاته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أعقبه الشریف المرتضی </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فألّف کتاب الذریعة وقد طبع فی جزءین</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وألّف تلمیذه سلاّر بن عبد العزیز الدیلمی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التقریب فی أُصول الفقه، وأعقبه تلمیذه الآخر الشیخ الطوسی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فألّف کتاب العدة فی أُصول الفقه وقد طبع غیر مرة</w:t>
      </w:r>
      <w:r>
        <w:rPr>
          <w:rFonts w:eastAsia="IRNazanin" w:cs="IRNazanin"/>
          <w:color w:val="111111"/>
          <w:sz w:val="28"/>
          <w:szCs w:val="28"/>
          <w:rtl w:val="true"/>
          <w:lang w:bidi="fa-IR"/>
        </w:rPr>
        <w:t>.</w:t>
      </w:r>
      <w:bookmarkStart w:id="119" w:name="pg5344_40581"/>
    </w:p>
    <w:p>
      <w:pPr>
        <w:pStyle w:val="BookText"/>
        <w:rPr/>
      </w:pPr>
      <w:bookmarkEnd w:id="119"/>
      <w:r>
        <w:rPr>
          <w:rFonts w:ascii="IRNazanin" w:hAnsi="IRNazanin" w:eastAsia="IRNazanin"/>
          <w:color w:val="111111"/>
          <w:sz w:val="28"/>
          <w:sz w:val="28"/>
          <w:szCs w:val="28"/>
          <w:rtl w:val="true"/>
          <w:lang w:bidi="fa-IR"/>
        </w:rPr>
        <w:t xml:space="preserve">ثمّ توالی التألیف فی أُصول الفقه فی عامّة القرون إلی أن بلغ القمة علی ید عباقرة العصر کالشیخ مرتضی بن محمد أمین الدزفولی الأنصاری </w:t>
      </w:r>
      <w:r>
        <w:rPr>
          <w:rFonts w:eastAsia="IRNazanin" w:cs="IRNazanin"/>
          <w:color w:val="111111"/>
          <w:sz w:val="28"/>
          <w:szCs w:val="28"/>
          <w:rtl w:val="true"/>
          <w:lang w:bidi="fa-IR"/>
        </w:rPr>
        <w:t>(</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ویعدّ کتابه الرسائل من أشهر کتبه فی الأُصول، کما توالی التألیف والتحقیق فی هذا العلم علی ید تلامیذه وتلامیذ تلامیذه، کالسید المجدد الشیرازی </w:t>
      </w:r>
      <w:r>
        <w:rPr>
          <w:rFonts w:eastAsia="IRNazanin" w:cs="IRNazanin"/>
          <w:color w:val="111111"/>
          <w:sz w:val="28"/>
          <w:szCs w:val="28"/>
          <w:rtl w:val="true"/>
          <w:lang w:bidi="fa-IR"/>
        </w:rPr>
        <w:t>(</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والمحقّق محمد کاظم الخراسانی </w:t>
      </w:r>
      <w:r>
        <w:rPr>
          <w:rFonts w:eastAsia="IRNazanin" w:cs="IRNazanin"/>
          <w:color w:val="111111"/>
          <w:sz w:val="28"/>
          <w:szCs w:val="28"/>
          <w:rtl w:val="true"/>
          <w:lang w:bidi="fa-IR"/>
        </w:rPr>
        <w:t>(</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والمحقّق میرزا حسین النائینی </w:t>
      </w:r>
      <w:r>
        <w:rPr>
          <w:rFonts w:eastAsia="IRNazanin" w:cs="IRNazanin"/>
          <w:color w:val="111111"/>
          <w:sz w:val="28"/>
          <w:szCs w:val="28"/>
          <w:rtl w:val="true"/>
          <w:lang w:bidi="fa-IR"/>
        </w:rPr>
        <w:t>(</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إلی غیر ذلک من أساطین العصر الذین بلغوا بعلم الأُصول الذروة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ذکرنا أسماءهم وتراجمهم فی مقدمة الوسیط فراجع</w:t>
      </w:r>
      <w:r>
        <w:rPr>
          <w:rFonts w:eastAsia="IRNazanin" w:cs="IRNazanin"/>
          <w:color w:val="111111"/>
          <w:sz w:val="28"/>
          <w:szCs w:val="28"/>
          <w:rtl w:val="true"/>
          <w:lang w:bidi="fa-IR"/>
        </w:rPr>
        <w:t>.</w:t>
      </w:r>
    </w:p>
    <w:p>
      <w:pPr>
        <w:pStyle w:val="Heading3"/>
        <w:numPr>
          <w:ilvl w:val="2"/>
          <w:numId w:val="1"/>
        </w:numPr>
        <w:rPr/>
      </w:pPr>
      <w:bookmarkStart w:id="120" w:name="__RefHeading___Toc1127402_581953129"/>
      <w:bookmarkStart w:id="121" w:name="_Toc47"/>
      <w:bookmarkEnd w:id="120"/>
      <w:r>
        <w:rPr>
          <w:rtl w:val="true"/>
        </w:rPr>
        <w:t>تدوین أُصول الفقه عند السنّة</w:t>
      </w:r>
      <w:bookmarkEnd w:id="121"/>
    </w:p>
    <w:p>
      <w:pPr>
        <w:pStyle w:val="Heading4"/>
        <w:numPr>
          <w:ilvl w:val="3"/>
          <w:numId w:val="1"/>
        </w:numPr>
        <w:rPr/>
      </w:pPr>
      <w:bookmarkStart w:id="122" w:name="__RefHeading___Toc1127404_581953129"/>
      <w:bookmarkStart w:id="123" w:name="_Toc48"/>
      <w:bookmarkEnd w:id="122"/>
      <w:r>
        <w:rPr>
          <w:rtl w:val="true"/>
        </w:rPr>
        <w:t>اشارة</w:t>
      </w:r>
      <w:bookmarkEnd w:id="123"/>
    </w:p>
    <w:p>
      <w:pPr>
        <w:pStyle w:val="BookText"/>
        <w:rPr/>
      </w:pPr>
      <w:r>
        <w:rPr>
          <w:rFonts w:ascii="IRNazanin" w:hAnsi="IRNazanin" w:eastAsia="IRNazanin"/>
          <w:color w:val="111111"/>
          <w:sz w:val="28"/>
          <w:sz w:val="28"/>
          <w:szCs w:val="28"/>
          <w:rtl w:val="true"/>
          <w:lang w:bidi="fa-IR"/>
        </w:rPr>
        <w:t>إنّ حاجة الفقه السنّی إلی أُصول الفقه حاجة ملحّة، لأنّ إعواز النصوص فی الأحکام الشرعیة عندهم دعا إلی اللجوء إلی القواعد الأُصولیة الکلیة بغیة تلبیة الحاجة واستخراج الأحکام الشرعیة، فأُسّست علی طول الزمان قواعد وضوابط للاستنباط مبعثرة فی طیات الکتب والرسائل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لأهل‌السنّة فی تدوین أُصول الفقه طریقتین</w:t>
      </w:r>
      <w:r>
        <w:rPr>
          <w:rFonts w:eastAsia="Amiri" w:cs="Amiri" w:ascii="Amiri" w:hAnsi="Amiri"/>
          <w:color w:val="111111"/>
          <w:sz w:val="28"/>
          <w:szCs w:val="28"/>
          <w:rtl w:val="true"/>
          <w:lang w:bidi="ar-SA"/>
        </w:rPr>
        <w:t>:</w:t>
      </w:r>
    </w:p>
    <w:p>
      <w:pPr>
        <w:pStyle w:val="Heading4"/>
        <w:numPr>
          <w:ilvl w:val="3"/>
          <w:numId w:val="1"/>
        </w:numPr>
        <w:rPr/>
      </w:pPr>
      <w:bookmarkStart w:id="124" w:name="__RefHeading___Toc1127406_581953129"/>
      <w:bookmarkStart w:id="125" w:name="_Toc49"/>
      <w:bookmarkEnd w:id="124"/>
      <w:r>
        <w:rPr/>
        <w:t>1</w:t>
      </w:r>
      <w:r>
        <w:rPr>
          <w:rtl w:val="true"/>
        </w:rPr>
        <w:t xml:space="preserve">- </w:t>
      </w:r>
      <w:r>
        <w:rPr>
          <w:rtl w:val="true"/>
        </w:rPr>
        <w:t>طریقة المتکلّمین</w:t>
      </w:r>
      <w:bookmarkEnd w:id="125"/>
    </w:p>
    <w:p>
      <w:pPr>
        <w:pStyle w:val="BookText"/>
        <w:rPr/>
      </w:pPr>
      <w:r>
        <w:rPr>
          <w:rFonts w:ascii="IRNazanin" w:hAnsi="IRNazanin" w:eastAsia="IRNazanin"/>
          <w:color w:val="111111"/>
          <w:sz w:val="28"/>
          <w:sz w:val="28"/>
          <w:szCs w:val="28"/>
          <w:rtl w:val="true"/>
          <w:lang w:bidi="fa-IR"/>
        </w:rPr>
        <w:t>وهی النظر إلی أُصول الفقه نظرة استقلالیة حتّی تکون ذریعة لاستنباط الفروع الفقهیة، فأخذوا بالفروع لما وافق الأُصول وترکوا ما لم یوافق، وبذلک صارت أُصول الفقه علماً مستقلاً غیر خاضع للفروع التی ربّما یستنبطها الفقیه من دون رعایة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ظهر التألیف علی هذه الطریقة فی أوائل القرن الرابع، وممّن ألّف علی هذا المنوال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بکر الصیرفی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کتاب البیان فی دلائل الاعلام علی أُصول‌الأحکام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سعید القاضی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کتاب الهدایة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القاضی أبو بکر الباقلانی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کتاب التقریب والإرشاد فی ترتیب طرق الاجتهاد</w:t>
      </w:r>
      <w:r>
        <w:rPr>
          <w:rFonts w:eastAsia="IRNazanin" w:cs="IRNazanin"/>
          <w:color w:val="111111"/>
          <w:sz w:val="28"/>
          <w:szCs w:val="28"/>
          <w:rtl w:val="true"/>
          <w:lang w:bidi="fa-IR"/>
        </w:rPr>
        <w:t>;</w:t>
      </w:r>
      <w:bookmarkStart w:id="126" w:name="pg5344_40583"/>
    </w:p>
    <w:p>
      <w:pPr>
        <w:pStyle w:val="BookText"/>
        <w:rPr/>
      </w:pPr>
      <w:bookmarkEnd w:id="126"/>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القضاة عبد الجبار </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کتاب النهایة و العمد وشرحها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عمرو عثمان بن عمرو المعروف بابن الحاجب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کتاب منتهی السؤل والعمل فی علمی الأُصول والجدل وکتاب مختصر المنتهی هو تلخیص الکتاب الأوّل، وهذا الکتاب معروف کان یدرس عبر قرون</w:t>
      </w:r>
      <w:r>
        <w:rPr>
          <w:rFonts w:eastAsia="IRNazanin" w:cs="IRNazanin"/>
          <w:color w:val="111111"/>
          <w:sz w:val="28"/>
          <w:szCs w:val="28"/>
          <w:rtl w:val="true"/>
          <w:lang w:bidi="fa-IR"/>
        </w:rPr>
        <w:t>.</w:t>
      </w:r>
    </w:p>
    <w:p>
      <w:pPr>
        <w:pStyle w:val="Heading4"/>
        <w:numPr>
          <w:ilvl w:val="3"/>
          <w:numId w:val="1"/>
        </w:numPr>
        <w:rPr/>
      </w:pPr>
      <w:bookmarkStart w:id="127" w:name="__RefHeading___Toc1127408_581953129"/>
      <w:bookmarkStart w:id="128" w:name="_Toc50"/>
      <w:bookmarkEnd w:id="127"/>
      <w:r>
        <w:rPr/>
        <w:t>2</w:t>
      </w:r>
      <w:r>
        <w:rPr>
          <w:rtl w:val="true"/>
        </w:rPr>
        <w:t xml:space="preserve">- </w:t>
      </w:r>
      <w:r>
        <w:rPr>
          <w:rtl w:val="true"/>
        </w:rPr>
        <w:t>طریقة الفقهاء</w:t>
      </w:r>
      <w:bookmarkEnd w:id="128"/>
    </w:p>
    <w:p>
      <w:pPr>
        <w:pStyle w:val="BookText"/>
        <w:rPr/>
      </w:pPr>
      <w:r>
        <w:rPr>
          <w:rFonts w:ascii="IRNazanin" w:hAnsi="IRNazanin" w:eastAsia="IRNazanin"/>
          <w:color w:val="111111"/>
          <w:sz w:val="28"/>
          <w:sz w:val="28"/>
          <w:szCs w:val="28"/>
          <w:rtl w:val="true"/>
          <w:lang w:bidi="fa-IR"/>
        </w:rPr>
        <w:t>وهی النظر إلی أُصول الفقه نظرة آلیة بمعنی انّ الملاک فی صحة الأُصول وعدمها هو مطابقتها للفروع التی علیها إمام المذهب، فکانوا یقررون القواعد الأُصولیة طبقاً لما قرره أئمّة المذهب فی فروعهم الاجتهادیة الفقهیة، وتکون القاعدة الأُصولیة منسجمة مع الفروع الفقهیة، فلو خالفتها لما قام له وزن وإن أیّده البرهان عضده الدلیل، فتجد کثرة التخریج تشکل الطابع العام فی کتبهم التی أُلّفت علی هذه الطریقة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الفقهاء الذین کتبوا علی هذه الطریقة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الحسن عبیدالله بن الحسن الکرخی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فی الأُصول رسالة مطبوعة ذکر فیها الأُصول التی علیها مدار کتب أصحاب أبی حنیفة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منصور محمد بن محمد بن محمود الماتریدی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فی الأُصول کتاب مآخذ الشرائع فی الأُصول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زید عبیدالله بن عمر القاضی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تقویم الأدلّة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 تأسیس النظر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بکر أحمد بن علی الجصاص </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فی أُصول الفقه یسمّی أُصول الجصاص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 الإسلام علی بن محمد بن الحسین بن عبد الکریم البزدوی </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فی الأُصول کتاب کنز الوصول إلی معرفة الأُصول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شمس الأئمّة محمد بن أحمد بن أبی سهل السرخسی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فی أُصول الفقه یسمی تمهید الفصول فی الأُصول</w:t>
      </w:r>
      <w:r>
        <w:rPr>
          <w:rFonts w:eastAsia="IRNazanin" w:cs="IRNazanin"/>
          <w:color w:val="111111"/>
          <w:sz w:val="28"/>
          <w:szCs w:val="28"/>
          <w:rtl w:val="true"/>
          <w:lang w:bidi="fa-IR"/>
        </w:rPr>
        <w:t>;</w:t>
      </w:r>
      <w:bookmarkStart w:id="129" w:name="pg5344_40585"/>
    </w:p>
    <w:p>
      <w:pPr>
        <w:pStyle w:val="BookText"/>
        <w:rPr/>
      </w:pPr>
      <w:bookmarkEnd w:id="129"/>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الحافظ عبدالله بن أحمد النسفی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701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تصانیفه الأُصولیة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 الأنوار فی أُصول الفقه</w:t>
      </w:r>
      <w:r>
        <w:rPr>
          <w:rFonts w:eastAsia="IRNazanin" w:cs="IRNazanin"/>
          <w:color w:val="111111"/>
          <w:sz w:val="28"/>
          <w:szCs w:val="28"/>
          <w:rtl w:val="true"/>
          <w:lang w:bidi="fa-IR"/>
        </w:rPr>
        <w:t>.</w:t>
      </w:r>
    </w:p>
    <w:p>
      <w:pPr>
        <w:pStyle w:val="Heading4"/>
        <w:numPr>
          <w:ilvl w:val="3"/>
          <w:numId w:val="1"/>
        </w:numPr>
        <w:rPr/>
      </w:pPr>
      <w:bookmarkStart w:id="130" w:name="__RefHeading___Toc1127410_581953129"/>
      <w:bookmarkStart w:id="131" w:name="_Toc51"/>
      <w:bookmarkEnd w:id="130"/>
      <w:r>
        <w:rPr/>
        <w:t>3</w:t>
      </w:r>
      <w:r>
        <w:rPr>
          <w:rtl w:val="true"/>
        </w:rPr>
        <w:t xml:space="preserve">- </w:t>
      </w:r>
      <w:r>
        <w:rPr>
          <w:rtl w:val="true"/>
        </w:rPr>
        <w:t>طریقة المتأخّرین</w:t>
      </w:r>
      <w:bookmarkEnd w:id="131"/>
    </w:p>
    <w:p>
      <w:pPr>
        <w:pStyle w:val="BookText"/>
        <w:rPr/>
      </w:pPr>
      <w:r>
        <w:rPr>
          <w:rFonts w:ascii="IRNazanin" w:hAnsi="IRNazanin" w:eastAsia="IRNazanin"/>
          <w:color w:val="111111"/>
          <w:sz w:val="28"/>
          <w:sz w:val="28"/>
          <w:szCs w:val="28"/>
          <w:rtl w:val="true"/>
          <w:lang w:bidi="fa-IR"/>
        </w:rPr>
        <w:t>وهناک من المتأخرین من جمع بین الطریقتین فکتب الأُصول مجردة ثم تولّی طریقة تطبیقها، ولهذا جمعت کلتا المزیّتین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أبرز المؤلّفین الذین کتبوا علی هذه الطریقة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أحمد بن علی بن ثعلب المعروف بابن الساعاتی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مصنفات فی الأُصول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البدیع فی أُصول الفقه جمع فیه بین طریقة الآمدی فی کتابه الأحکام وطریقة فخر الإسلام البزدوی فی کتابه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الشریعة عبیدالله بن مسعود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747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فی الأُصول تنقیح‌الأُصول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 الدین عبد الوهاب بن علی بن عبد الکافی السبکی </w:t>
      </w:r>
      <w:r>
        <w:rPr>
          <w:rFonts w:eastAsia="IRNazanin" w:cs="IRNazanin"/>
          <w:color w:val="111111"/>
          <w:sz w:val="28"/>
          <w:szCs w:val="28"/>
          <w:rtl w:val="true"/>
          <w:lang w:bidi="fa-IR"/>
        </w:rPr>
        <w:t>(</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تآلیفه فی الأُصول شرح مختصر ابن الحاجب سمّاه رفع الحاجب عن مختصر ابن الحاجب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منهاج البیضاوی فی الأُصول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 الدین محمد بن عبد الواحد بن عبد الحمید بن الهمام </w:t>
      </w:r>
      <w:r>
        <w:rPr>
          <w:rFonts w:eastAsia="IRNazanin" w:cs="IRNazanin"/>
          <w:color w:val="111111"/>
          <w:sz w:val="28"/>
          <w:szCs w:val="28"/>
          <w:rtl w:val="true"/>
          <w:lang w:bidi="fa-IR"/>
        </w:rPr>
        <w:t>(</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eastAsia="IRNazanin" w:cs="IRNazanin"/>
          <w:color w:val="111111"/>
          <w:sz w:val="28"/>
          <w:szCs w:val="28"/>
          <w:lang w:bidi="fa-IR"/>
        </w:rPr>
        <w:t>861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تآلیفه فی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التحریر فی أُصول الفقه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محب الله بن عبد الشکور البهاری الهندی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1119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مؤلّفاته فی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الثبوت فی أُصول الفقه</w:t>
      </w:r>
      <w:r>
        <w:rPr>
          <w:rFonts w:eastAsia="IRNazanin" w:cs="IRNazanin"/>
          <w:color w:val="111111"/>
          <w:sz w:val="28"/>
          <w:szCs w:val="28"/>
          <w:rtl w:val="true"/>
          <w:lang w:bidi="fa-IR"/>
        </w:rPr>
        <w:t>.</w:t>
      </w:r>
      <w:bookmarkStart w:id="132" w:name="pg5344_40589"/>
    </w:p>
    <w:p>
      <w:pPr>
        <w:pStyle w:val="Heading2"/>
        <w:numPr>
          <w:ilvl w:val="1"/>
          <w:numId w:val="1"/>
        </w:numPr>
        <w:rPr/>
      </w:pPr>
      <w:bookmarkStart w:id="133" w:name="__RefHeading___Toc1127412_581953129"/>
      <w:bookmarkStart w:id="134" w:name="_Toc52"/>
      <w:bookmarkEnd w:id="132"/>
      <w:bookmarkEnd w:id="133"/>
      <w:r>
        <w:rPr/>
        <w:t>4</w:t>
      </w:r>
      <w:r>
        <w:rPr>
          <w:rtl w:val="true"/>
        </w:rPr>
        <w:t xml:space="preserve">- </w:t>
      </w:r>
      <w:r>
        <w:rPr>
          <w:rtl w:val="true"/>
        </w:rPr>
        <w:t>اسلوب تدوین الفقه</w:t>
      </w:r>
      <w:bookmarkEnd w:id="134"/>
    </w:p>
    <w:p>
      <w:pPr>
        <w:pStyle w:val="Heading3"/>
        <w:numPr>
          <w:ilvl w:val="2"/>
          <w:numId w:val="1"/>
        </w:numPr>
        <w:rPr/>
      </w:pPr>
      <w:bookmarkStart w:id="135" w:name="__RefHeading___Toc1127414_581953129"/>
      <w:bookmarkStart w:id="136" w:name="_Toc53"/>
      <w:bookmarkEnd w:id="135"/>
      <w:r>
        <w:rPr>
          <w:rtl w:val="true"/>
        </w:rPr>
        <w:t>اشارة</w:t>
      </w:r>
      <w:bookmarkEnd w:id="136"/>
    </w:p>
    <w:p>
      <w:pPr>
        <w:pStyle w:val="BookText"/>
        <w:rPr/>
      </w:pPr>
      <w:r>
        <w:rPr>
          <w:rFonts w:ascii="IRNazanin" w:hAnsi="IRNazanin" w:eastAsia="IRNazanin"/>
          <w:color w:val="111111"/>
          <w:sz w:val="28"/>
          <w:sz w:val="28"/>
          <w:szCs w:val="28"/>
          <w:rtl w:val="true"/>
          <w:lang w:bidi="fa-IR"/>
        </w:rPr>
        <w:t>قد تعرّفت علی کیفیة تدوین الفقه فی عصر أئمّة أهل‌البیت علیهم السلام وأنّها کانت عن طریق جمع الروایات بأسانیدها إمّا علی ترتیب أبواب الفقه أو علی طریق أسماء الرواة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عند منتصف القرن الثالث، ظهر أُسلوبان فی تدوین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تجرید متون الأحادیث الفقهیة عن أسانیدها وذکر الفروع الفقهیة بألفاظ الحدیث مع التمحیص بین الصحیح والسقیم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الأُسلوب الإبداعی وهو صب المسائل الفقهیة فی عبارات خاصة من دون التزام بتعابیر النصوص وألفاظها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استمر کلا الأُسلوبین إلی عصر الشیخ الطوسی، فمنهم من أّلف علی النمط الأوّل، ومنهم من جری علی النمط الثانی، ومنهم من جمع بینهما</w:t>
      </w:r>
      <w:r>
        <w:rPr>
          <w:rFonts w:eastAsia="IRNazanin" w:cs="IRNazanin"/>
          <w:color w:val="111111"/>
          <w:sz w:val="28"/>
          <w:szCs w:val="28"/>
          <w:rtl w:val="true"/>
          <w:lang w:bidi="fa-IR"/>
        </w:rPr>
        <w:t>.</w:t>
      </w:r>
    </w:p>
    <w:p>
      <w:pPr>
        <w:pStyle w:val="Heading3"/>
        <w:numPr>
          <w:ilvl w:val="2"/>
          <w:numId w:val="1"/>
        </w:numPr>
        <w:rPr/>
      </w:pPr>
      <w:bookmarkStart w:id="137" w:name="__RefHeading___Toc1127416_581953129"/>
      <w:bookmarkStart w:id="138" w:name="_Toc54"/>
      <w:bookmarkEnd w:id="137"/>
      <w:r>
        <w:rPr>
          <w:rtl w:val="true"/>
        </w:rPr>
        <w:t>الأوّل</w:t>
      </w:r>
      <w:r>
        <w:rPr>
          <w:rtl w:val="true"/>
        </w:rPr>
        <w:t xml:space="preserve">: </w:t>
      </w:r>
      <w:r>
        <w:rPr>
          <w:rtl w:val="true"/>
        </w:rPr>
        <w:t>نمط تجرید المتون عن الأسانید</w:t>
      </w:r>
      <w:bookmarkEnd w:id="138"/>
    </w:p>
    <w:p>
      <w:pPr>
        <w:pStyle w:val="BookText"/>
        <w:rPr/>
      </w:pPr>
      <w:r>
        <w:rPr>
          <w:rFonts w:ascii="IRNazanin" w:hAnsi="IRNazanin" w:eastAsia="IRNazanin"/>
          <w:color w:val="111111"/>
          <w:sz w:val="28"/>
          <w:sz w:val="28"/>
          <w:szCs w:val="28"/>
          <w:rtl w:val="true"/>
          <w:lang w:bidi="fa-IR"/>
        </w:rPr>
        <w:t>شرع هذا النمط من التألیف منذ عصر مؤلّف فقه الرضا إلی عصر الشیخ الطوسی الذی ألّف کتابه النهایة علی منواله، ونشیر إلی طائفة من أسماء الکتب التی أُلّفت علی هذا الغرار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الفقه الرضوی المطبوع المنتشر، ولیس هو من تصانیف الإمام الرضا علیه السلام وإنّما تصدّی لتألیفه فقیه عارف بمتون الأخبار، مطّلع علی مطلقها ومقیّدها، عامِّها وخاصِّها، فجرّد المتون عن الأحادیث، وأفتی بنفس لفظ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مؤلّفه فهو مردّد بین کونه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w:t>
      </w:r>
      <w:bookmarkStart w:id="139" w:name="pg5344_40591"/>
    </w:p>
    <w:p>
      <w:pPr>
        <w:pStyle w:val="BookText"/>
        <w:rPr/>
      </w:pPr>
      <w:bookmarkEnd w:id="139"/>
      <w:r>
        <w:rPr>
          <w:rFonts w:ascii="IRNazanin" w:hAnsi="IRNazanin" w:eastAsia="IRNazanin"/>
          <w:color w:val="111111"/>
          <w:sz w:val="28"/>
          <w:sz w:val="28"/>
          <w:szCs w:val="28"/>
          <w:rtl w:val="true"/>
          <w:lang w:bidi="fa-IR"/>
        </w:rPr>
        <w:t>علی الشلمغانی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العزاقر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المقتول عام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ه ، أو تألیف والد الصدوق علی بن الحسین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الثانی أقرب إلی الواقع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المقنع و الهدایة للشیخ الصدوق محمد بن علی بن الحسین بن بابویه القمی </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شیوخ الشیعة فی عصره، وقد ألّف فی الحدیث والفقه والکلام قرابة مائتی مصنّف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المقنعة للشیخ المفید محمد بن محمد بن النعمان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یعرفه النجاشی،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شیخنا وأُستاذنا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فضله أشهر من أن یوصف فی الفقه والکلام والروایة والثقة والعلم، وکتابه هذا أثر خالد، انتهج فیه منهجاً وسطاً بین الجمود علی النصوص والتوسّع فی التفریعات، فلیس کتابه متناً حدیثیاً فقهیاً محضاً، ولا کتاباً تفریعیاً تخریجیاً یتوسع فی الاستدلال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النهایة للشیخ محمد بن الحسن الطوسی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التصانیف الکثیرة فی الحدیث والفقه والکلام والأدعیة، وکتابه هذا آخر کتاب ظهر بهذا الأُسلوب وختم بکتابه هذا المنهج</w:t>
      </w:r>
      <w:r>
        <w:rPr>
          <w:rFonts w:eastAsia="IRNazanin" w:cs="IRNazanin"/>
          <w:color w:val="111111"/>
          <w:sz w:val="28"/>
          <w:szCs w:val="28"/>
          <w:rtl w:val="true"/>
          <w:lang w:bidi="fa-IR"/>
        </w:rPr>
        <w:t>.</w:t>
      </w:r>
    </w:p>
    <w:p>
      <w:pPr>
        <w:pStyle w:val="Heading3"/>
        <w:numPr>
          <w:ilvl w:val="2"/>
          <w:numId w:val="1"/>
        </w:numPr>
        <w:rPr/>
      </w:pPr>
      <w:bookmarkStart w:id="140" w:name="__RefHeading___Toc1127418_581953129"/>
      <w:bookmarkStart w:id="141" w:name="_Toc55"/>
      <w:bookmarkEnd w:id="140"/>
      <w:r>
        <w:rPr>
          <w:rtl w:val="true"/>
        </w:rPr>
        <w:t>الثانی</w:t>
      </w:r>
      <w:r>
        <w:rPr>
          <w:rtl w:val="true"/>
        </w:rPr>
        <w:t xml:space="preserve">: </w:t>
      </w:r>
      <w:r>
        <w:rPr>
          <w:rtl w:val="true"/>
        </w:rPr>
        <w:t>أُسلوب عدم الالتزام بألفاظ النصوص</w:t>
      </w:r>
      <w:bookmarkEnd w:id="141"/>
    </w:p>
    <w:p>
      <w:pPr>
        <w:pStyle w:val="BookText"/>
        <w:rPr/>
      </w:pPr>
      <w:r>
        <w:rPr>
          <w:rFonts w:ascii="IRNazanin" w:hAnsi="IRNazanin" w:eastAsia="IRNazanin"/>
          <w:color w:val="111111"/>
          <w:sz w:val="28"/>
          <w:sz w:val="28"/>
          <w:szCs w:val="28"/>
          <w:rtl w:val="true"/>
          <w:lang w:bidi="fa-IR"/>
        </w:rPr>
        <w:t>لم یکن تألیف الفقه منذ مطلع القرن الرابع إلی عصر الشیخ الطوسی منحصراً بتجرید المتون عن الأسانید، بل کان هناک من یؤلّف علی غیر هذا النمط دون أن یلتزم فی الإفتاء بتعابیر النصوص، ومن الکتب التی أُلّفت علی هذا الأُسلوب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المستمسک بحبل آل الرسول للحسن بن علی بن أبی عقیل العمانی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حوالی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وصفه النجاشی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الحذّاء، فقیه متکلم، ثقة، له کتب فی الفقه والکلام، وسمعت شیخنا أبا عبدالله</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یکثر الثناء علی هذا الرجل</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تهذیب الشیعة لأحکام الشریعة لمحمد بن أحمد بن الجنید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وصفه النجاشی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فی أصحابنا، ثقة، جلیل القدر، صنف فأکثر، وسمعت بعض شیوخنا</w:t>
      </w:r>
    </w:p>
    <w:p>
      <w:pPr>
        <w:pStyle w:val="BookText"/>
        <w:rPr/>
      </w:pPr>
      <w:r>
        <w:rPr>
          <w:rFonts w:ascii="IRNazanin" w:hAnsi="IRNazanin" w:eastAsia="IRNazanin"/>
          <w:color w:val="111111"/>
          <w:sz w:val="28"/>
          <w:sz w:val="28"/>
          <w:szCs w:val="28"/>
          <w:rtl w:val="true"/>
          <w:lang w:bidi="fa-IR"/>
        </w:rPr>
        <w:t>یذکر انّه کان عنده مال للصاحب علیه السلام وسیف أیضاً</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الاعلام فیما اتفقت علیه الإمامیة من الأحکام للشیخ المفید، استعرض فیه آراءه الشخصیة مع ذکر فقهاء سائر النحل مع ذکر حججهم والمناقشة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اللون من التألیف یتوقف علی مقدرة علمیة فائقة حتّی یکون المؤلف ممارساً لآراء الفقهاء وعرض بعضها علی بعض، ثمّ ترجیح ما هو الأتقن فی نظره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الانتصار للسید علی بن الحسین المعروف بالشریف المرتضی </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یعرّفه النجاشی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حاز من العلوم ما لم یدانه فیه أحد فی زمانه</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وقد ألّف کتابه‌هذا علی غرار کتاب الإعلام لشیخه المفید مع ذکر آراء الفرق الأُخری مع بیان آراء الإمامیة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الناصریات فی الفقه وهو أیضاً للشریف المرتضی یحتوی علی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استلّها الشریف المرتضی من فقه الناصر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 لأُمّه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وشرحها وصحّحها واستدلّ علی صحّتها من الکتاب والسنّة والإجماع، وله کتب أُخری فی هذا المضمار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لأبی الصلاح تقی الدین بن نجم الدین الحلبی </w:t>
      </w: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وکتابه هذا دورة فقه ممزوج بقلیل من الاستدلال، وقد طبع وانتشر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وراء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اللوامع فی الفقه، و مختصر الفرائض الشرعیة لم نعثر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طبع له تقریب المعارف فی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وکتابه هذا الکافی یعرب عن استقلاله فی الفکر واعتماده علی تفکیره الذاتی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المراسم العلویة للشیخ أبی یعلی حمزة بن عبد العزیز الدیلمی المعروف بسلاّر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أیضاً المقنع فی المذهب و التقریب فی أُصول الفقه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المبسوط للشیخ محمد بن الحسن الطوسی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کبیر، ومحقّق متضلّع، له باع طویل فی الفقه والأُصولین والرجال</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یعرّفه العلاّمة الحلی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الإمامیة، ورئیس الطائفة، جلیل القدر، عظیم المنزلة، ثقة، عین، صدوق، عارف بالأخبار والرجال والفقه والأُصول والکلام والأدب</w:t>
      </w:r>
      <w:r>
        <w:rPr>
          <w:rFonts w:eastAsia="IRNazanin" w:cs="IRNazanin"/>
          <w:color w:val="111111"/>
          <w:sz w:val="28"/>
          <w:szCs w:val="28"/>
          <w:rtl w:val="true"/>
          <w:lang w:bidi="fa-IR"/>
        </w:rPr>
        <w:t xml:space="preserve">. </w:t>
      </w:r>
      <w:r>
        <w:rPr>
          <w:rStyle w:val="FootnoteAnchor"/>
          <w:rtl w:val="true"/>
        </w:rPr>
        <w:footnoteReference w:id="50"/>
      </w:r>
      <w:bookmarkStart w:id="142" w:name="pg5344_40595"/>
    </w:p>
    <w:p>
      <w:pPr>
        <w:pStyle w:val="BookText"/>
        <w:rPr/>
      </w:pPr>
      <w:bookmarkEnd w:id="142"/>
      <w:r>
        <w:rPr>
          <w:rFonts w:ascii="IRNazanin" w:hAnsi="IRNazanin" w:eastAsia="IRNazanin"/>
          <w:color w:val="111111"/>
          <w:sz w:val="28"/>
          <w:sz w:val="28"/>
          <w:szCs w:val="28"/>
          <w:rtl w:val="true"/>
          <w:lang w:bidi="fa-IR"/>
        </w:rPr>
        <w:t>وقد خدم الشیخ الفقه بأسالیب مختلفة أشهرها کتاب الخلاف، فهو یعد فقهاً مقارناً یوقف القارئ علی آراء فقهاء مختلف النحل، وقد تبع فی ذلک شیخه السید المرتضی حیث ألف کتاباً فی ذلک المضمار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وحصیلة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اسلوب الإبداع فی التعبیر کان امتداداً للنمط الذی سار علیه بعض أصحاب الأئمّة علیهم السلام کزرارة بن أعین، ومحمد بن مسلم وعبدالله بن بکیر بن أعین ویونس بن عبد الرحمن وأخیراً فضل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کتاب الإیضاح المطبوع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الفتاوی المنقولة عن هؤلاء المشایخ فی الکافی تکشف عن وجود الأسلوب الإبداعی فی عصر الأئمّة وکتاب الإیضاح لابن شاذان خیر شاهد علی ذلک</w:t>
      </w:r>
      <w:r>
        <w:rPr>
          <w:rFonts w:eastAsia="IRNazanin" w:cs="IRNazanin"/>
          <w:color w:val="111111"/>
          <w:sz w:val="28"/>
          <w:szCs w:val="28"/>
          <w:rtl w:val="true"/>
          <w:lang w:bidi="fa-IR"/>
        </w:rPr>
        <w:t>.</w:t>
      </w:r>
    </w:p>
    <w:p>
      <w:pPr>
        <w:pStyle w:val="Heading3"/>
        <w:numPr>
          <w:ilvl w:val="2"/>
          <w:numId w:val="1"/>
        </w:numPr>
        <w:rPr/>
      </w:pPr>
      <w:bookmarkStart w:id="143" w:name="__RefHeading___Toc1127420_581953129"/>
      <w:bookmarkStart w:id="144" w:name="_Toc56"/>
      <w:bookmarkEnd w:id="143"/>
      <w:r>
        <w:rPr>
          <w:rtl w:val="true"/>
        </w:rPr>
        <w:t>البصمات التی ترکها المفید وتلامذته علی الفقه الإمامی</w:t>
      </w:r>
      <w:bookmarkEnd w:id="144"/>
    </w:p>
    <w:p>
      <w:pPr>
        <w:pStyle w:val="Heading4"/>
        <w:numPr>
          <w:ilvl w:val="3"/>
          <w:numId w:val="1"/>
        </w:numPr>
        <w:rPr/>
      </w:pPr>
      <w:bookmarkStart w:id="145" w:name="__RefHeading___Toc1127422_581953129"/>
      <w:bookmarkStart w:id="146" w:name="_Toc57"/>
      <w:bookmarkEnd w:id="145"/>
      <w:r>
        <w:rPr>
          <w:rtl w:val="true"/>
        </w:rPr>
        <w:t>اشارة</w:t>
      </w:r>
      <w:bookmarkEnd w:id="146"/>
    </w:p>
    <w:p>
      <w:pPr>
        <w:pStyle w:val="BookText"/>
        <w:rPr/>
      </w:pPr>
      <w:r>
        <w:rPr>
          <w:rFonts w:ascii="IRNazanin" w:hAnsi="IRNazanin" w:eastAsia="IRNazanin"/>
          <w:color w:val="111111"/>
          <w:sz w:val="28"/>
          <w:sz w:val="28"/>
          <w:szCs w:val="28"/>
          <w:rtl w:val="true"/>
          <w:lang w:bidi="fa-IR"/>
        </w:rPr>
        <w:t>قد تعرفت علی أنّ الفقه الاستدلالی کان أمراً رائجاً فی عصر أئمّة أهل‌البیت علیهم السلام ، وکان من روّاد هذا المنهج زرارة بن أعین ومحمد بن مسلم ویونس بن عبد الرحمن وفضل بن شاذان، ومع ذلک إنّ رواد هذا المنهج وأتباعه لم یکونوا من الکثرة بمکان، بل کان الأسلوب الرائج هو أُسلوب تجرید المتون عن الأسانید أو الخروج عن هذا الإطار بشکل غیر بارز، وأوّل من آثار ضجّة فی الفقه الإمامی بعد ابن الجنید والشیخ الصدوق، هو الشیخ المفید، وذلک للأُمور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نحل الشیخ المفید للفقه الإمامی منهجیة موضوعیة بعیدة عن الجمود الذی کان علیه المحدِّثون، وعن الأسالیب التی کانت علی الخلاف من أُصول أئمّة أهل‌البیت کالعمل بالقیاس والاستحسان وغیرهما، ففی هذا الجو المشحون بالتفریط والإفراط أخذ الشیخ بزمام الفقه ونفض عنه غبار الجمود وجعله فی منحی التکامل والازدهار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لأکثر فقهائنا مع تثبّتهم فی الفقه فتاوی شاذة تخالف فتاوی مشاهیر الفقهاء، ولکن شیخنا المفید فی منأی عن هذه الوصمة، فمع أنّه تتلمذ علی أیدی أهل القیاس والاستحسان ولکنّه لم یتأثر بأفکارهم قید أنملة، وقد أبعد القیاس والاستحسان والاستصلاح عن فقهه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یعدّ الشیخ المفید أوّل من صنّف کتاباً جامعاً فی أُصول الفقه مشتملاً علی جمیع</w:t>
      </w:r>
      <w:bookmarkStart w:id="147" w:name="pg5344_40597"/>
    </w:p>
    <w:p>
      <w:pPr>
        <w:pStyle w:val="BookText"/>
        <w:rPr/>
      </w:pPr>
      <w:bookmarkEnd w:id="147"/>
      <w:r>
        <w:rPr>
          <w:rFonts w:ascii="IRNazanin" w:hAnsi="IRNazanin" w:eastAsia="IRNazanin"/>
          <w:color w:val="111111"/>
          <w:sz w:val="28"/>
          <w:sz w:val="28"/>
          <w:szCs w:val="28"/>
          <w:rtl w:val="true"/>
          <w:lang w:bidi="fa-IR"/>
        </w:rPr>
        <w:t>الأبواب، فإنّ من تقدّمه من العلماء ألّفوا رسائل خاصة فی بعض موضوعات علم الأُصول ولم یصل إلینا کتاب جامع لجمیع أبوابه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البصمات التی ترکها تلامذة الشیخ المفید لا سیما الشریف المرتضی والشیخ الطوسی فهی کالتالی</w:t>
      </w:r>
      <w:r>
        <w:rPr>
          <w:rFonts w:eastAsia="IRNazanin" w:cs="IRNazanin"/>
          <w:color w:val="111111"/>
          <w:sz w:val="28"/>
          <w:szCs w:val="28"/>
          <w:rtl w:val="true"/>
          <w:lang w:bidi="fa-IR"/>
        </w:rPr>
        <w:t>:</w:t>
      </w:r>
    </w:p>
    <w:p>
      <w:pPr>
        <w:pStyle w:val="Heading4"/>
        <w:numPr>
          <w:ilvl w:val="3"/>
          <w:numId w:val="1"/>
        </w:numPr>
        <w:rPr/>
      </w:pPr>
      <w:bookmarkStart w:id="148" w:name="__RefHeading___Toc1127424_581953129"/>
      <w:bookmarkStart w:id="149" w:name="_Toc58"/>
      <w:bookmarkEnd w:id="148"/>
      <w:r>
        <w:rPr/>
        <w:t>1</w:t>
      </w:r>
      <w:r>
        <w:rPr>
          <w:rtl w:val="true"/>
        </w:rPr>
        <w:t xml:space="preserve">- </w:t>
      </w:r>
      <w:r>
        <w:rPr>
          <w:rtl w:val="true"/>
        </w:rPr>
        <w:t>التوسع فی أُصول الفقه</w:t>
      </w:r>
      <w:bookmarkEnd w:id="149"/>
    </w:p>
    <w:p>
      <w:pPr>
        <w:pStyle w:val="BookText"/>
        <w:rPr/>
      </w:pPr>
      <w:r>
        <w:rPr>
          <w:rFonts w:ascii="IRNazanin" w:hAnsi="IRNazanin" w:eastAsia="IRNazanin"/>
          <w:color w:val="111111"/>
          <w:sz w:val="28"/>
          <w:sz w:val="28"/>
          <w:szCs w:val="28"/>
          <w:rtl w:val="true"/>
          <w:lang w:bidi="fa-IR"/>
        </w:rPr>
        <w:t>حیث إنّ الشریف المرتضی ألف کتباً فی ذلک المضمار، سنعرض أسماءها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الذریعة فی أُصول الفقه حیث بلغ فیه الذروة فی الاستدلال علی قواعد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المفردات فی أُصول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الخلاف فی أُصول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وتبعه الشیخ الطوسی حیث ألّف کتاب عدة الأُصولّ علی غرار کتاب السید المرتضی، کما ألّف أبو یعلی حمزة بن عبد العزیز الدیلمی کتاباً فی أُصول الفقه أسماه بالتقریب، وبذلک توسّع الفقه الإمامی فی دعم مسائل أُصول الفقه</w:t>
      </w:r>
      <w:r>
        <w:rPr>
          <w:rFonts w:eastAsia="IRNazanin" w:cs="IRNazanin"/>
          <w:color w:val="111111"/>
          <w:sz w:val="28"/>
          <w:szCs w:val="28"/>
          <w:rtl w:val="true"/>
          <w:lang w:bidi="fa-IR"/>
        </w:rPr>
        <w:t>.</w:t>
      </w:r>
    </w:p>
    <w:p>
      <w:pPr>
        <w:pStyle w:val="Heading4"/>
        <w:numPr>
          <w:ilvl w:val="3"/>
          <w:numId w:val="1"/>
        </w:numPr>
        <w:rPr/>
      </w:pPr>
      <w:bookmarkStart w:id="150" w:name="__RefHeading___Toc1127426_581953129"/>
      <w:bookmarkStart w:id="151" w:name="_Toc59"/>
      <w:bookmarkEnd w:id="150"/>
      <w:r>
        <w:rPr/>
        <w:t>2</w:t>
      </w:r>
      <w:r>
        <w:rPr>
          <w:rtl w:val="true"/>
        </w:rPr>
        <w:t xml:space="preserve">- </w:t>
      </w:r>
      <w:r>
        <w:rPr>
          <w:rtl w:val="true"/>
        </w:rPr>
        <w:t>العنایة بالفقه المقارن</w:t>
      </w:r>
      <w:bookmarkEnd w:id="151"/>
    </w:p>
    <w:p>
      <w:pPr>
        <w:pStyle w:val="BookText"/>
        <w:rPr/>
      </w:pPr>
      <w:r>
        <w:rPr>
          <w:rFonts w:ascii="IRNazanin" w:hAnsi="IRNazanin" w:eastAsia="IRNazanin"/>
          <w:color w:val="111111"/>
          <w:sz w:val="28"/>
          <w:sz w:val="28"/>
          <w:szCs w:val="28"/>
          <w:rtl w:val="true"/>
          <w:lang w:bidi="fa-IR"/>
        </w:rPr>
        <w:t>فقد ألّف الشیخ المفید کتاب الاعلام فی الفقه المقارن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وتبعه تلمیذه السید المرتضی فألف الانتصار فیما انفردت به الإمامیة، وهو تشتمل علی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حیث یستعرض فیه آراء سائر المذاهب ویناقش فی أدلّتها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ألّف الطوسی کتاب الخلاف فی ذلک المضمار وبذلک فتحوا عهداً جدیداً للفقه‌المقارن</w:t>
      </w:r>
      <w:r>
        <w:rPr>
          <w:rFonts w:eastAsia="IRNazanin" w:cs="IRNazanin"/>
          <w:color w:val="111111"/>
          <w:sz w:val="28"/>
          <w:szCs w:val="28"/>
          <w:rtl w:val="true"/>
          <w:lang w:bidi="fa-IR"/>
        </w:rPr>
        <w:t>.</w:t>
      </w:r>
    </w:p>
    <w:p>
      <w:pPr>
        <w:pStyle w:val="Heading4"/>
        <w:numPr>
          <w:ilvl w:val="3"/>
          <w:numId w:val="1"/>
        </w:numPr>
        <w:rPr/>
      </w:pPr>
      <w:bookmarkStart w:id="152" w:name="__RefHeading___Toc1127428_581953129"/>
      <w:bookmarkStart w:id="153" w:name="_Toc60"/>
      <w:bookmarkEnd w:id="152"/>
      <w:r>
        <w:rPr/>
        <w:t>3</w:t>
      </w:r>
      <w:r>
        <w:rPr>
          <w:rtl w:val="true"/>
        </w:rPr>
        <w:t xml:space="preserve">- </w:t>
      </w:r>
      <w:r>
        <w:rPr>
          <w:rtl w:val="true"/>
        </w:rPr>
        <w:t>التفریع والتخریج فی ظل النصوص والقواعد المتوارثة عن أئمّة أهل البیت علیهم السلام</w:t>
      </w:r>
      <w:bookmarkEnd w:id="153"/>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بلغ التفریع والتخریج علی ید الشیخ الطوسی القمة، ما ترک فرعاً الاّ خاضه، ویعدّ کتابه المبسوط خیر شاهد علی ذلک، وقد مضی علی تألیفه قرابة عشرة قرون، ومع ذلک لم یؤلّف کتاب مثله، والکتاب مع کونه یحتوی علی دورة فقهیة کاملة، لکنّه سلس الألفاظ، سهل</w:t>
      </w:r>
      <w:bookmarkStart w:id="154" w:name="pg5344_40599"/>
    </w:p>
    <w:p>
      <w:pPr>
        <w:pStyle w:val="BookText"/>
        <w:rPr/>
      </w:pPr>
      <w:bookmarkEnd w:id="154"/>
      <w:r>
        <w:rPr>
          <w:rFonts w:ascii="IRNazanin" w:hAnsi="IRNazanin" w:eastAsia="IRNazanin"/>
          <w:color w:val="111111"/>
          <w:sz w:val="28"/>
          <w:sz w:val="28"/>
          <w:szCs w:val="28"/>
          <w:rtl w:val="true"/>
          <w:lang w:bidi="fa-IR"/>
        </w:rPr>
        <w:t>التناول، موجز فی النقل، مختصر فی الاستدلال، علی خلاف ما نراه فی کتابی التذکرة والمنتهی فانّهما فی غایة البسط والتفصیل</w:t>
      </w:r>
      <w:r>
        <w:rPr>
          <w:rFonts w:eastAsia="IRNazanin" w:cs="IRNazanin"/>
          <w:color w:val="111111"/>
          <w:sz w:val="28"/>
          <w:szCs w:val="28"/>
          <w:rtl w:val="true"/>
          <w:lang w:bidi="fa-IR"/>
        </w:rPr>
        <w:t>.</w:t>
      </w:r>
    </w:p>
    <w:p>
      <w:pPr>
        <w:pStyle w:val="Heading3"/>
        <w:numPr>
          <w:ilvl w:val="2"/>
          <w:numId w:val="1"/>
        </w:numPr>
        <w:rPr/>
      </w:pPr>
      <w:bookmarkStart w:id="155" w:name="__RefHeading___Toc1127430_581953129"/>
      <w:bookmarkStart w:id="156" w:name="_Toc61"/>
      <w:bookmarkEnd w:id="155"/>
      <w:r>
        <w:rPr>
          <w:rtl w:val="true"/>
        </w:rPr>
        <w:t>عصر الرکود بعد رحیل الشیخ</w:t>
      </w:r>
      <w:bookmarkEnd w:id="156"/>
    </w:p>
    <w:p>
      <w:pPr>
        <w:pStyle w:val="BookText"/>
        <w:rPr/>
      </w:pPr>
      <w:r>
        <w:rPr>
          <w:rFonts w:ascii="IRNazanin" w:hAnsi="IRNazanin" w:eastAsia="IRNazanin"/>
          <w:color w:val="111111"/>
          <w:sz w:val="28"/>
          <w:sz w:val="28"/>
          <w:szCs w:val="28"/>
          <w:rtl w:val="true"/>
          <w:lang w:bidi="fa-IR"/>
        </w:rPr>
        <w:t>خدم شیخ الطائفة الفقه الشیعی وقبله مشایخه الأجلاّء خدمة جلیلة، فلم یترکوا موضعاً إلاّ ولجوه، ولا ثغراً إلاّ سدّوه، ولا حاجة إلاّ رفعوها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بزغ من بین المشایخ نجم الشیخ فی شتّی المجالات، واستأثر بعواطف تلامیذه ومعاصریه، واستطاع أن یحتلّ فی قلوبهم مکانة رفیعة، أهالت علیه هالة من القداسة، حتی عُدَّت مخالفته ومناقشة آرائه إهانة لشخصیته الفذَّة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کان ذلک الطابَع العام السائد، وإن وجد هناک من ناقش آراءه، فقد کانوا نزراً یسیراً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الشیخ سدید الدین محمود الحمصی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علماء القرن السادس یصف تلک الفترة من الرکود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یبق من الإمامیة مفت علی التحقیق، بل کلّهم حاک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السید ابن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 کلام الحمصی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فقد ظهر لی انّ الذی یُفتی به ویُجاب علی سبیل ما حُفِظَ من کلام العلماء المتقدّمین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 الشهید الثانی فی کتاب الرعایة فی علم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أکثر الفقهاء الذین نشأوا بعد الشیخ کانوا یتبعونه فی الفتوی تقلیداً له، لکثرة اعتقادهم فیه، وحسن ظنهم‌به، فلمّا جاء المتأخّرون وجدوا أحکاماً مشهورة قد عمل بها الشیخ ومتابعوه،فحسبوها شهرة بین العلماء، وما دروا انّ مرجعها إلی الشیخ، وانّ الشهرة إنّما حصلت بمتابعته</w:t>
      </w:r>
      <w:r>
        <w:rPr>
          <w:rFonts w:eastAsia="IRNazanin" w:cs="IRNazanin"/>
          <w:color w:val="111111"/>
          <w:sz w:val="28"/>
          <w:szCs w:val="28"/>
          <w:rtl w:val="true"/>
          <w:lang w:bidi="fa-IR"/>
        </w:rPr>
        <w:t xml:space="preserve">. </w:t>
      </w:r>
      <w:r>
        <w:rPr>
          <w:rStyle w:val="FootnoteAnchor"/>
          <w:rtl w:val="true"/>
        </w:rPr>
        <w:footnoteReference w:id="51"/>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غیر ذلک من الکلمات التی تتّهم هذه الفترة بالرکود خصوصاً کلمات ابن إدریس فی السرائر ومع أنّ هذا کان هو الطابَع السائد، وقد تخلّف عنه بعضهم فهذا هو ابن البراج الطرابلسی </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کان تلمیذاً للسید المرتضی وله زمالة مع الشیخ الطوسی، ومع ذلک یناظر الشیخ الطوسی فی قسم من المسائل، کما هو واضح لمن راجع کتاب المهذب،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bookmarkStart w:id="157" w:name="pg5344_40601"/>
    </w:p>
    <w:p>
      <w:pPr>
        <w:pStyle w:val="Heading3"/>
        <w:numPr>
          <w:ilvl w:val="2"/>
          <w:numId w:val="1"/>
        </w:numPr>
        <w:rPr/>
      </w:pPr>
      <w:bookmarkStart w:id="158" w:name="__RefHeading___Toc1127432_581953129"/>
      <w:bookmarkStart w:id="159" w:name="_Toc62"/>
      <w:bookmarkEnd w:id="157"/>
      <w:bookmarkEnd w:id="158"/>
      <w:r>
        <w:rPr>
          <w:rtl w:val="true"/>
        </w:rPr>
        <w:t>نشوء المذاهب الأربعة وحصر الاجتهاد فیها</w:t>
      </w:r>
      <w:bookmarkEnd w:id="159"/>
    </w:p>
    <w:p>
      <w:pPr>
        <w:pStyle w:val="BookText"/>
        <w:rPr/>
      </w:pPr>
      <w:r>
        <w:rPr>
          <w:rFonts w:ascii="IRNazanin" w:hAnsi="IRNazanin" w:eastAsia="IRNazanin"/>
          <w:color w:val="111111"/>
          <w:sz w:val="28"/>
          <w:sz w:val="28"/>
          <w:szCs w:val="28"/>
          <w:rtl w:val="true"/>
          <w:lang w:bidi="fa-IR"/>
        </w:rPr>
        <w:t xml:space="preserve">لقد تألّق نجم المذاهب الأربعة من منتصف القرن الرابع إلی سقوط بغداد سنة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ه ، فسرت روح التقلید للأئمة الأربعة سریاناً عاماً اشترک فیها العلماء وجمهور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تلقّی المتأخّرون المذاهب الأربعة تراثاً إسلامیاً بلغ من القداسة کأنّه موحی من الله لا یمکن النقاش فیه، ولا یجوز الخروج عن إطاره فأصبحت نصوص الأئمّة الأربعة کالوحی المنزل یجب استفراغ الوسع فی فهم کلامهم ومؤدّی لفظهم، فخلف ذلک فیما بعد آثاراً سلبیة حالت دون تکامل الفقه،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نشوء روح التقلید عند فقهاء تلک الأعصار، والتعصّب لمذهب الأسلاف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کثرة التخریج والتفریع والترجیح بین فقهاء المذاهب، فانّهم بدل أن یبذلوا جهودهم فی فهم الکتاب والسنّة انصبّت جُهودهم فی استنباط الفروع من الأُصول الثابتة عند أئمّة المذاهب، ولأجل ذلک کثر التألیف والتصنیف فی هذه العصور وأکثرها یحمل طابَع التخریج والتفریع، وقد حفظ تاریخ طبقات الفقهاء أسماء الذین برعوا فی تلک الأعصار، وکلّ یحمل علی عاتقه الدفاع عن المذهب الذی ینتحله ویتعصّب له ویؤلّف فی فقه إمامه أو یشرح کتب من ألّف من فقهه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خلّف هذا الوضع أثراً سلبیاً عجیباً وهو انتصار کلّ حاکم من الحکام لمذهب‌من المذاهب، فصار هذا سبباً لانقراض کثیر من المذاهب التی وصفناها بالمذاهب البائدة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کانت الدولة العباسیة تُثبِّت دعائم مذهب أبی حنیفة، فیولّی علی القضاء من کان متبعاً لهذا المذهب، ولمّا استولی الفاطمیون علی مصر منعوا التفقّه علی مذهب أبی حنیفة، لأنّه مذهب الدولة العباسیة وسمحوا بالتفقّه علی المذاهب الثلاثة المالکی والشافعی والحنبلی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انتهی الأمر إلی حصر المذاهب فی الأربعة مع أنّه حصر بلا دلیل وإقفال لباب الاجتهاد الذی هو رمز خلود الشریعة</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وممّن أرّخ لحصر المذاهب وبیّن انّه کان بدافع سیاسی، هو العالم المصری الشیخ المقریزی فی کتابه الخطط المقریزیة،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استمرت ولایة القضاة الأربعة من سنة </w:t>
      </w:r>
      <w:r>
        <w:rPr>
          <w:rFonts w:eastAsia="IRNazanin" w:cs="IRNazanin"/>
          <w:color w:val="111111"/>
          <w:sz w:val="28"/>
          <w:szCs w:val="28"/>
          <w:lang w:bidi="fa-IR"/>
        </w:rPr>
        <w:t>665</w:t>
      </w:r>
      <w:r>
        <w:rPr>
          <w:rFonts w:ascii="IRNazanin" w:hAnsi="IRNazanin" w:eastAsia="IRNazanin"/>
          <w:color w:val="111111"/>
          <w:sz w:val="28"/>
          <w:sz w:val="28"/>
          <w:szCs w:val="28"/>
          <w:rtl w:val="true"/>
          <w:lang w:bidi="fa-IR"/>
        </w:rPr>
        <w:t>ه ، حتّی لم یبق فی</w:t>
      </w:r>
      <w:bookmarkStart w:id="160" w:name="pg5344_40603"/>
    </w:p>
    <w:p>
      <w:pPr>
        <w:pStyle w:val="BookText"/>
        <w:rPr/>
      </w:pPr>
      <w:bookmarkEnd w:id="160"/>
      <w:r>
        <w:rPr>
          <w:rFonts w:ascii="IRNazanin" w:hAnsi="IRNazanin" w:eastAsia="IRNazanin"/>
          <w:color w:val="111111"/>
          <w:sz w:val="28"/>
          <w:sz w:val="28"/>
          <w:szCs w:val="28"/>
          <w:rtl w:val="true"/>
          <w:lang w:bidi="fa-IR"/>
        </w:rPr>
        <w:t>مجموع أمصار الإسلام مذهب یعرف من مذاهب الإسلام غیر هذه الأربعة، وعُودی من تمذهب بغیرها، وأُنکِر علیه، ولم یولَّ قاض، ولا قُبلَت شهادةُ أحد، ولا قُدِّم للخطابة والإمامة والتدریس أحد، ما لم یکن مقلّداً لأحد هذه المذاهب، وأفتی فقهاء هذه الأمصار فی طول هذه المدة بوجوب اتّباع هذه المذاهب وتحریم ما عداها، والعمل علی هذا إلی الیوم</w:t>
      </w:r>
      <w:r>
        <w:rPr>
          <w:rFonts w:eastAsia="IRNazanin" w:cs="IRNazanin"/>
          <w:color w:val="111111"/>
          <w:sz w:val="28"/>
          <w:szCs w:val="28"/>
          <w:rtl w:val="true"/>
          <w:lang w:bidi="fa-IR"/>
        </w:rPr>
        <w:t xml:space="preserve">. </w:t>
      </w:r>
      <w:r>
        <w:rPr>
          <w:rStyle w:val="FootnoteAnchor"/>
          <w:rtl w:val="true"/>
        </w:rPr>
        <w:footnoteReference w:id="52"/>
      </w:r>
    </w:p>
    <w:p>
      <w:pPr>
        <w:pStyle w:val="Heading3"/>
        <w:numPr>
          <w:ilvl w:val="2"/>
          <w:numId w:val="1"/>
        </w:numPr>
        <w:rPr/>
      </w:pPr>
      <w:bookmarkStart w:id="161" w:name="__RefHeading___Toc1127434_581953129"/>
      <w:bookmarkStart w:id="162" w:name="_Toc63"/>
      <w:bookmarkEnd w:id="161"/>
      <w:r>
        <w:rPr>
          <w:rtl w:val="true"/>
        </w:rPr>
        <w:t>مضاعفات حصر المذاهب</w:t>
      </w:r>
      <w:bookmarkEnd w:id="162"/>
    </w:p>
    <w:p>
      <w:pPr>
        <w:pStyle w:val="BookText"/>
        <w:rPr/>
      </w:pPr>
      <w:r>
        <w:rPr>
          <w:rFonts w:ascii="IRNazanin" w:hAnsi="IRNazanin" w:eastAsia="IRNazanin"/>
          <w:color w:val="111111"/>
          <w:sz w:val="28"/>
          <w:sz w:val="28"/>
          <w:szCs w:val="28"/>
          <w:rtl w:val="true"/>
          <w:lang w:bidi="fa-IR"/>
        </w:rPr>
        <w:t>قد تعرفت علی الدافع السیاسی لحصر المذاهب فی الأربعة وإقفال باب الاجتهاد، وإلیک بیان مضاعفات الحصر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أعقب حصر المذاهب فی الأربعة استیلاء الجمود والرکود علی الفقهاء منذ منتصف القرن الرابع الهجری، فلم یکن لهم بُدّ إلاّ السیر علی ضوء هذه المذاهب، وإن أدرکوا بذکائهم أنّ الحق فی غیرها، وربما امتلکوا مؤهلات فکریة لو استخدموها فی استنباط الأحکام لوصلوا إلی ما لم یصل إلیه السابقون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باب الاجتهاد، عند الشیعة فهو مفتوح علی مصراعیه فلم یغلق منذ فتح بابه، وقد أنجبت المدرسة الشیعیة العدید من المجتهدین والفقهاء إلی یومنا هذا قد أحیوا الشریعة وأنقذوها من الانطماس والانکماش، فأفتوا بحرمة تقلید المجتهد المیت ولزوم الرجوع إلی المجتهد الحی، وصار هذا سبباً لانتعاش الاجتهاد وراج سوقه فی الجامعات الإسلامیة، واکتظت بروّاد العلم، فلم یزل المجتهد الحی مقلَّداً یأخذ بزمام الأُمور إلی أن یفارق الحیاة، فیقوم مقامه مجتهد آخر یرجع إلیه الناس فی أُمور دینهم ودنیاهم، وبذلک صار الفقه الشیعی یسایر سنن الحیاة وتطورها، وصارت النصوص الشرعیة فی ظل الاجتهاد حیّة مرنة نامیة متطورة تتمشی مع نوامیس الزمان والمکان فلا جمود حتّی یباعد الدین عن الدنیا ولا العقیدة عن الحیاة</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هذا تذکرة للمفکّرین من أهل‌السنّة فی أن یقوموا بإنهاض الفقه وإنعاشه حتّی یواکب مستجدات الزمان، وبالرغم من ذلک فنجد بعد هذه الفترة من خرج عن هذا النطاق</w:t>
      </w:r>
    </w:p>
    <w:p>
      <w:pPr>
        <w:pStyle w:val="BookText"/>
        <w:rPr/>
      </w:pPr>
      <w:r>
        <w:rPr>
          <w:rFonts w:ascii="IRNazanin" w:hAnsi="IRNazanin" w:eastAsia="IRNazanin"/>
          <w:color w:val="111111"/>
          <w:sz w:val="28"/>
          <w:sz w:val="28"/>
          <w:szCs w:val="28"/>
          <w:rtl w:val="true"/>
          <w:lang w:bidi="fa-IR"/>
        </w:rPr>
        <w:t>وراح یفتی علی ضوء اجتهاده من غیر تقلید للأئمّة الأربعة، منهم علی سبیل المثال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محمد الغزالی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تصانیف عدیدة،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الوجیزة فی فقه الشافعیة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عبدالعزیز بن عبد السلام الدمشقی </w:t>
      </w:r>
      <w:r>
        <w:rPr>
          <w:rFonts w:eastAsia="IRNazanin" w:cs="IRNazanin"/>
          <w:color w:val="111111"/>
          <w:sz w:val="28"/>
          <w:szCs w:val="28"/>
          <w:rtl w:val="true"/>
          <w:lang w:bidi="fa-IR"/>
        </w:rPr>
        <w:t>(</w:t>
      </w:r>
      <w:r>
        <w:rPr>
          <w:rFonts w:eastAsia="IRNazanin" w:cs="IRNazanin"/>
          <w:color w:val="111111"/>
          <w:sz w:val="28"/>
          <w:szCs w:val="28"/>
          <w:lang w:bidi="fa-IR"/>
        </w:rPr>
        <w:t>577</w:t>
      </w:r>
      <w:r>
        <w:rPr>
          <w:rFonts w:eastAsia="IRNazanin" w:cs="IRNazanin"/>
          <w:color w:val="111111"/>
          <w:sz w:val="28"/>
          <w:szCs w:val="28"/>
          <w:rtl w:val="true"/>
          <w:lang w:bidi="fa-IR"/>
        </w:rPr>
        <w:t xml:space="preserve"> -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کتباً،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الأحکام فی إصلاح الأنام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دقیق العید </w:t>
      </w:r>
      <w:r>
        <w:rPr>
          <w:rFonts w:eastAsia="IRNazanin" w:cs="IRNazanin"/>
          <w:color w:val="111111"/>
          <w:sz w:val="28"/>
          <w:szCs w:val="28"/>
          <w:rtl w:val="true"/>
          <w:lang w:bidi="fa-IR"/>
        </w:rPr>
        <w:t>(</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eastAsia="IRNazanin" w:cs="IRNazanin"/>
          <w:color w:val="111111"/>
          <w:sz w:val="28"/>
          <w:szCs w:val="28"/>
          <w:lang w:bidi="fa-IR"/>
        </w:rPr>
        <w:t>702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کتباً،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الإلمام بأحادیث الأحکام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تقی الدین السبکی </w:t>
      </w:r>
      <w:r>
        <w:rPr>
          <w:rFonts w:eastAsia="IRNazanin" w:cs="IRNazanin"/>
          <w:color w:val="111111"/>
          <w:sz w:val="28"/>
          <w:szCs w:val="28"/>
          <w:rtl w:val="true"/>
          <w:lang w:bidi="fa-IR"/>
        </w:rPr>
        <w:t>(</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eastAsia="IRNazanin" w:cs="IRNazanin"/>
          <w:color w:val="111111"/>
          <w:sz w:val="28"/>
          <w:szCs w:val="28"/>
          <w:lang w:bidi="fa-IR"/>
        </w:rPr>
        <w:t>756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مشاهیر فقهاء الشافعیة،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الابتهاج فی شرح المنهاج للنووی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جلال الدین السیوطی </w:t>
      </w:r>
      <w:r>
        <w:rPr>
          <w:rFonts w:eastAsia="IRNazanin" w:cs="IRNazanin"/>
          <w:color w:val="111111"/>
          <w:sz w:val="28"/>
          <w:szCs w:val="28"/>
          <w:rtl w:val="true"/>
          <w:lang w:bidi="fa-IR"/>
        </w:rPr>
        <w:t>(</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الأشباه والنظائر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أنّ التقلید وصل بالناس فی نهایة أمرهم إلی تمسک کلّ فریق بمذهب إمامه وإسرافهم فی التعصّب له وحبسهم الجهود علی کتب علمائه، فقد نشطت فی مصر حیاة علمیة جدیدة، وثارت بها فی عصرنا هذا همم فتیة رغبت عن ذلک التعصب الجامد، وحفظت لکلّ مذهب حرمته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مراعیة انّ المذاهب التی علیها جمهور المسلمین راجعة کلّها إلی أصل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دین الله الحقّ، ومستمدة من بحر واحد هو کتاب الله وسنّة رسوله صلی الله علیه و آله ، نظروا إلی ذلک، وإلی أنّ الناس کثیراً ما یتعرضون للحرج، وتلتوی علیهم السبل کلّما جدت بهم حاجة شخصیة أو اجتماعیة ووقفوا بها عند مذهب معیّن، علی حین انّهم لا یجدون فی ذلک المذهب منفذاً للتخلص منها ولا حیلة فی تفادیها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یرق لدی المصلحین من رجال العلم أن یَدَعُوا الأمر علی هذا الجمود البغیض، ویترکوا الناس یجأرون بالشکوی من کلّ جانب، ولم یکن بدّ من العمل علی تقریب مسافات الخلاف بین المذاهب المشهورة، والاتّجاه بالناس إزاء حاجاتهم إلی التماس المخرج فی غیر المذهب الذی یلتزمونه، متابعة للشریعة فی رفقها، واقتباساً من سماحتها، وسیراً بالناس فی أحداثهم ومقتضیات زمنهم علی ضوء الإسلام الحنیف</w:t>
      </w:r>
      <w:r>
        <w:rPr>
          <w:rFonts w:eastAsia="IRNazanin" w:cs="IRNazanin"/>
          <w:color w:val="111111"/>
          <w:sz w:val="28"/>
          <w:szCs w:val="28"/>
          <w:rtl w:val="true"/>
          <w:lang w:bidi="fa-IR"/>
        </w:rPr>
        <w:t xml:space="preserve">. </w:t>
      </w:r>
      <w:r>
        <w:rPr>
          <w:rStyle w:val="FootnoteAnchor"/>
          <w:rtl w:val="true"/>
        </w:rPr>
        <w:footnoteReference w:id="53"/>
      </w:r>
      <w:bookmarkStart w:id="163" w:name="pg5344_40609"/>
    </w:p>
    <w:p>
      <w:pPr>
        <w:pStyle w:val="Heading2"/>
        <w:numPr>
          <w:ilvl w:val="1"/>
          <w:numId w:val="1"/>
        </w:numPr>
        <w:rPr/>
      </w:pPr>
      <w:bookmarkStart w:id="164" w:name="__RefHeading___Toc1127436_581953129"/>
      <w:bookmarkStart w:id="165" w:name="_Toc64"/>
      <w:bookmarkEnd w:id="163"/>
      <w:bookmarkEnd w:id="164"/>
      <w:r>
        <w:rPr/>
        <w:t>5</w:t>
      </w:r>
      <w:r>
        <w:rPr>
          <w:rtl w:val="true"/>
        </w:rPr>
        <w:t xml:space="preserve">- </w:t>
      </w:r>
      <w:r>
        <w:rPr>
          <w:rtl w:val="true"/>
        </w:rPr>
        <w:t>تجدید الحیاة الفقهیة فی القرن السادس</w:t>
      </w:r>
      <w:bookmarkEnd w:id="165"/>
    </w:p>
    <w:p>
      <w:pPr>
        <w:pStyle w:val="BookText"/>
        <w:rPr/>
      </w:pPr>
      <w:r>
        <w:rPr>
          <w:rFonts w:ascii="IRNazanin" w:hAnsi="IRNazanin" w:eastAsia="IRNazanin"/>
          <w:color w:val="111111"/>
          <w:sz w:val="28"/>
          <w:sz w:val="28"/>
          <w:szCs w:val="28"/>
          <w:rtl w:val="true"/>
          <w:lang w:bidi="fa-IR"/>
        </w:rPr>
        <w:t>لقد سبق انّ من جاء بعد رحیل الشیخ الطوسی من الفقهاء أذعنوا لفتاوی الشیخ واستدلالاته فلم یخرجوا عن ذلک الطور إلاّ قلیلاً، حتّی ظهر علی مسرح الفکر الفقهی فقیه فذ، ذو فکر وقّاد، وذهن جوّال، آب عن التقلید تابع لما یقوده إلیه فکره ألا وهو محمد بن إدریس الحلی، فإنّه وقف وهو فی العقد الرابع من عمره علی توقّف الرکب الفقهی عن السیر، وانّ کلّ ما تمخضت عند الساحة الفکریة کان فی الواقع تقلیداً للشیخ الطوسی لیس إلاّ، فشمر عن ساعد الجد وأحدث ثورة عارمة فی حقل الاجتهاد والاستنباط، وإلیک أسماء الفقهاء الذین الذی قاموا بتجدید الحیاة الفقهیة فی القرن السادس وما بعده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إدریس مجدّد الحیاة الفقهیة </w:t>
      </w:r>
      <w:r>
        <w:rPr>
          <w:rFonts w:eastAsia="IRNazanin" w:cs="IRNazanin"/>
          <w:color w:val="111111"/>
          <w:sz w:val="28"/>
          <w:szCs w:val="28"/>
          <w:rtl w:val="true"/>
          <w:lang w:bidi="fa-IR"/>
        </w:rPr>
        <w:t>(</w:t>
      </w:r>
      <w:r>
        <w:rPr>
          <w:rFonts w:eastAsia="IRNazanin" w:cs="IRNazanin"/>
          <w:color w:val="111111"/>
          <w:sz w:val="28"/>
          <w:szCs w:val="28"/>
          <w:lang w:bidi="fa-IR"/>
        </w:rPr>
        <w:t>543</w:t>
      </w:r>
      <w:r>
        <w:rPr>
          <w:rFonts w:eastAsia="IRNazanin" w:cs="IRNazanin"/>
          <w:color w:val="111111"/>
          <w:sz w:val="28"/>
          <w:szCs w:val="28"/>
          <w:rtl w:val="true"/>
          <w:lang w:bidi="fa-IR"/>
        </w:rPr>
        <w:t xml:space="preserve"> -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یعدّ ابن إدریس أوّل من خطا بالفقه خطوات واسعة، ولأجل أن یقف القارئ علی مدی الجهود العلمیة التی بذلها فی رفع المستوی العلمی والفقهی نذکر نص عبارته فی أوّل السرائر</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إنّی لمّا رأیت زهد أهل هذا العصر فی علم الشریعة المحمدیة والأحکام الإسلامیة، وتثاقلهم عن طلبها، وعداوتهم لما یجهلون وتضییعهم لما یعلمون، ورأیت ذا السن من أهل دهرنا هذا لغلبة الغباوة علیه وملکة الجهل لقیاده، مضیِّعاً لما استودعته الأیام، مقصّراً فی البحث عمّا یجب علیه علمه، حتّی کأنّه ابن یومه ونتیج ساعته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العلم عنانه</w:t>
      </w:r>
    </w:p>
    <w:p>
      <w:pPr>
        <w:pStyle w:val="BookText"/>
        <w:rPr/>
      </w:pPr>
      <w:r>
        <w:rPr>
          <w:rFonts w:ascii="IRNazanin" w:hAnsi="IRNazanin" w:eastAsia="IRNazanin"/>
          <w:color w:val="111111"/>
          <w:sz w:val="28"/>
          <w:sz w:val="28"/>
          <w:szCs w:val="28"/>
          <w:rtl w:val="true"/>
          <w:lang w:bidi="fa-IR"/>
        </w:rPr>
        <w:t>فی ید الامتهان، ومیدانه قد عطل من الرهان تدارکت منه الذماء الباقی، وتلافیت نفساً بلغت التراقی</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فابن إدریس بکتابه هذا أوّل من نفض غبار الرکود عن کاهل الفقه الشیعی، واقتفی أثره جلّ من تأخّروا عنه وإن اختلفوا معه فی أشیاء وأشیاء، ولکن الضجّة التی أثارها ترکت أثرها فی شحذ الهمم نحوَ عرض الفقه بأُسلوب أکثر 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أُصیب فی جهاده العلمی بوابل من الطعنات اللاذعة، لکنّها لم تؤثر فی عزمه الراسخ نحو ما تصبو إلیه نفسه، وهو بتألیف کتابه الرائع السرائر قد قضی علی التقلید الفکری وأطاح به، وأخذ یطرح أفکاره فی ثنایا کتابه، مندداً بالمتفقّهة والمقلّدة، وهو مع إجلاله للشیخ الطوسی أخذ ببیان المواضع التی یخالفه فیها مدعومة بالبرهان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الفقیه معین الدین سالم بن بدران بن علی المصری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حیاً عام </w:t>
      </w:r>
      <w:r>
        <w:rPr>
          <w:rFonts w:eastAsia="IRNazanin" w:cs="IRNazanin"/>
          <w:color w:val="111111"/>
          <w:sz w:val="28"/>
          <w:szCs w:val="28"/>
          <w:lang w:bidi="fa-IR"/>
        </w:rPr>
        <w:t>629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التحریر الحاوی علی أحکام المواریث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 الدین فخار بن معد بن فخار الموسوی الحائری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کتب، منها کتاب الحجّة علی الذاهب إلی تکفیر أبی طالب یروی عنه المحقّق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ویروی هو عن ابن إدریس الحلیّ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نجیب الدین محمد بن جعفر بن نما الحلی </w:t>
      </w:r>
      <w:r>
        <w:rPr>
          <w:rFonts w:eastAsia="IRNazanin" w:cs="IRNazanin"/>
          <w:color w:val="111111"/>
          <w:sz w:val="28"/>
          <w:szCs w:val="28"/>
          <w:rtl w:val="true"/>
          <w:lang w:bidi="fa-IR"/>
        </w:rPr>
        <w:t>(</w:t>
      </w:r>
      <w:r>
        <w:rPr>
          <w:rFonts w:eastAsia="IRNazanin" w:cs="IRNazanin"/>
          <w:color w:val="111111"/>
          <w:sz w:val="28"/>
          <w:szCs w:val="28"/>
          <w:lang w:bidi="fa-IR"/>
        </w:rPr>
        <w:t>565</w:t>
      </w:r>
      <w:r>
        <w:rPr>
          <w:rFonts w:eastAsia="IRNazanin" w:cs="IRNazanin"/>
          <w:color w:val="111111"/>
          <w:sz w:val="28"/>
          <w:szCs w:val="28"/>
          <w:rtl w:val="true"/>
          <w:lang w:bidi="fa-IR"/>
        </w:rPr>
        <w:t xml:space="preserve"> - </w:t>
      </w:r>
      <w:r>
        <w:rPr>
          <w:rFonts w:eastAsia="IRNazanin" w:cs="IRNazanin"/>
          <w:color w:val="111111"/>
          <w:sz w:val="28"/>
          <w:szCs w:val="28"/>
          <w:lang w:bidi="fa-IR"/>
        </w:rPr>
        <w:t>645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الفقهاء فی عصره، وأحد مشایخ المحقّق الحلیّ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نجم الدین جعفر بن الحسن بن یحیی بن سعید الحلی </w:t>
      </w:r>
      <w:r>
        <w:rPr>
          <w:rFonts w:eastAsia="IRNazanin" w:cs="IRNazanin"/>
          <w:color w:val="111111"/>
          <w:sz w:val="28"/>
          <w:szCs w:val="28"/>
          <w:rtl w:val="true"/>
          <w:lang w:bidi="fa-IR"/>
        </w:rPr>
        <w:t>(</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الملقب بالمحقّق علی الإطلاق، ویکفی فی مقامه انّ کتابه شرائع الإسلام أصبح کتاباً دراسیاً منذ تألیفه إلی یومنا هذا وصار محطاً للشرح والتعلیق عبر قرون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أحمد بن موسی بن جعفر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تصانیف عدیدة، منها کتاب بشری المحقّقین فی الفقه فی ستة مجلدات، وکتاب الملاذ فی الفقه فی أربعة مجلدات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یحیی بن سعید الحلی </w:t>
      </w:r>
      <w:r>
        <w:rPr>
          <w:rFonts w:eastAsia="IRNazanin" w:cs="IRNazanin"/>
          <w:color w:val="111111"/>
          <w:sz w:val="28"/>
          <w:szCs w:val="28"/>
          <w:rtl w:val="true"/>
          <w:lang w:bidi="fa-IR"/>
        </w:rPr>
        <w:t>(</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eastAsia="IRNazanin" w:cs="IRNazanin"/>
          <w:color w:val="111111"/>
          <w:sz w:val="28"/>
          <w:szCs w:val="28"/>
          <w:lang w:bidi="fa-IR"/>
        </w:rPr>
        <w:t>689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کتاب الجامع للشرائع فی الفقه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غیاث الدین عبد الکریم بن أحمد بن طاووس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کتب منها الشمل المنظوم فی مصنفی العلوم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الحسن بن أبی طالب الیوسفی الآبی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حیاً عام </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کتاب کشف الرموز وهو شرح لکتاب النافع للمحقّق الحلی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جمال الدین الحسن بن یوسف بن علی بن المطهر الحلی المعروف بالعلاّمة الحلی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التصانیف العدیدة منها کتاب منتهی المطلب فی تحقیق المذهب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مکی العاملی </w:t>
      </w:r>
      <w:r>
        <w:rPr>
          <w:rFonts w:eastAsia="IRNazanin" w:cs="IRNazanin"/>
          <w:color w:val="111111"/>
          <w:sz w:val="28"/>
          <w:szCs w:val="28"/>
          <w:rtl w:val="true"/>
          <w:lang w:bidi="fa-IR"/>
        </w:rPr>
        <w:t>(</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بالشهید الأوّل، له تصانیف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الدروس الشرعیة فی فقه الإمامیة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زین الدین بن علی بن أحمد الجبعی العاملی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بالشهید الثانی، وتصانیفه مفعمة بالتحقیق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مسالک الافهام فی شرح شرائع الإسلام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جمال الدین الحسن بن زین الدین الشهید الثانی العاملی الجبعی </w:t>
      </w:r>
      <w:r>
        <w:rPr>
          <w:rFonts w:eastAsia="IRNazanin" w:cs="IRNazanin"/>
          <w:color w:val="111111"/>
          <w:sz w:val="28"/>
          <w:szCs w:val="28"/>
          <w:rtl w:val="true"/>
          <w:lang w:bidi="fa-IR"/>
        </w:rPr>
        <w:t>(</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eastAsia="IRNazanin" w:cs="IRNazanin"/>
          <w:color w:val="111111"/>
          <w:sz w:val="28"/>
          <w:szCs w:val="28"/>
          <w:lang w:bidi="fa-IR"/>
        </w:rPr>
        <w:t>1011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أشهر تصانیفه معالم الدین وملاذ المجتهدین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جمال الدین الخوانساری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1125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تألیفات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مفتاح الفلاح وحاشیة علی شرح مختصر الأُصول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بهاء الدین محمد بن الحسن المعروف بالفاضل الهندی </w:t>
      </w:r>
      <w:r>
        <w:rPr>
          <w:rFonts w:eastAsia="IRNazanin" w:cs="IRNazanin"/>
          <w:color w:val="111111"/>
          <w:sz w:val="28"/>
          <w:szCs w:val="28"/>
          <w:rtl w:val="true"/>
          <w:lang w:bidi="fa-IR"/>
        </w:rPr>
        <w:t>(</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eastAsia="IRNazanin" w:cs="IRNazanin"/>
          <w:color w:val="111111"/>
          <w:sz w:val="28"/>
          <w:szCs w:val="28"/>
          <w:lang w:bidi="fa-IR"/>
        </w:rPr>
        <w:t>1137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کشف اللثام عن قواعد الأحکام</w:t>
      </w:r>
      <w:r>
        <w:rPr>
          <w:rFonts w:eastAsia="IRNazanin" w:cs="IRNazanin"/>
          <w:color w:val="111111"/>
          <w:sz w:val="28"/>
          <w:szCs w:val="28"/>
          <w:rtl w:val="true"/>
          <w:lang w:bidi="fa-IR"/>
        </w:rPr>
        <w:t>.</w:t>
      </w:r>
      <w:bookmarkStart w:id="166" w:name="pg5344_40617"/>
    </w:p>
    <w:p>
      <w:pPr>
        <w:pStyle w:val="Heading2"/>
        <w:numPr>
          <w:ilvl w:val="1"/>
          <w:numId w:val="1"/>
        </w:numPr>
        <w:rPr/>
      </w:pPr>
      <w:bookmarkStart w:id="167" w:name="__RefHeading___Toc1127438_581953129"/>
      <w:bookmarkStart w:id="168" w:name="_Toc65"/>
      <w:bookmarkEnd w:id="166"/>
      <w:bookmarkEnd w:id="167"/>
      <w:r>
        <w:rPr/>
        <w:t>6</w:t>
      </w:r>
      <w:r>
        <w:rPr>
          <w:rtl w:val="true"/>
        </w:rPr>
        <w:t xml:space="preserve">- </w:t>
      </w:r>
      <w:r>
        <w:rPr>
          <w:rtl w:val="true"/>
        </w:rPr>
        <w:t>ظهور الحرکة الأخباریة</w:t>
      </w:r>
      <w:bookmarkEnd w:id="168"/>
    </w:p>
    <w:p>
      <w:pPr>
        <w:pStyle w:val="Heading3"/>
        <w:numPr>
          <w:ilvl w:val="2"/>
          <w:numId w:val="1"/>
        </w:numPr>
        <w:rPr/>
      </w:pPr>
      <w:bookmarkStart w:id="169" w:name="__RefHeading___Toc1127440_581953129"/>
      <w:bookmarkStart w:id="170" w:name="_Toc66"/>
      <w:bookmarkEnd w:id="169"/>
      <w:r>
        <w:rPr>
          <w:rtl w:val="true"/>
        </w:rPr>
        <w:t>اشارة</w:t>
      </w:r>
      <w:bookmarkEnd w:id="170"/>
    </w:p>
    <w:p>
      <w:pPr>
        <w:pStyle w:val="BookText"/>
        <w:rPr/>
      </w:pPr>
      <w:r>
        <w:rPr>
          <w:rFonts w:ascii="IRNazanin" w:hAnsi="IRNazanin" w:eastAsia="IRNazanin"/>
          <w:color w:val="111111"/>
          <w:sz w:val="28"/>
          <w:sz w:val="28"/>
          <w:szCs w:val="28"/>
          <w:rtl w:val="true"/>
          <w:lang w:bidi="fa-IR"/>
        </w:rPr>
        <w:t>کان مطلع القرن الحادی عشر مسرحاً للتیارات الفکریة المختلفة، فمن مکبّ علی العلوم الطبیعیة کالنجوم والریاضیات والطب التی معیارها التجربة، إلی آخر متوغّل فی الحکمة والعرفان والمعارف العقلیة التی لا تدرک إلاّ بقسطاس العقل، إلی ثالث مقبل علی علم الشریعة کالفقه والأُصول ومبادئهما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تلک الأجواء المشحونة، ظهرت المدرسة الأخباریة التی شطبت علی العلوم العقلیة بقلم عریض ولم تر للعقل أیّ وزن واعتبار لا فی العلوم العقلیة ولا فی العلوم النقلیة، ونادت ببطلان الاجتهاد والتقلید، وخطّأت طریقتهما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رفع رایتها الشیخ محمد أمین بن محمد شریف الاسترابادی الأخباری فی کتابه الموسوم بالفوائد المدنیة الذی ألّفه فی المدینة المنورة أیام إقامته بها وتتلخّص فکرته فی الأُمور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حجّیة ظواهر الکتاب إلاّ بعد ورود التفسیر عن أئمّة أهل‌البیت علیهم السلام ، لما ورد من الأحادیث الناهیة عن تفسیر القرآن بالرأی أوّلاً، وطروء مخصّصات ومقیّدات علی عمومه وخصوصه ثانیاً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نفی حجّیة حکم العقل فی المسائل الأُصولیة وعدم الملازمة بین حکم العقل والنقل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نفی حجّیة الإجماع من دون فرق بین المحصل والمنقول</w:t>
      </w:r>
      <w:r>
        <w:rPr>
          <w:rFonts w:eastAsia="IRNazanin" w:cs="IRNazanin"/>
          <w:color w:val="111111"/>
          <w:sz w:val="28"/>
          <w:szCs w:val="28"/>
          <w:rtl w:val="true"/>
          <w:lang w:bidi="fa-IR"/>
        </w:rPr>
        <w:t>.</w:t>
      </w:r>
      <w:bookmarkStart w:id="171" w:name="pg5344_40619"/>
    </w:p>
    <w:p>
      <w:pPr>
        <w:pStyle w:val="BookText"/>
        <w:rPr/>
      </w:pPr>
      <w:bookmarkEnd w:id="171"/>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ادّعاء قطعیة صدور کلّ ما ورد فی الکتب الحدیثیة الأربعة من الروایات لاهتمام أصحابها بتلک الروایات، فلا یحتاج الفقیه إلی دراسة أسنادها أو تنویعها إلی الأقسام الأربعة المشهورة، کما قام به ابن طاووس وتبعه العلاّمة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التوقّف عن الحکم إذا لم یدلّ دلیل من السنّة علی حکم الموضوع، والاحتیاط فی مقام العمل، فالتدخین الذی کان موضوعاً جدیداً آنذاک تُوقف عن الحکم فیه وروعی الاحتیاط فی مقام العمل بترکه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الأُسس التی قامت علیها المدرسة الأخباریة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الأخباریة بهذا المعنی منهج جدید ابتدعه الأمین الاسترابادی فهی أخباریة المنهجیة،لها أُسسها ودعائمها، وقد طرح الفکرة بنحو البرهان والنقد علی الأُسس التی اعتمد علیها الأُصولیون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یظهر انّ الأخباریة بهذا المعنی لا صلة لها بالأخباریة فی عصر الأئمة، فإنّ المراد منها فی عصرهم هو من له رغبة بأخذ الحدیث وجمعه وروایته فی مقابل من کان له رغبة بالتفکیر والتدبّر فی مفهوم الحدیث وتحقیق معانیه</w:t>
      </w:r>
      <w:r>
        <w:rPr>
          <w:rFonts w:eastAsia="IRNazanin" w:cs="IRNazanin"/>
          <w:color w:val="111111"/>
          <w:sz w:val="28"/>
          <w:szCs w:val="28"/>
          <w:rtl w:val="true"/>
          <w:lang w:bidi="fa-IR"/>
        </w:rPr>
        <w:t>.</w:t>
      </w:r>
    </w:p>
    <w:p>
      <w:pPr>
        <w:pStyle w:val="Heading3"/>
        <w:numPr>
          <w:ilvl w:val="2"/>
          <w:numId w:val="1"/>
        </w:numPr>
        <w:rPr/>
      </w:pPr>
      <w:bookmarkStart w:id="172" w:name="__RefHeading___Toc1127442_581953129"/>
      <w:bookmarkStart w:id="173" w:name="_Toc67"/>
      <w:bookmarkEnd w:id="172"/>
      <w:r>
        <w:rPr>
          <w:rtl w:val="true"/>
        </w:rPr>
        <w:t>لمحة من سیرة المؤسّس</w:t>
      </w:r>
      <w:bookmarkEnd w:id="173"/>
    </w:p>
    <w:p>
      <w:pPr>
        <w:pStyle w:val="BookText"/>
        <w:rPr/>
      </w:pPr>
      <w:r>
        <w:rPr>
          <w:rFonts w:ascii="IRNazanin" w:hAnsi="IRNazanin" w:eastAsia="IRNazanin"/>
          <w:color w:val="111111"/>
          <w:sz w:val="28"/>
          <w:sz w:val="28"/>
          <w:szCs w:val="28"/>
          <w:rtl w:val="true"/>
          <w:lang w:bidi="fa-IR"/>
        </w:rPr>
        <w:t xml:space="preserve">إنّ مؤسّس هذا المنهج کما عرفت هو محمد بن أمین الاسترابادی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1036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والسیر فی کتابه الفوائد المدنیة یوقفنا علی أنّه أخذ علم الأُصول عن تقی الدین محمد النسابة، وعلم الحدیث عن السید محمد صاحب المدارک، یقول هو فی ذلک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قرأت شرح العضدی للمختصر الحاجبی فی أوائل سنّی فی دار العلم شیراز علی أعظم العلماء المحققین وحید عصره وفرید دهره، الشاه تقی الدین محمد النسابة فی مدة أربع سنین قراءة بحث وتحقیق وتدقیق</w:t>
      </w:r>
      <w:r>
        <w:rPr>
          <w:rFonts w:eastAsia="IRNazanin" w:cs="IRNazanin"/>
          <w:color w:val="111111"/>
          <w:sz w:val="28"/>
          <w:szCs w:val="28"/>
          <w:rtl w:val="true"/>
          <w:lang w:bidi="fa-IR"/>
        </w:rPr>
        <w:t xml:space="preserve">. </w:t>
      </w:r>
      <w:r>
        <w:rPr>
          <w:rStyle w:val="FootnoteAnchor"/>
          <w:rtl w:val="true"/>
        </w:rPr>
        <w:footnoteReference w:id="55"/>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ویقول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مشایخی فی علم الحدیث والرجال ومن تشرفت بالاستفادة</w:t>
      </w:r>
      <w:bookmarkStart w:id="174" w:name="pg5344_40621"/>
    </w:p>
    <w:p>
      <w:pPr>
        <w:pStyle w:val="BookText"/>
        <w:rPr/>
      </w:pPr>
      <w:bookmarkEnd w:id="174"/>
      <w:r>
        <w:rPr>
          <w:rFonts w:ascii="IRNazanin" w:hAnsi="IRNazanin" w:eastAsia="IRNazanin"/>
          <w:color w:val="111111"/>
          <w:sz w:val="28"/>
          <w:sz w:val="28"/>
          <w:szCs w:val="28"/>
          <w:rtl w:val="true"/>
          <w:lang w:bidi="fa-IR"/>
        </w:rPr>
        <w:t>وأخذ الإجازة منه فی عنفوان شبابی فی مشهد المقدس الغروی هو السید السند والعلاّمة الأوحد صاحب مدارک الأحکام فی شرح شرائع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وقرأ أیضاً علی ید الرجالی المعروف میرزا محمد الاسترآبادی، وبذلک یعلم أنّه أظهر الفکرة الأخباریة بعد ما درس الأُصول والرجال والحدیث، کما یظهر من نفس الکتاب انّه قرأ الریاضیات والفلکیات والحکمة</w:t>
      </w:r>
      <w:r>
        <w:rPr>
          <w:rFonts w:eastAsia="IRNazanin" w:cs="IRNazanin"/>
          <w:color w:val="111111"/>
          <w:sz w:val="28"/>
          <w:szCs w:val="28"/>
          <w:rtl w:val="true"/>
          <w:lang w:bidi="fa-IR"/>
        </w:rPr>
        <w:t>.</w:t>
      </w:r>
    </w:p>
    <w:p>
      <w:pPr>
        <w:pStyle w:val="Heading3"/>
        <w:numPr>
          <w:ilvl w:val="2"/>
          <w:numId w:val="1"/>
        </w:numPr>
        <w:rPr/>
      </w:pPr>
      <w:bookmarkStart w:id="175" w:name="__RefHeading___Toc1127444_581953129"/>
      <w:bookmarkStart w:id="176" w:name="_Toc68"/>
      <w:bookmarkEnd w:id="175"/>
      <w:r>
        <w:rPr>
          <w:rtl w:val="true"/>
        </w:rPr>
        <w:t>الأخباریة بین التطرف والاعتدال</w:t>
      </w:r>
      <w:bookmarkEnd w:id="176"/>
    </w:p>
    <w:p>
      <w:pPr>
        <w:pStyle w:val="BookText"/>
        <w:rPr/>
      </w:pPr>
      <w:r>
        <w:rPr>
          <w:rFonts w:ascii="IRNazanin" w:hAnsi="IRNazanin" w:eastAsia="IRNazanin"/>
          <w:color w:val="111111"/>
          <w:sz w:val="28"/>
          <w:sz w:val="28"/>
          <w:szCs w:val="28"/>
          <w:rtl w:val="true"/>
          <w:lang w:bidi="fa-IR"/>
        </w:rPr>
        <w:t xml:space="preserve">تأثرت الأوساط العلمیة بالتیار الأخباری وذاع صیته وکثر أتباعه، وهم بین متطرف کالأمین الاسترابادی الذی کان یطعن علی العلماء ویتهمهم بالعدول عن منهج أهل‌البیت علیهم السلام ، وبین معتدل یتبنّی نفس الفکرة مع التبجیل والتکریم للمخالف کالمحدث یوسف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ولنذکر جملة ممن تأثر بهذا المنهج من غیر تعرض للمتطرف وغیر المتطرف، بل نذکر الجمیع علی حد سواء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زین الدین علی 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1064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مصنّفاته رسالة فی الصلاة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تقی المجلسی الأوّل </w:t>
      </w:r>
      <w:r>
        <w:rPr>
          <w:rFonts w:eastAsia="IRNazanin" w:cs="IRNazanin"/>
          <w:color w:val="111111"/>
          <w:sz w:val="28"/>
          <w:szCs w:val="28"/>
          <w:rtl w:val="true"/>
          <w:lang w:bidi="fa-IR"/>
        </w:rPr>
        <w:t>(</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کتب منها حلیة المتقین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خلیل بن غازی القزوینی </w:t>
      </w:r>
      <w:r>
        <w:rPr>
          <w:rFonts w:eastAsia="IRNazanin" w:cs="IRNazanin"/>
          <w:color w:val="111111"/>
          <w:sz w:val="28"/>
          <w:szCs w:val="28"/>
          <w:rtl w:val="true"/>
          <w:lang w:bidi="fa-IR"/>
        </w:rPr>
        <w:t>(</w:t>
      </w:r>
      <w:r>
        <w:rPr>
          <w:rFonts w:eastAsia="IRNazanin" w:cs="IRNazanin"/>
          <w:color w:val="111111"/>
          <w:sz w:val="28"/>
          <w:szCs w:val="28"/>
          <w:lang w:bidi="fa-IR"/>
        </w:rPr>
        <w:t>1001</w:t>
      </w:r>
      <w:r>
        <w:rPr>
          <w:rFonts w:eastAsia="IRNazanin" w:cs="IRNazanin"/>
          <w:color w:val="111111"/>
          <w:sz w:val="28"/>
          <w:szCs w:val="28"/>
          <w:rtl w:val="true"/>
          <w:lang w:bidi="fa-IR"/>
        </w:rPr>
        <w:t xml:space="preserve"> -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الصافی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شرح‌للکافی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الفیض الکاشانی </w:t>
      </w:r>
      <w:r>
        <w:rPr>
          <w:rFonts w:eastAsia="IRNazanin" w:cs="IRNazanin"/>
          <w:color w:val="111111"/>
          <w:sz w:val="28"/>
          <w:szCs w:val="28"/>
          <w:rtl w:val="true"/>
          <w:lang w:bidi="fa-IR"/>
        </w:rPr>
        <w:t>(</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تصانیفه 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الشرائع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علی العروسی الحویزی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حیاً عام </w:t>
      </w:r>
      <w:r>
        <w:rPr>
          <w:rFonts w:eastAsia="IRNazanin" w:cs="IRNazanin"/>
          <w:color w:val="111111"/>
          <w:sz w:val="28"/>
          <w:szCs w:val="28"/>
          <w:lang w:bidi="fa-IR"/>
        </w:rPr>
        <w:t>1073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الثقلین فی تفسیر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الحسن الحرّ العاملی </w:t>
      </w:r>
      <w:r>
        <w:rPr>
          <w:rFonts w:eastAsia="IRNazanin" w:cs="IRNazanin"/>
          <w:color w:val="111111"/>
          <w:sz w:val="28"/>
          <w:szCs w:val="28"/>
          <w:rtl w:val="true"/>
          <w:lang w:bidi="fa-IR"/>
        </w:rPr>
        <w:t>(</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أشهر تصانیفه کتاب الوسائل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هاشم بن سلیمان البحرانی التوبلی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تنبیهات الأدیب فی رجال التهذیب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باقر بن محمد تقی المجلسی الثانی </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أشهر تصانیفه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وهو موسوعة کبری طبع فی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أجزاء</w:t>
      </w:r>
      <w:r>
        <w:rPr>
          <w:rFonts w:eastAsia="IRNazanin" w:cs="IRNazanin"/>
          <w:color w:val="111111"/>
          <w:sz w:val="28"/>
          <w:szCs w:val="28"/>
          <w:rtl w:val="true"/>
          <w:lang w:bidi="fa-IR"/>
        </w:rPr>
        <w:t>;</w:t>
      </w:r>
      <w:bookmarkStart w:id="177" w:name="pg5344_40624"/>
    </w:p>
    <w:p>
      <w:pPr>
        <w:pStyle w:val="BookText"/>
        <w:rPr/>
      </w:pPr>
      <w:bookmarkEnd w:id="177"/>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نعمة‌الله بن عبدالله الجزائری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1113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التهذیب</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سلیمان بن عبدالله البحرانی </w:t>
      </w:r>
      <w:r>
        <w:rPr>
          <w:rFonts w:eastAsia="IRNazanin" w:cs="IRNazanin"/>
          <w:color w:val="111111"/>
          <w:sz w:val="28"/>
          <w:szCs w:val="28"/>
          <w:rtl w:val="true"/>
          <w:lang w:bidi="fa-IR"/>
        </w:rPr>
        <w:t>(</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الأربعین فی الإمامة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صالح البحرانی السماهیجی </w:t>
      </w:r>
      <w:r>
        <w:rPr>
          <w:rFonts w:eastAsia="IRNazanin" w:cs="IRNazanin"/>
          <w:color w:val="111111"/>
          <w:sz w:val="28"/>
          <w:szCs w:val="28"/>
          <w:rtl w:val="true"/>
          <w:lang w:bidi="fa-IR"/>
        </w:rPr>
        <w:t>(</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eastAsia="IRNazanin" w:cs="IRNazanin"/>
          <w:color w:val="111111"/>
          <w:sz w:val="28"/>
          <w:szCs w:val="28"/>
          <w:lang w:bidi="fa-IR"/>
        </w:rPr>
        <w:t>1130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تآلیفه کتاب جواهر البحرین فی أحکام الثقلین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یوسف البحرانی </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أشهر کتبه الحدائق الناضرة فی أحکام العترة الطاهرة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لمحة خاطفة عن روّاد الأخباریة منذ أن رفع رایتها الأمین الاسترابادی ودامت ما یقرب من قرنین من الزمان، وانتهت بظهور الوحید البهبهانی الذی هدم أرکانها بمعولة وقضی علیها بفکره الوقّاد، وحججه الباهرة القاهرة، وبراهینه الساطعة القانعة، وجهاده المتواصل، فدحض حججها واستطاع أن یوقفها عند حدها، ومنذ ذلک الوقت بدأ النشاط الأخباری بالفتور، ولم یبق من معالمه شیء إلاّ أنّه ترک مخلّفات وآثاراً غیر محمودة عند المتأخرین من العلماء</w:t>
      </w:r>
      <w:r>
        <w:rPr>
          <w:rFonts w:eastAsia="IRNazanin" w:cs="IRNazanin"/>
          <w:color w:val="111111"/>
          <w:sz w:val="28"/>
          <w:szCs w:val="28"/>
          <w:rtl w:val="true"/>
          <w:lang w:bidi="fa-IR"/>
        </w:rPr>
        <w:t>.</w:t>
      </w:r>
    </w:p>
    <w:p>
      <w:pPr>
        <w:pStyle w:val="Heading3"/>
        <w:numPr>
          <w:ilvl w:val="2"/>
          <w:numId w:val="1"/>
        </w:numPr>
        <w:rPr/>
      </w:pPr>
      <w:bookmarkStart w:id="178" w:name="__RefHeading___Toc1127446_581953129"/>
      <w:bookmarkStart w:id="179" w:name="_Toc69"/>
      <w:bookmarkEnd w:id="178"/>
      <w:r>
        <w:rPr>
          <w:rtl w:val="true"/>
        </w:rPr>
        <w:t>روّاد الاجتهاد فی العصر الأخباری</w:t>
      </w:r>
      <w:bookmarkEnd w:id="179"/>
    </w:p>
    <w:p>
      <w:pPr>
        <w:pStyle w:val="BookText"/>
        <w:rPr/>
      </w:pPr>
      <w:r>
        <w:rPr>
          <w:rFonts w:ascii="IRNazanin" w:hAnsi="IRNazanin" w:eastAsia="IRNazanin"/>
          <w:color w:val="111111"/>
          <w:sz w:val="28"/>
          <w:sz w:val="28"/>
          <w:szCs w:val="28"/>
          <w:rtl w:val="true"/>
          <w:lang w:bidi="fa-IR"/>
        </w:rPr>
        <w:t>وفی خضم نشاط التیار الأخباری استمر أیضاً النشاط الاجتهادی علی ید جمع من المفکّرین لم ینخرطوا فی تیار الأخباریة الجارف، بل صمدوا أمامه وأخذوا یدافعون عن منهج الاجتهاد بالأدلّة القاطعة علی الرغم من قلّة عددهم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حسین بن رفیع الدین محمد بن الأمیر شجاع الدین الاصفهانی الملقب بسلطان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1064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أشهر تآلیفه تعلیقته علی معالم الأُصول وعلی زبدة الشیخ البهائی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محمد التونی البشروی الرضوی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1071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تآلیفه کتاب الوافیة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حسام الدین محمد صالح بن أحمد المازندرانی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1080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کتاب الفخریة فی الفقه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باقر بن محمد مؤمن الخراسانی السبزواری </w:t>
      </w:r>
      <w:r>
        <w:rPr>
          <w:rFonts w:eastAsia="IRNazanin" w:cs="IRNazanin"/>
          <w:color w:val="111111"/>
          <w:sz w:val="28"/>
          <w:szCs w:val="28"/>
          <w:rtl w:val="true"/>
          <w:lang w:bidi="fa-IR"/>
        </w:rPr>
        <w:t>(</w:t>
      </w: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شرح إرشاد العلاّمة سمّاه ذخیرة المعاد فی شرح الإرشاد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بن جمال الدین محمد الخوانساری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مؤلفات منها شرح الدروس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جمال الدین بن حسین الخوانساری له حاشیة علی شرح مختصر الأُصول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الحسن الشیروانی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1099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مصنفات منها شرحه علی شرائع المحقّق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بهاء الدین محمد بن الحسن الاصفهانی المعروف بالفاضل الهندی </w:t>
      </w:r>
      <w:r>
        <w:rPr>
          <w:rFonts w:eastAsia="IRNazanin" w:cs="IRNazanin"/>
          <w:color w:val="111111"/>
          <w:sz w:val="28"/>
          <w:szCs w:val="28"/>
          <w:rtl w:val="true"/>
          <w:lang w:bidi="fa-IR"/>
        </w:rPr>
        <w:t>(</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eastAsia="IRNazanin" w:cs="IRNazanin"/>
          <w:color w:val="111111"/>
          <w:sz w:val="28"/>
          <w:szCs w:val="28"/>
          <w:lang w:bidi="fa-IR"/>
        </w:rPr>
        <w:t>1137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کشف اللثام علی قواعد الأحکام</w:t>
      </w:r>
      <w:r>
        <w:rPr>
          <w:rFonts w:eastAsia="IRNazanin" w:cs="IRNazanin"/>
          <w:color w:val="111111"/>
          <w:sz w:val="28"/>
          <w:szCs w:val="28"/>
          <w:rtl w:val="true"/>
          <w:lang w:bidi="fa-IR"/>
        </w:rPr>
        <w:t>.</w:t>
      </w:r>
      <w:bookmarkStart w:id="180" w:name="pg5344_40629"/>
    </w:p>
    <w:p>
      <w:pPr>
        <w:pStyle w:val="Heading2"/>
        <w:numPr>
          <w:ilvl w:val="1"/>
          <w:numId w:val="1"/>
        </w:numPr>
        <w:rPr/>
      </w:pPr>
      <w:bookmarkStart w:id="181" w:name="__RefHeading___Toc1127448_581953129"/>
      <w:bookmarkStart w:id="182" w:name="_Toc70"/>
      <w:bookmarkEnd w:id="180"/>
      <w:bookmarkEnd w:id="181"/>
      <w:r>
        <w:rPr/>
        <w:t>7</w:t>
      </w:r>
      <w:r>
        <w:rPr>
          <w:rtl w:val="true"/>
        </w:rPr>
        <w:t xml:space="preserve">- </w:t>
      </w:r>
      <w:r>
        <w:rPr>
          <w:rtl w:val="true"/>
        </w:rPr>
        <w:t>عصر تصعید النشاط الاجتهادی</w:t>
      </w:r>
      <w:bookmarkEnd w:id="182"/>
    </w:p>
    <w:p>
      <w:pPr>
        <w:pStyle w:val="Heading3"/>
        <w:numPr>
          <w:ilvl w:val="2"/>
          <w:numId w:val="1"/>
        </w:numPr>
        <w:rPr/>
      </w:pPr>
      <w:bookmarkStart w:id="183" w:name="__RefHeading___Toc1127450_581953129"/>
      <w:bookmarkStart w:id="184" w:name="_Toc71"/>
      <w:bookmarkEnd w:id="183"/>
      <w:r>
        <w:rPr>
          <w:rtl w:val="true"/>
        </w:rPr>
        <w:t>اشارة</w:t>
      </w:r>
      <w:bookmarkEnd w:id="184"/>
    </w:p>
    <w:p>
      <w:pPr>
        <w:pStyle w:val="BookText"/>
        <w:rPr/>
      </w:pPr>
      <w:r>
        <w:rPr>
          <w:rFonts w:ascii="IRNazanin" w:hAnsi="IRNazanin" w:eastAsia="IRNazanin"/>
          <w:color w:val="111111"/>
          <w:sz w:val="28"/>
          <w:sz w:val="28"/>
          <w:szCs w:val="28"/>
          <w:rtl w:val="true"/>
          <w:lang w:bidi="fa-IR"/>
        </w:rPr>
        <w:t xml:space="preserve">لقد بلغ النشاط الأخباری ذروته وعمّت أفکاره کافّة المراکز، إلی أن قام رجل العلم والقلم والتفکیر والتحقیق محمد باقر بن محمد أکمل البهبهانی </w:t>
      </w:r>
      <w:r>
        <w:rPr>
          <w:rFonts w:eastAsia="IRNazanin" w:cs="IRNazanin"/>
          <w:color w:val="111111"/>
          <w:sz w:val="28"/>
          <w:szCs w:val="28"/>
          <w:rtl w:val="true"/>
          <w:lang w:bidi="fa-IR"/>
        </w:rPr>
        <w:t>(</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eastAsia="IRNazanin" w:cs="IRNazanin"/>
          <w:color w:val="111111"/>
          <w:sz w:val="28"/>
          <w:szCs w:val="28"/>
          <w:lang w:bidi="fa-IR"/>
        </w:rPr>
        <w:t>1206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أحسّ بخطورة الموقف، فانتقل من النجف الأشرف إلی کربلاء وهی یومئذ معقل الأخباریّین یتزعّمها الفقیه الشیخ یوسف البحرانی صاحب الحدائق الناضرة، ثمّ وقف یوماً فی الصحن الشریف ونادی بأعلی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حجة‌الله علیکم، فاجتمعوا علیه،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من الشیخ یوسف یمکّننی من منبره ویأمر تلامذته أن یحضروا تحت منبری، فأخبروا الشیخ یوسف بذلک، وحیث إنّه کان یومئذ عادلاً عن مذهب الأخباریة خائفاً من إظهار ذلک من جُهّالهم طابت نفسه بالإجابة</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وشکّلت هذه الحادثة منعطفاً تاریخیاً فی قلب الموازین لصالح الأُصولیّین حیث وضع المحقّق البهبهانی أصابعه علی النقاط الحسّاسة التی کانت الأخباریة تتشدق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وقبل أن ندخل فی صلب الموضوع نسلّط الأضواء علی سیرة المحقّق البهبهانی، والدور الذی لعبه فی إحیاء التیار الاجتهادی، وإخراج المجتمع من ورطة الأخباریة</w:t>
      </w:r>
      <w:r>
        <w:rPr>
          <w:rFonts w:eastAsia="IRNazanin" w:cs="IRNazanin"/>
          <w:color w:val="111111"/>
          <w:sz w:val="28"/>
          <w:szCs w:val="28"/>
          <w:rtl w:val="true"/>
          <w:lang w:bidi="fa-IR"/>
        </w:rPr>
        <w:t>.</w:t>
      </w:r>
    </w:p>
    <w:p>
      <w:pPr>
        <w:pStyle w:val="Heading3"/>
        <w:numPr>
          <w:ilvl w:val="2"/>
          <w:numId w:val="1"/>
        </w:numPr>
        <w:rPr/>
      </w:pPr>
      <w:bookmarkStart w:id="185" w:name="__RefHeading___Toc1127452_581953129"/>
      <w:bookmarkStart w:id="186" w:name="_Toc72"/>
      <w:bookmarkEnd w:id="185"/>
      <w:r>
        <w:rPr>
          <w:rtl w:val="true"/>
        </w:rPr>
        <w:t>حیاة المحقّق البهبهانی وسیرته</w:t>
      </w:r>
      <w:bookmarkEnd w:id="186"/>
    </w:p>
    <w:p>
      <w:pPr>
        <w:pStyle w:val="Heading4"/>
        <w:numPr>
          <w:ilvl w:val="3"/>
          <w:numId w:val="1"/>
        </w:numPr>
        <w:rPr/>
      </w:pPr>
      <w:bookmarkStart w:id="187" w:name="__RefHeading___Toc1127454_581953129"/>
      <w:bookmarkStart w:id="188" w:name="_Toc73"/>
      <w:bookmarkEnd w:id="187"/>
      <w:r>
        <w:rPr>
          <w:rtl w:val="true"/>
        </w:rPr>
        <w:t>اشارة</w:t>
      </w:r>
      <w:bookmarkEnd w:id="188"/>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المحقّق محمد باقر بن محمد أکمل البهبهانی عام </w:t>
      </w:r>
      <w:r>
        <w:rPr>
          <w:rFonts w:eastAsia="IRNazanin" w:cs="IRNazanin"/>
          <w:color w:val="111111"/>
          <w:sz w:val="28"/>
          <w:szCs w:val="28"/>
          <w:lang w:bidi="fa-IR"/>
        </w:rPr>
        <w:t>1118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فی اصفهان، قرأ المقدّمات</w:t>
      </w:r>
      <w:bookmarkStart w:id="189" w:name="pg5344_40631"/>
    </w:p>
    <w:p>
      <w:pPr>
        <w:pStyle w:val="BookText"/>
        <w:rPr/>
      </w:pPr>
      <w:bookmarkEnd w:id="189"/>
      <w:r>
        <w:rPr>
          <w:rFonts w:ascii="IRNazanin" w:hAnsi="IRNazanin" w:eastAsia="IRNazanin"/>
          <w:color w:val="111111"/>
          <w:sz w:val="28"/>
          <w:sz w:val="28"/>
          <w:szCs w:val="28"/>
          <w:rtl w:val="true"/>
          <w:lang w:bidi="fa-IR"/>
        </w:rPr>
        <w:t>فی موطنه، ثمّ انتقل إلی النجف من جرّاء نشوب القلاقل والفتن وأکمل فیها دروسه عند العلمین الجلیلین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الطباطبائی البروجردی، والسید صدرالدین القمی المشهور بالهمدانی شارح کتاب وافیة الأُصول، ولمّا تزوّد من معین تلک الحوزة انتقل حینها إلی بهبهان معقل الأخباریین فی ذلک الزمان، وقد أحسّ بعد حقبة من الزمن انّه لو هاجر إلی العتبات المقدسة والمراکز العلمیة فیها لأنجز عطاءً ضخماً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فنزل النجف الأشرف ولم یلبث فیها إلاّ قلیلاً ثمّ انتقل إلی کربلاء حیث کانت تضجّ بالأخباریّین یومذاک، وبذل جهوداً جبارة فی سبیل تقویض الأُصول التی قامت علیها الأخباریة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والأسالیب التی اعتمدها المحقّق فی هذا السبیل هی کالتالی</w:t>
      </w:r>
      <w:r>
        <w:rPr>
          <w:rFonts w:eastAsia="IRNazanin" w:cs="IRNazanin"/>
          <w:color w:val="111111"/>
          <w:sz w:val="28"/>
          <w:szCs w:val="28"/>
          <w:rtl w:val="true"/>
          <w:lang w:bidi="fa-IR"/>
        </w:rPr>
        <w:t>:</w:t>
      </w:r>
    </w:p>
    <w:p>
      <w:pPr>
        <w:pStyle w:val="Heading4"/>
        <w:numPr>
          <w:ilvl w:val="3"/>
          <w:numId w:val="1"/>
        </w:numPr>
        <w:rPr/>
      </w:pPr>
      <w:bookmarkStart w:id="190" w:name="__RefHeading___Toc1127456_581953129"/>
      <w:bookmarkStart w:id="191" w:name="_Toc74"/>
      <w:bookmarkEnd w:id="190"/>
      <w:r>
        <w:rPr/>
        <w:t>1</w:t>
      </w:r>
      <w:r>
        <w:rPr>
          <w:rtl w:val="true"/>
        </w:rPr>
        <w:t xml:space="preserve">- </w:t>
      </w:r>
      <w:r>
        <w:rPr>
          <w:rtl w:val="true"/>
        </w:rPr>
        <w:t>حجّیة الکتاب</w:t>
      </w:r>
      <w:bookmarkEnd w:id="191"/>
    </w:p>
    <w:p>
      <w:pPr>
        <w:pStyle w:val="BookText"/>
        <w:rPr/>
      </w:pPr>
      <w:r>
        <w:rPr>
          <w:rFonts w:ascii="IRNazanin" w:hAnsi="IRNazanin" w:eastAsia="IRNazanin"/>
          <w:color w:val="111111"/>
          <w:sz w:val="28"/>
          <w:sz w:val="28"/>
          <w:szCs w:val="28"/>
          <w:rtl w:val="true"/>
          <w:lang w:bidi="fa-IR"/>
        </w:rPr>
        <w:t>ذهبت الأخباریة إلی أنّ العمل بظواهر القرآن تفسیر بالرأی تشمله الروایات المستفیضة الواردة فی النهی عن تفسیر القرآن بالرأی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وأجاب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التمسّک بظواهر القرآن بعد الفحص عن مخصّصها ومقیّدها وناسخها وما ورد حولها عن أئمّة أهل‌البیت علیهم السلام لیس إلاّ عملاً بالقرآن وتدبّراً فیه، وأین هو من تفسیر القرآن بالرأی؟</w:t>
      </w:r>
      <w:r>
        <w:rPr>
          <w:rFonts w:eastAsia="IRNazanin" w:cs="IRNazanin"/>
          <w:color w:val="111111"/>
          <w:sz w:val="28"/>
          <w:szCs w:val="28"/>
          <w:rtl w:val="true"/>
          <w:lang w:bidi="fa-IR"/>
        </w:rPr>
        <w:t>!</w:t>
      </w:r>
    </w:p>
    <w:p>
      <w:pPr>
        <w:pStyle w:val="Heading4"/>
        <w:numPr>
          <w:ilvl w:val="3"/>
          <w:numId w:val="1"/>
        </w:numPr>
        <w:rPr/>
      </w:pPr>
      <w:bookmarkStart w:id="192" w:name="__RefHeading___Toc1127458_581953129"/>
      <w:bookmarkStart w:id="193" w:name="_Toc75"/>
      <w:bookmarkEnd w:id="192"/>
      <w:r>
        <w:rPr/>
        <w:t>2</w:t>
      </w:r>
      <w:r>
        <w:rPr>
          <w:rtl w:val="true"/>
        </w:rPr>
        <w:t xml:space="preserve">- </w:t>
      </w:r>
      <w:r>
        <w:rPr>
          <w:rtl w:val="true"/>
        </w:rPr>
        <w:t>حجّیة العقل</w:t>
      </w:r>
      <w:bookmarkEnd w:id="193"/>
    </w:p>
    <w:p>
      <w:pPr>
        <w:pStyle w:val="BookText"/>
        <w:rPr/>
      </w:pPr>
      <w:r>
        <w:rPr>
          <w:rFonts w:ascii="IRNazanin" w:hAnsi="IRNazanin" w:eastAsia="IRNazanin"/>
          <w:color w:val="111111"/>
          <w:sz w:val="28"/>
          <w:sz w:val="28"/>
          <w:szCs w:val="28"/>
          <w:rtl w:val="true"/>
          <w:lang w:bidi="fa-IR"/>
        </w:rPr>
        <w:t>قام المحقّق البهبهانی بتألیف رسالة فی الحسن والقبح العقلیّین وأثبت فیها حجّیة حکم العقل فی المستقلاّت العقلیة، وانّه لا صلة 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دین‌الله لا یصاب بالعقول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النمط من الاستدلال کما ادّعته الأخباریة</w:t>
      </w:r>
      <w:r>
        <w:rPr>
          <w:rFonts w:eastAsia="IRNazanin" w:cs="IRNazanin"/>
          <w:color w:val="111111"/>
          <w:sz w:val="28"/>
          <w:szCs w:val="28"/>
          <w:rtl w:val="true"/>
          <w:lang w:bidi="fa-IR"/>
        </w:rPr>
        <w:t>.</w:t>
      </w:r>
    </w:p>
    <w:p>
      <w:pPr>
        <w:pStyle w:val="Heading4"/>
        <w:numPr>
          <w:ilvl w:val="3"/>
          <w:numId w:val="1"/>
        </w:numPr>
        <w:rPr/>
      </w:pPr>
      <w:bookmarkStart w:id="194" w:name="__RefHeading___Toc1127460_581953129"/>
      <w:bookmarkStart w:id="195" w:name="_Toc76"/>
      <w:bookmarkEnd w:id="194"/>
      <w:r>
        <w:rPr/>
        <w:t>3</w:t>
      </w:r>
      <w:r>
        <w:rPr>
          <w:rtl w:val="true"/>
        </w:rPr>
        <w:t xml:space="preserve">- </w:t>
      </w:r>
      <w:r>
        <w:rPr>
          <w:rtl w:val="true"/>
        </w:rPr>
        <w:t>حجیة الإجماع</w:t>
      </w:r>
      <w:bookmarkEnd w:id="195"/>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اتّخذت الأخباریة سنداً علی الأُصولیّین بأنّهم یعتمدون علی الإجماع مع أنّ الإجماع أصل لأهل‌السنّة، غیر أنّ محقّقنا البهبهانی ردّ علیهم من خلال التنبیه إلی الاختلاف الجوهری بین</w:t>
      </w:r>
      <w:bookmarkStart w:id="196" w:name="pg5344_40634"/>
    </w:p>
    <w:p>
      <w:pPr>
        <w:pStyle w:val="BookText"/>
        <w:rPr/>
      </w:pPr>
      <w:bookmarkEnd w:id="196"/>
      <w:r>
        <w:rPr>
          <w:rFonts w:ascii="IRNazanin" w:hAnsi="IRNazanin" w:eastAsia="IRNazanin"/>
          <w:color w:val="111111"/>
          <w:sz w:val="28"/>
          <w:sz w:val="28"/>
          <w:szCs w:val="28"/>
          <w:rtl w:val="true"/>
          <w:lang w:bidi="fa-IR"/>
        </w:rPr>
        <w:t>الإجماع عند الفریقین، فإنّ السنّة تری أنّ الإجماع حجّة بما هو إجماع فی حین انّ الشیعة تری أنّ الإجماع حجّة باعتباره طریقاً إلی تحصیل قول المعصوم علی الأسالیب المقررة فی علم الأُصول</w:t>
      </w:r>
      <w:r>
        <w:rPr>
          <w:rFonts w:eastAsia="IRNazanin" w:cs="IRNazanin"/>
          <w:color w:val="111111"/>
          <w:sz w:val="28"/>
          <w:szCs w:val="28"/>
          <w:rtl w:val="true"/>
          <w:lang w:bidi="fa-IR"/>
        </w:rPr>
        <w:t>.</w:t>
      </w:r>
    </w:p>
    <w:p>
      <w:pPr>
        <w:pStyle w:val="Heading4"/>
        <w:numPr>
          <w:ilvl w:val="3"/>
          <w:numId w:val="1"/>
        </w:numPr>
        <w:rPr/>
      </w:pPr>
      <w:bookmarkStart w:id="197" w:name="__RefHeading___Toc1127462_581953129"/>
      <w:bookmarkStart w:id="198" w:name="_Toc77"/>
      <w:bookmarkEnd w:id="197"/>
      <w:r>
        <w:rPr/>
        <w:t>4</w:t>
      </w:r>
      <w:r>
        <w:rPr>
          <w:rtl w:val="true"/>
        </w:rPr>
        <w:t xml:space="preserve">- </w:t>
      </w:r>
      <w:r>
        <w:rPr>
          <w:rtl w:val="true"/>
        </w:rPr>
        <w:t>عدم قطعیة أخبار الکتب الأربعة</w:t>
      </w:r>
      <w:bookmarkEnd w:id="198"/>
    </w:p>
    <w:p>
      <w:pPr>
        <w:pStyle w:val="BookText"/>
        <w:rPr/>
      </w:pPr>
      <w:r>
        <w:rPr>
          <w:rFonts w:ascii="IRNazanin" w:hAnsi="IRNazanin" w:eastAsia="IRNazanin"/>
          <w:color w:val="111111"/>
          <w:sz w:val="28"/>
          <w:sz w:val="28"/>
          <w:szCs w:val="28"/>
          <w:rtl w:val="true"/>
          <w:lang w:bidi="fa-IR"/>
        </w:rPr>
        <w:t>لقد أفرط الأخباریّون لما قالوا بقطعیة تمام الأحادیث الواردة عن أئمّة أهل‌البیت علیهم السلام ، وبذلک استغنوا عن علم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المحقّق البهبهانی أخذ بتفنید تلک القرائن التی اعتمد علیها الأخباری فی قطعیة الأخبار فی رسالة الاجتهاد والأخبار</w:t>
      </w:r>
      <w:r>
        <w:rPr>
          <w:rFonts w:eastAsia="IRNazanin" w:cs="IRNazanin"/>
          <w:color w:val="111111"/>
          <w:sz w:val="28"/>
          <w:szCs w:val="28"/>
          <w:rtl w:val="true"/>
          <w:lang w:bidi="fa-IR"/>
        </w:rPr>
        <w:t>.</w:t>
      </w:r>
    </w:p>
    <w:p>
      <w:pPr>
        <w:pStyle w:val="Heading4"/>
        <w:numPr>
          <w:ilvl w:val="3"/>
          <w:numId w:val="1"/>
        </w:numPr>
        <w:rPr/>
      </w:pPr>
      <w:bookmarkStart w:id="199" w:name="__RefHeading___Toc1127464_581953129"/>
      <w:bookmarkStart w:id="200" w:name="_Toc78"/>
      <w:bookmarkEnd w:id="199"/>
      <w:r>
        <w:rPr>
          <w:rtl w:val="true"/>
        </w:rPr>
        <w:t>ابتکاراته الأُصولیة</w:t>
      </w:r>
      <w:bookmarkEnd w:id="200"/>
    </w:p>
    <w:p>
      <w:pPr>
        <w:pStyle w:val="BookText"/>
        <w:rPr/>
      </w:pPr>
      <w:r>
        <w:rPr>
          <w:rFonts w:ascii="IRNazanin" w:hAnsi="IRNazanin" w:eastAsia="IRNazanin"/>
          <w:color w:val="111111"/>
          <w:sz w:val="28"/>
          <w:sz w:val="28"/>
          <w:szCs w:val="28"/>
          <w:rtl w:val="true"/>
          <w:lang w:bidi="fa-IR"/>
        </w:rPr>
        <w:t>لقد تمتّع البهبهانی بذهن وقّاد، وذکاء مفرط ساعده علی ابتکار قواعد وأسالیب جدیدة فی علم الأُصول،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تعلّق الشک بأصل التکلیف فالأصل هو البراءة، وقد استدلّ البهبهانی علیه بحکم عقلی فطری هو قبح العقاب بلا بیان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عیّن المحقّق البهبهانی للجمع والترجیح ضابطة کلیة،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الجمع لو کان أمراً مقبولاً عند العقلاء وسائداً بینهم فالجمع مقدّم علی الترجیح، وأمّا إذا لم یکن الجمع مقبولاً فهو من موارد الترجیح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أثبت انّ الجمع التبرعی بلا شاهد لا دلیل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تعارضت الروایة مع القاعدة القطعیة العامة، فالمشهور هو تقدیم النص علی القاعدة، علی خلاف ما علیه المحقّق البهبهانی حیث قدّم القطعی علی النص الظنّی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الطابع العام السائد علی فقه القدماء هو جعل الأُصول العملیة فی رتبة الأمارات، وقد جاء المحقّق البهبهانی ففرق بینها، وأثبت انّ الأصل دلیل حیث لا دلیل</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غیر ذلک من الأفکار الرائعة التی تکاملت فیما بعد علی ید تلامذته منهم علی سبیل المثال روّاد مدرسة البهبهانی</w:t>
      </w:r>
      <w:r>
        <w:rPr>
          <w:rFonts w:eastAsia="IRNazanin" w:cs="IRNazanin"/>
          <w:color w:val="111111"/>
          <w:sz w:val="28"/>
          <w:szCs w:val="28"/>
          <w:rtl w:val="true"/>
          <w:lang w:bidi="fa-IR"/>
        </w:rPr>
        <w:t>:</w:t>
      </w:r>
      <w:bookmarkStart w:id="201" w:name="pg5344_40636"/>
    </w:p>
    <w:p>
      <w:pPr>
        <w:pStyle w:val="BookText"/>
        <w:rPr/>
      </w:pPr>
      <w:bookmarkEnd w:id="201"/>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المولی مهدی النراقی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کتاب مستند الشیعة فی أحکام‌الشریعة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السیدمحمدمهدی بحرالعلوم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الفوائدالرجالیة فی ثلاثة أجزاء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جواد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1226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الموسوعة الفقهیة الشهیرة مفتاح الکرامة فی عشرة أجزاء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1227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المیرزا أبوالقاسم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کتاب قوانین الأُصول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السیدعلی الطباطبائی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الموسوعة الفقهیة ریاض المسائل</w:t>
      </w:r>
      <w:r>
        <w:rPr>
          <w:rFonts w:eastAsia="IRNazanin" w:cs="IRNazanin"/>
          <w:color w:val="111111"/>
          <w:sz w:val="28"/>
          <w:szCs w:val="28"/>
          <w:rtl w:val="true"/>
          <w:lang w:bidi="fa-IR"/>
        </w:rPr>
        <w:t>.</w:t>
      </w:r>
    </w:p>
    <w:p>
      <w:pPr>
        <w:pStyle w:val="Heading3"/>
        <w:numPr>
          <w:ilvl w:val="2"/>
          <w:numId w:val="1"/>
        </w:numPr>
        <w:rPr/>
      </w:pPr>
      <w:bookmarkStart w:id="202" w:name="__RefHeading___Toc1127466_581953129"/>
      <w:bookmarkStart w:id="203" w:name="_Toc79"/>
      <w:bookmarkEnd w:id="202"/>
      <w:r>
        <w:rPr>
          <w:rtl w:val="true"/>
        </w:rPr>
        <w:t>الاجتهاد عند أهل السنّة عقیب القرن السابع</w:t>
      </w:r>
      <w:bookmarkEnd w:id="203"/>
    </w:p>
    <w:p>
      <w:pPr>
        <w:pStyle w:val="BookText"/>
        <w:rPr/>
      </w:pPr>
      <w:r>
        <w:rPr>
          <w:rFonts w:ascii="IRNazanin" w:hAnsi="IRNazanin" w:eastAsia="IRNazanin"/>
          <w:color w:val="111111"/>
          <w:sz w:val="28"/>
          <w:sz w:val="28"/>
          <w:szCs w:val="28"/>
          <w:rtl w:val="true"/>
          <w:lang w:bidi="fa-IR"/>
        </w:rPr>
        <w:t>لقد عرفت العوامل التی أدّت إلی غلق باب الاجتهاد، ففی هذا الدور أخذ الفقه‌بالانحطاط، وانتهی الأمر به إلی الجمود وساد الفکر التقلیدی المغلق کما ساد الاکتفاء بنقل کلّ ما فی الکتب المذهبیة الفقهیة دون مناقشة، وبالتالی أصبح طالب الفقه یدرس کتاب فقیه معین من رجال مذهبه فلا ینظر إلی الشریعة وفقهها إلاّ من خلال سطوره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وجد فی هذه الفترة فقهاء کسروا طوق التقلید وقد ألمعنا إلی أسمائهم فیماتقدّم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هذا العدد کان قلیلاً بالنسبة إلی عظم الرقعة الإسلامیة وسعة مدارسها، وکثرة المترجمین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الأُستاذ مصطفی الزرقاء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هذا العصر ساد الفکر التقلیدی المغلق، وانصرفت الأفکار عن تلمس العلل والمقاصد الشرعیة فی فقه الأحکام إلی الحفظ الجاف، والاکتفاء بتقبّل کلّ ما فی الکتب المذهبیة دون مناقشة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أواخر هذا الدور حلّ الفکر العامی محلّ الفکر العلمی لدی کثیر من متأخّری رجال المذاهب الفقهیة</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شاعت کنتیجة لذلک طریقة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التآلیف الفقهیة وأصبحت هی الطریقة السائدة العامّة، وحلّت کتب المتأخّرین فیها محلّ کتب المتقدّمین القیّمة فی الدراسة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وطریقة المتون هذه یعمد فیها المتأخرون إلی وضع مختصرات یجمعون فیها أبواب العلم کلّها فی ألفاظ ضیقة یتبارون فیها بالإیجاز، حتّی تصل إلی درجة المسخ أو الألغاز، وتکاد کلّ کلمة أو جملة تشیر إلی بحث واسع أو مسألة تفصیلیة کمن یحاول حصر الجمل فی قارورة ویسمّی هذا المختصر متناً، ثمّ یعمد مؤلف المتن نفسه، أو سواه إلی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المتن لإیضاح عباراته، وبسط تفاصیل مسائله والزیادة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توضع من قبل آخرین تعلیقات علی تلک الشروح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توضع علی تلک الحواشی ملاحظات تسمّی تقریرات</w:t>
      </w:r>
      <w:r>
        <w:rPr>
          <w:rFonts w:eastAsia="IRNazanin" w:cs="IRNazanin"/>
          <w:color w:val="111111"/>
          <w:sz w:val="28"/>
          <w:szCs w:val="28"/>
          <w:rtl w:val="true"/>
          <w:lang w:bidi="fa-IR"/>
        </w:rPr>
        <w:t xml:space="preserve">. </w:t>
      </w:r>
      <w:r>
        <w:rPr>
          <w:rStyle w:val="FootnoteAnchor"/>
          <w:rtl w:val="true"/>
        </w:rPr>
        <w:footnoteReference w:id="57"/>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أبرز نتاجات أهل‌السنّة فی هذا الدور هی الفتاوی الستارخانیة، والخانیة والبزازیة والحامدیة والهندیة</w:t>
      </w:r>
      <w:r>
        <w:rPr>
          <w:rFonts w:eastAsia="IRNazanin" w:cs="IRNazanin"/>
          <w:color w:val="111111"/>
          <w:sz w:val="28"/>
          <w:szCs w:val="28"/>
          <w:rtl w:val="true"/>
          <w:lang w:bidi="fa-IR"/>
        </w:rPr>
        <w:t>.</w:t>
      </w:r>
      <w:bookmarkStart w:id="204" w:name="pg5344_40641"/>
    </w:p>
    <w:p>
      <w:pPr>
        <w:pStyle w:val="Heading2"/>
        <w:numPr>
          <w:ilvl w:val="1"/>
          <w:numId w:val="1"/>
        </w:numPr>
        <w:rPr/>
      </w:pPr>
      <w:bookmarkStart w:id="205" w:name="__RefHeading___Toc1127468_581953129"/>
      <w:bookmarkStart w:id="206" w:name="_Toc80"/>
      <w:bookmarkEnd w:id="204"/>
      <w:bookmarkEnd w:id="205"/>
      <w:r>
        <w:rPr/>
        <w:t>8</w:t>
      </w:r>
      <w:r>
        <w:rPr>
          <w:rtl w:val="true"/>
        </w:rPr>
        <w:t xml:space="preserve">- </w:t>
      </w:r>
      <w:r>
        <w:rPr>
          <w:rtl w:val="true"/>
        </w:rPr>
        <w:t>عصر الإبداع الفقهی</w:t>
      </w:r>
      <w:bookmarkEnd w:id="206"/>
    </w:p>
    <w:p>
      <w:pPr>
        <w:pStyle w:val="Heading3"/>
        <w:numPr>
          <w:ilvl w:val="2"/>
          <w:numId w:val="1"/>
        </w:numPr>
        <w:rPr/>
      </w:pPr>
      <w:bookmarkStart w:id="207" w:name="__RefHeading___Toc1127470_581953129"/>
      <w:bookmarkStart w:id="208" w:name="_Toc81"/>
      <w:bookmarkEnd w:id="207"/>
      <w:r>
        <w:rPr>
          <w:rtl w:val="true"/>
        </w:rPr>
        <w:t>اشارة</w:t>
      </w:r>
      <w:bookmarkEnd w:id="208"/>
    </w:p>
    <w:p>
      <w:pPr>
        <w:pStyle w:val="BookText"/>
        <w:rPr/>
      </w:pPr>
      <w:r>
        <w:rPr>
          <w:rFonts w:ascii="IRNazanin" w:hAnsi="IRNazanin" w:eastAsia="IRNazanin"/>
          <w:color w:val="111111"/>
          <w:sz w:val="28"/>
          <w:sz w:val="28"/>
          <w:szCs w:val="28"/>
          <w:rtl w:val="true"/>
          <w:lang w:bidi="fa-IR"/>
        </w:rPr>
        <w:t>إنّ الحرکة العلمیة التی تزعّمها الوحید البهبهانی قد بلغت ذروتها عن طریق تلامیذه وتلامذة تلامیذه، فاختط الفقه والأُصول منهجاً جدیداً فی البحث کان استمراراً للمنهج العلمی الذی وضع بنیانه المحقّق البهبهانی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النصیب الأوفر فی قیادة هذه الحرکة لعلمین کبیرین، أعنی بهما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محمد حسن صاحب الجواهر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مرتضی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ولأجل إیقاف القارئ علی مکانتهما العلمیة والبصمات التی ترکاها علی جبین الفقه والأُصول نذکر لمحة من سیرتهما</w:t>
      </w:r>
      <w:r>
        <w:rPr>
          <w:rFonts w:eastAsia="IRNazanin" w:cs="IRNazanin"/>
          <w:color w:val="111111"/>
          <w:sz w:val="28"/>
          <w:szCs w:val="28"/>
          <w:rtl w:val="true"/>
          <w:lang w:bidi="fa-IR"/>
        </w:rPr>
        <w:t>.</w:t>
      </w:r>
    </w:p>
    <w:p>
      <w:pPr>
        <w:pStyle w:val="Heading3"/>
        <w:numPr>
          <w:ilvl w:val="2"/>
          <w:numId w:val="1"/>
        </w:numPr>
        <w:rPr/>
      </w:pPr>
      <w:bookmarkStart w:id="209" w:name="__RefHeading___Toc1127472_581953129"/>
      <w:bookmarkStart w:id="210" w:name="_Toc82"/>
      <w:bookmarkEnd w:id="209"/>
      <w:r>
        <w:rPr/>
        <w:t>1</w:t>
      </w:r>
      <w:r>
        <w:rPr>
          <w:rtl w:val="true"/>
        </w:rPr>
        <w:t xml:space="preserve">- </w:t>
      </w:r>
      <w:r>
        <w:rPr>
          <w:rtl w:val="true"/>
        </w:rPr>
        <w:t>الشیخ محمد حسن صاحب الجواهر</w:t>
      </w:r>
      <w:bookmarkEnd w:id="210"/>
    </w:p>
    <w:p>
      <w:pPr>
        <w:pStyle w:val="BookText"/>
        <w:rPr/>
      </w:pPr>
      <w:r>
        <w:rPr>
          <w:rFonts w:ascii="IRNazanin" w:hAnsi="IRNazanin" w:eastAsia="IRNazanin"/>
          <w:color w:val="111111"/>
          <w:sz w:val="28"/>
          <w:sz w:val="28"/>
          <w:szCs w:val="28"/>
          <w:rtl w:val="true"/>
          <w:lang w:bidi="fa-IR"/>
        </w:rPr>
        <w:t xml:space="preserve">أمّا الشیخ محمد حسن صاحب الجواهر فقد کان من نوابغ علماء عصره، ولد فی‌النجف الأشرف عام </w:t>
      </w:r>
      <w:r>
        <w:rPr>
          <w:rFonts w:eastAsia="IRNazanin" w:cs="IRNazanin"/>
          <w:color w:val="111111"/>
          <w:sz w:val="28"/>
          <w:szCs w:val="28"/>
          <w:lang w:bidi="fa-IR"/>
        </w:rPr>
        <w:t>1196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قیل فی میلاده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المقدّمات وغیرها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محیی الدین الحارثی الجامعی، وقاسم بن محمد بن أحمد محیی‌الدین الجامعی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1237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والسید حسین بن أبی الحسن موسی الشقرائی‌النجفی</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وحضر علی أعلام عصره، کالسید محمد جواد العاملی صاحب مفتاح الکرامة جعفر بن خضر الجناجی النجفی صاحب کشف الغطاء وابنه موسی کاشف الغطاء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وتبحّر فی الفقه وأکبّ علی التألیف والتدریس، وسمت مکانته فی الأوساط العلمیة، وصار ممّن یشار إلیه بالرسوخ فی العلم، وسعة الاطّلاع، وبراعة البیان، وجودة التقریر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آلت إلیه رئاسة الطائفة والمرجعیة فی التقلید فی منتصف القرن الثالث عشر وتفرّد بالزعامة مع وفرة الفقهاء الکبار فی عصره، وعلا صیته وقصده رواد العلم من أماکن 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تتلمذ علیه طائفة،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الحسین الطهرانی المعروف بشیخ العراقین، ومحمدحسن آل یاسین الکاظمی، وحبیب‌الله الرشتی، والسید حسین بحر العلوم الطباطبائی، والسید حسین بن محمد الکوهکمری، والسید حسن الطباطبائی الیزدی المدرس، وعبد اللّه نعمة 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وصنف کتابه الشهیر جواهر الکلام فی شرح شرائع الإسلام الموسوعة الفقهیة التی فاقت جمیع ما سبقها من الموسوعات سعة وجمعاً وإحاطة بأقوال العلماءأدلّتهم، فوفق الکتاب توفیقاً منقطع النظیر فی إقبال أهل العلم علیه رجوعاً ونسخاً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وأهمّ ما تتمیز به هذه الموسوعة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انّه کتاب لم یؤلّف مثله فی سعته وإحاطته بأقوال العلماء وأدلّتهم ومناقشتها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انّه کتاب کامل فی أبواب الفقه کلّها، جامع لجمیع کتبه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جمیع أجزائه علی نسق واحد وأُسلوب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وبنفس السعة التی ابتدأ بها، انتهی إلیها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کتابه هذا یغنی عن کثیر من الکتب الفقهیة وفی الوقت نفسه لا یستغنی بها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احتوی علی کثیر من التعریفات الفقهیة النادرة بما لا تجد فی غیرها من الموسوعات الأُخری، فهو جامع لأُمّهات المسائل وفروعها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والطابع العام الذی یسود فقهه هو دعم الرأی المشهور بین الفقهاء من عصر أصحاب الأئمّة إلی یومنا هذا بطرق ووجوه مختلفة والإعراض عن الرأی الشاذ</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انّه قدَّس سرَّه کان یجتهد علی ضوء الکتاب والسنّة والإجماع والعقل، وفی الوقت نفسه لا یفوته فیما إذا طرأت علی المسألة عناوین ثانویة تغییر مسیر المسألة وحکمها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کانقدَّس سرَّه یهتم بکلّ ما یمکن أن یکون له دخل فی استنباط الحکم، وبذلک کان</w:t>
      </w:r>
      <w:bookmarkStart w:id="211" w:name="pg5344_40645"/>
    </w:p>
    <w:p>
      <w:pPr>
        <w:pStyle w:val="BookText"/>
        <w:rPr/>
      </w:pPr>
      <w:bookmarkEnd w:id="211"/>
      <w:r>
        <w:rPr>
          <w:rFonts w:ascii="IRNazanin" w:hAnsi="IRNazanin" w:eastAsia="IRNazanin"/>
          <w:color w:val="111111"/>
          <w:sz w:val="28"/>
          <w:sz w:val="28"/>
          <w:szCs w:val="28"/>
          <w:rtl w:val="true"/>
          <w:lang w:bidi="fa-IR"/>
        </w:rPr>
        <w:t>یرجع إلی معاجم اللغة ودواوین الشعراء وأقوال أهل‌السنّة وفقه الرضا وغیر ذلک، فلا یخرج عن المسألة إلاّ وقد أشبعها بحثاً واحتمالاً ودلیلاً</w:t>
      </w:r>
      <w:r>
        <w:rPr>
          <w:rFonts w:eastAsia="IRNazanin" w:cs="IRNazanin"/>
          <w:color w:val="111111"/>
          <w:sz w:val="28"/>
          <w:szCs w:val="28"/>
          <w:rtl w:val="true"/>
          <w:lang w:bidi="fa-IR"/>
        </w:rPr>
        <w:t>.</w:t>
      </w:r>
    </w:p>
    <w:p>
      <w:pPr>
        <w:pStyle w:val="Heading3"/>
        <w:numPr>
          <w:ilvl w:val="2"/>
          <w:numId w:val="1"/>
        </w:numPr>
        <w:rPr/>
      </w:pPr>
      <w:bookmarkStart w:id="212" w:name="__RefHeading___Toc1127474_581953129"/>
      <w:bookmarkStart w:id="213" w:name="_Toc83"/>
      <w:bookmarkEnd w:id="212"/>
      <w:r>
        <w:rPr/>
        <w:t>2</w:t>
      </w:r>
      <w:r>
        <w:rPr>
          <w:rtl w:val="true"/>
        </w:rPr>
        <w:t xml:space="preserve">- </w:t>
      </w:r>
      <w:r>
        <w:rPr>
          <w:rtl w:val="true"/>
        </w:rPr>
        <w:t>الشیخ مرتضی الأنصاری</w:t>
      </w:r>
      <w:bookmarkEnd w:id="213"/>
    </w:p>
    <w:p>
      <w:pPr>
        <w:pStyle w:val="Heading4"/>
        <w:numPr>
          <w:ilvl w:val="3"/>
          <w:numId w:val="1"/>
        </w:numPr>
        <w:rPr/>
      </w:pPr>
      <w:bookmarkStart w:id="214" w:name="__RefHeading___Toc1127476_581953129"/>
      <w:bookmarkStart w:id="215" w:name="_Toc84"/>
      <w:bookmarkEnd w:id="214"/>
      <w:r>
        <w:rPr>
          <w:rtl w:val="true"/>
        </w:rPr>
        <w:t>اشارة</w:t>
      </w:r>
      <w:bookmarkEnd w:id="215"/>
    </w:p>
    <w:p>
      <w:pPr>
        <w:pStyle w:val="BookText"/>
        <w:rPr/>
      </w:pPr>
      <w:r>
        <w:rPr>
          <w:rFonts w:ascii="IRNazanin" w:hAnsi="IRNazanin" w:eastAsia="IRNazanin"/>
          <w:color w:val="111111"/>
          <w:sz w:val="28"/>
          <w:sz w:val="28"/>
          <w:szCs w:val="28"/>
          <w:rtl w:val="true"/>
          <w:lang w:bidi="fa-IR"/>
        </w:rPr>
        <w:t xml:space="preserve">ومن رواد الحرکة العلمیة التی أسّسها المحقّق البهبهانی هو الشیخ المحقّق المدقّق مرتضی بن محمد أمین المعروف بالأنصاری، الذی ولد عام </w:t>
      </w:r>
      <w:r>
        <w:rPr>
          <w:rFonts w:eastAsia="IRNazanin" w:cs="IRNazanin"/>
          <w:color w:val="111111"/>
          <w:sz w:val="28"/>
          <w:szCs w:val="28"/>
          <w:lang w:bidi="fa-IR"/>
        </w:rPr>
        <w:t>1214</w:t>
      </w:r>
      <w:r>
        <w:rPr>
          <w:rFonts w:ascii="IRNazanin" w:hAnsi="IRNazanin" w:eastAsia="IRNazanin"/>
          <w:color w:val="111111"/>
          <w:sz w:val="28"/>
          <w:sz w:val="28"/>
          <w:szCs w:val="28"/>
          <w:rtl w:val="true"/>
          <w:lang w:bidi="fa-IR"/>
        </w:rPr>
        <w:t xml:space="preserve">ه فی بلدة دزفول، وتعلّم الدروس الابتدائیة فی موطنه، ثمّ شرع فی الفقه والأُصول، ونال مرتبة سامیة فیها، ولم تقنع نفسه بما تعلم فیه، فأعدّ العدّة لزیارة العتبات المقدّسة عام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 xml:space="preserve">ه وله من العمر آنذاک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سنة، فورد کربلاء المقدسة ومکث فیها أربع سنین تردّد خلالها إلی حلقات دروس السید محمد بن علی المعروف بالسید المجاهد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کتاب المناهل فی الفقه والشیخ محمد شریف العاملی المعروف بشریف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هاجر إلی النجف الأشرف فحضر هناک دروس المحقّق الشیخ موسی کاشف الغطاء قرابة سنتین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عاد من العراق متوجّهاً إلی موطنه عام </w:t>
      </w: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ه ، فمکث فیها مدة قلیلة ثمّ جاب مدن إیران للاستفادة من علمائها، ثمّ رجع قافلاً إلی العراق فهبط النجف الأشرف وکانت الرئاسة العلمیة علی عاتق علمین کبیرین 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علی بن جعفر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محمد حسن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لبّی الشیخ محمد حسن صاحب الجواهر نداء ربّه عام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 xml:space="preserve">ه انتخب الشیخ بإیصاء منه مرجعاً للشیعة، فصغت له القلوب والأفکار وانتقلت الزعامة العلمیة إلیه بلا منازع، وقام بأعبائها بحزم وحکمة وإرادة صلبة إلی أن لبّی نداء ربّه لیلة الثامن عشر من شهر جمادی الأُولی من شهور عام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إلمامة عابرة وعرض خاطف لحیاة الشیخ الأعظم الذی کرّس حیاته فی التدریس والتألیف وإعداد العلماء وتربیة المجتهدین وإرساء دعائم النهضة العلمیة الحدیثة التی تعدّ بحق ثورة علمیة کبری قلّما اتّفق نظیرها فی العصور السابقة</w:t>
      </w:r>
      <w:r>
        <w:rPr>
          <w:rFonts w:eastAsia="IRNazanin" w:cs="IRNazanin"/>
          <w:color w:val="111111"/>
          <w:sz w:val="28"/>
          <w:szCs w:val="28"/>
          <w:rtl w:val="true"/>
          <w:lang w:bidi="fa-IR"/>
        </w:rPr>
        <w:t>.</w:t>
      </w:r>
      <w:bookmarkStart w:id="216" w:name="pg5344_40647"/>
    </w:p>
    <w:p>
      <w:pPr>
        <w:pStyle w:val="Heading4"/>
        <w:numPr>
          <w:ilvl w:val="3"/>
          <w:numId w:val="1"/>
        </w:numPr>
        <w:rPr/>
      </w:pPr>
      <w:bookmarkStart w:id="217" w:name="__RefHeading___Toc1127478_581953129"/>
      <w:bookmarkStart w:id="218" w:name="_Toc85"/>
      <w:bookmarkEnd w:id="216"/>
      <w:bookmarkEnd w:id="217"/>
      <w:r>
        <w:rPr>
          <w:rtl w:val="true"/>
        </w:rPr>
        <w:t>إبداعاته العلمیة</w:t>
      </w:r>
      <w:bookmarkEnd w:id="218"/>
    </w:p>
    <w:p>
      <w:pPr>
        <w:pStyle w:val="BookText"/>
        <w:rPr/>
      </w:pPr>
      <w:r>
        <w:rPr>
          <w:rFonts w:ascii="IRNazanin" w:hAnsi="IRNazanin" w:eastAsia="IRNazanin"/>
          <w:color w:val="111111"/>
          <w:sz w:val="28"/>
          <w:sz w:val="28"/>
          <w:szCs w:val="28"/>
          <w:rtl w:val="true"/>
          <w:lang w:bidi="fa-IR"/>
        </w:rPr>
        <w:t>ترک الشیخ آثاراً جلیلة لم یزل بعضها مداراً للتدریس فی الحوزات العلمیة، وأخصّ بالذکر کتابین قیّمین وهبا للشیخ خلوداً فی التاریخ،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الفرائد المشهور بالرسائل، وقد خدم العلم وأهله بهذا الکتاب القیم خدمة عظیمة وطرح فیه أفکاراً بکراً، تلخصت 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تحریر أحکام القطع والظن، وقدقسّم الظن إلی ظن خاص وظن مطلق، وأعطی لکلّ‌حکمه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قام فی رسالة البراءة والاشتغال بتبیین مجاریهما، وقد کانت غیر منقحة فی کلمات السابقین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قرر موقف الدلیل الاجتهادی من الأصل العملی وبالعکس، وانّهما لا یحتج بهما معاً وإن کان مضمونهما واحداً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قام فی رسالة الاستصحاب بعقد تنبیهات بعد الفراغ من إثبات حجیته عن طریق الأخبار، أودع فیها أفکاره وآراءه البدیعة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الکتاب الثانی الذی تدور حوله حلقات الدراسة والبحث</w:t>
      </w:r>
      <w:r>
        <w:rPr>
          <w:rFonts w:eastAsia="IRNazanin" w:cs="IRNazanin"/>
          <w:color w:val="111111"/>
          <w:sz w:val="28"/>
          <w:szCs w:val="28"/>
          <w:rtl w:val="true"/>
          <w:lang w:bidi="fa-IR"/>
        </w:rPr>
        <w:t>.</w:t>
      </w:r>
    </w:p>
    <w:p>
      <w:pPr>
        <w:pStyle w:val="Heading4"/>
        <w:numPr>
          <w:ilvl w:val="3"/>
          <w:numId w:val="1"/>
        </w:numPr>
        <w:rPr/>
      </w:pPr>
      <w:bookmarkStart w:id="219" w:name="__RefHeading___Toc1127480_581953129"/>
      <w:bookmarkStart w:id="220" w:name="_Toc86"/>
      <w:bookmarkEnd w:id="219"/>
      <w:r>
        <w:rPr>
          <w:rtl w:val="true"/>
        </w:rPr>
        <w:t>روّاد منهجه</w:t>
      </w:r>
      <w:bookmarkEnd w:id="220"/>
    </w:p>
    <w:p>
      <w:pPr>
        <w:pStyle w:val="BookText"/>
        <w:rPr/>
      </w:pPr>
      <w:r>
        <w:rPr>
          <w:rFonts w:ascii="IRNazanin" w:hAnsi="IRNazanin" w:eastAsia="IRNazanin"/>
          <w:color w:val="111111"/>
          <w:sz w:val="28"/>
          <w:sz w:val="28"/>
          <w:szCs w:val="28"/>
          <w:rtl w:val="true"/>
          <w:lang w:bidi="fa-IR"/>
        </w:rPr>
        <w:t>لقد تخرج علی منهج الشیخ الأنصاری عدد کبیر من الفقهاء والمجتهدین الذین تسلّموا منصة الرئاسة العلمیة والزعامة الدینیة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کاظم الخراسانی الهروی </w:t>
      </w:r>
      <w:r>
        <w:rPr>
          <w:rFonts w:eastAsia="IRNazanin" w:cs="IRNazanin"/>
          <w:color w:val="111111"/>
          <w:sz w:val="28"/>
          <w:szCs w:val="28"/>
          <w:rtl w:val="true"/>
          <w:lang w:bidi="fa-IR"/>
        </w:rPr>
        <w:t>(</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التصانیف الکثیرة التی منها کفایة الأُصول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میرزا حسن المجدّد الشیرازی </w:t>
      </w:r>
      <w:r>
        <w:rPr>
          <w:rFonts w:eastAsia="IRNazanin" w:cs="IRNazanin"/>
          <w:color w:val="111111"/>
          <w:sz w:val="28"/>
          <w:szCs w:val="28"/>
          <w:rtl w:val="true"/>
          <w:lang w:bidi="fa-IR"/>
        </w:rPr>
        <w:t>(</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محمد کاظم الطباطبائی الیزدی النجفی صاحب العروة الوثقی </w:t>
      </w:r>
      <w:r>
        <w:rPr>
          <w:rFonts w:eastAsia="IRNazanin" w:cs="IRNazanin"/>
          <w:color w:val="111111"/>
          <w:sz w:val="28"/>
          <w:szCs w:val="28"/>
          <w:rtl w:val="true"/>
          <w:lang w:bidi="fa-IR"/>
        </w:rPr>
        <w:t>(</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تألیفات منها تعلیقته علی مکاسب الشیخ الأنصاری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حسین النائینی </w:t>
      </w:r>
      <w:r>
        <w:rPr>
          <w:rFonts w:eastAsia="IRNazanin" w:cs="IRNazanin"/>
          <w:color w:val="111111"/>
          <w:sz w:val="28"/>
          <w:szCs w:val="28"/>
          <w:rtl w:val="true"/>
          <w:lang w:bidi="fa-IR"/>
        </w:rPr>
        <w:t>(</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دوّن تلامیذه أفکاره وبحوثه فی الفقه والأُصول علی وجه قلّ نظیره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ضیاء الدین بن محمد العراقی النجفی </w:t>
      </w:r>
      <w:r>
        <w:rPr>
          <w:rFonts w:eastAsia="IRNazanin" w:cs="IRNazanin"/>
          <w:color w:val="111111"/>
          <w:sz w:val="28"/>
          <w:szCs w:val="28"/>
          <w:rtl w:val="true"/>
          <w:lang w:bidi="fa-IR"/>
        </w:rPr>
        <w:t>(</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مصنّفاته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المقالات الأُصولیة، وأیضاً دورة فقهیة وقد انتشر بعض أجزائها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محمد حسن الاصفهانی </w:t>
      </w: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کتاب نهایة الدرایة فی شرح الکفایة فی جزءین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عبدالکریم الحائری </w:t>
      </w:r>
      <w:r>
        <w:rPr>
          <w:rFonts w:eastAsia="IRNazanin" w:cs="IRNazanin"/>
          <w:color w:val="111111"/>
          <w:sz w:val="28"/>
          <w:szCs w:val="28"/>
          <w:rtl w:val="true"/>
          <w:lang w:bidi="fa-IR"/>
        </w:rPr>
        <w:t>(</w:t>
      </w:r>
      <w:r>
        <w:rPr>
          <w:rFonts w:eastAsia="IRNazanin" w:cs="IRNazanin"/>
          <w:color w:val="111111"/>
          <w:sz w:val="28"/>
          <w:szCs w:val="28"/>
          <w:lang w:bidi="fa-IR"/>
        </w:rPr>
        <w:t>1274</w:t>
      </w:r>
      <w:r>
        <w:rPr>
          <w:rFonts w:eastAsia="IRNazanin" w:cs="IRNazanin"/>
          <w:color w:val="111111"/>
          <w:sz w:val="28"/>
          <w:szCs w:val="28"/>
          <w:rtl w:val="true"/>
          <w:lang w:bidi="fa-IR"/>
        </w:rPr>
        <w:t xml:space="preserve"> -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درر الأُصول، وکتاب الصلاة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حسین بن علی بن أحمد البروجردی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رسائل فقهیة کثیرة، مضافاً إلی ما ألّفه فی الرجال من الطبقات وغیرها، وقد وضع أُسساً خاصة فی الرجال لها میزتها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محسن الحکیم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تآلیفه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مستمسک العروة الوثقی شرح استدلالی علی العروة الوثقی الطائر الصیت، حقائق الأُصول شرح علی کفایة الأُصول، دلیل الناسک، ونهج الفقاهة شرح علی متاجر الشیخ الأنصاری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الإمام روح‌الله الموسوی الخمینی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ترک ثروة فقهیة‌کبیرة نشیر إلی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المکاسب فی خمسة أجزاء، و تحریر الوسیلة إضافة إلی دورات أُصولیة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قام السید الإمام قائد الثورة الإسلامیة بعد الإطاحة بنظام الشاه بإلقاء العدید من المحاضرات السیاسیة والاجتماعیة، والأخلاقیة خلال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سنوات، وقد جمعت وطبعت باسم صحیفة النور فی أزید من عشرین جزءاً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شخصیة الإمام الخمینی شخصیة لامعة أثبت بثورته انّ الإسلام دین للماضی والحاضر والمستقبل، وانّه لیس للإنسان المتحضّر إلاّ التمسّک بأهداب هذا الدین القیّم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أبو القاسم الخوئی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مصنّفات فقهیة کثیرة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اللباس المشکوک المطبوع عام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ه ، منهاج الصالحین وهی رسالة فتوائیة فی جزءین، تکملة المنهاج، وله تقریرات أُصولیة وفقهیة بقلم تلامیذه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محمدرضا الکلبایکانی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أحد أکابر تلامذة الشیخ عبد الکریم الحائری مؤسس الحوزة العلمیة فی قم المقدّسة وأحد المراجع الکبار فی عصره، له تصانیف کثیرة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 ولایة الفقیه، الشهادات، الدر المنضود فی أحکام الحدود، نتائج الأفکار، کتاب الطهارة</w:t>
      </w:r>
      <w:r>
        <w:rPr>
          <w:rFonts w:eastAsia="IRNazanin" w:cs="IRNazanin"/>
          <w:color w:val="111111"/>
          <w:sz w:val="28"/>
          <w:szCs w:val="28"/>
          <w:rtl w:val="true"/>
          <w:lang w:bidi="fa-IR"/>
        </w:rPr>
        <w:t>.</w:t>
      </w:r>
      <w:bookmarkStart w:id="221" w:name="pg5344_40651"/>
    </w:p>
    <w:p>
      <w:pPr>
        <w:pStyle w:val="BookText"/>
        <w:rPr/>
      </w:pPr>
      <w:bookmarkEnd w:id="221"/>
      <w:r>
        <w:rPr>
          <w:rFonts w:ascii="IRNazanin" w:hAnsi="IRNazanin" w:eastAsia="IRNazanin"/>
          <w:color w:val="111111"/>
          <w:sz w:val="28"/>
          <w:sz w:val="28"/>
          <w:szCs w:val="28"/>
          <w:rtl w:val="true"/>
          <w:lang w:bidi="fa-IR"/>
        </w:rPr>
        <w:t>إلی غیر ذلک من الأعلام والمراجع العظام الذین ارتووا من المنهل العذب لأُستاذ الفقهاء الشیخ الأنصاری تلمیذ بعد تلمیذ، عصراً بعد عصر</w:t>
      </w:r>
      <w:r>
        <w:rPr>
          <w:rFonts w:eastAsia="IRNazanin" w:cs="IRNazanin"/>
          <w:color w:val="111111"/>
          <w:sz w:val="28"/>
          <w:szCs w:val="28"/>
          <w:rtl w:val="true"/>
          <w:lang w:bidi="fa-IR"/>
        </w:rPr>
        <w:t>.</w:t>
      </w:r>
    </w:p>
    <w:p>
      <w:pPr>
        <w:pStyle w:val="Heading4"/>
        <w:numPr>
          <w:ilvl w:val="3"/>
          <w:numId w:val="1"/>
        </w:numPr>
        <w:rPr/>
      </w:pPr>
      <w:bookmarkStart w:id="222" w:name="__RefHeading___Toc1127482_581953129"/>
      <w:bookmarkStart w:id="223" w:name="_Toc87"/>
      <w:bookmarkEnd w:id="222"/>
      <w:r>
        <w:rPr>
          <w:rtl w:val="true"/>
        </w:rPr>
        <w:t>إعادة النشاط الفقهی عند أهل السنّة</w:t>
      </w:r>
      <w:bookmarkEnd w:id="223"/>
    </w:p>
    <w:p>
      <w:pPr>
        <w:pStyle w:val="BookText"/>
        <w:rPr/>
      </w:pPr>
      <w:r>
        <w:rPr>
          <w:rFonts w:ascii="IRNazanin" w:hAnsi="IRNazanin" w:eastAsia="IRNazanin"/>
          <w:color w:val="111111"/>
          <w:sz w:val="28"/>
          <w:sz w:val="28"/>
          <w:szCs w:val="28"/>
          <w:rtl w:val="true"/>
          <w:lang w:bidi="fa-IR"/>
        </w:rPr>
        <w:t>قد عرفت الوضع المزری الذی وصل إلیه الفقه السنّیّ فی الأوضاع والظروف الخاصة إلی أوائل القرن الثالث عشر، فقلّما تجد فیه إبداعاً فقهیاً أو تألیفاً ابتکاریاً أو مجتهداً مطلقاً من دون التزام بمذهب خاص إلاّ بما تعرفت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أنّ الفقه السنّیّ استعاد نشاطه عند مختتم القرن الثالث عشر ومطلع القرن الرابع عشر، وهذا ما یسمّیه کتّاب أدوار الفقه السنّیّ بدور التجدید وإعادة النشاط الفقهی إلی الحیاة العصریة، ومبدأه تألیف مجلة الأحکام للدولة العثمانیة سنة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 xml:space="preserve">ه ، ویعزو السبب لهذا التجدید هو الاتصال الوثیق بین الدولة العثمانیة والدول الغربیة، فقد دفع بها إلی تدوین مجموعة قوانین تکون دستوراً رسمیاً للدولة فی العدلیة والقضاء، وأُلقیت هذه المهمة علی عاتق لجنة حیث أصدرت فی سنة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ه مجلة الأحکام العدلیة بصفة قانون مدنی عام من الفقه الحنفی وقسّمتها إلی کتب وکلّ کتاب إلی أبواب أوّلها البیوع وآخرها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فشکّلت فیما بعد النواة الأُولی لتطویر الفقه فی هذا العصر وما بعده، وتابعته إنشاء المجامع الفقهیة ومجالس الإفتاء، وقیام العلماء بالاجتهاد فی المسائل المستجدة والوقائع الجدیدة، فاجتهدوا فی موضوعات متعدّدة مثل التأمین والشرکات والأسهم وزکاة الأسهم وأطفال الأنابیب وموت الدماغ والتشریح، وقامت الدعوة إلی الاجتهاد الجماعی مقام الاجتهاد الفردی</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تلاها إقامت الندوات الفقهیة والمؤتمرات القانونیة، فصار فی ذلک إنهاض للهمم فی سبیل تطویر الفقه السنّیّ وإخراجه من حیز الجمود إلی الحرکة ومسایرة الأحداث المستجدة، ولم یزل الرکب سائراً علی هذا الطریق</w:t>
      </w:r>
      <w:r>
        <w:rPr>
          <w:rFonts w:eastAsia="IRNazanin" w:cs="IRNazanin"/>
          <w:color w:val="111111"/>
          <w:sz w:val="28"/>
          <w:szCs w:val="28"/>
          <w:rtl w:val="true"/>
          <w:lang w:bidi="fa-IR"/>
        </w:rPr>
        <w:t>.</w:t>
      </w:r>
      <w:bookmarkStart w:id="224" w:name="pg5344_40653"/>
    </w:p>
    <w:p>
      <w:pPr>
        <w:pStyle w:val="Heading2"/>
        <w:numPr>
          <w:ilvl w:val="1"/>
          <w:numId w:val="1"/>
        </w:numPr>
        <w:rPr/>
      </w:pPr>
      <w:bookmarkStart w:id="225" w:name="__RefHeading___Toc1127484_581953129"/>
      <w:bookmarkStart w:id="226" w:name="_Toc88"/>
      <w:bookmarkEnd w:id="224"/>
      <w:bookmarkEnd w:id="225"/>
      <w:r>
        <w:rPr/>
        <w:t>9</w:t>
      </w:r>
      <w:r>
        <w:rPr>
          <w:rtl w:val="true"/>
        </w:rPr>
        <w:t xml:space="preserve">- </w:t>
      </w:r>
      <w:r>
        <w:rPr>
          <w:rtl w:val="true"/>
        </w:rPr>
        <w:t>عصر إنهاض الفقه بمتطلّبات الحکم</w:t>
      </w:r>
      <w:bookmarkEnd w:id="226"/>
    </w:p>
    <w:p>
      <w:pPr>
        <w:pStyle w:val="Heading3"/>
        <w:numPr>
          <w:ilvl w:val="2"/>
          <w:numId w:val="1"/>
        </w:numPr>
        <w:rPr/>
      </w:pPr>
      <w:bookmarkStart w:id="227" w:name="__RefHeading___Toc1127486_581953129"/>
      <w:bookmarkStart w:id="228" w:name="_Toc89"/>
      <w:bookmarkEnd w:id="227"/>
      <w:r>
        <w:rPr>
          <w:rtl w:val="true"/>
        </w:rPr>
        <w:t>اشارة</w:t>
      </w:r>
      <w:bookmarkEnd w:id="228"/>
    </w:p>
    <w:p>
      <w:pPr>
        <w:pStyle w:val="BookText"/>
        <w:rPr/>
      </w:pPr>
      <w:r>
        <w:rPr>
          <w:rFonts w:ascii="IRNazanin" w:hAnsi="IRNazanin" w:eastAsia="IRNazanin"/>
          <w:color w:val="111111"/>
          <w:sz w:val="28"/>
          <w:sz w:val="28"/>
          <w:szCs w:val="28"/>
          <w:rtl w:val="true"/>
          <w:lang w:bidi="fa-IR"/>
        </w:rPr>
        <w:t>کلّما تکاملت نواحی الحضارة، وتشابکت وتعدّدت ألوانها، واجه المجتمع أوضاعاً وأحداثاً جدیدة، وطُرحتْ علیه مشاکل طارئة لا عهد له بها فی الأزمنة السابقة، إذ لم تتعرض تشریعاتها لأی من هذه الأوضاع والأحداث والمشاکل بحکم من الأحکام، إذن فحاجة المجتمع إلی قوانین وتشریعات جدیدة لا تزال تتزاید کلّ یوم تبعاً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العصر الحاضر یتمیّز عمّا سبقه من الأعصار بحجم هائل من المستجدات والمتطورات ممّا حدا بالحکومات إلی مواجهتها من خلال اللجوء إلی القوانین الوضعیة، سواء أوافقت التشریع الإلهی أم لا، وقد سارت فی هذا السبیل کافة الحکومات العلمانیة، ومن سوء الحظ متابعة الحکومات الإسلامیة لهذا النوع من‌القوانین بذریعة عدم استجابة القوانین الإسلامیة لمتطلّبات العصر، ولم تُکلِّف نفسها عناء البحث والتنقیب واستنطاق الکتاب والسنّة لوضع الحلول للمشاکل العالقة التی تواجهها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فالواجب یحتّم علی الحکومات الإسلامیة، العدول عن هذه الطریقة التعیسة والرجوع إلی الکتاب والسنّة وسائر المصادر التی بین أیدینا، وذلک لأنّ التشریع الإسلامی یحتوی علی عناصر توفّر له البقاء والخلود ومواکبة العصر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التشریع الإسلامی ذو مادة حیویة خلاّقة للتفاصیل بحیث یتیسّر معها استنباط الأحکام الشرعیة فی کلّ عصر من الأعصار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الاعتراف بحجّیة العقل فی مجالات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فالعقل أحد الحجج الشرعیة وفی مصافّ المصادر الأُخری للتشریع، وبه یُکشف الحکم الشرعی وتبین وجهة نظر الشارع فی مورده، إذ من الممتنع أن یحکم العقل بشیء ولا یحکم الشرع علی وفقه فضلاً عن الحکم بخلافه، فالملازمة بین العقل والشرع قطعیة، إنّما المهم هو تبیین مجالات حکم العقل، فلیس المراد منه القیاس الظنی أو الاستحسان الشخصی أو غیر ذلک من الأدلّة الظنّیة، بل المراد ما یستقل العقل بلزوم الإتیان به أو بلزوم الترک لأجل إدراکه حسن الشیء الذاتی أو قبحه، فإنّ حکمه بحسن الشیء بما هوهو، أو قبحه بما هوهو یقع مصدراً لاستکشاف الحکم الشرعی، علی ما هو محرر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تنحصر حجّیة العقل فی مجال الحسن والقبح، إذ للعقل دور کبیر فی استنباط کثیر من الأحکام التی یصلح للعقل القضاء فیها ویقدر علی إدراک الحکم ومناطه، نظیر الملازمة بین وجوب الشیء ووجوب مقدّمته، ووجوب الشیء وحرمة ضده أو عدمهما، وجواز اجتماع الأمر والنهی وعدمه وصحّة العبادة والمعاملة وفسادهما، وإجزاء الأوامر الاضطراریة والظاهریة والأحکام المتفرعة علی تنجیز العلم الإجمالی، وما یستقل به العقل عند الیأس عن الأدلة السمعیة فیحکم بالبراءة أو الاشتغال أو التنجیز، حسب ما اقتضاه المقام، بل له دور واسع فی باب المعاملات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الملازمات وغیرها، من الأحکام العقلیة مصادر لاستنباط کثیر من الأحکام واستکشاف ما هو المرضی لدی الشارع یستریح إلیه الفقیه فی تأسیس الحکم الشرعی أو تحدیده، وفی تشخیص الوظیفة العملیة عند الیأس عن العثور علی الأدلّة السمعیة، وبذلک یسدّ الفراغ المتوهّم فی التشریع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ذلک یرشدنا إلی أنّ التشریع الإسلامی، یتبنّی الواقع ولا یحید عن متطلّبات الحیاة، وأنّه لیس لتعالیمه طابَع الرمز والتعبد السماوی، وأنّ للإسلام علاقة واقعیة بالعقل لا تجد مثلها فی الشرائع الأُخری، بل لا یسوغ لغیره أن یُدخل العقل فی مصادر تشریعه ویعدّه أحد الأدلّة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الأحکام تابعة للمصالح والمفاسد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الأحکام الشرعیة عند العدلیة من المسلمین تابعة لمصالح ومفاسد فی متعلّقاتها، فلا واجب إلاّ لمصلحة فی فعله، ولا حرام إلاّ لمفسدة</w:t>
      </w:r>
    </w:p>
    <w:p>
      <w:pPr>
        <w:pStyle w:val="BookText"/>
        <w:rPr/>
      </w:pPr>
      <w:r>
        <w:rPr>
          <w:rFonts w:ascii="IRNazanin" w:hAnsi="IRNazanin" w:eastAsia="IRNazanin"/>
          <w:color w:val="111111"/>
          <w:sz w:val="28"/>
          <w:sz w:val="28"/>
          <w:szCs w:val="28"/>
          <w:rtl w:val="true"/>
          <w:lang w:bidi="fa-IR"/>
        </w:rPr>
        <w:t>فی اقترافه، وقد تحقّق عندهم انّ للتشریع الإسلامی نظاماً لا تعتریه الفوضی، وهذا الأصل وإن خالف فیه بعض الأُمّة، غیر أنّ نظرهم محجوج بکتاب‌الله وسنّة نبیّه ونصوص خلفائه، تری أنّه سبحانه یعلّل حرمة الخمر والمیسر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الشَّیْطانُ أَنْ یُوقِعَ بَیْنَکُمُ الْعَداوَةَ وَ الْبَغْضاءَ فِی الْخَمْرِ وَ الْمَیْسِرِ وَ یَصُدَّکُمْ عَنْ ذِکْرِ اللّهِ وَ عَنِ الصَّلاةِ فَهَلْ أَنْتُمْ مُنْتَهُونَ</w:t>
      </w:r>
      <w:r>
        <w:rPr>
          <w:rFonts w:eastAsia="Amiri" w:cs="Amiri" w:ascii="Amiri" w:hAnsi="Amiri"/>
          <w:color w:val="111111"/>
          <w:sz w:val="28"/>
          <w:szCs w:val="28"/>
          <w:rtl w:val="true"/>
          <w:lang w:bidi="ar-SA"/>
        </w:rPr>
        <w:t xml:space="preserve">) .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ویستدلّ علی وجوب الصلاة بقوله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أَقِمِ الصَّلاةَ إِنَّ الصَّلاةَ تَنْهی عَنِ الْفَحْشاءِ وَ الْمُنْکَرِ</w:t>
      </w:r>
      <w:r>
        <w:rPr>
          <w:rFonts w:eastAsia="Amiri" w:cs="Amiri" w:ascii="Amiri" w:hAnsi="Amiri"/>
          <w:color w:val="111111"/>
          <w:sz w:val="28"/>
          <w:szCs w:val="28"/>
          <w:rtl w:val="true"/>
          <w:lang w:bidi="ar-SA"/>
        </w:rPr>
        <w:t xml:space="preserve">...) . </w:t>
      </w:r>
      <w:r>
        <w:rPr>
          <w:rStyle w:val="FootnoteAnchor"/>
          <w:rtl w:val="true"/>
        </w:rPr>
        <w:footnoteReference w:id="59"/>
      </w:r>
      <w:r>
        <w:rPr>
          <w:rFonts w:ascii="IRNazanin" w:hAnsi="IRNazanin" w:eastAsia="IRNazanin"/>
          <w:color w:val="111111"/>
          <w:sz w:val="28"/>
          <w:sz w:val="28"/>
          <w:szCs w:val="28"/>
          <w:rtl w:val="true"/>
          <w:lang w:bidi="fa-IR"/>
        </w:rPr>
        <w:t>إلی غیر ذلک من الفرائض والمناهی التی جاء التشریع مرفقاً ببیان الملاکات فی الذکر 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تشریع الاجتهاد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الاجتهاد المطلق هو بذل الوسع فی استنباط الأحکام الشرعیة من دون التزام بموافقة مذهب دون مذهب، وهذا النوع من الاجتهاد یغنی المسلمین عن موائد الأجانب ویعطی لکلّ موضوع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الاجتهاد علی هذا النحو یسایر سنن الحیاة وتطوّرها، ویجعل النصوص الشرعیة حیّة متحرّکة نامیة متطورة تتمشّی مع نوامیس الزمان والمکان، فلا تجمد ذلک الجمود الذی یباعد بین الدین والدنیا، أو بین العقیدة والحیاة الذی نشاهده فی أکثر المذاهب التی تخالفنا، ولعلّ ما نلاحظه من کثرة عارمة فی مؤلفات الإمامیة وتوسّع مطّرد فی مکتبة التشیع راجع إلی فتح باب الاجتهاد علی مصراعیه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الاجتهاد وهذا دوره فی خلود الدین وصلوحه للظروف والبیئات، ولم یکن إغلاقه إلاّ جهلاً بأهمیته أو ابتغاء للفتنة، أو تزلّفاً إلی أبناء الدنیا، أو تجنّباً عن النطق بالصواب</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ظل هذه العوامل یقترب الفقه من الواقع، فیلبّی کافة الحاجات والمتطلّبات العصریة للمجتمعات المتحضّرة ویزیح کافة العوائق التی تواجه الحکومات من خلال وضع قوانین محدّدة للنظام القضائی والمصرفی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الفساد الأخلاقی وفقدان الورع وضعف الوازع الذی یعبر عنه بفساد الزمان، یدفع بالمحاکم إلی وضع مقررات خاصة فی باب القضاء بالیمین والبیّنة لئلاّ یذهب حقّ المستحق بالیمین الکاذبة أو بشهود زور، وبما انّ عامة المقررات یجب أن تکون فی إطار الشرع ومقتضی الکتاب والسنّة، فهذا ما یلزم المحاکم إلی إعمال الاجتهاد فی المؤسسات الحکومیة لا سیّما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شک انّ للاقتصاد دوراً کبیراً فی حیاة الشریعة، وهو وإن لم یشکّل بنیة تحتانیة للمجتمعات الإنسانیة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علیه الشیوعیة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أصل من أُصول الحیاة، وقد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لا معاش له لا معاد له، وقد أصبح الاقتصاد العالمی الیوم فی ظل العولمة، متماسکاً فیما بینه تماسکاً وثیقاً، فلا یمکن لأی بلد مهما کان متمسّکاً بمبادئه أن ینقطع عن العالم ونُظُمه الاقتصادیة ویکون بمعزل عنه، وهذا ممّا دفع بالدول الإسلامیة إلی بذل الوسع فی وضع قوانین تتناسب مع التنمیة الاقتصادیة وفی الوقت نفسه لا تخرج عن نطاق الشریعة، وهذا ما أوعزنا إلیه من ضرورة النظر إلی الفقه بنظرة مرنة تتکیف مع الحاجات الإنسانیة وفی هذا حیاة للفقه، وتماشیه مع الزمان، ومواکبته لحاجات الأُمم، وإلاّ فلو غفلنا عن هذه النقطة فقد حکمنا علی الفقه بالموت تکون نتیجتها اتّباع المبادئ الغربیة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التطور الصناعی والعلمی أسفر عن موضوعات جدیدة لم یکن لها وجود من ذی قبل، فعلی الفقیه دراسة هذه الموضوعات بدقة وإمعان ولو بالاستعانة بأهل الخبرة والتخصّص فی ذلک المجال، وها نحن نشیر إلی بعض العناوین المستجدة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التأمین بکافة أقسامه، فهناک من یرید دراسة هذا الموضوع تحت أحد العناوین المعروفة فی الفقه کالصلح والضمان وغیره مع أنّه عقد مستقل بین العقلاء، فعلی الفقیه دراسة ذلک العنوان علی النحو السائد بین العقلاء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ظهرت حقوق عقلائیة مستجدة لم تکن مطروحة بین العقلاء، کحق التألیف وحق الاختراع وحق الطبع وحق النشر وغیرها من الآثار الخلاقة، وهذا ما یعبر عنه بالمالکیة الفکریة، وقد أقرّ بها الغرب واعترف بها رسمیاً ویعد المتجاوز علی هذه الحقوق متعدیاً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المسائل المستجدة فی عالم الطب کثیرة من التقلیح الصناعی وزرع الأعضاء وبیعها، والاستنساخ البشری والتشریح وتغییر الجنسیة، إلی غیر ذلک من المسائل</w:t>
      </w:r>
      <w:r>
        <w:rPr>
          <w:rFonts w:eastAsia="IRNazanin" w:cs="IRNazanin"/>
          <w:color w:val="111111"/>
          <w:sz w:val="28"/>
          <w:szCs w:val="28"/>
          <w:rtl w:val="true"/>
          <w:lang w:bidi="fa-IR"/>
        </w:rPr>
        <w:t>;</w:t>
      </w:r>
      <w:bookmarkStart w:id="229" w:name="pg5344_40662"/>
    </w:p>
    <w:p>
      <w:pPr>
        <w:pStyle w:val="BookText"/>
        <w:rPr/>
      </w:pPr>
      <w:bookmarkEnd w:id="229"/>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الشرکات التجاریة هی من المستجدات والتی تقوم بدور أساسی فی الحیاة الاقتصادیة، وهی بین شرکات الأشخاص وشرکات 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فهی عبارة عن شرکة التضامن، وشرکة التوصیة، وشرکة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الثانیة فأهم أقسامها هی شرکة المساهمة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الفقیه استنباط حکم هذه الشرکات علی ضوء النصوص والقواعد</w:t>
      </w:r>
      <w:r>
        <w:rPr>
          <w:rFonts w:eastAsia="IRNazanin" w:cs="IRNazanin"/>
          <w:color w:val="111111"/>
          <w:sz w:val="28"/>
          <w:szCs w:val="28"/>
          <w:rtl w:val="true"/>
          <w:lang w:bidi="fa-IR"/>
        </w:rPr>
        <w:t>.</w:t>
      </w:r>
    </w:p>
    <w:p>
      <w:pPr>
        <w:pStyle w:val="Heading3"/>
        <w:numPr>
          <w:ilvl w:val="2"/>
          <w:numId w:val="1"/>
        </w:numPr>
        <w:rPr/>
      </w:pPr>
      <w:bookmarkStart w:id="230" w:name="__RefHeading___Toc1127488_581953129"/>
      <w:bookmarkStart w:id="231" w:name="_Toc90"/>
      <w:bookmarkEnd w:id="230"/>
      <w:r>
        <w:rPr>
          <w:rtl w:val="true"/>
        </w:rPr>
        <w:t>دور الزمان والمکان فی استنباط الأحکام</w:t>
      </w:r>
      <w:bookmarkEnd w:id="231"/>
    </w:p>
    <w:p>
      <w:pPr>
        <w:pStyle w:val="Heading4"/>
        <w:numPr>
          <w:ilvl w:val="3"/>
          <w:numId w:val="1"/>
        </w:numPr>
        <w:rPr/>
      </w:pPr>
      <w:bookmarkStart w:id="232" w:name="__RefHeading___Toc1127490_581953129"/>
      <w:bookmarkStart w:id="233" w:name="_Toc91"/>
      <w:bookmarkEnd w:id="232"/>
      <w:r>
        <w:rPr>
          <w:rtl w:val="true"/>
        </w:rPr>
        <w:t>اشارة</w:t>
      </w:r>
      <w:bookmarkEnd w:id="233"/>
    </w:p>
    <w:p>
      <w:pPr>
        <w:pStyle w:val="BookText"/>
        <w:rPr/>
      </w:pPr>
      <w:r>
        <w:rPr>
          <w:rFonts w:ascii="IRNazanin" w:hAnsi="IRNazanin" w:eastAsia="IRNazanin"/>
          <w:color w:val="111111"/>
          <w:sz w:val="28"/>
          <w:sz w:val="28"/>
          <w:szCs w:val="28"/>
          <w:rtl w:val="true"/>
          <w:lang w:bidi="fa-IR"/>
        </w:rPr>
        <w:t>إنّ تأثیر اختلاف الأزمنة والأمکنة فی استنباط الأحکام الشرعیة أمر لا یمکن إنکاره، غیر أنّه یجب أن یفسر علی وجه لا یصادم الأُصول المسلّمة من کون التشریع الإسلامی تشریعاً عالمیاً خاتماً للشرائع أوّلاً، وانّه لیس لغیره سبحانه حقّ التشریع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حفظ هذین الأصلین فإنّ للزمان والمکان تأثیراً فی استنباط الأحکام فی ضوء الأُصول العامة، ولأجل إیضاح ذلک نأتی ببعض الأمثلة حتّی یتبین دورهما فی الاستنباط ومرونة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الشرعی ربما یکون مکتنفاً بخصوصیات تعدّ مقوّمة للحکم الشرعی فیتغیر بتغیرها ویتبدّل بتبدّلها ولا یعنی ذلک رفض الحکم الإلهی أو إنکار عالمیة التشریع وأبدیته، بل بمعنی تغیر الحکم بتغیّر الموضوع والجهات المقومة له عند نفس الشارع، فکما أنّ الحکم بطهارة الکلب مع صیرورته ملحاً أو تراباً لا یعدّ خلافاً له، هکذا تغیر الحکم بتغیر الخصوصیات الأُخر لا یعدّ خلافاً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الخصوصیات المؤثرة فی الحکم تارة تؤثّر فی مقام الإفتاء وأُخری فی مقام حکم الحاکم الإسلامی من جهة الولایة، فعلی الخبیر عدم الخلط بینهما، وإلیک بعض الأمثلة من کلا القسمین</w:t>
      </w:r>
      <w:r>
        <w:rPr>
          <w:rFonts w:eastAsia="IRNazanin" w:cs="IRNazanin"/>
          <w:color w:val="111111"/>
          <w:sz w:val="28"/>
          <w:szCs w:val="28"/>
          <w:rtl w:val="true"/>
          <w:lang w:bidi="fa-IR"/>
        </w:rPr>
        <w:t>:</w:t>
      </w:r>
    </w:p>
    <w:p>
      <w:pPr>
        <w:pStyle w:val="Heading4"/>
        <w:numPr>
          <w:ilvl w:val="3"/>
          <w:numId w:val="1"/>
        </w:numPr>
        <w:rPr/>
      </w:pPr>
      <w:bookmarkStart w:id="234" w:name="__RefHeading___Toc1127492_581953129"/>
      <w:bookmarkStart w:id="235" w:name="_Toc92"/>
      <w:bookmarkEnd w:id="234"/>
      <w:r>
        <w:rPr>
          <w:rtl w:val="true"/>
        </w:rPr>
        <w:t>التأثیر فی مقام الإفتاء</w:t>
      </w:r>
      <w:bookmarkEnd w:id="235"/>
    </w:p>
    <w:p>
      <w:pPr>
        <w:pStyle w:val="BookText"/>
        <w:rPr/>
      </w:pPr>
      <w:r>
        <w:rPr>
          <w:rFonts w:ascii="IRNazanin" w:hAnsi="IRNazanin" w:eastAsia="IRNazanin"/>
          <w:color w:val="111111"/>
          <w:sz w:val="28"/>
          <w:sz w:val="28"/>
          <w:szCs w:val="28"/>
          <w:rtl w:val="true"/>
          <w:lang w:bidi="fa-IR"/>
        </w:rPr>
        <w:t>إنّ الخصوصیات الطارئة تؤثر فی مقام الإفتاء، وإلیک بعض الأمثلة</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تقع علّة للحکم ومناطاً له، کعدم الانتفاع بالدم ونحوه، فقد ذکر الشیخ</w:t>
      </w:r>
    </w:p>
    <w:p>
      <w:pPr>
        <w:pStyle w:val="BookText"/>
        <w:rPr/>
      </w:pPr>
      <w:r>
        <w:rPr>
          <w:rFonts w:ascii="IRNazanin" w:hAnsi="IRNazanin" w:eastAsia="IRNazanin"/>
          <w:color w:val="111111"/>
          <w:sz w:val="28"/>
          <w:sz w:val="28"/>
          <w:szCs w:val="28"/>
          <w:rtl w:val="true"/>
          <w:lang w:bidi="fa-IR"/>
        </w:rPr>
        <w:t>الأعظم الأنصاری</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أنّه لا خلاف فی حرمة بیع الدم، وذلک لعدم الانتفاع به انتفاعاً محلّلاً</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 فلم یکن الغرض من البیع یوم ذاک إلا الأکل وهو محرّم لنجاسته، ولو افترضنا تغیّر علّة الحکم ومناطه بأن صار الدّم ذا منفعة محلّلة شائعة، وبها قامت رحی الحیاة فی المصدومین والمجروحین ومن تجری فی حقّه الجراحة الطبیّة، إذ لولا التزریق بالدم لما نجا کثیر منهم، حینئذ یتبدّل الحکمُ لتبدّل مناطه وغایته اللّذین هما قید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فالظّروف الحدیثة غیّرت الحکم الشرعیّ بتغیّر موضوعه، وصار الدم غیر المنتفع به إلاّ فی الجهة المحرّمة، منتفعاً به فی الجهة المحلّلة الشائعة لا النّادرة، وبذلک یدخل بعض ما کان یعدّ من المکاسب المحرّمة فی عداد المحلّلة، فلو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لعنصر الزمان تأثیراً فی الاجتهاد، یُعنی به التأثیر فی تشخیص الصغری وبقائها علی ما کانت علیه أو تغییرها عمّا کانت علیه، قال السیّد الأُستاذ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 فی تلک الأعصار للدم نفع غیر الأکل، فالتحریم منصرف إلیه</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فلا شبهة فی قصور الأدلّة عن إثبات حرمة سائر الانتفاعات فی الدم، فالأشبه جواز بیعه إذا کان له نفع عقلائیّ فی هذا العصر</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الحکم مکتنفاً بخصوصیة زمانیّة ومکانیّة یدرک العقل السلیم باختصاصه بها، وارتفاعه مع ارتفاعها، وهذا أیضاً لایعنی إلاّ تغیّر الحکم بتغیّر موضوعه المحدّد له شرعاً، فقد تضافرت النّصوص علی حلیّة الفیء والأنفال للشّیعة فی عصر الغیبة، ومن الأنفال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الآجام وأراضی الموات، فإبقاءُ هذا الحکم بنحو الإطلاق فی هذه الأعصار یوجب الهرج والمرج، ویوجد اختلافاً طبقیّاً هائلاً لامتلاک بعض الناس کل شیء وحرمان أکثرهم عن کلّ شیء، إذ لبعضهم قدرة هائلة یقتدر معها علی تحجیر الأراضی الشاسعة</w:t>
      </w:r>
      <w:bookmarkStart w:id="236" w:name="pg5344_40667"/>
    </w:p>
    <w:p>
      <w:pPr>
        <w:pStyle w:val="BookText"/>
        <w:rPr/>
      </w:pPr>
      <w:bookmarkEnd w:id="236"/>
      <w:r>
        <w:rPr>
          <w:rFonts w:ascii="IRNazanin" w:hAnsi="IRNazanin" w:eastAsia="IRNazanin"/>
          <w:color w:val="111111"/>
          <w:sz w:val="28"/>
          <w:sz w:val="28"/>
          <w:szCs w:val="28"/>
          <w:rtl w:val="true"/>
          <w:lang w:bidi="fa-IR"/>
        </w:rPr>
        <w:t>الکبیرة الواسعة، واستباحة الآجام والثروات العامّة بقطع الأشجار وتصدیرها، وهو ممّا لایرضی به الشارع أوّلاً وإفضائه إلی الفوضی فی المجتمع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 ذلک تفرض الظّروف الزّمانیة والمکانیّة علی إجراء ذلک الحکم بشکل خاصّ جامع یتکفّل إجراء أصل الحکم، أی حلیّة الأنفال للشیعة أوّلاً وحفظ النّظام وبسط العدل والقسط بین النّاس ثانیاً، بتقسیم الثروات العامّة عن طریق دولة إسلامیة مقتدرة تتحفّظ علی جمیع الشّؤون، فیستفید الغنیّ والفقیر والمتمکّن وغیره من الأنفال بالسویّة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الأوانی والألبسة والمنسوجات کانت فی الأزمنة السّابقة قیمیّة لعدم انطباق تعریف المثلیّ علیها، غیر أنّ الجهاز الصّناعی الیوم فی ذلک المجال، جعل الکلّ مثلیّاً والمعامل لاتزال تنتج کمیّة هائلة من الأوانی والمنسوجات لایختلف واحد عن الآخر قدر شعرة، فأصبحت هذه القیمیّات بفضل التقدّم الصّناعیّ، مثلیّات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مایباع بالوزن والکیل قد یباع بالعدد فی مکان آخر وکذلک العکس، وهذا یختلف باختلاف البیئات والمجتمعات، ویلحق لکلّ حکمه، فیکون مایباع بالکیل والوزن مشمولاً لحرمة الرّبا المعاوضی دون مایباع بالعدد، فیجب مراعاة أعراف الشّعوب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لاشکّ أنّ أکثر ما یلبسه المسلمون الیوم کان بالأمس لباس الأعداء، وکان تلبّسه یعدّ تشبّهاً بهم، وهو منهیّ عنه، وقد ورد عنهم علیهم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لاتلبسوا لباس أعدائی</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ولکن مع مرّ الزّمان شاع استعماله فی أکثر الأمکنة، فتغیّر الموضوع وصار لباساً عالمیّاً ولیس مختصّاً بالکفّار</w:t>
      </w:r>
      <w:r>
        <w:rPr>
          <w:rFonts w:eastAsia="IRNazanin" w:cs="IRNazanin"/>
          <w:color w:val="111111"/>
          <w:sz w:val="28"/>
          <w:szCs w:val="28"/>
          <w:rtl w:val="true"/>
          <w:lang w:bidi="fa-IR"/>
        </w:rPr>
        <w:t>.</w:t>
      </w:r>
    </w:p>
    <w:p>
      <w:pPr>
        <w:pStyle w:val="Heading4"/>
        <w:numPr>
          <w:ilvl w:val="3"/>
          <w:numId w:val="1"/>
        </w:numPr>
        <w:rPr/>
      </w:pPr>
      <w:bookmarkStart w:id="237" w:name="__RefHeading___Toc1127494_581953129"/>
      <w:bookmarkStart w:id="238" w:name="_Toc93"/>
      <w:bookmarkEnd w:id="237"/>
      <w:r>
        <w:rPr>
          <w:rtl w:val="true"/>
        </w:rPr>
        <w:t>تأثیر الخصوصیات الطارئة فی حکم الحاکم</w:t>
      </w:r>
      <w:bookmarkEnd w:id="238"/>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فکما أنّ الخصوصیات الطارئة تؤثر فی مقام الإفتاء، فهکذا تؤثر فی حکم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المصالح الزّمنیّة والمکانیّة فیها مؤثّرة فی اجتهاد الحاکم کما کانت فی الأمثلة السابقة مؤثرة فی فتوی المفتی، فالزّمان والمکان عنصران مؤثّران فی فتوی المفتی واجتهاد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وإلیک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الأحکام الإلهیّة تنقسم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أوّلیة متعلّقة بعناوین نفسیّة للشّیء، وأحکام ثانویّة تعرض للشیء باعتبار طرُوّ عناوین خارجة عن نفسها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مثل وجوب الصلاة والزّکاة والخمس والحجّ والجهاد أحکام أوّلیة تعرض للشیء بما هو هو، وحرمة الوضوء والغسل عند کونهما ضرریّین حکم عارض لهما بملاحظة عروض الضرر علیهما، کما أنّ‌إباحة السّفر حکم أوّلی عارض له، ووجوبه باعتبار کونه مصداقاً لإطاعة أمر الوالدین حکم عارض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ولامنافاة أن یکون للشیء بما هو هو حکم، وبما أنّه معروض عنوان آخر حکم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والعناوین المؤثرة للحکم عبارة عن 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الضّرورة والاضطرار</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الضّرر والضّرار</w:t>
      </w:r>
      <w:r>
        <w:rPr>
          <w:rFonts w:eastAsia="Amiri" w:cs="Amiri" w:ascii="Amiri" w:hAnsi="Amiri"/>
          <w:color w:val="111111"/>
          <w:sz w:val="28"/>
          <w:szCs w:val="28"/>
          <w:rtl w:val="true"/>
          <w:lang w:bidi="ar-SA"/>
        </w:rPr>
        <w:t xml:space="preserve">; </w:t>
      </w:r>
      <w:r>
        <w:rPr>
          <w:rStyle w:val="FootnoteAnchor"/>
          <w:rtl w:val="true"/>
        </w:rPr>
        <w:footnoteReference w:id="64"/>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العسر والحرج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الأهمّ والمهمّ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الوالدین ونهیهما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 والثامن والتاسع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النّذر والیمین والعهد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الواجب أو الحرام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عروض هذه العناوین ربمّا توجد أرضیة خاصّة لتغیّر الحکم العارض علیه بما هو هو، فلأجل ذلک، صار أکلُ المیتة المحرّم عند الضّرورة والاضطرار جائزاً، والسّفرُ إلی الحجّ المندوب عند نهی أحد الوالدین حراماً بالعرض، لاستلزامه ما هو محرّم بالذّات وهو العقوق، ولیس لأیّ مشرّع غضّ النّظر عن هذه العناوین الثانویّة کلّها أو بعضها، فإنّ فی إیجاب الحکم والإصرار علیه عند الضّرورة والاضطرار، وتنفیذ الحکم عند الضّرر یوجب</w:t>
      </w:r>
      <w:bookmarkStart w:id="239" w:name="pg5344_40671"/>
    </w:p>
    <w:p>
      <w:pPr>
        <w:pStyle w:val="BookText"/>
        <w:rPr/>
      </w:pPr>
      <w:bookmarkEnd w:id="239"/>
      <w:r>
        <w:rPr>
          <w:rFonts w:ascii="IRNazanin" w:hAnsi="IRNazanin" w:eastAsia="IRNazanin"/>
          <w:color w:val="111111"/>
          <w:sz w:val="28"/>
          <w:sz w:val="28"/>
          <w:szCs w:val="28"/>
          <w:rtl w:val="true"/>
          <w:lang w:bidi="fa-IR"/>
        </w:rPr>
        <w:t xml:space="preserve">انسحاب الناس عن الدّین وقلّة الرّغبة إلیه، فلم یکن بدّ من ملاحظتها وتقدیمها علی أحکام العناوین الأوّلیّة، ولأجل ذلک قال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 ولاضرار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ماحرّم‌الله شیئاً إلاّ وقد أحلّه لمن اضطرّ إلیه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Heading3"/>
        <w:numPr>
          <w:ilvl w:val="2"/>
          <w:numId w:val="1"/>
        </w:numPr>
        <w:rPr/>
      </w:pPr>
      <w:bookmarkStart w:id="240" w:name="__RefHeading___Toc1127496_581953129"/>
      <w:bookmarkStart w:id="241" w:name="_Toc94"/>
      <w:bookmarkEnd w:id="240"/>
      <w:r>
        <w:rPr>
          <w:rtl w:val="true"/>
        </w:rPr>
        <w:t>دور الحاکم فی رفع التزاحم بین الأحکام الأوّلیّة</w:t>
      </w:r>
      <w:bookmarkEnd w:id="241"/>
    </w:p>
    <w:p>
      <w:pPr>
        <w:pStyle w:val="BookText"/>
        <w:rPr/>
      </w:pPr>
      <w:r>
        <w:rPr>
          <w:rFonts w:ascii="IRNazanin" w:hAnsi="IRNazanin" w:eastAsia="IRNazanin"/>
          <w:color w:val="111111"/>
          <w:sz w:val="28"/>
          <w:sz w:val="28"/>
          <w:szCs w:val="28"/>
          <w:rtl w:val="true"/>
          <w:lang w:bidi="fa-IR"/>
        </w:rPr>
        <w:t>إنّ تقدّم العناوین الثانویة علی الأوّلیة یحلّ العقد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هناک تزاحم بین الحکم الواقعیّ الأولیّ وأحکام العناوین الثانویة، فتقدم الثانیة علی الأُولی، إمّا من باب الحکومة، أو من باب التوفیق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هناک تزاحم بین الأحکام الواقعیّة بعضها مع بعض بحیث لولا القضاء والحکومة لفک العقد وحفظ الحقوق لحصلت مفاسد، وهنا یأتی دور الحاکم والفقیه الجامع‌للشرائط الشاغل منصب الولاء لا الإفتاء، بمعنی تقدیم بعض الأحکام الواقعیّة علی بعض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بمعنی تعیین أنّ المورد من صغریات أیّ واحد من الحکمین الواقعیین، ولایحکم الحاکم فی المقام إلاّ بعد دقة وإمعان ودراسة للظروف الزمانیة والمکانیة ومشاورة العقلاء والخبراء</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 التزاحم بین الأحکام الأوّلیّة بعضها مع بعض، فیقدّم بعضها علی بعض فی ظلّ هذه العناوین الثانویّة، ویقوم به الحاکم الإسلامیّ بفضل الولایة المعطاة له، فتصیر هذه العناوین مفاتیح بید الحاکم، یرتفع بها التزاحم والتنافی، فمعنی مدخلیّة الزّمان والمکان فی حکم الحاکم عبارة عن لزوم رعایة المصالح العامّة الإسلامیة فی زمانه ومکانه، حتّی یتّضح أنّ المقام صغری لأی کبری من الکبریات، وأیّ حکم من الأحکام الواقعیة، فیکون حکمه بتقدیم إحدی الکبریین شکلاً إجرائیّاً لجریان الأحکام الواقعیة ومراعاة لحفظ الأهمّ وتخطیطاً لحفظ النّظام وعدم اختلاله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یظهر أنّ حکم الحاکم الإسلامیّ یتمتّع بمیزتین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حکمه بتقدیم إحدی الکبریین وحکمه علی وفقها، لیس حکماً مستنبطاً من الکتاب والسنّة مباشرة وإن کان أساس الولایة وأصلها مستنبطاً ومستخرجاً منهما، إلاّ أنّ الحاکم لمّا اعتلی منصّة الحکم ووقف علی أنّ المقام من صغریات ذلک الحکم الواقعیّ دون الآخر للمقاییس التی عرفتها، یصیر حکمه حکومیّاً وولائیاً فی طول الأحکام الأوّلیّة والثّانویّة ولیس الهدف من تسویغ الحکم له إلاّ الحفاظ علی الأحکام الواقعیّة برفع التزاحم، ولذلک سمّیناه حکما إجرائیّاً ولائیّاً حکومیّاً لاشرعیّاً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الوضوء، لما عرفت من أنّ حکمه علاجیّ یعالج به تزاحم الأحکام الواقعیة فی ظلّ العناوین الثانویة، وما یعالج به حکم لا من سنخ المعالج، ولو جعلناه فی عرض الحکمین لزم انخرام توحید التقنین والتشریع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حکم الحاکم لمّا کان نابعاً عن المصالح العامّة وصیانة القوانین الإسلامیة، لایخرج حکمه عن إطار الأحکام الأوّلیّة والثّانویّة، ولأجل ذلک قلنا إنّه یعالج التزاحم فیها، فی ظلّ العناوین الثانویّة، نعم ربّما یقال بأنّ ولایة الفقیه أوسع من إطار الأحکام الأوّلیة والثانویة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والقول بولایة الفقیه علی هذا الحد یرفع جمیع المشاکل الماثلة فی حیاتنا، فإنّ العناوین الثانویة التی تلوناها علیک أدوات بید الفقیه یُسدّ بها کل فراغ حاصل فی المجتمع، وهی فی الوقت نفسه تغیّر الصغریات ولاتمس بکرامة الکبریات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ولأجل توضیح المقام، نأتی بأمثلة تتبیّن فیها مدخلیّة المصالح الزمانیة والمکانیة فی حکم الحاکم وراء دخالتهما فی فتوی المفتی</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شکّ أنّ تقویة الإسلام والمسلمین من الوظائف الهامّة، وتضعیف وکسر شوکتهم من المحرّمات الموبقة، هذا من جانب، ومن جانب آخر فإنّ بیع وشراء التنباک أمر محلّل فی الشرع، والحکمان من الأحکام الأوّلیة، ولم یکن أیّ تزاحم بینهما إلاّ فی فترة خاصة عندما أعطی الحاکم العرفیّ امتیازاً للشّرکة الأجنبیة، فصار بیعه وشراؤه بیدها، ولمّا أحسّ الحاکم الشرعیّ آنذاک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المیرزا الشّیرازی</w:t>
      </w:r>
      <w:r>
        <w:rPr>
          <w:rFonts w:eastAsia="IRNazanin" w:cs="IRNazanin"/>
          <w:color w:val="111111"/>
          <w:sz w:val="28"/>
          <w:szCs w:val="28"/>
          <w:rtl w:val="true"/>
          <w:lang w:bidi="fa-IR"/>
        </w:rPr>
        <w:t xml:space="preserve">&amp; - </w:t>
      </w:r>
      <w:r>
        <w:rPr>
          <w:rFonts w:ascii="IRNazanin" w:hAnsi="IRNazanin" w:eastAsia="IRNazanin"/>
          <w:color w:val="111111"/>
          <w:sz w:val="28"/>
          <w:sz w:val="28"/>
          <w:szCs w:val="28"/>
          <w:rtl w:val="true"/>
          <w:lang w:bidi="fa-IR"/>
        </w:rPr>
        <w:t>انّ استعماله یوجب انتشاب أظفار الکفّار فی هیکل المجتمع الإسلامی، حکم</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بأنّ استعماله بجمیع أنواع الاستعمال</w:t>
      </w:r>
    </w:p>
    <w:p>
      <w:pPr>
        <w:pStyle w:val="BookText"/>
        <w:rPr/>
      </w:pPr>
      <w:r>
        <w:rPr>
          <w:rFonts w:ascii="IRNazanin" w:hAnsi="IRNazanin" w:eastAsia="IRNazanin"/>
          <w:color w:val="111111"/>
          <w:sz w:val="28"/>
          <w:sz w:val="28"/>
          <w:szCs w:val="28"/>
          <w:rtl w:val="true"/>
          <w:lang w:bidi="fa-IR"/>
        </w:rPr>
        <w:t xml:space="preserve">فی هذه الفترة کالمحاربة مع ولیّ العصر علیه السلام </w:t>
      </w:r>
      <w:r>
        <w:rPr>
          <w:rStyle w:val="FootnoteAnchor"/>
          <w:rtl w:val="true"/>
        </w:rPr>
        <w:footnoteReference w:id="65"/>
      </w:r>
      <w:r>
        <w:rPr>
          <w:rFonts w:ascii="IRNazanin" w:hAnsi="IRNazanin" w:eastAsia="IRNazanin"/>
          <w:color w:val="111111"/>
          <w:sz w:val="28"/>
          <w:sz w:val="28"/>
          <w:szCs w:val="28"/>
          <w:rtl w:val="true"/>
          <w:lang w:bidi="fa-IR"/>
        </w:rPr>
        <w:t>فلم یکن حکمه نابعاً إلاّ من تقدیم الأهمّ علی المهمّ أو من نظائره، ولم یکن الهدف من الحکم إلاّ بیان أنّ المورد من صغریات حفظ مصالح الإسلام واستقلال البلاد، ولایحصل إلاّ بترک استعمال التّنباک بیعاً وشراءً وتدخیناً وغیرها، فاضطرّت الشّرکة حینئذ إلی فسخها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حفظ النفوس من الأُمور الواجبة، وتسلّط النّاس علی أموالهم وحرمة التصرّف فی أموالهم أمر مسلّم فی الإسلام أیضاً، إلاّ أنّ حفظ النفوس ربمّا یتوقّف علی فتح الشوارع فی البلاد داخلها وخارجها ولا یحصل إلاّ بالتصرّف فی الأراضی والأملاک، فلو استعدّ مالکها بطیب نفس منه فهو، وإلاّ فللحاکم فی المقام دور وهو ملاحظة الأهمّ بتقدیمه علی المهمّ، فیقدّم الحکم الأوّل وهو حفظ النفوس علی الثانی، ویحکم بجواز التصرّف بلا إذن، غایة الأمر یضمن لصاحب الأراضی قیمتها السوقیة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إشاعة القسط والعدل ممّا ندب إلیه الإسلام وجعله غایة لبعث الرّسل،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أَرْسَلْنا رُسُلَنا بِالْبَیِّناتِ وَ أَنْزَلْنا مَعَهُمُ الْکِتابَ وَ الْمِیزانَ لِیَقُومَ النّاسُ بِالْقِسْطِ</w:t>
      </w:r>
      <w:r>
        <w:rPr>
          <w:rFonts w:eastAsia="Amiri" w:cs="Amiri" w:ascii="Amiri" w:hAnsi="Amiri"/>
          <w:color w:val="111111"/>
          <w:sz w:val="28"/>
          <w:szCs w:val="28"/>
          <w:rtl w:val="true"/>
          <w:lang w:bidi="ar-SA"/>
        </w:rPr>
        <w:t xml:space="preserve">) .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ومن جانب إنّ النّاس مسلّطون علی أموالهم یتقلّبون فیها کیفما شاءوا، فإذا کان هناک تزاحم بین الحکمین الواقعیین، کما فی احتکار المحتکر أیّام الغلاء أو إجحاف أصحاب الحرف والصّنعة وغیرهم، فللحاکم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الولایة الإلهیّة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الإمعان والدّقة والاستشارة والمشورة فی حلّ الأزمة الاجتماعیة حتّی یتبیّن له أنّ المقام من صغریات أیّ حکم من الحکمین، فلو لم تحلّ العقد بالوعظ والنصیحة، فآخر الدّواء الکیّ،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المخازن وبیع ما احتکر بقیمة عادلة وتسعیر الأجناس وغیر ذلک</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لاشک أنّ الناس أحرار فی تجاراتهم مع الشرکات الداخلیة والخارجیة، إلاّ أنّ إجراء ذلک، إن کان موجباً لخلل فی النظام الاقتصادیّ أو ضعف فی البنیة المالیّة للمسلمین،</w:t>
      </w:r>
    </w:p>
    <w:p>
      <w:pPr>
        <w:pStyle w:val="BookText"/>
        <w:rPr/>
      </w:pPr>
      <w:r>
        <w:rPr>
          <w:rFonts w:ascii="IRNazanin" w:hAnsi="IRNazanin" w:eastAsia="IRNazanin"/>
          <w:color w:val="111111"/>
          <w:sz w:val="28"/>
          <w:sz w:val="28"/>
          <w:szCs w:val="28"/>
          <w:rtl w:val="true"/>
          <w:lang w:bidi="fa-IR"/>
        </w:rPr>
        <w:t>فللحاکم تقدیم أهمّ الحکمین علی الآخر حسب ما یری من المصالح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رأی الحاکمُ أنّ بیع العنب إلی جماعة لایستعملونه إلاّ لصنع الخمر وتوزیعه بالخفاء أورث فساداً عند بعض أفراد المجتمع وانحلالاً فی شخصیّتهم، فله أن یمنع من بیع العنب إلی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المواضع الکثیرة التی لایمکن للفقیه المفتی أو الحاکم غضّ النّظر عن الظروف المحیطة به، حتی یتضح له أنّ المجال مناسب لتقدیم أی الحکمین علی الآخر وتشخیص الصغری کما لا یخفی</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حول مدخلیة الزمان والمکان فی الاجتهاد فی مجال الإفتاء والحکم، وأمّا سائر ما یرجع إلی ولایة الفقیه فنترکه إلی محلّه، ولیس المقصود فی المقام إلاّ أمراً واحداً وهو کونُ الزمان والمکان مؤثّرین فی المقامین فقط</w:t>
      </w:r>
      <w:r>
        <w:rPr>
          <w:rFonts w:eastAsia="IRNazanin" w:cs="IRNazanin"/>
          <w:color w:val="111111"/>
          <w:sz w:val="28"/>
          <w:szCs w:val="28"/>
          <w:rtl w:val="true"/>
          <w:lang w:bidi="fa-IR"/>
        </w:rPr>
        <w:t>.</w:t>
      </w:r>
      <w:bookmarkStart w:id="242" w:name="pg5344_40679"/>
    </w:p>
    <w:p>
      <w:pPr>
        <w:pStyle w:val="Heading2"/>
        <w:numPr>
          <w:ilvl w:val="1"/>
          <w:numId w:val="1"/>
        </w:numPr>
        <w:rPr/>
      </w:pPr>
      <w:bookmarkStart w:id="243" w:name="__RefHeading___Toc1127498_581953129"/>
      <w:bookmarkStart w:id="244" w:name="_Toc95"/>
      <w:bookmarkEnd w:id="242"/>
      <w:bookmarkEnd w:id="243"/>
      <w:r>
        <w:rPr/>
        <w:t>10</w:t>
      </w:r>
      <w:r>
        <w:rPr>
          <w:rtl w:val="true"/>
        </w:rPr>
        <w:t xml:space="preserve">- </w:t>
      </w:r>
      <w:r>
        <w:rPr>
          <w:rtl w:val="true"/>
        </w:rPr>
        <w:t>خاتمة المطاف</w:t>
      </w:r>
      <w:bookmarkEnd w:id="244"/>
    </w:p>
    <w:p>
      <w:pPr>
        <w:pStyle w:val="Heading3"/>
        <w:numPr>
          <w:ilvl w:val="2"/>
          <w:numId w:val="1"/>
        </w:numPr>
        <w:rPr/>
      </w:pPr>
      <w:bookmarkStart w:id="245" w:name="__RefHeading___Toc1127500_581953129"/>
      <w:bookmarkStart w:id="246" w:name="_Toc96"/>
      <w:bookmarkEnd w:id="245"/>
      <w:r>
        <w:rPr>
          <w:rtl w:val="true"/>
        </w:rPr>
        <w:t>اشارة</w:t>
      </w:r>
      <w:bookmarkEnd w:id="246"/>
    </w:p>
    <w:p>
      <w:pPr>
        <w:pStyle w:val="BookText"/>
        <w:rPr/>
      </w:pPr>
      <w:r>
        <w:rPr>
          <w:rFonts w:ascii="IRNazanin" w:hAnsi="IRNazanin" w:eastAsia="IRNazanin"/>
          <w:color w:val="111111"/>
          <w:sz w:val="28"/>
          <w:sz w:val="28"/>
          <w:szCs w:val="28"/>
          <w:rtl w:val="true"/>
          <w:lang w:bidi="fa-IR"/>
        </w:rPr>
        <w:t>قد فرغنا من بیان تاریخ الفقه والأدوار التی مرّ بها، بقیت هنا أُمور</w:t>
      </w:r>
      <w:r>
        <w:rPr>
          <w:rFonts w:eastAsia="IRNazanin" w:cs="IRNazanin"/>
          <w:color w:val="111111"/>
          <w:sz w:val="28"/>
          <w:szCs w:val="28"/>
          <w:rtl w:val="true"/>
          <w:lang w:bidi="fa-IR"/>
        </w:rPr>
        <w:t>:</w:t>
      </w:r>
    </w:p>
    <w:p>
      <w:pPr>
        <w:pStyle w:val="Heading3"/>
        <w:numPr>
          <w:ilvl w:val="2"/>
          <w:numId w:val="1"/>
        </w:numPr>
        <w:rPr/>
      </w:pPr>
      <w:bookmarkStart w:id="247" w:name="__RefHeading___Toc1127502_581953129"/>
      <w:bookmarkStart w:id="248" w:name="_Toc97"/>
      <w:bookmarkEnd w:id="247"/>
      <w:r>
        <w:rPr>
          <w:rtl w:val="true"/>
        </w:rPr>
        <w:t>الأوّل</w:t>
      </w:r>
      <w:r>
        <w:rPr>
          <w:rtl w:val="true"/>
        </w:rPr>
        <w:t xml:space="preserve">: </w:t>
      </w:r>
      <w:r>
        <w:rPr>
          <w:rtl w:val="true"/>
        </w:rPr>
        <w:t>التأثیر المتقابل بین قوانین الإسلام والغرب</w:t>
      </w:r>
      <w:bookmarkEnd w:id="248"/>
    </w:p>
    <w:p>
      <w:pPr>
        <w:pStyle w:val="BookText"/>
        <w:rPr/>
      </w:pPr>
      <w:r>
        <w:rPr>
          <w:rFonts w:ascii="IRNazanin" w:hAnsi="IRNazanin" w:eastAsia="IRNazanin"/>
          <w:color w:val="111111"/>
          <w:sz w:val="28"/>
          <w:sz w:val="28"/>
          <w:szCs w:val="28"/>
          <w:rtl w:val="true"/>
          <w:lang w:bidi="fa-IR"/>
        </w:rPr>
        <w:t>لا شکّ انّ الغرب قد قطع شوطاً کبیراً فی تقنین القوانین الوضعیة علی مختلف الأصعدة، وذلک بفضل تأسیس مجالس تشریعیة أخذت علی عاتقها وضع قوانین تتناسب مع مجتمعاتها، وبما انّ الإسلام خاتم الشرائع وکتابه خاتمة الکتب فله فی هذه الموضوعات المستجدة حکم سماوی نزل به الوحی علی رسوله واختزنه خلفاؤه وأصحابه، فاللازم هو استنطاق الکتاب والسنّة فی هذه الجوانب بعد الرجوع إلی القوانین الوضعیة فی الغرب فإنّها مصدر إلهام، حیث إنّ الفقیه یستخرج الموضوعات منها ویتقوّی بها علی استخراج الحکم من الکتاب والسنّة، فلیس الرجوع إلی القوانین الوضعیة والمدوّنات الفقهیة لدی الغرب لأجل الاقتباس، بل لأجل الوقوف علی الموضوعات المستجدة التی یواجهها البشر فی حیاته وتنقیة الفکر لیستعد بها علی استنطاق المصادر، فالحاکم الشرعی أو لجنة التشریع لا محیص لها عن الرجوع إلی المدوّنات الغربیة فی مجالات مختلفة، ولعلّ هذا أحد مصادیق قول الإمام الصادق علیه السلام</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بزمانه لا تهجم علیه اللوابس</w:t>
      </w:r>
      <w:r>
        <w:rPr>
          <w:rFonts w:eastAsia="IRNazanin" w:cs="IRNazanin"/>
          <w:color w:val="111111"/>
          <w:sz w:val="28"/>
          <w:szCs w:val="28"/>
          <w:rtl w:val="true"/>
          <w:lang w:bidi="fa-IR"/>
        </w:rPr>
        <w:t xml:space="preserve">». </w:t>
      </w:r>
      <w:r>
        <w:rPr>
          <w:rStyle w:val="FootnoteAnchor"/>
          <w:rtl w:val="true"/>
        </w:rPr>
        <w:footnoteReference w:id="67"/>
      </w:r>
      <w:bookmarkStart w:id="249" w:name="pg5344_40681"/>
    </w:p>
    <w:p>
      <w:pPr>
        <w:pStyle w:val="Heading3"/>
        <w:numPr>
          <w:ilvl w:val="2"/>
          <w:numId w:val="1"/>
        </w:numPr>
        <w:rPr/>
      </w:pPr>
      <w:bookmarkStart w:id="250" w:name="__RefHeading___Toc1127504_581953129"/>
      <w:bookmarkStart w:id="251" w:name="_Toc98"/>
      <w:bookmarkEnd w:id="249"/>
      <w:bookmarkEnd w:id="250"/>
      <w:r>
        <w:rPr>
          <w:rtl w:val="true"/>
        </w:rPr>
        <w:t>الثانی</w:t>
      </w:r>
      <w:r>
        <w:rPr>
          <w:rtl w:val="true"/>
        </w:rPr>
        <w:t xml:space="preserve">: </w:t>
      </w:r>
      <w:r>
        <w:rPr>
          <w:rtl w:val="true"/>
        </w:rPr>
        <w:t>ولایة الفقیه أو الزعامة السیاسیة</w:t>
      </w:r>
      <w:bookmarkEnd w:id="251"/>
    </w:p>
    <w:p>
      <w:pPr>
        <w:pStyle w:val="BookText"/>
        <w:rPr/>
      </w:pPr>
      <w:r>
        <w:rPr>
          <w:rFonts w:ascii="IRNazanin" w:hAnsi="IRNazanin" w:eastAsia="IRNazanin"/>
          <w:color w:val="111111"/>
          <w:sz w:val="28"/>
          <w:sz w:val="28"/>
          <w:szCs w:val="28"/>
          <w:rtl w:val="true"/>
          <w:lang w:bidi="fa-IR"/>
        </w:rPr>
        <w:t>قد تطلق ولایة الفقیه ویراد منها الأُمور الحسبیة، وأُخری الزعامة السیاسیة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فالظاهر انّه مورد اتفاق بین الفقهاء ولم نجد فیه مخالفاً، کولایة الفقیه علی أموال الیتامی أو ولایته علی أموال المجنون والسفیه أو ولایته علی أموال الغیّب، أو ولایته علی نکاح الصغیرة والمجنون والسفیه، أو ولایته علی استیفاء منافع هؤلاء، کحقّ الشفعة والفسخ بالخیار ودعوی الغبن والإحلاف ورد الحلف وحق القصاص فی الدم والجنایات وإقامة البیّنة وجرح الشهود وأمثالها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ونظیر ذلک التصرف فی أموال الإمام فی نصف الخمس، والمال المجهول مالکه، ومال من لا وارث له، کلّ ذلک من باب القیام بالأُمور الحسبیة، فهذه الأُمور نعلم کونها مطلوبة للشارع لا یرضی بترکها فیقوم بها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ولایة الفقیه بمعنی الزعامة السیاسیة علی نحو تکون ولایة الفقیه استمراراً لوظائف الإمام، کما أنّ الإمامة استمرار لوظائف النبوة فی مجال الزعامة بکلّ ما کان یقوم به الإمام المعصوم إلاّ أن یدل دلیل علی خلافه، فولایة الفقیه بهذا المعنی هی أساس کیان الفقه السیاسی، ولیست ولایة الفقیه بهذا المعنی أمراً شاذاً، بل أمر ذائع بین الفقهاء وإن لم یصل مرحلة الاتّفاق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 نحن نشیر إلی بعض الکلمات لأعلام الطائفة فی هذا الصدد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الشیخ المفید دفعاً للتهمة المرمیة بها الشیعة بتعطیل الشریعة فی زمان الغیبة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الغرض من تنصیب الإمام المعصوم هو حفظ الملة والشریعة أو إقامة الحدودتنفیذ الأحکام والجهاد، ولا تضر غیبة الإمام علیه السلام بشیء من ذلک، کما أنّ نوابه والأُمراء عنه علیه السلام یقومون بوظائفه فی غیبته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یقول بعد بیان وظیفة الفقهاء فی حفظ الشرع وبیان أحکامه وإقامة الحدود وتنفیذالأحکام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إقامة الحدود وتنفیذ الأحکام وقد یتولاها أُمراء الأئمّة وعمّالهم دونهم، کما</w:t>
      </w:r>
    </w:p>
    <w:p>
      <w:pPr>
        <w:pStyle w:val="BookText"/>
        <w:rPr/>
      </w:pPr>
      <w:r>
        <w:rPr>
          <w:rFonts w:ascii="IRNazanin" w:hAnsi="IRNazanin" w:eastAsia="IRNazanin"/>
          <w:color w:val="111111"/>
          <w:sz w:val="28"/>
          <w:sz w:val="28"/>
          <w:szCs w:val="28"/>
          <w:rtl w:val="true"/>
          <w:lang w:bidi="fa-IR"/>
        </w:rPr>
        <w:t>کان یتولّی ذلک أُمراء الأنبیاء وولاتهم ولا یحوجونهم إلی تولّی ذلک بأنفسهم، وکذلک القول فی الجهاد ألا تری أنّه یقوم به الولاة من قبل الأنبیاء والأئمّة دونهم، ویستغنون بذلک عن تولّیه بأنفسهم</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وقال فی کتاب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عدم السلطان العادل، کان لفقهاء أهل الحقّ العدول من ذوی الرأی والعقل والفضل أن یتولّوا ما تولاّه السلطان، فإن لم یتمکّنوا من ذلک فلا تبعة علیهم فیه</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وقال المحقّق الکرکی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اتّفق أصحابنا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الفقیه العدل الإمامی الجامع لشرائط الفتوی، المعبّر عنه بالمجتهد فی الأحکام الشرعیة نائب من قبل أئمّة الهدی علیهم السلام فی حال الغیبة فی جمیع ما للنیابة فیه مدخل</w:t>
      </w:r>
      <w:r>
        <w:rPr>
          <w:rFonts w:eastAsia="IRNazanin" w:cs="IRNazanin"/>
          <w:color w:val="111111"/>
          <w:sz w:val="28"/>
          <w:szCs w:val="28"/>
          <w:rtl w:val="true"/>
          <w:lang w:bidi="fa-IR"/>
        </w:rPr>
        <w:t xml:space="preserve">. </w:t>
      </w:r>
      <w:r>
        <w:rPr>
          <w:rStyle w:val="FootnoteAnchor"/>
          <w:rtl w:val="true"/>
        </w:rPr>
        <w:footnoteReference w:id="70"/>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صرح بعموم الولایة وثبوت الزعامة الدینیة المحقّق الأردبیلی فی عصر الغیبة، وذلک فی غیر موضع من کتابه، فاعتبر الفقیه حاکماً علی الإطلاق </w:t>
      </w:r>
      <w:r>
        <w:rPr>
          <w:rStyle w:val="FootnoteAnchor"/>
          <w:rtl w:val="true"/>
        </w:rPr>
        <w:footnoteReference w:id="71"/>
      </w:r>
      <w:r>
        <w:rPr>
          <w:rFonts w:ascii="IRNazanin" w:hAnsi="IRNazanin" w:eastAsia="IRNazanin"/>
          <w:color w:val="111111"/>
          <w:sz w:val="28"/>
          <w:sz w:val="28"/>
          <w:szCs w:val="28"/>
          <w:rtl w:val="true"/>
          <w:lang w:bidi="fa-IR"/>
        </w:rPr>
        <w:t xml:space="preserve">، ونائباً عن الإمام علیه السلام فی جمیع أعماله </w:t>
      </w:r>
      <w:r>
        <w:rPr>
          <w:rStyle w:val="FootnoteAnchor"/>
          <w:rtl w:val="true"/>
        </w:rPr>
        <w:footnoteReference w:id="72"/>
      </w:r>
      <w:r>
        <w:rPr>
          <w:rFonts w:ascii="IRNazanin" w:hAnsi="IRNazanin" w:eastAsia="IRNazanin"/>
          <w:color w:val="111111"/>
          <w:sz w:val="28"/>
          <w:sz w:val="28"/>
          <w:szCs w:val="28"/>
          <w:rtl w:val="true"/>
          <w:lang w:bidi="fa-IR"/>
        </w:rPr>
        <w:t xml:space="preserve">وقائماً مقامه </w:t>
      </w:r>
      <w:r>
        <w:rPr>
          <w:rStyle w:val="FootnoteAnchor"/>
          <w:rtl w:val="true"/>
        </w:rPr>
        <w:footnoteReference w:id="73"/>
      </w:r>
      <w:r>
        <w:rPr>
          <w:rFonts w:ascii="IRNazanin" w:hAnsi="IRNazanin" w:eastAsia="IRNazanin"/>
          <w:color w:val="111111"/>
          <w:sz w:val="28"/>
          <w:sz w:val="28"/>
          <w:szCs w:val="28"/>
          <w:rtl w:val="true"/>
          <w:lang w:bidi="fa-IR"/>
        </w:rPr>
        <w:t xml:space="preserve">، فالفقیه خلیفة الإمام ونائبه، والواصل إلیه فی الزکوات کالواصل للإمام علیه السلام </w:t>
      </w:r>
      <w:r>
        <w:rPr>
          <w:rStyle w:val="FootnoteAnchor"/>
          <w:rtl w:val="true"/>
        </w:rPr>
        <w:footnoteReference w:id="74"/>
      </w:r>
      <w:r>
        <w:rPr>
          <w:rFonts w:ascii="IRNazanin" w:hAnsi="IRNazanin" w:eastAsia="IRNazanin"/>
          <w:color w:val="111111"/>
          <w:sz w:val="28"/>
          <w:sz w:val="28"/>
          <w:szCs w:val="28"/>
          <w:rtl w:val="true"/>
          <w:lang w:bidi="fa-IR"/>
        </w:rPr>
        <w:t xml:space="preserve">، فهو یری بناء علی ثبوت النیابة العامة انّ جمیع ما للإمام علیه السلام من صلاحیات هی للفقیه إلاّ ما قام الدلیل علی خلافه، فللفقیه مثلاً جبایة أموال الزکاة </w:t>
      </w:r>
      <w:r>
        <w:rPr>
          <w:rStyle w:val="FootnoteAnchor"/>
          <w:rtl w:val="true"/>
        </w:rPr>
        <w:footnoteReference w:id="75"/>
      </w:r>
      <w:r>
        <w:rPr>
          <w:rFonts w:ascii="IRNazanin" w:hAnsi="IRNazanin" w:eastAsia="IRNazanin"/>
          <w:color w:val="111111"/>
          <w:sz w:val="28"/>
          <w:sz w:val="28"/>
          <w:szCs w:val="28"/>
          <w:rtl w:val="true"/>
          <w:lang w:bidi="fa-IR"/>
        </w:rPr>
        <w:t xml:space="preserve">وأخذ الخمس وصرفهما </w:t>
      </w:r>
      <w:r>
        <w:rPr>
          <w:rStyle w:val="FootnoteAnchor"/>
          <w:rtl w:val="true"/>
        </w:rPr>
        <w:footnoteReference w:id="76"/>
      </w:r>
      <w:r>
        <w:rPr>
          <w:rFonts w:ascii="IRNazanin" w:hAnsi="IRNazanin" w:eastAsia="IRNazanin"/>
          <w:color w:val="111111"/>
          <w:sz w:val="28"/>
          <w:sz w:val="28"/>
          <w:szCs w:val="28"/>
          <w:rtl w:val="true"/>
          <w:lang w:bidi="fa-IR"/>
        </w:rPr>
        <w:t xml:space="preserve">، والأمر بالمعروف والنهی عن المنکر </w:t>
      </w:r>
      <w:r>
        <w:rPr>
          <w:rStyle w:val="FootnoteAnchor"/>
          <w:rtl w:val="true"/>
        </w:rPr>
        <w:footnoteReference w:id="77"/>
      </w:r>
      <w:r>
        <w:rPr>
          <w:rFonts w:ascii="IRNazanin" w:hAnsi="IRNazanin" w:eastAsia="IRNazanin"/>
          <w:color w:val="111111"/>
          <w:sz w:val="28"/>
          <w:sz w:val="28"/>
          <w:szCs w:val="28"/>
          <w:rtl w:val="true"/>
          <w:lang w:bidi="fa-IR"/>
        </w:rPr>
        <w:t xml:space="preserve">، والتصدی للقضاء </w:t>
      </w:r>
      <w:r>
        <w:rPr>
          <w:rStyle w:val="FootnoteAnchor"/>
          <w:rtl w:val="true"/>
        </w:rPr>
        <w:footnoteReference w:id="78"/>
      </w:r>
      <w:r>
        <w:rPr>
          <w:rFonts w:ascii="Amiri" w:hAnsi="Amiri" w:eastAsia="Amiri" w:cs="Amiri"/>
          <w:color w:val="111111"/>
          <w:sz w:val="28"/>
          <w:sz w:val="28"/>
          <w:szCs w:val="28"/>
          <w:rtl w:val="true"/>
          <w:lang w:bidi="ar-SA"/>
        </w:rPr>
        <w:t>، وإقامة</w:t>
      </w:r>
    </w:p>
    <w:p>
      <w:pPr>
        <w:pStyle w:val="BookText"/>
        <w:rPr/>
      </w:pPr>
      <w:r>
        <w:rPr>
          <w:rFonts w:ascii="IRNazanin" w:hAnsi="IRNazanin" w:eastAsia="IRNazanin"/>
          <w:color w:val="111111"/>
          <w:sz w:val="28"/>
          <w:sz w:val="28"/>
          <w:szCs w:val="28"/>
          <w:rtl w:val="true"/>
          <w:lang w:bidi="fa-IR"/>
        </w:rPr>
        <w:t xml:space="preserve">الحدود والتعزیرات </w:t>
      </w:r>
      <w:r>
        <w:rPr>
          <w:rStyle w:val="FootnoteAnchor"/>
          <w:rtl w:val="true"/>
        </w:rPr>
        <w:footnoteReference w:id="79"/>
      </w:r>
      <w:r>
        <w:rPr>
          <w:rFonts w:ascii="IRNazanin" w:hAnsi="IRNazanin" w:eastAsia="IRNazanin"/>
          <w:color w:val="111111"/>
          <w:sz w:val="28"/>
          <w:sz w:val="28"/>
          <w:szCs w:val="28"/>
          <w:rtl w:val="true"/>
          <w:lang w:bidi="fa-IR"/>
        </w:rPr>
        <w:t>، وغیر ذلک ممّا هو ثابت للإمام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وأوّل من طرح ولایة الفقیه بصورة مبسطة هو المحقّق النراقی فی کتابه عوائد الأیام وهو أوّل من أشار إلی مفهومین مختلفین من ولایة الفقیه،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الفقیه بمعنی أهلیة القیام بالأُمور الحسبیة وولایة الفقیه بمعنی الزعامة السیاسیة، ثمّ ذکر أدلّة ولایة الفقیه من الدلیل العقلی والنقلی والإجماع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وأخیراً لا آخراً ألّف السید الإمام الخمینی رسالة فی ولایة الفقیه وأقام علیها صرح الدولة الإسلامیة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ونزید بیاناً لا شک انّ مهمة الحاکم الشرعی لا تنحصر بالإفتاء، بل مهمته أوسع من ذلک، فإنّ أحکام الإسلام لیست منحصرة بالواجبات الفردیة کالصوم والصلاة والأخلاق والعبادات، بل أحکامها الجماعیة أکثر من أحکامها الفردیة،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یحمل القرآن أحکاماً جزائیة وقضائیة وسیاسیة، کما عنی بالحفاظ علی الحیاة الإنسانیة من ترابط فی الأُسرة وحمایة للأموال والأعراض، فمثلاً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النَّفْسَ بِالنَّفْسِ وَ الْعَیْنَ بِالْعَیْنِ وَ الْأَنْفَ بِالْأَنْفِ وَ الْأُذُنَ بِالْأُذُنِ وَ السِّنَّ بِالسِّنِّ وَ الْجُرُوحَ قِصاصٌ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الزّانِیَةُ وَ الزّانِی فَاجْلِدُوا کُلَّ واحِدٍ مِنْهُما مِائَةَ جَلْدَةٍ وَ لا تَأْخُذْکُمْ بِهِما رَأْفَةٌ فِی دِینِ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السّارِقُ وَ السّارِقَةُ فَاقْطَعُوا أَیْدِیَهُما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لَکُمْ فِی الْقِصاصِ حَیاةٌ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إلی غیر ذلک من الآیات التی تدلّ علی أحکام الزواج والطلاق والإرث والجهاد والصلح، وقبول الجزیة والمعاملات</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یمکن الجهاد وإصدار الأمر به إلاّ من قبل الحاکم؟ وهل یمکن الصلح والمهادنة وعقد الذمّة والعهود إلاّ من طرف الدولة؟ وهل یمکن قطع ید السارق وجلد الزانی إلاّ من قبل حکومة قویة؟ وهل یمکن جبایة الزکوات والأخماس وأخذ الجزیة؟ وهل یمکن إجراء</w:t>
      </w:r>
    </w:p>
    <w:p>
      <w:pPr>
        <w:pStyle w:val="BookText"/>
        <w:rPr/>
      </w:pPr>
      <w:r>
        <w:rPr>
          <w:rFonts w:ascii="Amiri" w:hAnsi="Amiri" w:eastAsia="Amiri" w:cs="Amiri"/>
          <w:color w:val="111111"/>
          <w:sz w:val="28"/>
          <w:sz w:val="28"/>
          <w:szCs w:val="28"/>
          <w:rtl w:val="true"/>
          <w:lang w:bidi="ar-SA"/>
        </w:rPr>
        <w:t>الأمر بالمعروف والنهی عن المنکر إلاّ عن قوة وقدرة؟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لْتَکُنْ مِنْکُمْ أُمَّةٌ یَدْعُونَ إِلَی الْخَیْرِ وَ یَأْمُرُونَ بِالْمَعْرُوفِ وَ یَنْهَوْنَ عَنِ الْمُنْکَرِ</w:t>
      </w:r>
      <w:r>
        <w:rPr>
          <w:rFonts w:eastAsia="Amiri" w:cs="Amiri" w:ascii="Amiri" w:hAnsi="Amiri"/>
          <w:color w:val="111111"/>
          <w:sz w:val="28"/>
          <w:szCs w:val="28"/>
          <w:rtl w:val="true"/>
          <w:lang w:bidi="ar-SA"/>
        </w:rPr>
        <w:t xml:space="preserve">...) .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فهذا النوع من الأحکام الاجتماعیة والسیاسیة لا یختص بزمن دون زمن، ونحن نعلم بأنّها مطلوبة للشارع ولیست مرفوضة، إنّما الکلام فی القائم بهذه الأعمال، ومن الواضح انّ القائم بهذا النوع من المتطلّبات لا یمکن أن یکون غیر الفقیه، إذ هو الأعرف بمبانی الإسلام وأُسس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انّها غیر قابلة للتعطیل فلابدّ أن یقوم بها شخص یتأهّل لإقامتها والقدر المتیقّن لیس إلاّ الفقیه الجامع للشرائط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 یعلم أنّ الحکومة داخلة فی جوهر الإسلام ولیست خارجة عنه، ولا یمکن التفکیک بین الدین والسیاسة، ولا یتولّی الحکومة إلاّ من له ولایة من الله سبحانه فی التدخّل فی الأموال والنفوس علی الطرق الصحیحة، ومن المعلوم أنّ القائم بها یجب أن تتوفّر فیه صلاحیات تؤهّله لتصدّی هذا المنصب، ولا یحرزها إلاّ الفقیه الجامع للشرائط، العالم بالأحکام، العارف بزمانه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کیف یمارس الفقیه ولایته؟ فهو بحث مفصّل خارج عن إطار الکتاب، وإجماله انّ الفقیه بحکم مسؤولیته تجاه الإسلام والمسلمین یتحرّی فی جمیع الظروف مصالح الأُمّة، فلا یترتّب علی ولایة الفقیه إلاّ استقرار الحکومة الإسلامیة الصالحة، ولا یتغیّر بولایته أیّ شیء من الأرکان والمؤسسات الحکومیة ولا تتعارض مع حریة الأُمّة واختیارها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والحمد للّه ربّ العالمین</w:t>
      </w:r>
    </w:p>
    <w:p>
      <w:pPr>
        <w:pStyle w:val="BookText"/>
        <w:rPr/>
      </w:pPr>
      <w:r>
        <w:rPr>
          <w:rFonts w:ascii="IRNazanin" w:hAnsi="IRNazanin" w:eastAsia="IRNazanin"/>
          <w:color w:val="111111"/>
          <w:sz w:val="28"/>
          <w:sz w:val="28"/>
          <w:szCs w:val="28"/>
          <w:rtl w:val="true"/>
          <w:lang w:bidi="fa-IR"/>
        </w:rPr>
        <w:t>تمّ الکلام فی تاریخ الفقه وما یمت إلیه بصلة</w:t>
      </w:r>
    </w:p>
    <w:p>
      <w:pPr>
        <w:pStyle w:val="BookText"/>
        <w:rPr/>
      </w:pPr>
      <w:r>
        <w:rPr>
          <w:rFonts w:ascii="IRNazanin" w:hAnsi="IRNazanin" w:eastAsia="IRNazanin"/>
          <w:color w:val="111111"/>
          <w:sz w:val="28"/>
          <w:sz w:val="28"/>
          <w:szCs w:val="28"/>
          <w:rtl w:val="true"/>
          <w:lang w:bidi="fa-IR"/>
        </w:rPr>
        <w:t xml:space="preserve">ظهیرة یوم الأربعاء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ربیع الأوّل</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شهور عام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من الهجرة النبویة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زبدة الأُصول،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البخاری،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کتاب العلم، باب کتابة العلم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الحسن الحجوی الثعالبی، الفکر السامی،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آل أبی‌طالب،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الجاثیة،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أحمد،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صباغ المالکی، الفصول المهمة،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 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رقم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الرواشح،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الراشحة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الوحی المحمدی،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بلوغ المرام، رقم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الخضری، تاریخ التشریع الإسلامی،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أبی إسحاق الشیرازی الشافعی، طبقات الفقهاء،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لاحظ القسم الثانی من المقدمة،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1048</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الخلاصة،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مقدمة معالم الدین،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مبحث الإجماع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الخطط المقریزیة،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علی السایس، تاریخ الفقه الإسلامی،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مقدّمة السرائر،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تنقیح المقال،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المدخل الفقهی العام،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کلام الشیخ الأعظم رحمه الله فی مکاسبه حول التعلیل المذکور فی المتن مختص بالدم الطاهر حیث قال رحمه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الدم الطاهر إذا فرضت له منفعة محللة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وصرّح فی التذکرة بعدم جواز بیع الدم الطاهر لاستخباثه، ولعلّه لعدم المنفعة الظاهرة فیه غیر الأکل المحرّم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قد فصّل بین الدم الطاهر والنجس وحکم رحمه الله فی الثانی بحرمة المعاوضة علیه مطلقاً للإجماع والأخبار المتقدّمة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وفی التذکرة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یشترط فی المعقود علیه الطهارة الأصلیة، ولو باع نجس العین لم یصحّ إجماعاً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البیع</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 الخمینی رحمه الله ، المکاسب المحرّمة،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إسماعیل بن مسلم عن الصادق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أوحی اللّه إلی نبیّ من أنبیائه، قل للمؤمنین لاتلبسوا لباس أعدائی، ولاتطعموا مطاعم أعدائی، ولاتسلکوا مسالک أعدائی، فتکونوا أعدائی کما هم أعدائی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فی عیون الأخبار عن الرّضا علیه السلام عن آبائه علیهم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لاتلبسوا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 مثله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الضرورة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الحاجة، والاضطرار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الاحتیاج</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الضّرر والضرّ عرفاً هو النقص المالیّ والنفسیّ دون النقص العرفیّ کالهتک والإهانة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الضیّق والشدّة وسوء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والضّرار 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فعال من الضرّ،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لایجازی الرّجل أخاه علی إضراره بإدخال الضرر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الضّرر والضرار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واحد، والتکرار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للتأکید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اللّجاجة والإصرار علی عدم التسلیم للغیر، والتّصلّب فی إنفاذ إرادة نفسه وإن لم یفده شیئاً کما نری من عادة الأرذال</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وحکمه کالتالی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بسم‌الله الرّحمن الرحیم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الیوم استعمال التنباک والتتن، بأی نحو کان، بمثابة محاربة إمام الزمان عجل الله تعالی فرجه الشریف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العشرة فی الغیبة،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المطبوع ضمن مصنّفات الشیخ المفید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المحقّق الکرکی، رسائل، المجموعة الأُولی،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الفائدة،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image" Target="media/image2.jpeg"/><Relationship Id="rId95" Type="http://schemas.openxmlformats.org/officeDocument/2006/relationships/image" Target="media/image2.jpeg"/><Relationship Id="rId96" Type="http://schemas.openxmlformats.org/officeDocument/2006/relationships/footer" Target="footer89.xml"/><Relationship Id="rId97" Type="http://schemas.openxmlformats.org/officeDocument/2006/relationships/footnotes" Target="footnotes.xml"/><Relationship Id="rId98" Type="http://schemas.openxmlformats.org/officeDocument/2006/relationships/numbering" Target="numbering.xml"/><Relationship Id="rId99" Type="http://schemas.openxmlformats.org/officeDocument/2006/relationships/fontTable" Target="fontTable.xml"/><Relationship Id="rId100" Type="http://schemas.openxmlformats.org/officeDocument/2006/relationships/settings" Target="settings.xml"/><Relationship Id="rId1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93</Pages>
  <Words>20920</Words>
  <Characters>97308</Characters>
  <CharactersWithSpaces>117126</CharactersWithSpaces>
  <Paragraphs>1282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2026-08-19T01:20:10Z</dcterms:created>
  <dc:creator>ghaemiyeh.com</dc:creator>
  <dc:description/>
  <dc:language>en-US</dc:language>
  <cp:lastModifiedBy/>
  <dcterms:modified xsi:type="dcterms:W3CDTF">2026-08-19T04:50:14Z</dcterms:modified>
  <cp:revision>1</cp:revision>
  <dc:subject/>
  <dc:title>دروس فی تاریخ الفقه و ادواره</dc:title>
</cp:coreProperties>
</file>

<file path=docProps/custom.xml><?xml version="1.0" encoding="utf-8"?>
<Properties xmlns="http://schemas.openxmlformats.org/officeDocument/2006/custom-properties" xmlns:vt="http://schemas.openxmlformats.org/officeDocument/2006/docPropsVTypes"/>
</file>